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Footer"/>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Guidelines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6F21CD9" w:rsidR="000D17AA"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r w:rsidR="000D17AA" w:rsidRPr="001B73D3">
        <w:rPr>
          <w:rFonts w:cs="Arial"/>
          <w:highlight w:val="yellow"/>
        </w:rPr>
        <w:t>.</w:t>
      </w:r>
    </w:p>
    <w:p w14:paraId="339C231E" w14:textId="5B11E242"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permStart w:id="82257371" w:edGrp="everyone"/>
      <w:r w:rsidR="0066246A">
        <w:fldChar w:fldCharType="begin"/>
      </w:r>
      <w:r w:rsidR="0066246A">
        <w:instrText>HYPERLINK "http://www.esma.europa.eu"</w:instrText>
      </w:r>
      <w:r w:rsidR="0066246A">
        <w:fldChar w:fldCharType="separate"/>
      </w:r>
      <w:r w:rsidRPr="005B6B12">
        <w:rPr>
          <w:rStyle w:val="Hyperlink"/>
        </w:rPr>
        <w:t>www.esma.europa.eu</w:t>
      </w:r>
      <w:r w:rsidR="0066246A">
        <w:rPr>
          <w:rStyle w:val="Hyperlink"/>
        </w:rPr>
        <w:fldChar w:fldCharType="end"/>
      </w:r>
      <w:permEnd w:id="82257371"/>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7A68491E" w14:textId="7AD25181" w:rsidR="00C2682A" w:rsidRPr="00AB6D88" w:rsidRDefault="00B66768" w:rsidP="00FA5524">
                <w:pPr>
                  <w:rPr>
                    <w:rStyle w:val="PlaceholderText"/>
                    <w:rFonts w:cs="Arial"/>
                  </w:rPr>
                </w:pPr>
                <w:r>
                  <w:rPr>
                    <w:rStyle w:val="PlaceholderText"/>
                    <w:rFonts w:cs="Arial"/>
                  </w:rPr>
                  <w:t>Deutsche Börse Group</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4473C5F3" w:rsidR="00C2682A" w:rsidRPr="00AB6D88" w:rsidRDefault="002E108C"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66768">
                  <w:rPr>
                    <w:rFonts w:cs="Arial"/>
                  </w:rPr>
                  <w:t>Regulated markets/Exchanges/Trading Systems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41F79C44" w:rsidR="00C2682A" w:rsidRPr="00AB6D88" w:rsidRDefault="00D4017D"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41E99C86" w:rsidR="00C2682A" w:rsidRPr="00AB6D88" w:rsidRDefault="00B66768" w:rsidP="00FA5524">
                <w:pPr>
                  <w:rPr>
                    <w:rFonts w:cs="Arial"/>
                  </w:rPr>
                </w:pPr>
                <w:r>
                  <w:rPr>
                    <w:rFonts w:cs="Arial"/>
                  </w:rPr>
                  <w:t>Germany</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D22C93E" w14:textId="77777777" w:rsidR="00F71437" w:rsidRPr="003973BC" w:rsidRDefault="00F71437" w:rsidP="00F71437">
      <w:pPr>
        <w:spacing w:after="120" w:line="276" w:lineRule="auto"/>
        <w:jc w:val="both"/>
        <w:rPr>
          <w:rFonts w:ascii="News Gothic GDB" w:hAnsi="News Gothic GDB"/>
          <w:szCs w:val="20"/>
        </w:rPr>
      </w:pPr>
      <w:permStart w:id="1100430741" w:edGrp="everyone"/>
      <w:r w:rsidRPr="003973BC">
        <w:rPr>
          <w:rFonts w:ascii="News Gothic GDB" w:hAnsi="News Gothic GDB"/>
          <w:szCs w:val="20"/>
        </w:rPr>
        <w:t>Deutsche Börse Group (DBG) appreciates the opportunity to provide a response to ESMA’s consultation paper on guidelines on funds’ names using ESG or sustainability-related terms.</w:t>
      </w:r>
    </w:p>
    <w:p w14:paraId="7A8F2577"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t xml:space="preserve">As an international exchange organization and innovative market infrastructure provider, DBG ensures capital markets that are transparent, </w:t>
      </w:r>
      <w:proofErr w:type="gramStart"/>
      <w:r w:rsidRPr="003973BC">
        <w:rPr>
          <w:rFonts w:ascii="News Gothic GDB" w:hAnsi="News Gothic GDB"/>
          <w:szCs w:val="20"/>
        </w:rPr>
        <w:t>reliable</w:t>
      </w:r>
      <w:proofErr w:type="gramEnd"/>
      <w:r w:rsidRPr="003973BC">
        <w:rPr>
          <w:rFonts w:ascii="News Gothic GDB" w:hAnsi="News Gothic GDB"/>
          <w:szCs w:val="20"/>
        </w:rPr>
        <w:t xml:space="preserve"> and stable. With its wide range of products, services and technologies, the Group organises safe and efficient markets for sustainable economies. Its business areas cover the entire financial market transaction process chain. This includes the provision of indices, </w:t>
      </w:r>
      <w:proofErr w:type="gramStart"/>
      <w:r w:rsidRPr="003973BC">
        <w:rPr>
          <w:rFonts w:ascii="News Gothic GDB" w:hAnsi="News Gothic GDB"/>
          <w:szCs w:val="20"/>
        </w:rPr>
        <w:t>data</w:t>
      </w:r>
      <w:proofErr w:type="gramEnd"/>
      <w:r w:rsidRPr="003973BC">
        <w:rPr>
          <w:rFonts w:ascii="News Gothic GDB" w:hAnsi="News Gothic GDB"/>
          <w:szCs w:val="20"/>
        </w:rPr>
        <w:t xml:space="preserve"> and analytical solutions as well as admission, trading and clearing. Additionally, it comprises services for funds, the settlement and custody of financial instruments as well as the management of collateral and liquidity. As a technology company, the Group develops state-of-the-art IT solutions and offers IT systems all over the world. With more than 10,000 employees, the Group has its headquarters in the financial centre of Frankfurt/Rhine-Main, as well as a strong global presence in locations such as Luxembourg, Prague, Cork, London, New York, Chicago, Hong Kong, Singapore, Beijing, </w:t>
      </w:r>
      <w:proofErr w:type="gramStart"/>
      <w:r w:rsidRPr="003973BC">
        <w:rPr>
          <w:rFonts w:ascii="News Gothic GDB" w:hAnsi="News Gothic GDB"/>
          <w:szCs w:val="20"/>
        </w:rPr>
        <w:t>Tokyo</w:t>
      </w:r>
      <w:proofErr w:type="gramEnd"/>
      <w:r w:rsidRPr="003973BC">
        <w:rPr>
          <w:rFonts w:ascii="News Gothic GDB" w:hAnsi="News Gothic GDB"/>
          <w:szCs w:val="20"/>
        </w:rPr>
        <w:t xml:space="preserve"> and Sydney. DBG’s response reflects our general market observations and incorporates the diversity of the Group’s practitioner views.</w:t>
      </w:r>
    </w:p>
    <w:p w14:paraId="609D2D2E"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t>DBG supports ESMA’s objective to ensure that ESG funds’ investment activities are consistent with their marketed names and claims as well as that the disclosure of sustainability characteristics should be commensurate with the effective application of those characteristics to the fund. We also recognise the importance of fund name rules, especially as an index provider, as they can have a significant impact on investment decisions, particularly by retail investors.</w:t>
      </w:r>
    </w:p>
    <w:p w14:paraId="08DB2DBC"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t>Concerns around intended and unintended greenwashing are fast climbing the policy and regulatory agenda. Apart from the consumer protection implications that greenwashing may entail, the issue also casts doubt on whether financial markets are genuinely responding to the changing profile of client preferences for sustainable investment. Greenwashing can erode consumer trust and create the conditions for unfair competition and free-riding behaviours. This distortion of market integrity may even undermine broader sustainable finance policy objectives and public policy goals such as the European Green Deal.</w:t>
      </w:r>
    </w:p>
    <w:p w14:paraId="08C6541E" w14:textId="1BC54909" w:rsidR="00B92885" w:rsidRPr="00F71437" w:rsidRDefault="00F71437" w:rsidP="00F71437">
      <w:pPr>
        <w:spacing w:after="120" w:line="276" w:lineRule="auto"/>
        <w:jc w:val="both"/>
        <w:rPr>
          <w:rFonts w:ascii="News Gothic GDB" w:hAnsi="News Gothic GDB"/>
          <w:szCs w:val="20"/>
        </w:rPr>
      </w:pPr>
      <w:r w:rsidRPr="003973BC">
        <w:rPr>
          <w:rFonts w:ascii="News Gothic GDB" w:hAnsi="News Gothic GDB"/>
          <w:szCs w:val="20"/>
        </w:rPr>
        <w:t xml:space="preserve">Therefore, DBG welcomes </w:t>
      </w:r>
      <w:proofErr w:type="gramStart"/>
      <w:r w:rsidRPr="003973BC">
        <w:rPr>
          <w:rFonts w:ascii="News Gothic GDB" w:hAnsi="News Gothic GDB"/>
          <w:szCs w:val="20"/>
        </w:rPr>
        <w:t>that regulators</w:t>
      </w:r>
      <w:proofErr w:type="gramEnd"/>
      <w:r w:rsidRPr="003973BC">
        <w:rPr>
          <w:rFonts w:ascii="News Gothic GDB" w:hAnsi="News Gothic GDB"/>
          <w:szCs w:val="20"/>
        </w:rPr>
        <w:t xml:space="preserve"> not only in the EU but globally, are paying attention and focusing on retail investor protection as well as mis-selling of ESG products. We believe that misconduct, </w:t>
      </w:r>
      <w:proofErr w:type="gramStart"/>
      <w:r w:rsidRPr="003973BC">
        <w:rPr>
          <w:rFonts w:ascii="News Gothic GDB" w:hAnsi="News Gothic GDB"/>
          <w:szCs w:val="20"/>
        </w:rPr>
        <w:t>manipulation</w:t>
      </w:r>
      <w:proofErr w:type="gramEnd"/>
      <w:r w:rsidRPr="003973BC">
        <w:rPr>
          <w:rFonts w:ascii="News Gothic GDB" w:hAnsi="News Gothic GDB"/>
          <w:szCs w:val="20"/>
        </w:rPr>
        <w:t xml:space="preserve"> or deception – whether in connection with sustainability claims or securities frauds generally – should be matched by robust enforcement of laws.</w:t>
      </w:r>
    </w:p>
    <w:permEnd w:id="1100430741"/>
    <w:p w14:paraId="3B95B420"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B92885">
      <w:pPr>
        <w:pStyle w:val="Questionstyle"/>
        <w:numPr>
          <w:ilvl w:val="0"/>
          <w:numId w:val="39"/>
        </w:numPr>
      </w:pPr>
      <w:r>
        <w:br w:type="page"/>
      </w:r>
      <w:r w:rsidR="00B92885">
        <w:lastRenderedPageBreak/>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p w14:paraId="68FB9C5B" w14:textId="77777777" w:rsidR="00F71437" w:rsidRPr="003973BC" w:rsidRDefault="00F71437" w:rsidP="00F71437">
      <w:pPr>
        <w:spacing w:after="120" w:line="276" w:lineRule="auto"/>
        <w:jc w:val="both"/>
        <w:rPr>
          <w:rFonts w:ascii="News Gothic GDB" w:hAnsi="News Gothic GDB"/>
          <w:szCs w:val="20"/>
        </w:rPr>
      </w:pPr>
      <w:permStart w:id="1596738700" w:edGrp="everyone"/>
      <w:r w:rsidRPr="003973BC">
        <w:rPr>
          <w:rFonts w:ascii="News Gothic GDB" w:hAnsi="News Gothic GDB"/>
          <w:szCs w:val="20"/>
        </w:rPr>
        <w:t>So far, the legislator has chosen an approach based on disclosure (SFDR) and the suitability assessment (MiFID II) which aims to protect investors from being misled in the context of investing in ESG funds. Indeed, greenwashing needs to be addressed without delay, even if all the legislative steps are not fully in force yet. In this regard, the ESAs and NCAs can already make full use of their existing legal mandates and powers to ensure that investors and consumers are protected against fraudulent sustainability claims. But before introducing new rules or guidelines, we would encourage the existing regulatory framework to be completed and demonstrate its effectiveness. This must be an evolving process, in parallel with the market developments since the perception of sustainable investment is also still evolving.</w:t>
      </w:r>
    </w:p>
    <w:p w14:paraId="17AA2B26" w14:textId="77777777" w:rsidR="00F71437" w:rsidRPr="003973BC" w:rsidRDefault="00F71437" w:rsidP="00F71437">
      <w:pPr>
        <w:spacing w:after="120" w:line="276" w:lineRule="auto"/>
        <w:jc w:val="both"/>
        <w:rPr>
          <w:rFonts w:ascii="News Gothic GDB" w:hAnsi="News Gothic GDB"/>
          <w:b/>
          <w:bCs/>
          <w:i/>
          <w:iCs/>
          <w:szCs w:val="20"/>
        </w:rPr>
      </w:pPr>
      <w:r w:rsidRPr="003973BC">
        <w:rPr>
          <w:rFonts w:ascii="News Gothic GDB" w:hAnsi="News Gothic GDB"/>
          <w:b/>
          <w:bCs/>
          <w:i/>
          <w:iCs/>
          <w:szCs w:val="20"/>
        </w:rPr>
        <w:t>Requiring quantitative thresholds is premature and potentially counterproductive to EU policy objectives</w:t>
      </w:r>
    </w:p>
    <w:p w14:paraId="76460D58" w14:textId="77777777" w:rsidR="00F71437" w:rsidRPr="003973BC" w:rsidRDefault="00F71437" w:rsidP="00F71437">
      <w:pPr>
        <w:spacing w:after="120" w:line="276" w:lineRule="auto"/>
        <w:jc w:val="both"/>
        <w:rPr>
          <w:rFonts w:ascii="News Gothic GDB" w:hAnsi="News Gothic GDB"/>
          <w:szCs w:val="20"/>
        </w:rPr>
      </w:pPr>
      <w:proofErr w:type="gramStart"/>
      <w:r w:rsidRPr="003973BC">
        <w:rPr>
          <w:rFonts w:ascii="News Gothic GDB" w:hAnsi="News Gothic GDB"/>
          <w:szCs w:val="20"/>
        </w:rPr>
        <w:t>Generally speaking, we</w:t>
      </w:r>
      <w:proofErr w:type="gramEnd"/>
      <w:r w:rsidRPr="003973BC">
        <w:rPr>
          <w:rFonts w:ascii="News Gothic GDB" w:hAnsi="News Gothic GDB"/>
          <w:szCs w:val="20"/>
        </w:rPr>
        <w:t xml:space="preserve"> have concerns about the calibration of the thresholds and would caution against overly selective criteria. A reduced investment universe can imply increase investment concentration in a few assets and reduced diversification benefits, which can </w:t>
      </w:r>
      <w:r>
        <w:rPr>
          <w:rFonts w:ascii="News Gothic GDB" w:hAnsi="News Gothic GDB"/>
          <w:szCs w:val="20"/>
        </w:rPr>
        <w:t>amplify</w:t>
      </w:r>
      <w:r w:rsidRPr="003973BC">
        <w:rPr>
          <w:rFonts w:ascii="News Gothic GDB" w:hAnsi="News Gothic GDB"/>
          <w:szCs w:val="20"/>
        </w:rPr>
        <w:t xml:space="preserve"> the volatility of a portfolio, affect returns and lead to asset overvaluation.</w:t>
      </w:r>
    </w:p>
    <w:p w14:paraId="787AE02D"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t xml:space="preserve">Consequently, we question whether the proposed guidelines are the appropriate way to meet the regulatory objectives of preventing greenwashing or improving clarity for investors. Although the alignment of funds’ names with their strategies is important, this issue cannot be viewed or solved in isolation. SFDR contains many open issues and points of improvement which are still being evaluated. </w:t>
      </w:r>
      <w:proofErr w:type="gramStart"/>
      <w:r w:rsidRPr="003973BC">
        <w:rPr>
          <w:rFonts w:ascii="News Gothic GDB" w:hAnsi="News Gothic GDB"/>
          <w:szCs w:val="20"/>
        </w:rPr>
        <w:t>In particular, there</w:t>
      </w:r>
      <w:proofErr w:type="gramEnd"/>
      <w:r w:rsidRPr="003973BC">
        <w:rPr>
          <w:rFonts w:ascii="News Gothic GDB" w:hAnsi="News Gothic GDB"/>
          <w:szCs w:val="20"/>
        </w:rPr>
        <w:t xml:space="preserve"> is a lack of clarity in the market with regard to what exactly qualifies as a sustainable investment under SFDR and it is clear that approaches currently used vary significantly.</w:t>
      </w:r>
    </w:p>
    <w:p w14:paraId="1CF71E41"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t xml:space="preserve">Given that we are still waiting for the Commission to respond to the ESAs regarding the operationalisation of the definition of sustainable investments under SFDR, we </w:t>
      </w:r>
      <w:r>
        <w:rPr>
          <w:rFonts w:ascii="News Gothic GDB" w:hAnsi="News Gothic GDB"/>
          <w:szCs w:val="20"/>
        </w:rPr>
        <w:t xml:space="preserve">do not </w:t>
      </w:r>
      <w:r w:rsidRPr="003973BC">
        <w:rPr>
          <w:rFonts w:ascii="News Gothic GDB" w:hAnsi="News Gothic GDB"/>
          <w:szCs w:val="20"/>
        </w:rPr>
        <w:t>believe now is the right time to introduce new guidelines that are rooted on the mentioned definition. Setting a quantitative threshold where the underlying definition is unclear will neither lead to a level playing field across products nor enhance the quality or the utility of the information mix available for retail investors. Furthermore, the current definition and how it is used does not reflect enough on the differences of certain asset classes. Detailed guidance on ESG fund names should be aligned and introduced with future changes to SFDR or at least when further regulatory guidance and interpretation issues are being solved, such as interpretations on the concept of sustainable investments. Introducing temporary solutions might only make the situation even worse.</w:t>
      </w:r>
    </w:p>
    <w:p w14:paraId="4F50597C"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t xml:space="preserve">In the mid- to long-term, the introduction of thresholds could even undermine the use of the EU Taxonomy as the common objective benchmark to demonstrate the environmental sustainability of investments. Given the current low levels of Taxonomy alignment of financial products, this may create a disincentive for advisors or distributors to use the Taxonomy, in favour of the less robust and comparable thresholds. </w:t>
      </w:r>
    </w:p>
    <w:p w14:paraId="5885DAE3"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t xml:space="preserve">As regards the proposed thresholds themselves, there is no clear distinction between ESG- and sustainability-related terms, </w:t>
      </w:r>
      <w:r>
        <w:rPr>
          <w:rFonts w:ascii="News Gothic GDB" w:hAnsi="News Gothic GDB"/>
          <w:szCs w:val="20"/>
        </w:rPr>
        <w:t>particularly</w:t>
      </w:r>
      <w:r w:rsidRPr="003973BC">
        <w:rPr>
          <w:rFonts w:ascii="News Gothic GDB" w:hAnsi="News Gothic GDB"/>
          <w:szCs w:val="20"/>
        </w:rPr>
        <w:t xml:space="preserve"> from the perspective of the average retail investor. Hence, introducing two thresholds that differentiate along these terms does not seem to be effective to us.</w:t>
      </w:r>
    </w:p>
    <w:p w14:paraId="222B2570"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t xml:space="preserve">The first threshold of at least 80% of investments used to meet the environmental or social characteristics or sustainable investment objectives in accordance with the binding elements of the investment strategy appears to be </w:t>
      </w:r>
      <w:r>
        <w:rPr>
          <w:rFonts w:ascii="News Gothic GDB" w:hAnsi="News Gothic GDB"/>
          <w:szCs w:val="20"/>
        </w:rPr>
        <w:t xml:space="preserve">so </w:t>
      </w:r>
      <w:r w:rsidRPr="003973BC">
        <w:rPr>
          <w:rFonts w:ascii="News Gothic GDB" w:hAnsi="News Gothic GDB"/>
          <w:szCs w:val="20"/>
        </w:rPr>
        <w:t>broad that with some degree of measurability, almost anything can fit into it. The term “use of environmental or social characteristics” could refer to the product’s investment approach (</w:t>
      </w:r>
      <w:proofErr w:type="gramStart"/>
      <w:r w:rsidRPr="003973BC">
        <w:rPr>
          <w:rFonts w:ascii="News Gothic GDB" w:hAnsi="News Gothic GDB"/>
          <w:szCs w:val="20"/>
        </w:rPr>
        <w:t>e.g.</w:t>
      </w:r>
      <w:proofErr w:type="gramEnd"/>
      <w:r w:rsidRPr="003973BC">
        <w:rPr>
          <w:rFonts w:ascii="News Gothic GDB" w:hAnsi="News Gothic GDB"/>
          <w:szCs w:val="20"/>
        </w:rPr>
        <w:t xml:space="preserve"> best-in-class, proxy voting), the underlying ESG characteristics of the investee companies (e.g. higher than average ESG rating, net-zero target) or simply exposure to certain sectors (e.g. renewable energy, net-zero mobility).</w:t>
      </w:r>
    </w:p>
    <w:p w14:paraId="6C47ED89"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lastRenderedPageBreak/>
        <w:t>The second threshold of at least 50% of minimum proportion of sustainable investments as defined by Article 2(17) under SFDR requires a clear and common definition of sustainable investments, as already mentioned before. Otherwise, the definition and therefore also the threshold may be interpreted and applied in different ways, with limited comparability. In addition, both thresholds require additional clarity on the threshold calculation methodology (numerator, denominator).</w:t>
      </w:r>
    </w:p>
    <w:p w14:paraId="1E709549" w14:textId="77777777" w:rsidR="00F71437" w:rsidRPr="003973BC" w:rsidRDefault="00F71437" w:rsidP="00F71437">
      <w:pPr>
        <w:spacing w:after="120" w:line="276" w:lineRule="auto"/>
        <w:jc w:val="both"/>
        <w:rPr>
          <w:rFonts w:ascii="News Gothic GDB" w:hAnsi="News Gothic GDB"/>
          <w:b/>
          <w:bCs/>
          <w:i/>
          <w:iCs/>
          <w:szCs w:val="20"/>
        </w:rPr>
      </w:pPr>
      <w:r w:rsidRPr="003973BC">
        <w:rPr>
          <w:rFonts w:ascii="News Gothic GDB" w:hAnsi="News Gothic GDB"/>
          <w:b/>
          <w:bCs/>
          <w:i/>
          <w:iCs/>
          <w:szCs w:val="20"/>
        </w:rPr>
        <w:t>Regulatory continuity and coherence among EU sustainable finance initiatives would deliver much-needed market clarity</w:t>
      </w:r>
    </w:p>
    <w:p w14:paraId="601BD661"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t>Significant areas of regulation and supervision of financial institutions already address aspects of potential greenwashing. The fund name is a marketing tool, and we believe that the regulations on unfair competition are clear and sufficient to combat greenwashing. Unfair or misleading ESG information is a violation of the existing regulations. A financial advisor giving intentionally misleading ESG advice may similarly be in breach of contractual and regulatory obligations in place already today. MiFID II moreover provides that investor information should be “presented in a way that is likely to be understood by, the average member of the group to whom it is directed, or by whom it is likely to be received” and therefore also definitions, classifications and names of funds should be understandable by the average investor to whom they are addressed.</w:t>
      </w:r>
    </w:p>
    <w:p w14:paraId="26FC1E4F"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t xml:space="preserve">MiFID II introduced the requirement to ask retail investors about their sustainability preferences before being advised on financial products. We believe that this is a good way to give clients a say on what they want to invest in. However, in practice, they should be asked information on their preferences on three difficult to understand metrics and their proportions. Financial advisors </w:t>
      </w:r>
      <w:proofErr w:type="gramStart"/>
      <w:r w:rsidRPr="003973BC">
        <w:rPr>
          <w:rFonts w:ascii="News Gothic GDB" w:hAnsi="News Gothic GDB"/>
          <w:szCs w:val="20"/>
        </w:rPr>
        <w:t>have to</w:t>
      </w:r>
      <w:proofErr w:type="gramEnd"/>
      <w:r w:rsidRPr="003973BC">
        <w:rPr>
          <w:rFonts w:ascii="News Gothic GDB" w:hAnsi="News Gothic GDB"/>
          <w:szCs w:val="20"/>
        </w:rPr>
        <w:t xml:space="preserve"> apply these rules in a realistic way, as most retail investors are not investment or ESG specialists. Moreover, if the proposed guidelines will be introduced, products adhering to these new guidelines are not aligned with the MiFID requirements of “sustainability preferences”, hence, adding complexity and increasing the challenges to take clients preferences properly into account.</w:t>
      </w:r>
    </w:p>
    <w:p w14:paraId="312372B9"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t>We are concerned that this lack of interoperability will be misleading for retail and institutional investors and creates implementation and operational challenges for asset managers, index and ESG service providers, distributors, and advisors. Therefore, we urge ESMA to delay the guidelines and prioritise engaging with and providing the market with clarity on how the interoperability issues between MiFID II, SFDR and the guidelines will be addressed.</w:t>
      </w:r>
    </w:p>
    <w:p w14:paraId="37F4FBA0"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t xml:space="preserve">The “sustainability preferences” under MiFID II also include the option to select a financial product with a certain percentage of alignment with the EU Taxonomy. The CP stresses that ESMA </w:t>
      </w:r>
      <w:r>
        <w:rPr>
          <w:rFonts w:ascii="News Gothic GDB" w:hAnsi="News Gothic GDB"/>
          <w:szCs w:val="20"/>
        </w:rPr>
        <w:t>is concerned</w:t>
      </w:r>
      <w:r w:rsidRPr="003973BC">
        <w:rPr>
          <w:rFonts w:ascii="News Gothic GDB" w:hAnsi="News Gothic GDB"/>
          <w:szCs w:val="20"/>
        </w:rPr>
        <w:t xml:space="preserve"> that increasing demand for investment funds that incorporate ESG factors takes place without the effective application of existing criteria for sustainability such as the EU Taxonomy and thus greenwashing risks may rise. Although DBG supports the application of the EU Taxonomy as well as its further development, we would like to note that it is currently far from being a primary tool for sustainable investing and asset managers are hesitant to provide figures on the Taxonomy alignment of their financial products.</w:t>
      </w:r>
    </w:p>
    <w:p w14:paraId="4C65E97D" w14:textId="77777777" w:rsidR="00F71437" w:rsidRPr="003973BC" w:rsidRDefault="00F71437" w:rsidP="00F71437">
      <w:pPr>
        <w:spacing w:after="120" w:line="276" w:lineRule="auto"/>
        <w:jc w:val="both"/>
        <w:rPr>
          <w:rFonts w:ascii="News Gothic GDB" w:hAnsi="News Gothic GDB"/>
          <w:szCs w:val="20"/>
        </w:rPr>
      </w:pPr>
      <w:r>
        <w:rPr>
          <w:rFonts w:ascii="News Gothic GDB" w:hAnsi="News Gothic GDB"/>
          <w:szCs w:val="20"/>
        </w:rPr>
        <w:t>The</w:t>
      </w:r>
      <w:r w:rsidRPr="003973BC">
        <w:rPr>
          <w:rFonts w:ascii="News Gothic GDB" w:hAnsi="News Gothic GDB"/>
          <w:szCs w:val="20"/>
        </w:rPr>
        <w:t xml:space="preserve"> prevention of greenwashing risks is among the most important reasons, given that the Taxonomy currently only covers part of the sustainable investment universe and has a focus on certain activities and asset classes. Available data, in turn, is difficult to interpret and compare, </w:t>
      </w:r>
      <w:proofErr w:type="gramStart"/>
      <w:r w:rsidRPr="003973BC">
        <w:rPr>
          <w:rFonts w:ascii="News Gothic GDB" w:hAnsi="News Gothic GDB"/>
          <w:szCs w:val="20"/>
        </w:rPr>
        <w:t>e.g.</w:t>
      </w:r>
      <w:proofErr w:type="gramEnd"/>
      <w:r w:rsidRPr="003973BC">
        <w:rPr>
          <w:rFonts w:ascii="News Gothic GDB" w:hAnsi="News Gothic GDB"/>
          <w:szCs w:val="20"/>
        </w:rPr>
        <w:t xml:space="preserve"> because the Taxonomy and related guidance leave room for interpretation. Some of these issues can be expected to be solved over time due to upcoming regulations such as the extension of the Taxonomy, to include the missing environmental objectives, or the CSRD gradually coming into force. However, the Taxonomy was not meant as a tool to design fund classification. Even the adopted criteria are far from clear in that they often refer to “national law” </w:t>
      </w:r>
      <w:r>
        <w:rPr>
          <w:rFonts w:ascii="News Gothic GDB" w:hAnsi="News Gothic GDB"/>
          <w:szCs w:val="20"/>
        </w:rPr>
        <w:t>and</w:t>
      </w:r>
      <w:r w:rsidRPr="003973BC">
        <w:rPr>
          <w:rFonts w:ascii="News Gothic GDB" w:hAnsi="News Gothic GDB"/>
          <w:szCs w:val="20"/>
        </w:rPr>
        <w:t xml:space="preserve"> use open-ended concepts such as “business as-usual practices”, “robustness”, “best practice”, and “available guidance”.</w:t>
      </w:r>
    </w:p>
    <w:p w14:paraId="7CBB3B5F" w14:textId="77777777" w:rsidR="00F71437" w:rsidRPr="001B013D" w:rsidRDefault="00F71437" w:rsidP="00F71437">
      <w:pPr>
        <w:spacing w:after="120" w:line="276" w:lineRule="auto"/>
        <w:jc w:val="both"/>
        <w:rPr>
          <w:rFonts w:ascii="News Gothic GDB" w:hAnsi="News Gothic GDB"/>
          <w:szCs w:val="20"/>
        </w:rPr>
      </w:pPr>
      <w:r>
        <w:rPr>
          <w:rFonts w:ascii="News Gothic GDB" w:hAnsi="News Gothic GDB"/>
          <w:szCs w:val="20"/>
        </w:rPr>
        <w:t>Therefore</w:t>
      </w:r>
      <w:r w:rsidRPr="001B013D">
        <w:rPr>
          <w:rFonts w:ascii="News Gothic GDB" w:hAnsi="News Gothic GDB"/>
          <w:szCs w:val="20"/>
        </w:rPr>
        <w:t xml:space="preserve">, </w:t>
      </w:r>
      <w:r>
        <w:rPr>
          <w:rFonts w:ascii="News Gothic GDB" w:hAnsi="News Gothic GDB"/>
          <w:szCs w:val="20"/>
        </w:rPr>
        <w:t>there is still a need</w:t>
      </w:r>
      <w:r w:rsidRPr="001B013D">
        <w:rPr>
          <w:rFonts w:ascii="News Gothic GDB" w:hAnsi="News Gothic GDB"/>
          <w:szCs w:val="20"/>
        </w:rPr>
        <w:t xml:space="preserve"> to define what constitutes a sustainable investment. Thus, more clarity on the definition of sustainable investment under SFDR and the SFDR product categories is important. ESG analytics or ESG indices </w:t>
      </w:r>
      <w:r w:rsidRPr="001B013D">
        <w:rPr>
          <w:rFonts w:ascii="News Gothic GDB" w:hAnsi="News Gothic GDB"/>
          <w:szCs w:val="20"/>
        </w:rPr>
        <w:lastRenderedPageBreak/>
        <w:t>are important tools for sustainable investing and are already considering the EU Taxonomy and related data, however, the Taxonomy will not provide a comprehensive solution in the near-term.</w:t>
      </w:r>
    </w:p>
    <w:p w14:paraId="35E198FC" w14:textId="77777777" w:rsidR="00F71437" w:rsidRPr="003973BC" w:rsidRDefault="00F71437" w:rsidP="00F71437">
      <w:pPr>
        <w:spacing w:after="120" w:line="276" w:lineRule="auto"/>
        <w:jc w:val="both"/>
        <w:rPr>
          <w:rFonts w:ascii="News Gothic GDB" w:hAnsi="News Gothic GDB"/>
          <w:b/>
          <w:bCs/>
          <w:i/>
          <w:iCs/>
          <w:szCs w:val="20"/>
        </w:rPr>
      </w:pPr>
      <w:r w:rsidRPr="003973BC">
        <w:rPr>
          <w:rFonts w:ascii="News Gothic GDB" w:hAnsi="News Gothic GDB"/>
          <w:b/>
          <w:bCs/>
          <w:i/>
          <w:iCs/>
          <w:szCs w:val="20"/>
        </w:rPr>
        <w:t>The application of proposed thresholds to ESG benchmarks is problematic and potentially conflicts with the EU BMR</w:t>
      </w:r>
    </w:p>
    <w:p w14:paraId="2AB6BD8F"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t>The lack of interoperability between MiFID II, SFDR and the guidelines is further complicated when, besides the Taxonomy Regulation, CSRD etc., the EU Benchmark Regulation (BMR) is considered. From the perspective of a benchmark administrator, quantitative thresholds would lead to regulatory divergence. Under the EU BMR, benchmark administrators have two labels for climate benchmarks at their disposal,</w:t>
      </w:r>
      <w:r>
        <w:rPr>
          <w:rFonts w:ascii="News Gothic GDB" w:hAnsi="News Gothic GDB"/>
          <w:szCs w:val="20"/>
        </w:rPr>
        <w:t xml:space="preserve"> the</w:t>
      </w:r>
      <w:r w:rsidRPr="003973BC">
        <w:rPr>
          <w:rFonts w:ascii="News Gothic GDB" w:hAnsi="News Gothic GDB"/>
          <w:szCs w:val="20"/>
        </w:rPr>
        <w:t xml:space="preserve"> EU Climate Transition (CTB) and</w:t>
      </w:r>
      <w:r>
        <w:rPr>
          <w:rFonts w:ascii="News Gothic GDB" w:hAnsi="News Gothic GDB"/>
          <w:szCs w:val="20"/>
        </w:rPr>
        <w:t xml:space="preserve"> the</w:t>
      </w:r>
      <w:r w:rsidRPr="003973BC">
        <w:rPr>
          <w:rFonts w:ascii="News Gothic GDB" w:hAnsi="News Gothic GDB"/>
          <w:szCs w:val="20"/>
        </w:rPr>
        <w:t xml:space="preserve"> EU Paris-aligned (PAB) benchmarks. Both are subject to certain minimum criteria. In addition, benchmark administrators can also design their own ESG-oriented methodologies. Benchmark administrators are not bound to meet specific ESG thresholds but are subject to strict disclosure requirements under BMR. If such an ESG benchmark is then used by an asset manager as underlying for an ESG fund, that fund will additionally be subject to SFDR disclosure requirements and will ultimately also be assessed against the MiFID II definition of ‘sustainability preferences’ if offered to an end investor.</w:t>
      </w:r>
    </w:p>
    <w:p w14:paraId="3F92F1C3"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t xml:space="preserve">The predominant use of (ESG) benchmarks by the fund industry is as underlying for Exchange Traded Funds. In such case, a fund is typically named after the index which it is tracking. The use of the name of the index is also an important feature for the </w:t>
      </w:r>
      <w:r>
        <w:rPr>
          <w:rFonts w:ascii="News Gothic GDB" w:hAnsi="News Gothic GDB"/>
          <w:szCs w:val="20"/>
        </w:rPr>
        <w:t xml:space="preserve">funds’ </w:t>
      </w:r>
      <w:r w:rsidRPr="003973BC">
        <w:rPr>
          <w:rFonts w:ascii="News Gothic GDB" w:hAnsi="News Gothic GDB"/>
          <w:szCs w:val="20"/>
        </w:rPr>
        <w:t xml:space="preserve">marketing </w:t>
      </w:r>
      <w:r>
        <w:rPr>
          <w:rFonts w:ascii="News Gothic GDB" w:hAnsi="News Gothic GDB"/>
          <w:szCs w:val="20"/>
        </w:rPr>
        <w:t>since</w:t>
      </w:r>
      <w:r w:rsidRPr="003973BC">
        <w:rPr>
          <w:rFonts w:ascii="News Gothic GDB" w:hAnsi="News Gothic GDB"/>
          <w:szCs w:val="20"/>
        </w:rPr>
        <w:t xml:space="preserve"> end investors want to invest in products with quality underlying of their trust. Neither CTB, PAB, nor any other ESG Benchmarks under the BMR are – as of today – subject to minimum criteria (thresholds) such as those proposed by ESMA. There are, however, specific minimum requirements for CTB and PAB under the BMR. The thresholds proposed in the ESMA guidelines are not compatible with those CTB and PAB-specific requirements. </w:t>
      </w:r>
      <w:proofErr w:type="gramStart"/>
      <w:r w:rsidRPr="003973BC">
        <w:rPr>
          <w:rFonts w:ascii="News Gothic GDB" w:hAnsi="News Gothic GDB"/>
          <w:szCs w:val="20"/>
        </w:rPr>
        <w:t>As a consequence of</w:t>
      </w:r>
      <w:proofErr w:type="gramEnd"/>
      <w:r w:rsidRPr="003973BC">
        <w:rPr>
          <w:rFonts w:ascii="News Gothic GDB" w:hAnsi="News Gothic GDB"/>
          <w:szCs w:val="20"/>
        </w:rPr>
        <w:t xml:space="preserve"> the proposed guidelines, the name</w:t>
      </w:r>
      <w:r>
        <w:rPr>
          <w:rFonts w:ascii="News Gothic GDB" w:hAnsi="News Gothic GDB"/>
          <w:szCs w:val="20"/>
        </w:rPr>
        <w:t>s</w:t>
      </w:r>
      <w:r w:rsidRPr="003973BC">
        <w:rPr>
          <w:rFonts w:ascii="News Gothic GDB" w:hAnsi="News Gothic GDB"/>
          <w:szCs w:val="20"/>
        </w:rPr>
        <w:t xml:space="preserve"> of ESG benchmarks </w:t>
      </w:r>
      <w:r>
        <w:rPr>
          <w:rFonts w:ascii="News Gothic GDB" w:hAnsi="News Gothic GDB"/>
          <w:szCs w:val="20"/>
        </w:rPr>
        <w:t>may no longer</w:t>
      </w:r>
      <w:r w:rsidRPr="003973BC">
        <w:rPr>
          <w:rFonts w:ascii="News Gothic GDB" w:hAnsi="News Gothic GDB"/>
          <w:szCs w:val="20"/>
        </w:rPr>
        <w:t xml:space="preserve"> be used as </w:t>
      </w:r>
      <w:r>
        <w:rPr>
          <w:rFonts w:ascii="News Gothic GDB" w:hAnsi="News Gothic GDB"/>
          <w:szCs w:val="20"/>
        </w:rPr>
        <w:t xml:space="preserve">fund </w:t>
      </w:r>
      <w:r w:rsidRPr="003973BC">
        <w:rPr>
          <w:rFonts w:ascii="News Gothic GDB" w:hAnsi="News Gothic GDB"/>
          <w:szCs w:val="20"/>
        </w:rPr>
        <w:t>names, if the ESG benchmarks do not implement the thresholds and other requirements from the proposed guidelines on top of the requirements under the BMR. As the use of a benchmark’s name is a key feature for the fund industry, benchmark administrators would be under pressure to change the ESG benchmarks’ methodologies so that they will also abide by the proposed guidelines.</w:t>
      </w:r>
    </w:p>
    <w:p w14:paraId="0351A561"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t>If the proposed guidelines were applied to funds with an ESG benchmark as underlying, implementing the requirements for CTB and PAB alone would create an unusable ESG benchmark. PAB exclusions would have to be implemented for all benchmarks, removing one of the distinguishing characteristics of PAB. Further</w:t>
      </w:r>
      <w:r>
        <w:rPr>
          <w:rFonts w:ascii="News Gothic GDB" w:hAnsi="News Gothic GDB"/>
          <w:szCs w:val="20"/>
        </w:rPr>
        <w:t>more</w:t>
      </w:r>
      <w:r w:rsidRPr="003973BC">
        <w:rPr>
          <w:rFonts w:ascii="News Gothic GDB" w:hAnsi="News Gothic GDB"/>
          <w:szCs w:val="20"/>
        </w:rPr>
        <w:t xml:space="preserve">, </w:t>
      </w:r>
      <w:r>
        <w:rPr>
          <w:rFonts w:ascii="News Gothic GDB" w:hAnsi="News Gothic GDB"/>
          <w:szCs w:val="20"/>
        </w:rPr>
        <w:t>CTB’s and PAB’s</w:t>
      </w:r>
      <w:r w:rsidRPr="003973BC">
        <w:rPr>
          <w:rFonts w:ascii="News Gothic GDB" w:hAnsi="News Gothic GDB"/>
          <w:szCs w:val="20"/>
        </w:rPr>
        <w:t xml:space="preserve"> methodological approach</w:t>
      </w:r>
      <w:r>
        <w:rPr>
          <w:rFonts w:ascii="News Gothic GDB" w:hAnsi="News Gothic GDB"/>
          <w:szCs w:val="20"/>
        </w:rPr>
        <w:t xml:space="preserve"> </w:t>
      </w:r>
      <w:r w:rsidRPr="003973BC">
        <w:rPr>
          <w:rFonts w:ascii="News Gothic GDB" w:hAnsi="News Gothic GDB"/>
          <w:szCs w:val="20"/>
        </w:rPr>
        <w:t>– mainly achieving decarbonization of the index portfolio – would have to be complemented by investments in sustainable assets as defined in the proposed guidelines.</w:t>
      </w:r>
    </w:p>
    <w:p w14:paraId="6E421E0D" w14:textId="77777777" w:rsidR="00F71437" w:rsidRPr="003973BC" w:rsidRDefault="00F71437" w:rsidP="00F71437">
      <w:pPr>
        <w:spacing w:after="120" w:line="276" w:lineRule="auto"/>
        <w:jc w:val="both"/>
        <w:rPr>
          <w:rFonts w:ascii="News Gothic GDB" w:hAnsi="News Gothic GDB"/>
          <w:b/>
          <w:bCs/>
          <w:i/>
          <w:iCs/>
          <w:szCs w:val="20"/>
        </w:rPr>
      </w:pPr>
      <w:r w:rsidRPr="003973BC">
        <w:rPr>
          <w:rFonts w:ascii="News Gothic GDB" w:hAnsi="News Gothic GDB"/>
          <w:b/>
          <w:bCs/>
          <w:i/>
          <w:iCs/>
          <w:szCs w:val="20"/>
        </w:rPr>
        <w:t>Additional practical and global considerations</w:t>
      </w:r>
    </w:p>
    <w:p w14:paraId="7987D22E"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t xml:space="preserve">In order not to create new rules that conflict with existing regulations, complexify the existing regulatory framework or add to the administrative burden, potential gaps in the current regulatory framework should be identified before introducing new legislative requirements. Therefore, DBG </w:t>
      </w:r>
      <w:r>
        <w:rPr>
          <w:rFonts w:ascii="News Gothic GDB" w:hAnsi="News Gothic GDB"/>
          <w:szCs w:val="20"/>
        </w:rPr>
        <w:t xml:space="preserve">would </w:t>
      </w:r>
      <w:r w:rsidRPr="003973BC">
        <w:rPr>
          <w:rFonts w:ascii="News Gothic GDB" w:hAnsi="News Gothic GDB"/>
          <w:szCs w:val="20"/>
        </w:rPr>
        <w:t>particularly</w:t>
      </w:r>
      <w:r>
        <w:rPr>
          <w:rFonts w:ascii="News Gothic GDB" w:hAnsi="News Gothic GDB"/>
          <w:szCs w:val="20"/>
        </w:rPr>
        <w:t xml:space="preserve"> welcome</w:t>
      </w:r>
      <w:r w:rsidRPr="003973BC">
        <w:rPr>
          <w:rFonts w:ascii="News Gothic GDB" w:hAnsi="News Gothic GDB"/>
          <w:szCs w:val="20"/>
        </w:rPr>
        <w:t xml:space="preserve"> a review of SFDR. Such a review, together with </w:t>
      </w:r>
      <w:proofErr w:type="gramStart"/>
      <w:r w:rsidRPr="003973BC">
        <w:rPr>
          <w:rFonts w:ascii="News Gothic GDB" w:hAnsi="News Gothic GDB"/>
          <w:szCs w:val="20"/>
        </w:rPr>
        <w:t>e.g.</w:t>
      </w:r>
      <w:proofErr w:type="gramEnd"/>
      <w:r w:rsidRPr="003973BC">
        <w:rPr>
          <w:rFonts w:ascii="News Gothic GDB" w:hAnsi="News Gothic GDB"/>
          <w:szCs w:val="20"/>
        </w:rPr>
        <w:t xml:space="preserve"> new rules in BMR, could not only address several of the concerns mentioned in the CP, it could also consider the importance of data (un)availability, the status of the sustainability-alignment of the European economy and the EU’s long term sustainable finance objectives </w:t>
      </w:r>
      <w:r>
        <w:rPr>
          <w:rFonts w:ascii="News Gothic GDB" w:hAnsi="News Gothic GDB"/>
          <w:szCs w:val="20"/>
        </w:rPr>
        <w:t>such as</w:t>
      </w:r>
      <w:r w:rsidRPr="003973BC">
        <w:rPr>
          <w:rFonts w:ascii="News Gothic GDB" w:hAnsi="News Gothic GDB"/>
          <w:szCs w:val="20"/>
        </w:rPr>
        <w:t xml:space="preserve"> the financing of the transition.</w:t>
      </w:r>
    </w:p>
    <w:p w14:paraId="6A973069"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t>Moreover, to promote the development of sustainable finance and to provide clear guardrails with respect to greenwashing risks, we deem it important to acknowledge the full spectrum of ESG product and services in the financial market and avoid adopting a framework not fit for purpose, including the proposed guidelines, which would curb its development.</w:t>
      </w:r>
    </w:p>
    <w:p w14:paraId="4529162B"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t xml:space="preserve">The future sustainable finance ecosystem will need to encompass primary as well as secondary markets and derivatives markets. While acknowledging that the primary funding need is crucial for the transition, it is equally important </w:t>
      </w:r>
      <w:r w:rsidRPr="003973BC">
        <w:rPr>
          <w:rFonts w:ascii="News Gothic GDB" w:hAnsi="News Gothic GDB"/>
          <w:szCs w:val="20"/>
        </w:rPr>
        <w:lastRenderedPageBreak/>
        <w:t>not to lose sight of the complete lifecycle of sustainable investments. Without adequate consideration of secondary and derivatives markets, it is difficult to envision the development of a robust sustainable finance market. This framework will need to incorporate the holistic ecosystem of participants, products, and services: from the project sourcing to the intermediation and price-making and the longer-term secondary-market investment, each of them brings a vital contribution to the market and is interdependent on the others. A robust secondary market will in turn require liquidity provision, buttressed by securities-lending and market-making in both cash and derivatives markets. Given that ESG is becoming more and more an unavoidable tool of future European economy financing and investment decision-making, it is also important that regulatory treatment of data, ratings and indices is on par with “traditional” financial data and that innovation in ESG-related products and maturity of the sustainable investment landscape is not deterred through unduly heightened regulatory or legal scrutiny.</w:t>
      </w:r>
    </w:p>
    <w:p w14:paraId="54444A49"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t>All the issues identified at the EU level are compounded by a variability of approaches at the Member State level. Notably, there are diverging applications of the rules on what constitutes a sustainable financial product across the Union. This can lead to investor protection challenges such as lack of comparability, transparency and even mis-selling, for instance when products with a similar or even the same naming convention do not share the same underlying characteristics.</w:t>
      </w:r>
    </w:p>
    <w:p w14:paraId="5AE2A41D"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t xml:space="preserve">While we support that the proposed guidelines would introduce EU-wide rules and reduce market fragmentation, the list of sustainable investment frameworks (regulatory and market standards/labels) guiding product development in the field of ESG products is long and keeps growing. Implications for product design are often conflicting as a result. For instance, specific thresholds for baseline exclusions and portfolio construction criteria that are embedded and binding leads to a situation where it is </w:t>
      </w:r>
      <w:proofErr w:type="gramStart"/>
      <w:r w:rsidRPr="003973BC">
        <w:rPr>
          <w:rFonts w:ascii="News Gothic GDB" w:hAnsi="News Gothic GDB"/>
          <w:szCs w:val="20"/>
        </w:rPr>
        <w:t>actually not</w:t>
      </w:r>
      <w:proofErr w:type="gramEnd"/>
      <w:r w:rsidRPr="003973BC">
        <w:rPr>
          <w:rFonts w:ascii="News Gothic GDB" w:hAnsi="News Gothic GDB"/>
          <w:szCs w:val="20"/>
        </w:rPr>
        <w:t xml:space="preserve"> feasible to design a cross-border ESG index in the EU.</w:t>
      </w:r>
    </w:p>
    <w:p w14:paraId="43BEE552"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t>EU sustainability standards should ideally be fully compatible with global sustainability reporting standards, to not limit the cross-border distribution of EU funds outside the EU and not affect the competitiveness of the EU fund and index industry. Therefore, we encourage ESMA to ensure the consistency and interoperability of its proposals, as much as possible, with regulatory efforts in other jurisdictions such as the UK, including by engaging with IOSCO.</w:t>
      </w:r>
    </w:p>
    <w:p w14:paraId="0D704D23"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t>That said, while the CP draws a comparison between the proposed guidelines and other ESG fund names rules globally, the analogy is tenuous. For instance, the proposed 80% threshold cannot be compared with the SEC proposal to expand its requirement to adopt an 80% investment policy to cover names (including terms such as “ESG”) that reflect certain qualitative characteristics of the investments. The SEC intentionally does not define “ESG” or “sustainable investments” and there is no “do not significant harm” principle. Moreover, the SEC proposes to apply the 80% threshold to a series of fund names, not just ESG-marketed funds. The comment file on the SEC proposal provides strong evidence of why the 80% test is not fit for application to interpretive investment terms and would not necessarily lead to consistent application or results.</w:t>
      </w:r>
    </w:p>
    <w:p w14:paraId="043F3971" w14:textId="542797A3" w:rsidR="00B92885" w:rsidRPr="00F71437" w:rsidRDefault="00F71437" w:rsidP="00F71437">
      <w:pPr>
        <w:spacing w:after="120" w:line="276" w:lineRule="auto"/>
        <w:jc w:val="both"/>
        <w:rPr>
          <w:rFonts w:ascii="News Gothic GDB" w:hAnsi="News Gothic GDB"/>
          <w:szCs w:val="20"/>
        </w:rPr>
      </w:pPr>
      <w:r w:rsidRPr="003973BC">
        <w:rPr>
          <w:rFonts w:ascii="News Gothic GDB" w:hAnsi="News Gothic GDB"/>
          <w:szCs w:val="20"/>
        </w:rPr>
        <w:t xml:space="preserve">ESMA should also not develop sustainable finance regulation detached from other regulatory files, to ensure consistency but also a level playing field. The issue of the naming of funds is currently also being discussed </w:t>
      </w:r>
      <w:proofErr w:type="gramStart"/>
      <w:r w:rsidRPr="003973BC">
        <w:rPr>
          <w:rFonts w:ascii="News Gothic GDB" w:hAnsi="News Gothic GDB"/>
          <w:szCs w:val="20"/>
        </w:rPr>
        <w:t>in the course of</w:t>
      </w:r>
      <w:proofErr w:type="gramEnd"/>
      <w:r w:rsidRPr="003973BC">
        <w:rPr>
          <w:rFonts w:ascii="News Gothic GDB" w:hAnsi="News Gothic GDB"/>
          <w:szCs w:val="20"/>
        </w:rPr>
        <w:t xml:space="preserve"> the reform of AIFMD II and the UCITS Directive. Hence, the topic of ESG funds’ names should not be discussed in isolation of the latter.</w:t>
      </w:r>
    </w:p>
    <w:permEnd w:id="1596738700"/>
    <w:p w14:paraId="088B5A4D" w14:textId="77777777" w:rsidR="00B92885" w:rsidRDefault="00B92885" w:rsidP="00B92885">
      <w:r>
        <w:t>&lt;ESMA_QUESTION_FUNA_1&gt;</w:t>
      </w:r>
    </w:p>
    <w:p w14:paraId="651402EE" w14:textId="77777777" w:rsidR="00B92885" w:rsidRDefault="00B92885" w:rsidP="00B92885"/>
    <w:p w14:paraId="4BC13ED3" w14:textId="77777777" w:rsidR="00B92885" w:rsidRPr="00AA6F4F" w:rsidRDefault="00B92885" w:rsidP="00B92885">
      <w:pPr>
        <w:pStyle w:val="Questionstyle"/>
        <w:numPr>
          <w:ilvl w:val="0"/>
          <w:numId w:val="39"/>
        </w:numPr>
      </w:pPr>
      <w:r>
        <w:t xml:space="preserve">: </w:t>
      </w:r>
      <w:bookmarkStart w:id="3" w:name="_Hlk119596330"/>
      <w:r w:rsidRPr="00AA6F4F">
        <w:t>Do you agree with the proposed threshold of 80% of the minimum proportion of investments for the use of any ESG-, or impact-related words in the name of a fund? If not, please explain why and provide an alternative proposal.</w:t>
      </w:r>
    </w:p>
    <w:bookmarkEnd w:id="3"/>
    <w:p w14:paraId="4F9400BD" w14:textId="77777777" w:rsidR="00B92885" w:rsidRDefault="00B92885" w:rsidP="00B92885">
      <w:r>
        <w:t>&lt;ESMA_QUESTION_FUNA_2&gt;</w:t>
      </w:r>
    </w:p>
    <w:p w14:paraId="1C947420" w14:textId="77777777" w:rsidR="00F71437" w:rsidRPr="003973BC" w:rsidRDefault="00F71437" w:rsidP="00F71437">
      <w:pPr>
        <w:spacing w:after="120" w:line="276" w:lineRule="auto"/>
        <w:jc w:val="both"/>
        <w:rPr>
          <w:rFonts w:ascii="News Gothic GDB" w:hAnsi="News Gothic GDB"/>
          <w:szCs w:val="20"/>
          <w:lang w:val="en-US"/>
        </w:rPr>
      </w:pPr>
      <w:permStart w:id="1305634831" w:edGrp="everyone"/>
      <w:r w:rsidRPr="003973BC">
        <w:rPr>
          <w:rFonts w:ascii="News Gothic GDB" w:hAnsi="News Gothic GDB"/>
          <w:szCs w:val="20"/>
          <w:lang w:val="en-US"/>
        </w:rPr>
        <w:t xml:space="preserve">As stressed in our response on question 1, we believe that proposing a threshold is premature at this time and may be incompatible with ESMA’s objectives, given the implementation challenges. The guidelines should be careful not </w:t>
      </w:r>
      <w:r w:rsidRPr="003973BC">
        <w:rPr>
          <w:rFonts w:ascii="News Gothic GDB" w:hAnsi="News Gothic GDB"/>
          <w:szCs w:val="20"/>
          <w:lang w:val="en-US"/>
        </w:rPr>
        <w:lastRenderedPageBreak/>
        <w:t>to interfere with the objectives of BMR, hence, where a benchmark may be called ESG/sustainable/impact without minimum requirements under BMR, such benchmark – including its name – should be usable as underlying for a fund.</w:t>
      </w:r>
    </w:p>
    <w:p w14:paraId="0637A31B" w14:textId="77777777" w:rsidR="00F71437" w:rsidRPr="003973BC" w:rsidRDefault="00F71437" w:rsidP="00F71437">
      <w:pPr>
        <w:spacing w:after="120" w:line="276" w:lineRule="auto"/>
        <w:jc w:val="both"/>
        <w:rPr>
          <w:rFonts w:ascii="News Gothic GDB" w:hAnsi="News Gothic GDB"/>
          <w:szCs w:val="20"/>
          <w:lang w:val="en-US"/>
        </w:rPr>
      </w:pPr>
      <w:r w:rsidRPr="003973BC">
        <w:rPr>
          <w:rFonts w:ascii="News Gothic GDB" w:hAnsi="News Gothic GDB"/>
          <w:szCs w:val="20"/>
          <w:lang w:val="en-US"/>
        </w:rPr>
        <w:t>“</w:t>
      </w:r>
      <w:r w:rsidRPr="003973BC">
        <w:rPr>
          <w:rFonts w:ascii="News Gothic GDB" w:hAnsi="News Gothic GDB"/>
          <w:i/>
          <w:iCs/>
          <w:szCs w:val="20"/>
          <w:lang w:val="en-US"/>
        </w:rPr>
        <w:t xml:space="preserve">Article 8 of Regulation (EU) 2019/2088 remains neutral in terms of design of financial products. It does not prescribe certain elements such as the composition of investments or minimum investment thresholds, the eligible investment targets, and neither does it determine eligible investing styles, investment tools, </w:t>
      </w:r>
      <w:proofErr w:type="gramStart"/>
      <w:r w:rsidRPr="003973BC">
        <w:rPr>
          <w:rFonts w:ascii="News Gothic GDB" w:hAnsi="News Gothic GDB"/>
          <w:i/>
          <w:iCs/>
          <w:szCs w:val="20"/>
          <w:lang w:val="en-US"/>
        </w:rPr>
        <w:t>strategies</w:t>
      </w:r>
      <w:proofErr w:type="gramEnd"/>
      <w:r w:rsidRPr="003973BC">
        <w:rPr>
          <w:rFonts w:ascii="News Gothic GDB" w:hAnsi="News Gothic GDB"/>
          <w:i/>
          <w:iCs/>
          <w:szCs w:val="20"/>
          <w:lang w:val="en-US"/>
        </w:rPr>
        <w:t xml:space="preserve"> or methodologies to be employed. Therefore, nothing prevents financial products subject to Article 8 of Regulation (EU) 2019/2088 not to continue applying various current market practises, tools and strategies and a combination thereof such as screening, exclusion strategies, best-in-class/universe, thematic investing, certain redistribution of profits or fees. Certainly, many of those market practises, tools and strategies are also available to financial products subject to Article 9 of Regulation (EU) 2019/2088, provided the investments qualify as ‘sustainable investments’, as defined in point 17 of Article 2 of Regulation (EU) 2019/2088.</w:t>
      </w:r>
      <w:r w:rsidRPr="003973BC">
        <w:rPr>
          <w:rFonts w:ascii="News Gothic GDB" w:hAnsi="News Gothic GDB"/>
          <w:szCs w:val="20"/>
          <w:lang w:val="en-US"/>
        </w:rPr>
        <w:t>”</w:t>
      </w:r>
    </w:p>
    <w:p w14:paraId="7BED3590" w14:textId="48BA8232" w:rsidR="00B92885" w:rsidRPr="00F71437" w:rsidRDefault="00F71437" w:rsidP="00F71437">
      <w:pPr>
        <w:spacing w:after="120" w:line="276" w:lineRule="auto"/>
        <w:jc w:val="both"/>
        <w:rPr>
          <w:rFonts w:ascii="News Gothic GDB" w:hAnsi="News Gothic GDB"/>
          <w:szCs w:val="20"/>
          <w:lang w:val="en-US"/>
        </w:rPr>
      </w:pPr>
      <w:r w:rsidRPr="003973BC">
        <w:rPr>
          <w:rFonts w:ascii="News Gothic GDB" w:hAnsi="News Gothic GDB"/>
          <w:szCs w:val="20"/>
          <w:lang w:val="en-US"/>
        </w:rPr>
        <w:t xml:space="preserve">Notably, the use of an ‘exclusion strategy’ is sufficient for a financial product to be considered to ‘promote, among other characteristics, environmental or social characteristics’ under Article 8 SFDR. Such exclusion strategy could refer to the PAB exclusions or other exclusions. Hence, where a product uses PAB exclusions, </w:t>
      </w:r>
      <w:r>
        <w:rPr>
          <w:rFonts w:ascii="News Gothic GDB" w:hAnsi="News Gothic GDB"/>
          <w:szCs w:val="20"/>
          <w:lang w:val="en-US"/>
        </w:rPr>
        <w:t>it can be</w:t>
      </w:r>
      <w:r w:rsidRPr="003973BC">
        <w:rPr>
          <w:rFonts w:ascii="News Gothic GDB" w:hAnsi="News Gothic GDB"/>
          <w:szCs w:val="20"/>
          <w:lang w:val="en-US"/>
        </w:rPr>
        <w:t xml:space="preserve"> (100%) considered to be promoting environmental or social characteristics. If that is the case, the question arises whether – after applying PAB exclusions or potentially other environment- or social- related exclusions – the proposed requirement of at least 80% of the investments used to meet environmental or social characteristics or sustainable investment objectives would have to be considered redundant.</w:t>
      </w:r>
    </w:p>
    <w:permEnd w:id="1305634831"/>
    <w:p w14:paraId="562CCC86" w14:textId="77777777" w:rsidR="00B92885" w:rsidRDefault="00B92885" w:rsidP="00B92885">
      <w:r>
        <w:t>&lt;ESMA_QUESTION_FUNA_2&gt;</w:t>
      </w:r>
    </w:p>
    <w:p w14:paraId="0FAF0A39" w14:textId="77777777" w:rsidR="00B92885" w:rsidRDefault="00B92885" w:rsidP="00B92885"/>
    <w:p w14:paraId="4927E281" w14:textId="77777777" w:rsidR="00B92885" w:rsidRDefault="00B92885" w:rsidP="00B92885">
      <w:pPr>
        <w:pStyle w:val="Questionstyle"/>
        <w:numPr>
          <w:ilvl w:val="0"/>
          <w:numId w:val="39"/>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t>&lt;ESMA_QUESTION_FUNA_3&gt;</w:t>
      </w:r>
    </w:p>
    <w:p w14:paraId="72E708DA" w14:textId="77777777" w:rsidR="00605497" w:rsidRPr="003973BC" w:rsidRDefault="00605497" w:rsidP="00605497">
      <w:pPr>
        <w:spacing w:after="120" w:line="276" w:lineRule="auto"/>
        <w:jc w:val="both"/>
        <w:rPr>
          <w:rFonts w:ascii="News Gothic GDB" w:hAnsi="News Gothic GDB"/>
          <w:szCs w:val="20"/>
          <w:lang w:val="en-US"/>
        </w:rPr>
      </w:pPr>
      <w:permStart w:id="347949177" w:edGrp="everyone"/>
      <w:r w:rsidRPr="003973BC">
        <w:rPr>
          <w:rFonts w:ascii="News Gothic GDB" w:hAnsi="News Gothic GDB"/>
          <w:szCs w:val="20"/>
          <w:lang w:val="en-US"/>
        </w:rPr>
        <w:t>Please see our response to question 1.</w:t>
      </w:r>
    </w:p>
    <w:p w14:paraId="3F3E1763" w14:textId="1979F404" w:rsidR="00B92885" w:rsidRPr="00605497" w:rsidRDefault="00605497" w:rsidP="00605497">
      <w:pPr>
        <w:spacing w:after="120" w:line="276" w:lineRule="auto"/>
        <w:jc w:val="both"/>
        <w:rPr>
          <w:rFonts w:ascii="News Gothic GDB" w:hAnsi="News Gothic GDB"/>
          <w:szCs w:val="20"/>
        </w:rPr>
      </w:pPr>
      <w:r w:rsidRPr="003973BC">
        <w:rPr>
          <w:rFonts w:ascii="News Gothic GDB" w:hAnsi="News Gothic GDB"/>
          <w:szCs w:val="20"/>
        </w:rPr>
        <w:t xml:space="preserve">In addition, we would like to mention that an additional threshold of at least 50% of minimum proportion of sustainable investments would have significant impact on the usability of the names of ESG benchmarks for funds. In particular, the requirements for CTB and PAB are </w:t>
      </w:r>
      <w:r w:rsidRPr="00D331DF">
        <w:rPr>
          <w:rFonts w:ascii="News Gothic GDB" w:hAnsi="News Gothic GDB"/>
          <w:szCs w:val="20"/>
        </w:rPr>
        <w:t>centred</w:t>
      </w:r>
      <w:r w:rsidRPr="003973BC">
        <w:rPr>
          <w:rFonts w:ascii="News Gothic GDB" w:hAnsi="News Gothic GDB"/>
          <w:szCs w:val="20"/>
        </w:rPr>
        <w:t xml:space="preserve"> around the reduction of greenhouse gas (GHG) emissions for the entire benchmark, </w:t>
      </w:r>
      <w:proofErr w:type="gramStart"/>
      <w:r w:rsidRPr="003973BC">
        <w:rPr>
          <w:rFonts w:ascii="News Gothic GDB" w:hAnsi="News Gothic GDB"/>
          <w:szCs w:val="20"/>
        </w:rPr>
        <w:t>i.e.</w:t>
      </w:r>
      <w:proofErr w:type="gramEnd"/>
      <w:r w:rsidRPr="003973BC">
        <w:rPr>
          <w:rFonts w:ascii="News Gothic GDB" w:hAnsi="News Gothic GDB"/>
          <w:szCs w:val="20"/>
        </w:rPr>
        <w:t xml:space="preserve"> on a portfolio basis. This requirement is not aligned with and does not automatically correlate with the 50% of minimum proportion of sustainable investments as set out in the proposed guidelines.</w:t>
      </w:r>
    </w:p>
    <w:permEnd w:id="347949177"/>
    <w:p w14:paraId="4C140ACE" w14:textId="77777777" w:rsidR="00B92885" w:rsidRDefault="00B92885" w:rsidP="00B92885">
      <w:r>
        <w:t>&lt;ESMA_QUESTION_FUNA_3&gt;</w:t>
      </w:r>
    </w:p>
    <w:p w14:paraId="37EF5282" w14:textId="77777777" w:rsidR="00B92885" w:rsidRDefault="00B92885" w:rsidP="00B92885"/>
    <w:p w14:paraId="733D1E9D" w14:textId="77777777" w:rsidR="00B92885" w:rsidRDefault="00B92885" w:rsidP="00B92885">
      <w:pPr>
        <w:pStyle w:val="Questionstyle"/>
        <w:numPr>
          <w:ilvl w:val="0"/>
          <w:numId w:val="39"/>
        </w:numPr>
      </w:pPr>
      <w:r>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t>&lt;ESMA_QUESTION_FUNA_4&gt;</w:t>
      </w:r>
    </w:p>
    <w:p w14:paraId="7DF25384" w14:textId="77777777" w:rsidR="00F71437" w:rsidRPr="003973BC" w:rsidRDefault="00F71437" w:rsidP="00F71437">
      <w:pPr>
        <w:spacing w:after="120" w:line="276" w:lineRule="auto"/>
        <w:jc w:val="both"/>
        <w:rPr>
          <w:rFonts w:ascii="News Gothic GDB" w:hAnsi="News Gothic GDB"/>
          <w:szCs w:val="20"/>
        </w:rPr>
      </w:pPr>
      <w:permStart w:id="351877901" w:edGrp="everyone"/>
      <w:proofErr w:type="gramStart"/>
      <w:r w:rsidRPr="003973BC">
        <w:rPr>
          <w:rFonts w:ascii="News Gothic GDB" w:hAnsi="News Gothic GDB"/>
          <w:szCs w:val="20"/>
        </w:rPr>
        <w:t>In order to</w:t>
      </w:r>
      <w:proofErr w:type="gramEnd"/>
      <w:r w:rsidRPr="003973BC">
        <w:rPr>
          <w:rFonts w:ascii="News Gothic GDB" w:hAnsi="News Gothic GDB"/>
          <w:szCs w:val="20"/>
        </w:rPr>
        <w:t xml:space="preserve"> avoid regulatory divergence, as long as the legislator has not agreed to introduce minimum thresholds for ESG funds in respective level 1 legislation, such threshold should not be created on level 3.</w:t>
      </w:r>
    </w:p>
    <w:p w14:paraId="547AEE08"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t>At the very least, if such thresholds were introduced, should not apply to the use of ESG benchmarks. As discussed above, the legislator has introduced two ESG benchmark labels under BMR and a threshold concept for the naming of ESG funds would interfere with the requirements for CTB and PAB.</w:t>
      </w:r>
    </w:p>
    <w:p w14:paraId="0B0A8526"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lastRenderedPageBreak/>
        <w:t>Further</w:t>
      </w:r>
      <w:r>
        <w:rPr>
          <w:rFonts w:ascii="News Gothic GDB" w:hAnsi="News Gothic GDB"/>
          <w:szCs w:val="20"/>
        </w:rPr>
        <w:t>more</w:t>
      </w:r>
      <w:r w:rsidRPr="003973BC">
        <w:rPr>
          <w:rFonts w:ascii="News Gothic GDB" w:hAnsi="News Gothic GDB"/>
          <w:szCs w:val="20"/>
        </w:rPr>
        <w:t xml:space="preserve">, the legislator has deliberately refrained from introducing any requirements </w:t>
      </w:r>
      <w:r>
        <w:rPr>
          <w:rFonts w:ascii="News Gothic GDB" w:hAnsi="News Gothic GDB"/>
          <w:szCs w:val="20"/>
        </w:rPr>
        <w:t>on</w:t>
      </w:r>
      <w:r w:rsidRPr="003973BC">
        <w:rPr>
          <w:rFonts w:ascii="News Gothic GDB" w:hAnsi="News Gothic GDB"/>
          <w:szCs w:val="20"/>
        </w:rPr>
        <w:t xml:space="preserve"> the methodology of ESG benchmarks but has only introduced disclosure rules for ESG benchmarks and the obligation to clearly state in the benchmark statement if a benchmark does not pursue ESG objectives.</w:t>
      </w:r>
    </w:p>
    <w:p w14:paraId="5DCA02E0" w14:textId="51FED170" w:rsidR="00B92885" w:rsidRPr="00F71437" w:rsidRDefault="00F71437" w:rsidP="00F71437">
      <w:pPr>
        <w:spacing w:after="120" w:line="276" w:lineRule="auto"/>
        <w:jc w:val="both"/>
        <w:rPr>
          <w:rFonts w:ascii="News Gothic GDB" w:hAnsi="News Gothic GDB"/>
          <w:szCs w:val="20"/>
        </w:rPr>
      </w:pPr>
      <w:r w:rsidRPr="003973BC">
        <w:rPr>
          <w:rFonts w:ascii="News Gothic GDB" w:hAnsi="News Gothic GDB"/>
          <w:szCs w:val="20"/>
        </w:rPr>
        <w:t xml:space="preserve">If a thresholds-based system were nevertheless introduced, it should be made clear that where the methodology of a benchmark pursues ESG objectives, 100% of investments into a fund </w:t>
      </w:r>
      <w:r>
        <w:rPr>
          <w:rFonts w:ascii="News Gothic GDB" w:hAnsi="News Gothic GDB"/>
          <w:szCs w:val="20"/>
        </w:rPr>
        <w:t>that tracks</w:t>
      </w:r>
      <w:r w:rsidRPr="003973BC">
        <w:rPr>
          <w:rFonts w:ascii="News Gothic GDB" w:hAnsi="News Gothic GDB"/>
          <w:szCs w:val="20"/>
        </w:rPr>
        <w:t xml:space="preserve"> such a benchmark would be considered to “meet the environmental or social characteristics or sustainable investment objectives”.</w:t>
      </w:r>
    </w:p>
    <w:permEnd w:id="351877901"/>
    <w:p w14:paraId="29DD3DB8" w14:textId="77777777" w:rsidR="00B92885" w:rsidRDefault="00B92885" w:rsidP="00B92885">
      <w:r>
        <w:t>&lt;ESMA_QUESTION_FUNA_4&gt;</w:t>
      </w:r>
    </w:p>
    <w:p w14:paraId="2795765D" w14:textId="77777777" w:rsidR="00B92885" w:rsidRDefault="00B92885" w:rsidP="00B92885"/>
    <w:p w14:paraId="2BEAA24E" w14:textId="77777777" w:rsidR="00B92885" w:rsidRDefault="00B92885" w:rsidP="00B92885">
      <w:pPr>
        <w:pStyle w:val="Questionstyle"/>
        <w:numPr>
          <w:ilvl w:val="0"/>
          <w:numId w:val="39"/>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29ABEB43" w14:textId="27314A84" w:rsidR="00B92885" w:rsidRPr="00605497" w:rsidRDefault="00605497" w:rsidP="00605497">
      <w:pPr>
        <w:spacing w:after="120" w:line="276" w:lineRule="auto"/>
        <w:jc w:val="both"/>
        <w:rPr>
          <w:rFonts w:ascii="News Gothic GDB" w:hAnsi="News Gothic GDB"/>
          <w:szCs w:val="20"/>
        </w:rPr>
      </w:pPr>
      <w:permStart w:id="1539323392" w:edGrp="everyone"/>
      <w:r w:rsidRPr="003973BC">
        <w:rPr>
          <w:rFonts w:ascii="News Gothic GDB" w:hAnsi="News Gothic GDB"/>
          <w:szCs w:val="20"/>
        </w:rPr>
        <w:t>Yes. Before introducing new rules or guidelines, we would encourage the existing regulatory framework to be completed and demonstrate its effectiveness. In the meantime, the ESAs and NCAs can already make full use of their existing legal mandates and powers to ensure that investors and consumers are protected against fraudulent sustainability claims. This must be an evolving process, in parallel with the market developments since the perception of sustainable investment is also still evolving.</w:t>
      </w:r>
    </w:p>
    <w:permEnd w:id="1539323392"/>
    <w:p w14:paraId="436D4354" w14:textId="77777777" w:rsidR="00B92885" w:rsidRDefault="00B92885" w:rsidP="00B92885">
      <w:r>
        <w:t>&lt;ESMA_QUESTION_FUNA_5&gt;</w:t>
      </w:r>
    </w:p>
    <w:p w14:paraId="51BCCD20" w14:textId="77777777" w:rsidR="00B92885" w:rsidRDefault="00B92885" w:rsidP="00B92885"/>
    <w:p w14:paraId="531615C6" w14:textId="77777777" w:rsidR="00B92885" w:rsidRDefault="00B92885" w:rsidP="00B92885">
      <w:pPr>
        <w:pStyle w:val="Questionstyle"/>
        <w:numPr>
          <w:ilvl w:val="0"/>
          <w:numId w:val="39"/>
        </w:numPr>
      </w:pPr>
      <w:r>
        <w:t xml:space="preserve">: </w:t>
      </w:r>
      <w:r w:rsidRPr="000B78F5">
        <w:t>Do you agree with the need for minimum safeguards for investment funds with an ESG- or sustainability-related term in their name? Should such safeguards be based on the exclusion criteria such as Commission Delegated Regulation (EU) 2020/1818 Article 12(1)-(2)? If not, explain why and provide an alternative proposal.</w:t>
      </w:r>
    </w:p>
    <w:p w14:paraId="114E1BE8" w14:textId="77777777" w:rsidR="00B92885" w:rsidRDefault="00B92885" w:rsidP="00B92885">
      <w:r>
        <w:t>&lt;ESMA_QUESTION_FUNA_6&gt;</w:t>
      </w:r>
    </w:p>
    <w:p w14:paraId="52A5D108" w14:textId="77777777" w:rsidR="00F71437" w:rsidRPr="003973BC" w:rsidRDefault="00F71437" w:rsidP="00F71437">
      <w:pPr>
        <w:spacing w:after="120" w:line="276" w:lineRule="auto"/>
        <w:jc w:val="both"/>
        <w:rPr>
          <w:rFonts w:ascii="News Gothic GDB" w:hAnsi="News Gothic GDB"/>
          <w:szCs w:val="20"/>
        </w:rPr>
      </w:pPr>
      <w:permStart w:id="175976681" w:edGrp="everyone"/>
      <w:r w:rsidRPr="003973BC">
        <w:rPr>
          <w:rFonts w:ascii="News Gothic GDB" w:hAnsi="News Gothic GDB"/>
          <w:szCs w:val="20"/>
        </w:rPr>
        <w:t xml:space="preserve">No. In general, DBG believes the current framework, where there is no EU legislation requiring minimum safeguards for financial products which pursue ESG objectives, is appropriate and working well. It would create regulatory divergence, if such requirement was introduced in sectoral legislation or by way of ESMA </w:t>
      </w:r>
      <w:r>
        <w:rPr>
          <w:rFonts w:ascii="News Gothic GDB" w:hAnsi="News Gothic GDB"/>
          <w:szCs w:val="20"/>
        </w:rPr>
        <w:t>g</w:t>
      </w:r>
      <w:r w:rsidRPr="003973BC">
        <w:rPr>
          <w:rFonts w:ascii="News Gothic GDB" w:hAnsi="News Gothic GDB"/>
          <w:szCs w:val="20"/>
        </w:rPr>
        <w:t>uidelines.</w:t>
      </w:r>
    </w:p>
    <w:p w14:paraId="3E50F3E7"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t>From the perspective of a benchmark provider, the introduction of such minimum safeguards would lead to market pressure and administrators of ESG benchmarks would be compelled to change the methodology of their ESG benchmarks. Such unintended consequences should be avoided.</w:t>
      </w:r>
    </w:p>
    <w:p w14:paraId="42A9B025"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t xml:space="preserve">As stated above, the current legislative position is not to apply minimum requirements to ESG financial products but only disclosure paired with the MiFID II suitability assessment. Based on this approach, there is no need to introduce minimum safeguards for investment funds with an ESG- or sustainability-related term in their name as the disclosure requirements under SFDR ensure that ESG products are transparent, also </w:t>
      </w:r>
      <w:proofErr w:type="gramStart"/>
      <w:r w:rsidRPr="003973BC">
        <w:rPr>
          <w:rFonts w:ascii="News Gothic GDB" w:hAnsi="News Gothic GDB"/>
          <w:szCs w:val="20"/>
        </w:rPr>
        <w:t>with regard to</w:t>
      </w:r>
      <w:proofErr w:type="gramEnd"/>
      <w:r w:rsidRPr="003973BC">
        <w:rPr>
          <w:rFonts w:ascii="News Gothic GDB" w:hAnsi="News Gothic GDB"/>
          <w:szCs w:val="20"/>
        </w:rPr>
        <w:t xml:space="preserve"> minimum safeguards. Under the MiFID II sustainability preferences definition, the investor will be asked whether their investment should consider principal adverse impact or be aligned with the EU Taxonomy or the ‘sustainable investment’ definition of the SFDR, both of which mean investments that follow the ‘do no significant harm’-principle.</w:t>
      </w:r>
    </w:p>
    <w:p w14:paraId="02D7635F"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t xml:space="preserve">The application of the exclusion criteria as set out in Commission Delegated Regulation (EU) 2020/1818 Article 12(1) to any ‘ESG’ product – and not only to PAB – would have a significant impact by excluding </w:t>
      </w:r>
      <w:proofErr w:type="gramStart"/>
      <w:r w:rsidRPr="003973BC">
        <w:rPr>
          <w:rFonts w:ascii="News Gothic GDB" w:hAnsi="News Gothic GDB"/>
          <w:szCs w:val="20"/>
        </w:rPr>
        <w:t>a large number of</w:t>
      </w:r>
      <w:proofErr w:type="gramEnd"/>
      <w:r w:rsidRPr="003973BC">
        <w:rPr>
          <w:rFonts w:ascii="News Gothic GDB" w:hAnsi="News Gothic GDB"/>
          <w:szCs w:val="20"/>
        </w:rPr>
        <w:t xml:space="preserve"> companies in the energy sector due to their oil and gas involvement. While the PAB exclusions are adequate for benchmarks with a Paris-aligned objective, excluding these oil and gas companies from broad ESG and Sustainability funds would limit the potential impact shareholders could have in the climate transition.</w:t>
      </w:r>
    </w:p>
    <w:p w14:paraId="1C0BE484"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lastRenderedPageBreak/>
        <w:t>We would propose to use the exclusions in Art. 12(1)(a)(b)(c) instead of the entire PAB exclusions.</w:t>
      </w:r>
    </w:p>
    <w:p w14:paraId="7C9157FD" w14:textId="49D0E781" w:rsidR="00B92885" w:rsidRPr="00F71437" w:rsidRDefault="00F71437" w:rsidP="00F71437">
      <w:pPr>
        <w:spacing w:after="120" w:line="276" w:lineRule="auto"/>
        <w:jc w:val="both"/>
        <w:rPr>
          <w:rFonts w:ascii="News Gothic GDB" w:hAnsi="News Gothic GDB"/>
          <w:szCs w:val="20"/>
        </w:rPr>
      </w:pPr>
      <w:r w:rsidRPr="003973BC">
        <w:rPr>
          <w:rFonts w:ascii="News Gothic GDB" w:hAnsi="News Gothic GDB"/>
          <w:szCs w:val="20"/>
        </w:rPr>
        <w:t>In addition, Article 12(2) requires the exclusion of companies that are found to significantly harm one or more of the environmental objectives referred to in Article 9 of the EU Taxonomy. Currently an SFDR Article 9 fund has the requirement of excluding companies that do significantly harm to any environmental or social objective that the fund has as part of its objectives – according to Art. 2(17) SFDR, while the Article 12(2) requirement is required for funds that would target the EU Taxonomy specifically.</w:t>
      </w:r>
    </w:p>
    <w:permEnd w:id="175976681"/>
    <w:p w14:paraId="6EE97467" w14:textId="77777777" w:rsidR="00B92885" w:rsidRDefault="00B92885" w:rsidP="00B92885">
      <w:r>
        <w:t>&lt;ESMA_QUESTION_FUNA_6&gt;</w:t>
      </w:r>
    </w:p>
    <w:p w14:paraId="0D23780D" w14:textId="77777777" w:rsidR="00B92885" w:rsidRDefault="00B92885" w:rsidP="00B92885"/>
    <w:p w14:paraId="24C13C1A" w14:textId="77777777" w:rsidR="00B92885" w:rsidRDefault="00B92885" w:rsidP="00B92885">
      <w:pPr>
        <w:pStyle w:val="Questionstyle"/>
        <w:numPr>
          <w:ilvl w:val="0"/>
          <w:numId w:val="39"/>
        </w:numPr>
      </w:pPr>
      <w:r>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t>&lt;ESMA_QUESTION_FUNA_7&gt;</w:t>
      </w:r>
    </w:p>
    <w:p w14:paraId="0606698E" w14:textId="77777777" w:rsidR="00F71437" w:rsidRPr="003973BC" w:rsidRDefault="00F71437" w:rsidP="00F71437">
      <w:pPr>
        <w:spacing w:after="120" w:line="276" w:lineRule="auto"/>
        <w:jc w:val="both"/>
        <w:rPr>
          <w:rFonts w:ascii="News Gothic GDB" w:hAnsi="News Gothic GDB"/>
          <w:szCs w:val="20"/>
        </w:rPr>
      </w:pPr>
      <w:permStart w:id="576722602" w:edGrp="everyone"/>
      <w:r w:rsidRPr="003973BC">
        <w:rPr>
          <w:rFonts w:ascii="News Gothic GDB" w:hAnsi="News Gothic GDB"/>
          <w:szCs w:val="20"/>
        </w:rPr>
        <w:t xml:space="preserve">DBG does not see a need for specific provisions </w:t>
      </w:r>
      <w:proofErr w:type="gramStart"/>
      <w:r w:rsidRPr="003973BC">
        <w:rPr>
          <w:rFonts w:ascii="News Gothic GDB" w:hAnsi="News Gothic GDB"/>
          <w:szCs w:val="20"/>
        </w:rPr>
        <w:t>at this time</w:t>
      </w:r>
      <w:proofErr w:type="gramEnd"/>
      <w:r w:rsidRPr="003973BC">
        <w:rPr>
          <w:rFonts w:ascii="News Gothic GDB" w:hAnsi="News Gothic GDB"/>
          <w:szCs w:val="20"/>
        </w:rPr>
        <w:t xml:space="preserve"> for calculating minimum sustainable investment thresholds for derivatives for the purpose of these </w:t>
      </w:r>
      <w:r>
        <w:rPr>
          <w:rFonts w:ascii="News Gothic GDB" w:hAnsi="News Gothic GDB"/>
          <w:szCs w:val="20"/>
        </w:rPr>
        <w:t>g</w:t>
      </w:r>
      <w:r w:rsidRPr="003973BC">
        <w:rPr>
          <w:rFonts w:ascii="News Gothic GDB" w:hAnsi="News Gothic GDB"/>
          <w:szCs w:val="20"/>
        </w:rPr>
        <w:t>uidelines. Instead, we think that it is more beneficial to have a review and amendment on Sustainable Finance Disclosure Regulation (SFDR). If SFDR Article 8 and 9 disclosure requirements include derivatives in calculation of sustainable proportions of overall investments, there is no need to introduce a new calculation method for naming purposes. In case of a potential SFDR amendment in this direction, derivative products would be justifying their contribution to sustainable objectives.</w:t>
      </w:r>
    </w:p>
    <w:p w14:paraId="3F0C278E" w14:textId="77777777" w:rsidR="00F71437" w:rsidRPr="003973BC" w:rsidRDefault="00F71437" w:rsidP="00F71437">
      <w:pPr>
        <w:spacing w:after="120" w:line="276" w:lineRule="auto"/>
        <w:jc w:val="both"/>
        <w:rPr>
          <w:rFonts w:ascii="News Gothic GDB" w:hAnsi="News Gothic GDB"/>
          <w:szCs w:val="20"/>
        </w:rPr>
      </w:pPr>
      <w:r w:rsidRPr="003973BC">
        <w:rPr>
          <w:rFonts w:ascii="News Gothic GDB" w:hAnsi="News Gothic GDB"/>
          <w:szCs w:val="20"/>
        </w:rPr>
        <w:t xml:space="preserve">Our rationale </w:t>
      </w:r>
      <w:r>
        <w:rPr>
          <w:rFonts w:ascii="News Gothic GDB" w:hAnsi="News Gothic GDB"/>
          <w:szCs w:val="20"/>
        </w:rPr>
        <w:t>is based</w:t>
      </w:r>
      <w:r w:rsidRPr="003973BC">
        <w:rPr>
          <w:rFonts w:ascii="News Gothic GDB" w:hAnsi="News Gothic GDB"/>
          <w:szCs w:val="20"/>
        </w:rPr>
        <w:t xml:space="preserve"> on the strong interconnectedness of the underlying assets and derivatives. </w:t>
      </w:r>
      <w:proofErr w:type="gramStart"/>
      <w:r w:rsidRPr="003973BC">
        <w:rPr>
          <w:rFonts w:ascii="News Gothic GDB" w:hAnsi="News Gothic GDB"/>
          <w:szCs w:val="20"/>
        </w:rPr>
        <w:t>As long as</w:t>
      </w:r>
      <w:proofErr w:type="gramEnd"/>
      <w:r w:rsidRPr="003973BC">
        <w:rPr>
          <w:rFonts w:ascii="News Gothic GDB" w:hAnsi="News Gothic GDB"/>
          <w:szCs w:val="20"/>
        </w:rPr>
        <w:t xml:space="preserve"> the underlying products are “sustainable” according to law i.e., SFDR Article 8 and 9 or proposed threshold etc., related derivative products should also be counted as sustainable. Especially plain vanilla derivatives such as exchange traded derivatives on single stocks, ETFs and indices have a straightforward connection to underlying assets and their contribution to sustainable investment can be easily calculated without any special methodology need. They have a standardized nature and the possibility to calculate the sustainability proportion, in other words proportion of investment in environmentally sustainable economic activities under SFDR. Futures and options on single stocks, </w:t>
      </w:r>
      <w:proofErr w:type="gramStart"/>
      <w:r w:rsidRPr="003973BC">
        <w:rPr>
          <w:rFonts w:ascii="News Gothic GDB" w:hAnsi="News Gothic GDB"/>
          <w:szCs w:val="20"/>
        </w:rPr>
        <w:t>ETFs</w:t>
      </w:r>
      <w:proofErr w:type="gramEnd"/>
      <w:r w:rsidRPr="003973BC">
        <w:rPr>
          <w:rFonts w:ascii="News Gothic GDB" w:hAnsi="News Gothic GDB"/>
          <w:szCs w:val="20"/>
        </w:rPr>
        <w:t xml:space="preserve"> and indices, as their underlying products, can currently be assessed for sustainability proportion. These products’ exposure to its underlying can easily be measured using the notional amount or, for stock and ETF futures and options, the number of shares. Alternatively, the delta approach (notional position x hedge ratio % using underlying asset) can also be used for same purpose. The proportion of futures on ESG indices could be measured using the same methodology as for ETFs. ETFs’ returns closely track a benchmark index. Via their holdings, which must be disclosed by law, it is possible to calculate the degree to which their investments are sustainable. Futures on indices embedding certain ESG methodologies have the same characteristics as ETFs. Since the underlying index must be UCITS compliant, its components, weightings, and methodology are also fully transparent, thus, which is also possible for the exchange traded derivative. In addition, ESG exchange traded derivatives have straightforward contribution to underlying products with sustainable purpose financial characteristics. Terms and functioning of the products are linked to ESG criteria. These derivatives aim hedging risk of sustainable projects or incentivize financial participants to meet their ESG targets. </w:t>
      </w:r>
      <w:proofErr w:type="gramStart"/>
      <w:r w:rsidRPr="003973BC">
        <w:rPr>
          <w:rFonts w:ascii="News Gothic GDB" w:hAnsi="News Gothic GDB"/>
          <w:szCs w:val="20"/>
        </w:rPr>
        <w:t>Last but not least</w:t>
      </w:r>
      <w:proofErr w:type="gramEnd"/>
      <w:r w:rsidRPr="003973BC">
        <w:rPr>
          <w:rFonts w:ascii="News Gothic GDB" w:hAnsi="News Gothic GDB"/>
          <w:szCs w:val="20"/>
        </w:rPr>
        <w:t>, not all derivative contracts are settled as cash delivery at maturity instead some are delivered as real products. In that sense, for example natural gas is under green product category in green transition until 2030 and accepted as sustainable, physical delivery and use of those products at maturity is directly contributing to sustainability proportion.</w:t>
      </w:r>
    </w:p>
    <w:p w14:paraId="33D374FB" w14:textId="1AF50CAA" w:rsidR="00B92885" w:rsidRPr="00F71437" w:rsidRDefault="00F71437" w:rsidP="00F71437">
      <w:pPr>
        <w:spacing w:after="120" w:line="276" w:lineRule="auto"/>
        <w:jc w:val="both"/>
        <w:rPr>
          <w:rFonts w:ascii="News Gothic GDB" w:hAnsi="News Gothic GDB"/>
          <w:szCs w:val="20"/>
        </w:rPr>
      </w:pPr>
      <w:r w:rsidRPr="003973BC">
        <w:rPr>
          <w:rFonts w:ascii="News Gothic GDB" w:hAnsi="News Gothic GDB"/>
          <w:szCs w:val="20"/>
        </w:rPr>
        <w:t xml:space="preserve">To sum up, the EU’s sustainable financing is an ultimate target to reach together with all financial products’ contribution without treating unequally as “inclusives” and “exclusives”, then, </w:t>
      </w:r>
      <w:proofErr w:type="gramStart"/>
      <w:r w:rsidRPr="003973BC">
        <w:rPr>
          <w:rFonts w:ascii="News Gothic GDB" w:hAnsi="News Gothic GDB"/>
          <w:szCs w:val="20"/>
        </w:rPr>
        <w:t>mature</w:t>
      </w:r>
      <w:proofErr w:type="gramEnd"/>
      <w:r w:rsidRPr="003973BC">
        <w:rPr>
          <w:rFonts w:ascii="News Gothic GDB" w:hAnsi="News Gothic GDB"/>
          <w:szCs w:val="20"/>
        </w:rPr>
        <w:t xml:space="preserve"> and healthy derivatives market ecosystems need to be developed supporting the primary and secondary markets for sustainable underlying products to reinforce a liquid sustainable market which is needed to ensure that sustainable finance is fully integrated into mainstream financial markets.</w:t>
      </w:r>
    </w:p>
    <w:permEnd w:id="576722602"/>
    <w:p w14:paraId="523B84EB" w14:textId="77777777" w:rsidR="00B92885" w:rsidRDefault="00B92885" w:rsidP="00B92885">
      <w:r>
        <w:lastRenderedPageBreak/>
        <w:t>&lt;ESMA_QUESTION_FUNA_7&gt;</w:t>
      </w:r>
    </w:p>
    <w:p w14:paraId="50670D01" w14:textId="77777777" w:rsidR="00B92885" w:rsidRDefault="00B92885" w:rsidP="00B92885"/>
    <w:p w14:paraId="1C6AACD7" w14:textId="77777777" w:rsidR="00B92885" w:rsidRDefault="00B92885" w:rsidP="00B92885">
      <w:pPr>
        <w:pStyle w:val="Questionstyle"/>
        <w:numPr>
          <w:ilvl w:val="0"/>
          <w:numId w:val="40"/>
        </w:numPr>
      </w:pPr>
      <w:r>
        <w:t>Would you suggest the use of the notional value or the market value for the purpose of the calculation of the minimum proportion of investment?</w:t>
      </w:r>
    </w:p>
    <w:p w14:paraId="437586E7" w14:textId="77777777" w:rsidR="00B92885" w:rsidRDefault="00B92885" w:rsidP="00B92885">
      <w:r>
        <w:t>&lt;ESMA_QUESTION_FUNA_1&gt;</w:t>
      </w:r>
    </w:p>
    <w:p w14:paraId="3A181AF9" w14:textId="77777777" w:rsidR="00F71437" w:rsidRPr="003973BC" w:rsidRDefault="00F71437" w:rsidP="00F71437">
      <w:pPr>
        <w:spacing w:after="120" w:line="276" w:lineRule="auto"/>
        <w:jc w:val="both"/>
        <w:rPr>
          <w:rFonts w:ascii="News Gothic GDB" w:hAnsi="News Gothic GDB"/>
          <w:szCs w:val="20"/>
          <w:lang w:val="en-US"/>
        </w:rPr>
      </w:pPr>
      <w:permStart w:id="1071974531" w:edGrp="everyone"/>
      <w:r w:rsidRPr="003973BC">
        <w:rPr>
          <w:rFonts w:ascii="News Gothic GDB" w:hAnsi="News Gothic GDB"/>
          <w:szCs w:val="20"/>
          <w:lang w:val="en-US"/>
        </w:rPr>
        <w:t xml:space="preserve">Adequate calculation methods might differ based on the type of underlying asset classes, but also for </w:t>
      </w:r>
      <w:proofErr w:type="gramStart"/>
      <w:r w:rsidRPr="003973BC">
        <w:rPr>
          <w:rFonts w:ascii="News Gothic GDB" w:hAnsi="News Gothic GDB"/>
          <w:szCs w:val="20"/>
          <w:lang w:val="en-US"/>
        </w:rPr>
        <w:t>particular facets</w:t>
      </w:r>
      <w:proofErr w:type="gramEnd"/>
      <w:r w:rsidRPr="003973BC">
        <w:rPr>
          <w:rFonts w:ascii="News Gothic GDB" w:hAnsi="News Gothic GDB"/>
          <w:szCs w:val="20"/>
          <w:lang w:val="en-US"/>
        </w:rPr>
        <w:t xml:space="preserve"> of exchange traded derivatives, such as futures and options. DBG’s ultimate objective is to reflect exchange traded derivatives’ contribution into the sustainable economy in an accurate way, taking the characteristics of the asset and sub-asset classes into consideration. The treatment of derivatives under SFDR is unclear and would benefit </w:t>
      </w:r>
      <w:proofErr w:type="gramStart"/>
      <w:r w:rsidRPr="003973BC">
        <w:rPr>
          <w:rFonts w:ascii="News Gothic GDB" w:hAnsi="News Gothic GDB"/>
          <w:szCs w:val="20"/>
          <w:lang w:val="en-US"/>
        </w:rPr>
        <w:t>taking into account</w:t>
      </w:r>
      <w:proofErr w:type="gramEnd"/>
      <w:r w:rsidRPr="003973BC">
        <w:rPr>
          <w:rFonts w:ascii="News Gothic GDB" w:hAnsi="News Gothic GDB"/>
          <w:szCs w:val="20"/>
          <w:lang w:val="en-US"/>
        </w:rPr>
        <w:t xml:space="preserve"> the market characteristics. While we believe that market led initiatives and flexibility as to the application of an adequate methodology for the asset classes is key, we see merit in developing a framework in relevant legislation(s) with different asset segments allowing for the deployment of the most adequate methodology. A market led initiative would allow various market participants, to exchange views and perspectives and design a supportive ecosystem for the relevant asset class.</w:t>
      </w:r>
    </w:p>
    <w:p w14:paraId="49CF98B3" w14:textId="77777777" w:rsidR="00F71437" w:rsidRPr="003973BC" w:rsidRDefault="00F71437" w:rsidP="00F71437">
      <w:pPr>
        <w:spacing w:after="120" w:line="276" w:lineRule="auto"/>
        <w:jc w:val="both"/>
        <w:rPr>
          <w:rFonts w:ascii="News Gothic GDB" w:hAnsi="News Gothic GDB"/>
          <w:szCs w:val="20"/>
          <w:lang w:val="en-US"/>
        </w:rPr>
      </w:pPr>
      <w:r w:rsidRPr="003973BC">
        <w:rPr>
          <w:rFonts w:ascii="News Gothic GDB" w:hAnsi="News Gothic GDB"/>
          <w:szCs w:val="20"/>
          <w:lang w:val="en-US"/>
        </w:rPr>
        <w:t>Secondly, we would like to ask for more clarification on “notional value” approach since it does not seem clear for us if “notional value for derivative position” or “allocation of the funds” are addressed in the question. For sake of simplicity and to provide a response, we will assume “cash allocation” is addressed because it makes more sense as the cash money plugged into the economy, either stock, bond or cash does not matter in our view.</w:t>
      </w:r>
    </w:p>
    <w:p w14:paraId="3C21E77D" w14:textId="77777777" w:rsidR="00F71437" w:rsidRPr="003973BC" w:rsidRDefault="00F71437" w:rsidP="00F71437">
      <w:pPr>
        <w:spacing w:after="120" w:line="276" w:lineRule="auto"/>
        <w:jc w:val="both"/>
        <w:rPr>
          <w:rFonts w:ascii="News Gothic GDB" w:hAnsi="News Gothic GDB"/>
          <w:szCs w:val="20"/>
          <w:lang w:val="en-US"/>
        </w:rPr>
      </w:pPr>
      <w:r w:rsidRPr="003973BC">
        <w:rPr>
          <w:rFonts w:ascii="News Gothic GDB" w:hAnsi="News Gothic GDB"/>
          <w:szCs w:val="20"/>
          <w:lang w:val="en-US"/>
        </w:rPr>
        <w:t xml:space="preserve">We can see merit in use of the notional value method for stock and ETF futures and options’ minimum proportion of investment calculation because we find it to reflect the exchange traded derivatives’ contribution to the real economy with the nominal position they represent in trading. Notional value can better represent the size of the exposure of this </w:t>
      </w:r>
      <w:proofErr w:type="gramStart"/>
      <w:r w:rsidRPr="003973BC">
        <w:rPr>
          <w:rFonts w:ascii="News Gothic GDB" w:hAnsi="News Gothic GDB"/>
          <w:szCs w:val="20"/>
          <w:lang w:val="en-US"/>
        </w:rPr>
        <w:t>particular exchange</w:t>
      </w:r>
      <w:proofErr w:type="gramEnd"/>
      <w:r w:rsidRPr="003973BC">
        <w:rPr>
          <w:rFonts w:ascii="News Gothic GDB" w:hAnsi="News Gothic GDB"/>
          <w:szCs w:val="20"/>
          <w:lang w:val="en-US"/>
        </w:rPr>
        <w:t xml:space="preserve"> traded derivative class and will directly reflect the cash allocated into the derivatives.</w:t>
      </w:r>
    </w:p>
    <w:p w14:paraId="7BBA85CA" w14:textId="77777777" w:rsidR="00F71437" w:rsidRPr="003973BC" w:rsidRDefault="00F71437" w:rsidP="00F71437">
      <w:pPr>
        <w:spacing w:after="120" w:line="276" w:lineRule="auto"/>
        <w:jc w:val="both"/>
        <w:rPr>
          <w:rFonts w:ascii="News Gothic GDB" w:hAnsi="News Gothic GDB"/>
          <w:szCs w:val="20"/>
          <w:lang w:val="en-US"/>
        </w:rPr>
      </w:pPr>
      <w:r w:rsidRPr="003973BC">
        <w:rPr>
          <w:rFonts w:ascii="News Gothic GDB" w:hAnsi="News Gothic GDB"/>
          <w:szCs w:val="20"/>
          <w:lang w:val="en-US"/>
        </w:rPr>
        <w:t xml:space="preserve">On the other hand, an approach that considers the price sensitivity of a derivative contract with respect to changes in the underlying price can also be an alternative way to represent exchange traded derivatives’ contribution, </w:t>
      </w:r>
      <w:proofErr w:type="gramStart"/>
      <w:r w:rsidRPr="003973BC">
        <w:rPr>
          <w:rFonts w:ascii="News Gothic GDB" w:hAnsi="News Gothic GDB"/>
          <w:szCs w:val="20"/>
          <w:lang w:val="en-US"/>
        </w:rPr>
        <w:t>in particular for</w:t>
      </w:r>
      <w:proofErr w:type="gramEnd"/>
      <w:r w:rsidRPr="003973BC">
        <w:rPr>
          <w:rFonts w:ascii="News Gothic GDB" w:hAnsi="News Gothic GDB"/>
          <w:szCs w:val="20"/>
          <w:lang w:val="en-US"/>
        </w:rPr>
        <w:t xml:space="preserve"> fixed income and credit futures, as well as for options in general. We refer to this as “delta”-based approaches.</w:t>
      </w:r>
    </w:p>
    <w:p w14:paraId="3DAB9F5A" w14:textId="77777777" w:rsidR="00F71437" w:rsidRPr="003973BC" w:rsidRDefault="00F71437" w:rsidP="00F71437">
      <w:pPr>
        <w:spacing w:after="120" w:line="276" w:lineRule="auto"/>
        <w:jc w:val="both"/>
        <w:rPr>
          <w:rFonts w:ascii="News Gothic GDB" w:hAnsi="News Gothic GDB"/>
          <w:szCs w:val="20"/>
          <w:lang w:val="en-US"/>
        </w:rPr>
      </w:pPr>
      <w:r w:rsidRPr="003973BC">
        <w:rPr>
          <w:rFonts w:ascii="News Gothic GDB" w:hAnsi="News Gothic GDB"/>
          <w:szCs w:val="20"/>
          <w:lang w:val="en-US"/>
        </w:rPr>
        <w:t xml:space="preserve">When it comes to interest rate derivatives, a proposal would be to look at the DV01 of the derivative position, rather than at its notional value. For example, in interest rate swaps, the DV01 represents the sensitivity of the derivative position with respect to changes of 1 basis points in the fixed rate. In Government Bond futures, the DV01 measures the expected price change of the future </w:t>
      </w:r>
      <w:proofErr w:type="gramStart"/>
      <w:r w:rsidRPr="003973BC">
        <w:rPr>
          <w:rFonts w:ascii="News Gothic GDB" w:hAnsi="News Gothic GDB"/>
          <w:szCs w:val="20"/>
          <w:lang w:val="en-US"/>
        </w:rPr>
        <w:t>as a result of</w:t>
      </w:r>
      <w:proofErr w:type="gramEnd"/>
      <w:r w:rsidRPr="003973BC">
        <w:rPr>
          <w:rFonts w:ascii="News Gothic GDB" w:hAnsi="News Gothic GDB"/>
          <w:szCs w:val="20"/>
          <w:lang w:val="en-US"/>
        </w:rPr>
        <w:t xml:space="preserve"> a 1 basis point move of the yield of the underlying bonds.</w:t>
      </w:r>
    </w:p>
    <w:p w14:paraId="7C0D1B08" w14:textId="77777777" w:rsidR="00F71437" w:rsidRPr="003973BC" w:rsidRDefault="00F71437" w:rsidP="00F71437">
      <w:pPr>
        <w:spacing w:after="120" w:line="276" w:lineRule="auto"/>
        <w:jc w:val="both"/>
        <w:rPr>
          <w:rFonts w:ascii="News Gothic GDB" w:hAnsi="News Gothic GDB"/>
          <w:szCs w:val="20"/>
          <w:lang w:val="en-US"/>
        </w:rPr>
      </w:pPr>
      <w:r w:rsidRPr="003973BC">
        <w:rPr>
          <w:rFonts w:ascii="News Gothic GDB" w:hAnsi="News Gothic GDB"/>
          <w:szCs w:val="20"/>
          <w:lang w:val="en-US"/>
        </w:rPr>
        <w:t>This approach would allow to look at how exchange traded derivatives contribute to the “sustainability” ratio of a portfolio from a “risk management” perspective of the portfolio.</w:t>
      </w:r>
    </w:p>
    <w:p w14:paraId="1DD2EBDB" w14:textId="77777777" w:rsidR="00F71437" w:rsidRPr="003973BC" w:rsidRDefault="00F71437" w:rsidP="00F71437">
      <w:pPr>
        <w:spacing w:after="120" w:line="276" w:lineRule="auto"/>
        <w:jc w:val="both"/>
        <w:rPr>
          <w:rFonts w:ascii="News Gothic GDB" w:hAnsi="News Gothic GDB"/>
          <w:szCs w:val="20"/>
          <w:lang w:val="en-US"/>
        </w:rPr>
      </w:pPr>
      <w:r w:rsidRPr="003973BC">
        <w:rPr>
          <w:rFonts w:ascii="News Gothic GDB" w:hAnsi="News Gothic GDB"/>
          <w:szCs w:val="20"/>
          <w:lang w:val="en-US"/>
        </w:rPr>
        <w:t>For options contracts, the nominal value approach has less merits, while an approach based on the sensitivity of the option price to changes in the underlying price (delta approach) can provide a more accurate assessment of the exposure and more adequately reflect the exchange traded derivative characteristics.</w:t>
      </w:r>
    </w:p>
    <w:p w14:paraId="3FAF0467" w14:textId="77777777" w:rsidR="00F71437" w:rsidRPr="003973BC" w:rsidRDefault="00F71437" w:rsidP="00F71437">
      <w:pPr>
        <w:spacing w:after="120" w:line="276" w:lineRule="auto"/>
        <w:jc w:val="both"/>
        <w:rPr>
          <w:rFonts w:ascii="News Gothic GDB" w:hAnsi="News Gothic GDB"/>
          <w:szCs w:val="20"/>
          <w:lang w:val="en-US"/>
        </w:rPr>
      </w:pPr>
      <w:r w:rsidRPr="003973BC">
        <w:rPr>
          <w:rFonts w:ascii="News Gothic GDB" w:hAnsi="News Gothic GDB"/>
          <w:szCs w:val="20"/>
          <w:lang w:val="en-US"/>
        </w:rPr>
        <w:t xml:space="preserve">In essence, for certain exchange traded derivatives, sensitivity to the changes in the underlying assets are reflecting more accurately the exposure with this so-called delta or DVO1 approaches. Coming back to our point on the connection of underlying and exchange traded derivatives, it is relatively straightforward to assess exchange traded derivatives degree of sustainability </w:t>
      </w:r>
      <w:proofErr w:type="gramStart"/>
      <w:r w:rsidRPr="003973BC">
        <w:rPr>
          <w:rFonts w:ascii="News Gothic GDB" w:hAnsi="News Gothic GDB"/>
          <w:szCs w:val="20"/>
          <w:lang w:val="en-US"/>
        </w:rPr>
        <w:t>as long as</w:t>
      </w:r>
      <w:proofErr w:type="gramEnd"/>
      <w:r w:rsidRPr="003973BC">
        <w:rPr>
          <w:rFonts w:ascii="News Gothic GDB" w:hAnsi="News Gothic GDB"/>
          <w:szCs w:val="20"/>
          <w:lang w:val="en-US"/>
        </w:rPr>
        <w:t xml:space="preserve"> this feature/characteristic is measurable in the underlying instrument.</w:t>
      </w:r>
    </w:p>
    <w:p w14:paraId="3848C713" w14:textId="77777777" w:rsidR="00F71437" w:rsidRPr="003973BC" w:rsidRDefault="00F71437" w:rsidP="00F71437">
      <w:pPr>
        <w:spacing w:after="120" w:line="276" w:lineRule="auto"/>
        <w:jc w:val="both"/>
        <w:rPr>
          <w:rFonts w:ascii="News Gothic GDB" w:hAnsi="News Gothic GDB"/>
          <w:szCs w:val="20"/>
          <w:lang w:val="en-US"/>
        </w:rPr>
      </w:pPr>
      <w:r w:rsidRPr="003973BC">
        <w:rPr>
          <w:rFonts w:ascii="News Gothic GDB" w:hAnsi="News Gothic GDB"/>
          <w:szCs w:val="20"/>
          <w:lang w:val="en-US"/>
        </w:rPr>
        <w:t xml:space="preserve">The sustainability metric on ESG indices, for example, could be measured using the same methodology as for ETFs. ETFs’ returns closely track a benchmark index. Via their holdings, which must be disclosed by law, it is possible to calculate the degree to which their investments are sustainable. Futures on indices embedding certain ESG methodologies have the same characteristics as ETFs. Since the underlying index must be UCITS compliant, its components, </w:t>
      </w:r>
      <w:r w:rsidRPr="003973BC">
        <w:rPr>
          <w:rFonts w:ascii="News Gothic GDB" w:hAnsi="News Gothic GDB"/>
          <w:szCs w:val="20"/>
          <w:lang w:val="en-US"/>
        </w:rPr>
        <w:lastRenderedPageBreak/>
        <w:t>weightings, and methodology are also fully transparent. Thus, it is possible to calculate the degree of sustainability the exchange traded derivative on the ESG index based on the underlying’s sustainability metric.</w:t>
      </w:r>
    </w:p>
    <w:p w14:paraId="5B09EDB5" w14:textId="77777777" w:rsidR="00F71437" w:rsidRPr="003973BC" w:rsidRDefault="00F71437" w:rsidP="00F71437">
      <w:pPr>
        <w:spacing w:after="120" w:line="276" w:lineRule="auto"/>
        <w:jc w:val="both"/>
        <w:rPr>
          <w:rFonts w:ascii="News Gothic GDB" w:hAnsi="News Gothic GDB"/>
          <w:szCs w:val="20"/>
          <w:lang w:val="en-US"/>
        </w:rPr>
      </w:pPr>
      <w:r w:rsidRPr="003973BC">
        <w:rPr>
          <w:rFonts w:ascii="News Gothic GDB" w:hAnsi="News Gothic GDB"/>
          <w:szCs w:val="20"/>
          <w:lang w:val="en-US"/>
        </w:rPr>
        <w:t xml:space="preserve">The </w:t>
      </w:r>
      <w:proofErr w:type="gramStart"/>
      <w:r w:rsidRPr="003973BC">
        <w:rPr>
          <w:rFonts w:ascii="News Gothic GDB" w:hAnsi="News Gothic GDB"/>
          <w:szCs w:val="20"/>
          <w:lang w:val="en-US"/>
        </w:rPr>
        <w:t>aforementioned paragraph</w:t>
      </w:r>
      <w:proofErr w:type="gramEnd"/>
      <w:r w:rsidRPr="003973BC">
        <w:rPr>
          <w:rFonts w:ascii="News Gothic GDB" w:hAnsi="News Gothic GDB"/>
          <w:szCs w:val="20"/>
          <w:lang w:val="en-US"/>
        </w:rPr>
        <w:t xml:space="preserve"> delineated different approaches to the calculation method for exchange traded derivatives’ contribution into sustainability. However, we are aware that it might take some time to adopt the congruent methodology for inclusion of exchange traded derivatives. The EU Platform on Sustainable Finance working group concluded that the market value of the derivative instruments should be used in the calculation of the denominator until the inclusion of derivatives in the numerator is concluded.</w:t>
      </w:r>
    </w:p>
    <w:p w14:paraId="26F10F5F" w14:textId="77777777" w:rsidR="00F71437" w:rsidRPr="003973BC" w:rsidRDefault="00F71437" w:rsidP="00F71437">
      <w:pPr>
        <w:spacing w:after="120" w:line="276" w:lineRule="auto"/>
        <w:jc w:val="both"/>
        <w:rPr>
          <w:rFonts w:ascii="News Gothic GDB" w:hAnsi="News Gothic GDB"/>
          <w:szCs w:val="20"/>
          <w:lang w:val="en-US"/>
        </w:rPr>
      </w:pPr>
      <w:r w:rsidRPr="003973BC">
        <w:rPr>
          <w:rFonts w:ascii="News Gothic GDB" w:hAnsi="News Gothic GDB"/>
          <w:szCs w:val="20"/>
          <w:lang w:val="en-US"/>
        </w:rPr>
        <w:t>The additional suggestions explained in the paragraph above have the purpose of opening this debate once again and to enrich the possible range of options for how to include derivatives positions within the sustainable finance framework in Europe.</w:t>
      </w:r>
    </w:p>
    <w:p w14:paraId="0EC51ABF" w14:textId="2B9B77ED" w:rsidR="00B92885" w:rsidRPr="00F71437" w:rsidRDefault="00F71437" w:rsidP="00F71437">
      <w:pPr>
        <w:spacing w:after="120" w:line="276" w:lineRule="auto"/>
        <w:jc w:val="both"/>
        <w:rPr>
          <w:rFonts w:ascii="News Gothic GDB" w:hAnsi="News Gothic GDB"/>
          <w:szCs w:val="20"/>
          <w:lang w:val="en-US"/>
        </w:rPr>
      </w:pPr>
      <w:r w:rsidRPr="003973BC">
        <w:rPr>
          <w:rFonts w:ascii="News Gothic GDB" w:hAnsi="News Gothic GDB"/>
          <w:szCs w:val="20"/>
          <w:lang w:val="en-US"/>
        </w:rPr>
        <w:t>Nevertheless, we see merit in the proposal of the EU Platform’s and Sustainable Finance working group’s solution of using the market value of derivatives in the denominator for the interim time.</w:t>
      </w:r>
    </w:p>
    <w:permEnd w:id="1071974531"/>
    <w:p w14:paraId="3A9FC829" w14:textId="77777777" w:rsidR="00B92885" w:rsidRDefault="00B92885" w:rsidP="00B92885">
      <w:r>
        <w:t>&lt;ESMA_QUESTION_FUNA_1&gt;</w:t>
      </w:r>
    </w:p>
    <w:p w14:paraId="1ECE9E45" w14:textId="77777777" w:rsidR="00B92885" w:rsidRDefault="00B92885" w:rsidP="00B92885"/>
    <w:p w14:paraId="779A7A94" w14:textId="77777777" w:rsidR="00B92885" w:rsidRDefault="00B92885" w:rsidP="00B92885">
      <w:pPr>
        <w:pStyle w:val="Questionstyle"/>
        <w:numPr>
          <w:ilvl w:val="0"/>
          <w:numId w:val="40"/>
        </w:numPr>
      </w:pPr>
      <w:r>
        <w:t>Are there any other measures you would recommend for derivatives for the calculation of the minimum proportion of investments?</w:t>
      </w:r>
    </w:p>
    <w:p w14:paraId="7C5D84D6" w14:textId="77777777" w:rsidR="00B92885" w:rsidRDefault="00B92885" w:rsidP="00B92885">
      <w:r>
        <w:t>&lt;ESMA_QUESTION_FUNA_2&gt;</w:t>
      </w:r>
    </w:p>
    <w:p w14:paraId="2ABDF65C" w14:textId="0BAC1320" w:rsidR="00B92885" w:rsidRPr="00F71437" w:rsidRDefault="00F71437" w:rsidP="00F71437">
      <w:pPr>
        <w:spacing w:after="120" w:line="276" w:lineRule="auto"/>
        <w:jc w:val="both"/>
        <w:rPr>
          <w:rFonts w:ascii="News Gothic GDB" w:hAnsi="News Gothic GDB"/>
          <w:szCs w:val="20"/>
          <w:lang w:val="en-US"/>
        </w:rPr>
      </w:pPr>
      <w:permStart w:id="1162834929" w:edGrp="everyone"/>
      <w:r w:rsidRPr="003973BC">
        <w:rPr>
          <w:rFonts w:ascii="News Gothic GDB" w:hAnsi="News Gothic GDB"/>
          <w:szCs w:val="20"/>
          <w:lang w:val="en-US"/>
        </w:rPr>
        <w:t>As specified above, instead of introducing any new measures, we find beneficial to have SFDR review and amendment. If SFDR Article 8 and 9 disclosure requirements include derivatives in calculation of sustainable proportions of overall investments, there is no need to introduce a new calculation method for naming purposes.</w:t>
      </w:r>
    </w:p>
    <w:permEnd w:id="1162834929"/>
    <w:p w14:paraId="54A1018F" w14:textId="77777777" w:rsidR="00B92885" w:rsidRDefault="00B92885" w:rsidP="00B92885">
      <w:r>
        <w:t>&lt;ESMA_QUESTION_FUNA_2&gt;</w:t>
      </w:r>
    </w:p>
    <w:p w14:paraId="3FC5B87F" w14:textId="77777777" w:rsidR="00B92885" w:rsidRDefault="00B92885" w:rsidP="00B92885"/>
    <w:p w14:paraId="1F43A90B" w14:textId="77777777" w:rsidR="00B92885" w:rsidRDefault="00B92885" w:rsidP="00B92885">
      <w:pPr>
        <w:pStyle w:val="Questionstyle"/>
        <w:numPr>
          <w:ilvl w:val="0"/>
          <w:numId w:val="39"/>
        </w:numPr>
      </w:pPr>
      <w:r>
        <w:t xml:space="preserve">: </w:t>
      </w:r>
      <w:r w:rsidRPr="000B78F5">
        <w:t>Do you agree that funds designating an index as a reference benchmark should also consider the same requirements for funds’ names as any other fund? If not, explain why and provide an alternative proposal.</w:t>
      </w:r>
    </w:p>
    <w:p w14:paraId="01B8DAB9" w14:textId="77777777" w:rsidR="00B92885" w:rsidRDefault="00B92885" w:rsidP="00B92885">
      <w:r>
        <w:t>&lt;ESMA_QUESTION_FUNA_8&gt;</w:t>
      </w:r>
    </w:p>
    <w:p w14:paraId="0099E846" w14:textId="77777777" w:rsidR="00F71437" w:rsidRPr="003973BC" w:rsidRDefault="00F71437" w:rsidP="00F71437">
      <w:pPr>
        <w:spacing w:after="120" w:line="276" w:lineRule="auto"/>
        <w:jc w:val="both"/>
        <w:rPr>
          <w:rFonts w:ascii="News Gothic GDB" w:hAnsi="News Gothic GDB"/>
          <w:szCs w:val="20"/>
          <w:lang w:val="en-US"/>
        </w:rPr>
      </w:pPr>
      <w:permStart w:id="650455330" w:edGrp="everyone"/>
      <w:r w:rsidRPr="003973BC">
        <w:rPr>
          <w:rFonts w:ascii="News Gothic GDB" w:hAnsi="News Gothic GDB"/>
          <w:szCs w:val="20"/>
          <w:lang w:val="en-US"/>
        </w:rPr>
        <w:t xml:space="preserve">No. As stated above, the EU Benchmark Regulation exhaustively sets out the rules for ESG Benchmarks. Any </w:t>
      </w:r>
      <w:r>
        <w:rPr>
          <w:rFonts w:ascii="News Gothic GDB" w:hAnsi="News Gothic GDB"/>
          <w:szCs w:val="20"/>
          <w:lang w:val="en-US"/>
        </w:rPr>
        <w:t>“</w:t>
      </w:r>
      <w:r w:rsidRPr="003973BC">
        <w:rPr>
          <w:rFonts w:ascii="News Gothic GDB" w:hAnsi="News Gothic GDB"/>
          <w:szCs w:val="20"/>
          <w:lang w:val="en-US"/>
        </w:rPr>
        <w:t>addition</w:t>
      </w:r>
      <w:r>
        <w:rPr>
          <w:rFonts w:ascii="News Gothic GDB" w:hAnsi="News Gothic GDB"/>
          <w:szCs w:val="20"/>
          <w:lang w:val="en-US"/>
        </w:rPr>
        <w:t>”</w:t>
      </w:r>
      <w:r w:rsidRPr="003973BC">
        <w:rPr>
          <w:rFonts w:ascii="News Gothic GDB" w:hAnsi="News Gothic GDB"/>
          <w:szCs w:val="20"/>
          <w:lang w:val="en-US"/>
        </w:rPr>
        <w:t xml:space="preserve"> to those requirements by way of sectoral </w:t>
      </w:r>
      <w:r>
        <w:rPr>
          <w:rFonts w:ascii="News Gothic GDB" w:hAnsi="News Gothic GDB"/>
          <w:szCs w:val="20"/>
          <w:lang w:val="en-US"/>
        </w:rPr>
        <w:t>g</w:t>
      </w:r>
      <w:r w:rsidRPr="003973BC">
        <w:rPr>
          <w:rFonts w:ascii="News Gothic GDB" w:hAnsi="News Gothic GDB"/>
          <w:szCs w:val="20"/>
          <w:lang w:val="en-US"/>
        </w:rPr>
        <w:t xml:space="preserve">uidelines would create a de facto requirement for benchmark administrators to change the methodologies for ESG benchmarks so that they also meet the requirements of the </w:t>
      </w:r>
      <w:r>
        <w:rPr>
          <w:rFonts w:ascii="News Gothic GDB" w:hAnsi="News Gothic GDB"/>
          <w:szCs w:val="20"/>
          <w:lang w:val="en-US"/>
        </w:rPr>
        <w:t>g</w:t>
      </w:r>
      <w:r w:rsidRPr="003973BC">
        <w:rPr>
          <w:rFonts w:ascii="News Gothic GDB" w:hAnsi="News Gothic GDB"/>
          <w:szCs w:val="20"/>
          <w:lang w:val="en-US"/>
        </w:rPr>
        <w:t xml:space="preserve">uidelines. This would lead to further regulatory divergence, would contradicts the EU </w:t>
      </w:r>
      <w:proofErr w:type="gramStart"/>
      <w:r w:rsidRPr="003973BC">
        <w:rPr>
          <w:rFonts w:ascii="News Gothic GDB" w:hAnsi="News Gothic GDB"/>
          <w:szCs w:val="20"/>
          <w:lang w:val="en-US"/>
        </w:rPr>
        <w:t>BMR</w:t>
      </w:r>
      <w:proofErr w:type="gramEnd"/>
      <w:r w:rsidRPr="003973BC">
        <w:rPr>
          <w:rFonts w:ascii="News Gothic GDB" w:hAnsi="News Gothic GDB"/>
          <w:szCs w:val="20"/>
          <w:lang w:val="en-US"/>
        </w:rPr>
        <w:t xml:space="preserve"> and should be avoided.</w:t>
      </w:r>
    </w:p>
    <w:p w14:paraId="2BABA8E0" w14:textId="65222893" w:rsidR="00B92885" w:rsidRPr="00F71437" w:rsidRDefault="00F71437" w:rsidP="00F71437">
      <w:pPr>
        <w:spacing w:after="120" w:line="276" w:lineRule="auto"/>
        <w:jc w:val="both"/>
        <w:rPr>
          <w:rFonts w:ascii="News Gothic GDB" w:hAnsi="News Gothic GDB"/>
          <w:szCs w:val="20"/>
          <w:lang w:val="en-US"/>
        </w:rPr>
      </w:pPr>
      <w:r w:rsidRPr="003973BC">
        <w:rPr>
          <w:rFonts w:ascii="News Gothic GDB" w:hAnsi="News Gothic GDB"/>
          <w:szCs w:val="20"/>
          <w:lang w:val="en-US"/>
        </w:rPr>
        <w:t xml:space="preserve">Benchmark administrators are already </w:t>
      </w:r>
      <w:r>
        <w:rPr>
          <w:rFonts w:ascii="News Gothic GDB" w:hAnsi="News Gothic GDB"/>
          <w:szCs w:val="20"/>
          <w:lang w:val="en-US"/>
        </w:rPr>
        <w:t>requested</w:t>
      </w:r>
      <w:r w:rsidRPr="003973BC">
        <w:rPr>
          <w:rFonts w:ascii="News Gothic GDB" w:hAnsi="News Gothic GDB"/>
          <w:szCs w:val="20"/>
          <w:lang w:val="en-US"/>
        </w:rPr>
        <w:t xml:space="preserve"> by the market to align the design of methodologies for ESG benchmarks with Article 8/9 of SFDR, the EU Taxonomy and the MiFID sustainability preferences. In addition, there are many industry labels and requirements of national competent authorities which clients often want the benchmark administrator to </w:t>
      </w:r>
      <w:proofErr w:type="gramStart"/>
      <w:r w:rsidRPr="003973BC">
        <w:rPr>
          <w:rFonts w:ascii="News Gothic GDB" w:hAnsi="News Gothic GDB"/>
          <w:szCs w:val="20"/>
          <w:lang w:val="en-US"/>
        </w:rPr>
        <w:t>take into account</w:t>
      </w:r>
      <w:proofErr w:type="gramEnd"/>
      <w:r w:rsidRPr="003973BC">
        <w:rPr>
          <w:rFonts w:ascii="News Gothic GDB" w:hAnsi="News Gothic GDB"/>
          <w:szCs w:val="20"/>
          <w:lang w:val="en-US"/>
        </w:rPr>
        <w:t>. This challenging situation should not be worsened by the introduction of another regime.</w:t>
      </w:r>
    </w:p>
    <w:permEnd w:id="650455330"/>
    <w:p w14:paraId="737A5FA8" w14:textId="77777777" w:rsidR="00B92885" w:rsidRDefault="00B92885" w:rsidP="00B92885">
      <w:r>
        <w:t>&lt;ESMA_QUESTION_FUNA_8&gt;</w:t>
      </w:r>
    </w:p>
    <w:p w14:paraId="38B4AF69" w14:textId="77777777" w:rsidR="00B92885" w:rsidRDefault="00B92885" w:rsidP="00B92885"/>
    <w:p w14:paraId="06BA20E5" w14:textId="77777777" w:rsidR="00B92885" w:rsidRDefault="00B92885" w:rsidP="00B92885">
      <w:pPr>
        <w:pStyle w:val="Questionstyle"/>
        <w:numPr>
          <w:ilvl w:val="0"/>
          <w:numId w:val="39"/>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t>&lt;ESMA_QUESTION_FUNA_9&gt;</w:t>
      </w:r>
    </w:p>
    <w:p w14:paraId="08901A8C" w14:textId="2E36921D" w:rsidR="00B92885" w:rsidRPr="00F71437" w:rsidRDefault="00F71437" w:rsidP="00F71437">
      <w:pPr>
        <w:spacing w:after="120" w:line="276" w:lineRule="auto"/>
        <w:jc w:val="both"/>
        <w:rPr>
          <w:rFonts w:ascii="News Gothic GDB" w:hAnsi="News Gothic GDB"/>
          <w:szCs w:val="20"/>
          <w:lang w:val="en-US"/>
        </w:rPr>
      </w:pPr>
      <w:permStart w:id="1876589445" w:edGrp="everyone"/>
      <w:r w:rsidRPr="003973BC">
        <w:rPr>
          <w:rFonts w:ascii="News Gothic GDB" w:hAnsi="News Gothic GDB"/>
          <w:szCs w:val="20"/>
          <w:lang w:val="en-US"/>
        </w:rPr>
        <w:t xml:space="preserve">No. If a physical underlying has a sustainable objective or promotion E/S objectives, the corresponding synthetic replication i.e., index derivative is also doing the same. We cannot say that an ESG index is 100% sustainable but a futures product, for example, on the underlying ESG index, is contributing 0% to sustainability. If the common goal is </w:t>
      </w:r>
      <w:r w:rsidRPr="003973BC">
        <w:rPr>
          <w:rFonts w:ascii="News Gothic GDB" w:hAnsi="News Gothic GDB"/>
          <w:szCs w:val="20"/>
          <w:lang w:val="en-US"/>
        </w:rPr>
        <w:lastRenderedPageBreak/>
        <w:t xml:space="preserve">reaching, among others, a green transition in Europe, there should not be unequal treatment to different products. All products should be included. If the derivatives community will be part of the conversation, they can participate to tangible plans for e.g., green transition, by way of adding, new green product development. SFDR imposes </w:t>
      </w:r>
      <w:proofErr w:type="gramStart"/>
      <w:r w:rsidRPr="003973BC">
        <w:rPr>
          <w:rFonts w:ascii="News Gothic GDB" w:hAnsi="News Gothic GDB"/>
          <w:szCs w:val="20"/>
          <w:lang w:val="en-US"/>
        </w:rPr>
        <w:t>that derivatives</w:t>
      </w:r>
      <w:proofErr w:type="gramEnd"/>
      <w:r w:rsidRPr="003973BC">
        <w:rPr>
          <w:rFonts w:ascii="News Gothic GDB" w:hAnsi="News Gothic GDB"/>
          <w:szCs w:val="20"/>
          <w:lang w:val="en-US"/>
        </w:rPr>
        <w:t xml:space="preserve"> are excluded from the numerator in taxonomy alignment ratio, but are included in the denominator which makes them eligible instruments for taxonomy classification, but 0% aligned, in contradiction with the previous regulatory standpoints. Besides product level, the same asymmetric approach also applies at entity level for all financial institutions when measuring their Taxonomy alignment (“Green investment ratio” and “Green asset ratio”). These inequalities regarding ESG derivatives need to be addressed rapidly, as they can be highly confusing and open to misrepresentation.</w:t>
      </w:r>
    </w:p>
    <w:permEnd w:id="1876589445"/>
    <w:p w14:paraId="1B5712A0" w14:textId="77777777" w:rsidR="00B92885" w:rsidRDefault="00B92885" w:rsidP="00B92885">
      <w:r>
        <w:t>&lt;ESMA_QUESTION_FUNA_9&gt;</w:t>
      </w:r>
    </w:p>
    <w:p w14:paraId="76724C94" w14:textId="77777777" w:rsidR="00B92885" w:rsidRDefault="00B92885" w:rsidP="00B92885"/>
    <w:p w14:paraId="19F0BC69" w14:textId="77777777" w:rsidR="00B92885" w:rsidRDefault="00B92885" w:rsidP="00B92885">
      <w:pPr>
        <w:pStyle w:val="Questionstyle"/>
        <w:numPr>
          <w:ilvl w:val="0"/>
          <w:numId w:val="39"/>
        </w:numPr>
      </w:pPr>
      <w:r>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0D7B7AED" w14:textId="77777777" w:rsidR="00F71437" w:rsidRPr="003973BC" w:rsidRDefault="00F71437" w:rsidP="00F71437">
      <w:pPr>
        <w:spacing w:after="120" w:line="276" w:lineRule="auto"/>
        <w:jc w:val="both"/>
        <w:rPr>
          <w:rFonts w:ascii="News Gothic GDB" w:hAnsi="News Gothic GDB"/>
          <w:szCs w:val="20"/>
          <w:lang w:val="en-US"/>
        </w:rPr>
      </w:pPr>
      <w:permStart w:id="1992309739" w:edGrp="everyone"/>
      <w:r w:rsidRPr="003973BC">
        <w:rPr>
          <w:rFonts w:ascii="News Gothic GDB" w:hAnsi="News Gothic GDB"/>
          <w:szCs w:val="20"/>
          <w:lang w:val="en-US"/>
        </w:rPr>
        <w:t>No. Given the continuing discussion about defining a “sustainable investment”, we would caution regulators against prescribing new terminology, especially terms that would be featured prominently in a fund’s name.</w:t>
      </w:r>
    </w:p>
    <w:p w14:paraId="09441A21" w14:textId="550B2DA1" w:rsidR="00B92885" w:rsidRPr="00F71437" w:rsidRDefault="00F71437" w:rsidP="00F71437">
      <w:pPr>
        <w:spacing w:after="120" w:line="276" w:lineRule="auto"/>
        <w:jc w:val="both"/>
        <w:rPr>
          <w:rFonts w:ascii="News Gothic GDB" w:hAnsi="News Gothic GDB"/>
          <w:szCs w:val="20"/>
          <w:lang w:val="en-US"/>
        </w:rPr>
      </w:pPr>
      <w:r w:rsidRPr="003973BC">
        <w:rPr>
          <w:rFonts w:ascii="News Gothic GDB" w:hAnsi="News Gothic GDB"/>
          <w:szCs w:val="20"/>
          <w:lang w:val="en-US"/>
        </w:rPr>
        <w:t xml:space="preserve">In addition, from the point of view of a benchmark administrator, if the </w:t>
      </w:r>
      <w:r>
        <w:rPr>
          <w:rFonts w:ascii="News Gothic GDB" w:hAnsi="News Gothic GDB"/>
          <w:szCs w:val="20"/>
          <w:lang w:val="en-US"/>
        </w:rPr>
        <w:t>g</w:t>
      </w:r>
      <w:r w:rsidRPr="003973BC">
        <w:rPr>
          <w:rFonts w:ascii="News Gothic GDB" w:hAnsi="News Gothic GDB"/>
          <w:szCs w:val="20"/>
          <w:lang w:val="en-US"/>
        </w:rPr>
        <w:t xml:space="preserve">uidelines are to move forward, ESMA should make clear that such requirements do not apply to funds using an ESG benchmark as underlying, at minimum because this would conflict with the objectives of the EU Benchmark Regulation. The EU Benchmark Regulation does not contain such prescriptive requirements but creates transparency by way of a disclosure regime. A benchmark administrator is – including </w:t>
      </w:r>
      <w:proofErr w:type="gramStart"/>
      <w:r w:rsidRPr="003973BC">
        <w:rPr>
          <w:rFonts w:ascii="News Gothic GDB" w:hAnsi="News Gothic GDB"/>
          <w:szCs w:val="20"/>
          <w:lang w:val="en-US"/>
        </w:rPr>
        <w:t>with regard to</w:t>
      </w:r>
      <w:proofErr w:type="gramEnd"/>
      <w:r w:rsidRPr="003973BC">
        <w:rPr>
          <w:rFonts w:ascii="News Gothic GDB" w:hAnsi="News Gothic GDB"/>
          <w:szCs w:val="20"/>
          <w:lang w:val="en-US"/>
        </w:rPr>
        <w:t xml:space="preserve"> existing impact benchmarks – free to design a methodology that it considers an “impact” methodology. If implemented, the </w:t>
      </w:r>
      <w:r>
        <w:rPr>
          <w:rFonts w:ascii="News Gothic GDB" w:hAnsi="News Gothic GDB"/>
          <w:szCs w:val="20"/>
          <w:lang w:val="en-US"/>
        </w:rPr>
        <w:t>g</w:t>
      </w:r>
      <w:r w:rsidRPr="003973BC">
        <w:rPr>
          <w:rFonts w:ascii="News Gothic GDB" w:hAnsi="News Gothic GDB"/>
          <w:szCs w:val="20"/>
          <w:lang w:val="en-US"/>
        </w:rPr>
        <w:t xml:space="preserve">uidelines would conflict with the approach the legislator of the EU Benchmark Regulation has taken in this respect. It would have significant impact on benchmark administrators if existing benchmarks would have to be modified due to the introduction of such rules. This would infringe the legitimate expectations by benchmark administrators that the benchmarks that have been created </w:t>
      </w:r>
      <w:proofErr w:type="gramStart"/>
      <w:r w:rsidRPr="003973BC">
        <w:rPr>
          <w:rFonts w:ascii="News Gothic GDB" w:hAnsi="News Gothic GDB"/>
          <w:szCs w:val="20"/>
          <w:lang w:val="en-US"/>
        </w:rPr>
        <w:t>on the basis of</w:t>
      </w:r>
      <w:proofErr w:type="gramEnd"/>
      <w:r w:rsidRPr="003973BC">
        <w:rPr>
          <w:rFonts w:ascii="News Gothic GDB" w:hAnsi="News Gothic GDB"/>
          <w:szCs w:val="20"/>
          <w:lang w:val="en-US"/>
        </w:rPr>
        <w:t xml:space="preserve"> the EU Benchmark Regulation can also be used as intended by their customers, in particular the fund industry.</w:t>
      </w:r>
    </w:p>
    <w:permEnd w:id="1992309739"/>
    <w:p w14:paraId="14AB0C87" w14:textId="77777777" w:rsidR="00B92885" w:rsidRDefault="00B92885" w:rsidP="00B92885">
      <w:r>
        <w:t>&lt;ESMA_QUESTION_FUNA_10&gt;</w:t>
      </w:r>
    </w:p>
    <w:p w14:paraId="010C54CA" w14:textId="77777777" w:rsidR="00B92885" w:rsidRDefault="00B92885" w:rsidP="00B92885"/>
    <w:p w14:paraId="511D7045" w14:textId="77777777" w:rsidR="00B92885" w:rsidRDefault="00B92885" w:rsidP="00B92885">
      <w:pPr>
        <w:pStyle w:val="Questionstyle"/>
        <w:numPr>
          <w:ilvl w:val="0"/>
          <w:numId w:val="39"/>
        </w:numPr>
      </w:pPr>
      <w:r>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61188F70" w14:textId="15BA5573" w:rsidR="00B92885" w:rsidRPr="00F71437" w:rsidRDefault="00F71437" w:rsidP="00F71437">
      <w:pPr>
        <w:spacing w:after="120" w:line="276" w:lineRule="auto"/>
        <w:jc w:val="both"/>
        <w:rPr>
          <w:rFonts w:ascii="News Gothic GDB" w:hAnsi="News Gothic GDB"/>
          <w:szCs w:val="20"/>
          <w:lang w:val="en-US"/>
        </w:rPr>
      </w:pPr>
      <w:permStart w:id="1423966990" w:edGrp="everyone"/>
      <w:r w:rsidRPr="003973BC">
        <w:rPr>
          <w:rFonts w:ascii="News Gothic GDB" w:hAnsi="News Gothic GDB"/>
          <w:szCs w:val="20"/>
          <w:lang w:val="en-US"/>
        </w:rPr>
        <w:t xml:space="preserve">No. Please see our response to question 10. From the point of view of a benchmark administrator, at least for funds using an ESG benchmark as underlying, such requirements should not apply. </w:t>
      </w:r>
    </w:p>
    <w:permEnd w:id="1423966990"/>
    <w:p w14:paraId="0643B633" w14:textId="77777777" w:rsidR="00B92885" w:rsidRDefault="00B92885" w:rsidP="00B92885">
      <w:r>
        <w:t>&lt;ESMA_QUESTION_FUNA_11&gt;</w:t>
      </w:r>
    </w:p>
    <w:p w14:paraId="6EB17554" w14:textId="77777777" w:rsidR="00B92885" w:rsidRDefault="00B92885" w:rsidP="00B92885"/>
    <w:p w14:paraId="28EEF733" w14:textId="77777777" w:rsidR="00B92885" w:rsidRDefault="00B92885" w:rsidP="00B92885">
      <w:pPr>
        <w:pStyle w:val="Questionstyle"/>
        <w:numPr>
          <w:ilvl w:val="0"/>
          <w:numId w:val="39"/>
        </w:numPr>
      </w:pPr>
      <w:r>
        <w:t>:</w:t>
      </w:r>
      <w:r w:rsidRPr="00EA2F1C">
        <w:t xml:space="preserve"> The proposals in this consultation paper relates to investment funds’ names in light of specific sectoral concerns. However, considering the SFDR disclosures apply also to 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t>&lt;ESMA_QUESTION_FUNA_12&gt;</w:t>
      </w:r>
    </w:p>
    <w:p w14:paraId="54FC5FAA" w14:textId="2AC5591E" w:rsidR="00B92885" w:rsidRPr="00F71437" w:rsidRDefault="00F71437" w:rsidP="00F71437">
      <w:pPr>
        <w:spacing w:after="120" w:line="276" w:lineRule="auto"/>
        <w:jc w:val="both"/>
        <w:rPr>
          <w:rFonts w:ascii="News Gothic GDB" w:hAnsi="News Gothic GDB"/>
          <w:szCs w:val="20"/>
          <w:lang w:val="en-US"/>
        </w:rPr>
      </w:pPr>
      <w:permStart w:id="1434478937" w:edGrp="everyone"/>
      <w:r w:rsidRPr="003973BC">
        <w:rPr>
          <w:rFonts w:ascii="News Gothic GDB" w:hAnsi="News Gothic GDB"/>
          <w:szCs w:val="20"/>
          <w:lang w:val="en-US"/>
        </w:rPr>
        <w:t xml:space="preserve">Generally, yes. We agree that ESMA and other regulators should continue to aim for a level regulatory playing field and fair competition across the financial sector. Different requirements across financial products, on top of the already existing and complex regulatory framework, will only lead to increased consumer confusion. At the same time, we are not convinced that, for example, applying the 80% test across a variety of sustainable investment products, </w:t>
      </w:r>
      <w:r w:rsidRPr="003973BC">
        <w:rPr>
          <w:rFonts w:ascii="News Gothic GDB" w:hAnsi="News Gothic GDB"/>
          <w:szCs w:val="20"/>
          <w:lang w:val="en-US"/>
        </w:rPr>
        <w:lastRenderedPageBreak/>
        <w:t>not just funds using ESG or sustainability-related terms, would be appropriate, though theoretically this would be consistent with the concept of a “level regulatory playing field.”</w:t>
      </w:r>
    </w:p>
    <w:permEnd w:id="1434478937"/>
    <w:p w14:paraId="70EEE415" w14:textId="77777777" w:rsidR="00B92885" w:rsidRDefault="00B92885" w:rsidP="00B92885">
      <w:r>
        <w:t>&lt;ESMA_QUESTION_FUNA_12&gt;</w:t>
      </w:r>
    </w:p>
    <w:p w14:paraId="17B0E5FA" w14:textId="77777777" w:rsidR="00B92885" w:rsidRDefault="00B92885" w:rsidP="00B92885"/>
    <w:p w14:paraId="78737478" w14:textId="77777777" w:rsidR="00B92885" w:rsidRDefault="00B92885" w:rsidP="00B92885">
      <w:pPr>
        <w:pStyle w:val="Questionstyle"/>
        <w:numPr>
          <w:ilvl w:val="0"/>
          <w:numId w:val="39"/>
        </w:numPr>
      </w:pPr>
      <w:r>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t>&lt;ESMA_QUESTION_FUNA_13&gt;</w:t>
      </w:r>
    </w:p>
    <w:p w14:paraId="68ED52F5" w14:textId="58553979" w:rsidR="00B92885" w:rsidRPr="00F71437" w:rsidRDefault="00594EA8" w:rsidP="00F71437">
      <w:pPr>
        <w:spacing w:after="120" w:line="276" w:lineRule="auto"/>
        <w:jc w:val="both"/>
        <w:rPr>
          <w:rFonts w:ascii="News Gothic GDB" w:hAnsi="News Gothic GDB"/>
          <w:szCs w:val="20"/>
          <w:lang w:val="en-US"/>
        </w:rPr>
      </w:pPr>
      <w:permStart w:id="489244833" w:edGrp="everyone"/>
      <w:r w:rsidRPr="003973BC">
        <w:rPr>
          <w:rFonts w:ascii="News Gothic GDB" w:hAnsi="News Gothic GDB"/>
          <w:szCs w:val="20"/>
          <w:lang w:val="en-US"/>
        </w:rPr>
        <w:t xml:space="preserve">No. At least a </w:t>
      </w:r>
      <w:r>
        <w:rPr>
          <w:rFonts w:ascii="News Gothic GDB" w:hAnsi="News Gothic GDB"/>
          <w:szCs w:val="20"/>
          <w:lang w:val="en-US"/>
        </w:rPr>
        <w:t>12-month</w:t>
      </w:r>
      <w:r w:rsidRPr="003973BC">
        <w:rPr>
          <w:rFonts w:ascii="News Gothic GDB" w:hAnsi="News Gothic GDB"/>
          <w:szCs w:val="20"/>
          <w:lang w:val="en-US"/>
        </w:rPr>
        <w:t xml:space="preserve"> transition period would be necessary from the perspective of a benchmark administrator. Should the </w:t>
      </w:r>
      <w:r>
        <w:rPr>
          <w:rFonts w:ascii="News Gothic GDB" w:hAnsi="News Gothic GDB"/>
          <w:szCs w:val="20"/>
          <w:lang w:val="en-US"/>
        </w:rPr>
        <w:t>g</w:t>
      </w:r>
      <w:r w:rsidRPr="003973BC">
        <w:rPr>
          <w:rFonts w:ascii="News Gothic GDB" w:hAnsi="News Gothic GDB"/>
          <w:szCs w:val="20"/>
          <w:lang w:val="en-US"/>
        </w:rPr>
        <w:t>uidelines come into effect, ESG methodologies for potentially all ESG benchmarks offered by a benchmark administrator would have to be redesigned. This requires internal research and development, a pre-assessment involving key users of ESG, public consultations and ultimately the roll-out of such new benchmarks.</w:t>
      </w:r>
    </w:p>
    <w:permEnd w:id="489244833"/>
    <w:p w14:paraId="739467F4" w14:textId="77777777" w:rsidR="00B92885" w:rsidRDefault="00B92885" w:rsidP="00B92885">
      <w:r>
        <w:t>&lt;ESMA_QUESTION_FUNA_13&gt;</w:t>
      </w:r>
    </w:p>
    <w:p w14:paraId="1F64F9E6" w14:textId="77777777" w:rsidR="00B92885" w:rsidRDefault="00B92885" w:rsidP="00B92885"/>
    <w:p w14:paraId="7FD3A293" w14:textId="77777777" w:rsidR="00B92885" w:rsidRDefault="00B92885" w:rsidP="00B92885">
      <w:pPr>
        <w:pStyle w:val="Questionstyle"/>
        <w:numPr>
          <w:ilvl w:val="0"/>
          <w:numId w:val="39"/>
        </w:numPr>
      </w:pPr>
      <w:r>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23752B71" w14:textId="77777777" w:rsidR="00B92885" w:rsidRDefault="00B92885" w:rsidP="00B92885">
      <w:permStart w:id="1766353355" w:edGrp="everyone"/>
      <w:r>
        <w:t>TYPE YOUR TEXT HERE</w:t>
      </w:r>
    </w:p>
    <w:permEnd w:id="1766353355"/>
    <w:p w14:paraId="611042B9" w14:textId="77777777" w:rsidR="00B92885" w:rsidRDefault="00B92885" w:rsidP="00B92885">
      <w:r>
        <w:t>&lt;ESMA_QUESTION_FUNA_14&gt;</w:t>
      </w:r>
    </w:p>
    <w:p w14:paraId="47DCA7A5" w14:textId="77777777" w:rsidR="00B92885" w:rsidRDefault="00B92885" w:rsidP="00B92885"/>
    <w:p w14:paraId="7718491E" w14:textId="77777777" w:rsidR="00B92885" w:rsidRDefault="00B92885" w:rsidP="00B92885">
      <w:pPr>
        <w:pStyle w:val="Questionstyle"/>
        <w:numPr>
          <w:ilvl w:val="0"/>
          <w:numId w:val="39"/>
        </w:numPr>
      </w:pPr>
      <w:r>
        <w:t xml:space="preserve">: </w:t>
      </w:r>
      <w:r w:rsidRPr="00D5777E">
        <w:t>What is the anticipated impact from the introduction of the proposed Guidelines?</w:t>
      </w:r>
    </w:p>
    <w:p w14:paraId="79B9FE7A" w14:textId="77777777" w:rsidR="00B92885" w:rsidRDefault="00B92885" w:rsidP="00B92885">
      <w:r>
        <w:t>&lt;ESMA_QUESTION_FUNA_15&gt;</w:t>
      </w:r>
    </w:p>
    <w:p w14:paraId="35792E22" w14:textId="77777777" w:rsidR="00F71437" w:rsidRPr="003973BC" w:rsidRDefault="00F71437" w:rsidP="00F71437">
      <w:pPr>
        <w:spacing w:after="120" w:line="276" w:lineRule="auto"/>
        <w:jc w:val="both"/>
        <w:rPr>
          <w:rFonts w:ascii="News Gothic GDB" w:hAnsi="News Gothic GDB"/>
          <w:szCs w:val="20"/>
          <w:lang w:val="en-US"/>
        </w:rPr>
      </w:pPr>
      <w:permStart w:id="929254269" w:edGrp="everyone"/>
      <w:r w:rsidRPr="003973BC">
        <w:rPr>
          <w:rFonts w:ascii="News Gothic GDB" w:hAnsi="News Gothic GDB"/>
          <w:szCs w:val="20"/>
          <w:lang w:val="en-US"/>
        </w:rPr>
        <w:t xml:space="preserve">As summarized in our response to question 1, while we support ESMA’s objectives, we are concerned that the expansive scope of the </w:t>
      </w:r>
      <w:r>
        <w:rPr>
          <w:rFonts w:ascii="News Gothic GDB" w:hAnsi="News Gothic GDB"/>
          <w:szCs w:val="20"/>
          <w:lang w:val="en-US"/>
        </w:rPr>
        <w:t>g</w:t>
      </w:r>
      <w:r w:rsidRPr="003973BC">
        <w:rPr>
          <w:rFonts w:ascii="News Gothic GDB" w:hAnsi="News Gothic GDB"/>
          <w:szCs w:val="20"/>
          <w:lang w:val="en-US"/>
        </w:rPr>
        <w:t>uidelines, together with the prescriptive approach, is premature and, if adopted, would create further implementation challenges that may contradict other EU sustainable finance regulatory initiatives and lead to outcomes that would not benefit investors or the market. We look forward to the SFDR review along with other regulatory initiatives to bring clarity to market participants so the existing regulatory framework can fully deliver on its aims and address greenwashing risks.</w:t>
      </w:r>
    </w:p>
    <w:p w14:paraId="04EBB169" w14:textId="77777777" w:rsidR="00F71437" w:rsidRPr="003973BC" w:rsidRDefault="00F71437" w:rsidP="00F71437">
      <w:pPr>
        <w:spacing w:after="120" w:line="276" w:lineRule="auto"/>
        <w:jc w:val="both"/>
        <w:rPr>
          <w:rFonts w:ascii="News Gothic GDB" w:hAnsi="News Gothic GDB"/>
          <w:szCs w:val="20"/>
          <w:lang w:val="en-US"/>
        </w:rPr>
      </w:pPr>
      <w:r w:rsidRPr="003973BC">
        <w:rPr>
          <w:rFonts w:ascii="News Gothic GDB" w:hAnsi="News Gothic GDB"/>
          <w:szCs w:val="20"/>
          <w:lang w:val="en-US"/>
        </w:rPr>
        <w:t xml:space="preserve">As an example of one anticipated impact, from the view of benchmark administrators, the introduction of the </w:t>
      </w:r>
      <w:r>
        <w:rPr>
          <w:rFonts w:ascii="News Gothic GDB" w:hAnsi="News Gothic GDB"/>
          <w:szCs w:val="20"/>
          <w:lang w:val="en-US"/>
        </w:rPr>
        <w:t>g</w:t>
      </w:r>
      <w:r w:rsidRPr="003973BC">
        <w:rPr>
          <w:rFonts w:ascii="News Gothic GDB" w:hAnsi="News Gothic GDB"/>
          <w:szCs w:val="20"/>
          <w:lang w:val="en-US"/>
        </w:rPr>
        <w:t xml:space="preserve">uidelines would require benchmark administrators to make significant changes to the methodologies of their ESG benchmarks – in order for the ESG methodologies to be in line with the </w:t>
      </w:r>
      <w:r>
        <w:rPr>
          <w:rFonts w:ascii="News Gothic GDB" w:hAnsi="News Gothic GDB"/>
          <w:szCs w:val="20"/>
          <w:lang w:val="en-US"/>
        </w:rPr>
        <w:t>g</w:t>
      </w:r>
      <w:r w:rsidRPr="003973BC">
        <w:rPr>
          <w:rFonts w:ascii="News Gothic GDB" w:hAnsi="News Gothic GDB"/>
          <w:szCs w:val="20"/>
          <w:lang w:val="en-US"/>
        </w:rPr>
        <w:t xml:space="preserve">uidelines so that clients (asset managers) who intend to use the ESG benchmarks, </w:t>
      </w:r>
      <w:proofErr w:type="gramStart"/>
      <w:r w:rsidRPr="003973BC">
        <w:rPr>
          <w:rFonts w:ascii="News Gothic GDB" w:hAnsi="News Gothic GDB"/>
          <w:szCs w:val="20"/>
          <w:lang w:val="en-US"/>
        </w:rPr>
        <w:t>e.g.</w:t>
      </w:r>
      <w:proofErr w:type="gramEnd"/>
      <w:r w:rsidRPr="003973BC">
        <w:rPr>
          <w:rFonts w:ascii="News Gothic GDB" w:hAnsi="News Gothic GDB"/>
          <w:szCs w:val="20"/>
          <w:lang w:val="en-US"/>
        </w:rPr>
        <w:t xml:space="preserve"> as underlying for ETFs, can still use the name of the ESG index for the respective fund. Changes to the methodologies would potentially be required for the PAB exclusion criteria and to meet the 50- and 80% thresholds. Changes of benchmark methodologies can occur only within the framework of the BMR, i.e.:</w:t>
      </w:r>
    </w:p>
    <w:p w14:paraId="6101C190" w14:textId="77777777" w:rsidR="00F71437" w:rsidRPr="003973BC" w:rsidRDefault="00F71437" w:rsidP="00F71437">
      <w:pPr>
        <w:pStyle w:val="ListParagraph"/>
        <w:numPr>
          <w:ilvl w:val="0"/>
          <w:numId w:val="41"/>
        </w:numPr>
        <w:spacing w:after="120" w:line="276" w:lineRule="auto"/>
        <w:jc w:val="both"/>
        <w:rPr>
          <w:rFonts w:ascii="News Gothic GDB" w:hAnsi="News Gothic GDB"/>
          <w:szCs w:val="20"/>
          <w:lang w:val="en-US"/>
        </w:rPr>
      </w:pPr>
      <w:r w:rsidRPr="003973BC">
        <w:rPr>
          <w:rFonts w:ascii="News Gothic GDB" w:hAnsi="News Gothic GDB"/>
          <w:szCs w:val="20"/>
          <w:lang w:val="en-US"/>
        </w:rPr>
        <w:t xml:space="preserve">Benchmark administrators have rules for the design of their benchmarks which are based on the applicable legal requirements, </w:t>
      </w:r>
      <w:proofErr w:type="gramStart"/>
      <w:r w:rsidRPr="003973BC">
        <w:rPr>
          <w:rFonts w:ascii="News Gothic GDB" w:hAnsi="News Gothic GDB"/>
          <w:szCs w:val="20"/>
          <w:lang w:val="en-US"/>
        </w:rPr>
        <w:t>i.e.</w:t>
      </w:r>
      <w:proofErr w:type="gramEnd"/>
      <w:r w:rsidRPr="003973BC">
        <w:rPr>
          <w:rFonts w:ascii="News Gothic GDB" w:hAnsi="News Gothic GDB"/>
          <w:szCs w:val="20"/>
          <w:lang w:val="en-US"/>
        </w:rPr>
        <w:t xml:space="preserve"> of the BMR, UK BMR or other legal requirements for benchmarks. This means any contemplated changes must be checked against such benchmark design rules.</w:t>
      </w:r>
    </w:p>
    <w:p w14:paraId="1B6BA8E7" w14:textId="77777777" w:rsidR="00F71437" w:rsidRPr="003973BC" w:rsidRDefault="00F71437" w:rsidP="00F71437">
      <w:pPr>
        <w:pStyle w:val="ListParagraph"/>
        <w:numPr>
          <w:ilvl w:val="0"/>
          <w:numId w:val="41"/>
        </w:numPr>
        <w:spacing w:after="120" w:line="276" w:lineRule="auto"/>
        <w:jc w:val="both"/>
        <w:rPr>
          <w:rFonts w:ascii="News Gothic GDB" w:hAnsi="News Gothic GDB"/>
          <w:szCs w:val="20"/>
          <w:lang w:val="en-US"/>
        </w:rPr>
      </w:pPr>
      <w:r w:rsidRPr="003973BC">
        <w:rPr>
          <w:rFonts w:ascii="News Gothic GDB" w:hAnsi="News Gothic GDB"/>
          <w:szCs w:val="20"/>
          <w:lang w:val="en-US"/>
        </w:rPr>
        <w:t>Benchmark administrators must ensure that a change of methodology does not violate any of the requirements on benchmark methodology in the internal rules for the design of their benchmarks or legal requirements.</w:t>
      </w:r>
    </w:p>
    <w:p w14:paraId="0C3B5580" w14:textId="77777777" w:rsidR="00F71437" w:rsidRPr="003973BC" w:rsidRDefault="00F71437" w:rsidP="00F71437">
      <w:pPr>
        <w:pStyle w:val="ListParagraph"/>
        <w:numPr>
          <w:ilvl w:val="0"/>
          <w:numId w:val="41"/>
        </w:numPr>
        <w:spacing w:after="120" w:line="276" w:lineRule="auto"/>
        <w:jc w:val="both"/>
        <w:rPr>
          <w:rFonts w:ascii="News Gothic GDB" w:hAnsi="News Gothic GDB"/>
          <w:szCs w:val="20"/>
          <w:lang w:val="en-US"/>
        </w:rPr>
      </w:pPr>
      <w:r w:rsidRPr="003973BC">
        <w:rPr>
          <w:rFonts w:ascii="News Gothic GDB" w:hAnsi="News Gothic GDB"/>
          <w:szCs w:val="20"/>
          <w:lang w:val="en-US"/>
        </w:rPr>
        <w:t>After a change in methodology is implemented, the revised methodology must remain executable and result in an accurate and reliable representation of the economic realities of the interest the benchmark seeks to measure.</w:t>
      </w:r>
    </w:p>
    <w:p w14:paraId="5B4BD016" w14:textId="77777777" w:rsidR="00F71437" w:rsidRPr="003973BC" w:rsidRDefault="00F71437" w:rsidP="00F71437">
      <w:pPr>
        <w:pStyle w:val="ListParagraph"/>
        <w:numPr>
          <w:ilvl w:val="0"/>
          <w:numId w:val="41"/>
        </w:numPr>
        <w:spacing w:after="120" w:line="276" w:lineRule="auto"/>
        <w:jc w:val="both"/>
        <w:rPr>
          <w:rFonts w:ascii="News Gothic GDB" w:hAnsi="News Gothic GDB"/>
          <w:szCs w:val="20"/>
          <w:lang w:val="en-US"/>
        </w:rPr>
      </w:pPr>
      <w:r w:rsidRPr="003973BC">
        <w:rPr>
          <w:rFonts w:ascii="News Gothic GDB" w:hAnsi="News Gothic GDB"/>
          <w:szCs w:val="20"/>
          <w:lang w:val="en-US"/>
        </w:rPr>
        <w:lastRenderedPageBreak/>
        <w:t>Benchmark administrators must check whether the contemplated changes are to be considered material changes.</w:t>
      </w:r>
    </w:p>
    <w:p w14:paraId="067ACBDD" w14:textId="77777777" w:rsidR="00F71437" w:rsidRPr="003973BC" w:rsidRDefault="00F71437" w:rsidP="00F71437">
      <w:pPr>
        <w:pStyle w:val="ListParagraph"/>
        <w:numPr>
          <w:ilvl w:val="0"/>
          <w:numId w:val="41"/>
        </w:numPr>
        <w:spacing w:after="120" w:line="276" w:lineRule="auto"/>
        <w:jc w:val="both"/>
        <w:rPr>
          <w:rFonts w:ascii="News Gothic GDB" w:hAnsi="News Gothic GDB"/>
          <w:szCs w:val="20"/>
          <w:lang w:val="en-US"/>
        </w:rPr>
      </w:pPr>
      <w:r w:rsidRPr="003973BC">
        <w:rPr>
          <w:rFonts w:ascii="News Gothic GDB" w:hAnsi="News Gothic GDB"/>
          <w:szCs w:val="20"/>
          <w:lang w:val="en-US"/>
        </w:rPr>
        <w:t xml:space="preserve">In case the proposed changes to the index methodology are deemed material, a public consultation will be performed in accordance with BMR. It is very probable that the changes that will need to be made to the methodologies of ESG benchmarks if the </w:t>
      </w:r>
      <w:r>
        <w:rPr>
          <w:rFonts w:ascii="News Gothic GDB" w:hAnsi="News Gothic GDB"/>
          <w:szCs w:val="20"/>
          <w:lang w:val="en-US"/>
        </w:rPr>
        <w:t>g</w:t>
      </w:r>
      <w:r w:rsidRPr="003973BC">
        <w:rPr>
          <w:rFonts w:ascii="News Gothic GDB" w:hAnsi="News Gothic GDB"/>
          <w:szCs w:val="20"/>
          <w:lang w:val="en-US"/>
        </w:rPr>
        <w:t>uidelines need to be applied, will be considered material. This process would take time (at least 6 month) to implement.</w:t>
      </w:r>
    </w:p>
    <w:p w14:paraId="2FEB9808" w14:textId="77777777" w:rsidR="00F71437" w:rsidRPr="003973BC" w:rsidRDefault="00F71437" w:rsidP="00F71437">
      <w:pPr>
        <w:pStyle w:val="ListParagraph"/>
        <w:numPr>
          <w:ilvl w:val="0"/>
          <w:numId w:val="41"/>
        </w:numPr>
        <w:spacing w:after="120" w:line="276" w:lineRule="auto"/>
        <w:jc w:val="both"/>
        <w:rPr>
          <w:rFonts w:ascii="News Gothic GDB" w:hAnsi="News Gothic GDB"/>
          <w:szCs w:val="20"/>
          <w:lang w:val="en-US"/>
        </w:rPr>
      </w:pPr>
      <w:r w:rsidRPr="003973BC">
        <w:rPr>
          <w:rFonts w:ascii="News Gothic GDB" w:hAnsi="News Gothic GDB"/>
          <w:szCs w:val="20"/>
          <w:lang w:val="en-US"/>
        </w:rPr>
        <w:t>Methodology changes need to be approved consistent with the governance of the benchmark administrator and might be the topic of 2nd line activities and/or checked by the oversight function of the benchmark administrator.</w:t>
      </w:r>
    </w:p>
    <w:p w14:paraId="7C342DF7" w14:textId="77777777" w:rsidR="00F71437" w:rsidRPr="003973BC" w:rsidRDefault="00F71437" w:rsidP="00F71437">
      <w:pPr>
        <w:spacing w:after="120" w:line="276" w:lineRule="auto"/>
        <w:jc w:val="both"/>
        <w:rPr>
          <w:rFonts w:ascii="News Gothic GDB" w:hAnsi="News Gothic GDB"/>
          <w:szCs w:val="20"/>
          <w:lang w:val="en-US"/>
        </w:rPr>
      </w:pPr>
      <w:r w:rsidRPr="003973BC">
        <w:rPr>
          <w:rFonts w:ascii="News Gothic GDB" w:hAnsi="News Gothic GDB"/>
          <w:szCs w:val="20"/>
          <w:lang w:val="en-US"/>
        </w:rPr>
        <w:t>An initial DBG analysis shows that a significant portion of the energy sector would be screened out using the PAB exclusion criteria and would potentially eliminate methodologies that would use a best-in-class approach to selecting high performing ESG energy companies.</w:t>
      </w:r>
    </w:p>
    <w:p w14:paraId="6F6494D0" w14:textId="3104E659" w:rsidR="00B92885" w:rsidRPr="00F71437" w:rsidRDefault="00F71437" w:rsidP="00F71437">
      <w:pPr>
        <w:spacing w:after="120" w:line="276" w:lineRule="auto"/>
        <w:jc w:val="both"/>
        <w:rPr>
          <w:rFonts w:ascii="News Gothic GDB" w:hAnsi="News Gothic GDB"/>
          <w:szCs w:val="20"/>
          <w:lang w:val="en-US"/>
        </w:rPr>
      </w:pPr>
      <w:r w:rsidRPr="003973BC">
        <w:rPr>
          <w:rFonts w:ascii="News Gothic GDB" w:hAnsi="News Gothic GDB"/>
          <w:szCs w:val="20"/>
          <w:lang w:val="en-US"/>
        </w:rPr>
        <w:t>Similarly, introducing a minimum proportion of sustainable investments as defined by Article 2(17) of Regulation (EU) 2019/2088 (SFDR) as disclosed in Annexes II and III of SFDR would require a change in the methodology to ensure that the 50% threshold can be met. As this threshold is not in the original ESG index concepts, this would entail either a complete redesign of the index methodology or a renaming of the indices.</w:t>
      </w:r>
    </w:p>
    <w:permEnd w:id="929254269"/>
    <w:p w14:paraId="00ADF191" w14:textId="77777777" w:rsidR="00B92885" w:rsidRDefault="00B92885" w:rsidP="00B92885">
      <w:r>
        <w:t>&lt;ESMA_QUESTION_FUNA_15&gt;</w:t>
      </w:r>
    </w:p>
    <w:p w14:paraId="2C1900D9" w14:textId="77777777" w:rsidR="00B92885" w:rsidRDefault="00B92885" w:rsidP="00B92885"/>
    <w:p w14:paraId="56424F03" w14:textId="77777777" w:rsidR="00B92885" w:rsidRPr="00C24402" w:rsidRDefault="00B92885" w:rsidP="00B92885">
      <w:pPr>
        <w:pStyle w:val="Questionstyle"/>
        <w:numPr>
          <w:ilvl w:val="0"/>
          <w:numId w:val="39"/>
        </w:numPr>
      </w:pPr>
      <w:r>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14:paraId="48DE04B0" w14:textId="77777777" w:rsidR="00B92885" w:rsidRDefault="00B92885" w:rsidP="00B92885">
      <w:r>
        <w:t>&lt;ESMA_QUESTION_FUNA_16&gt;</w:t>
      </w:r>
    </w:p>
    <w:p w14:paraId="0866A6F6" w14:textId="77777777" w:rsidR="00B92885" w:rsidRDefault="00B92885" w:rsidP="00B92885">
      <w:permStart w:id="878708964" w:edGrp="everyone"/>
      <w:r>
        <w:t>TYPE YOUR TEXT HERE</w:t>
      </w:r>
    </w:p>
    <w:permEnd w:id="878708964"/>
    <w:p w14:paraId="651FE8BB" w14:textId="77777777" w:rsidR="00B92885" w:rsidRDefault="00B92885" w:rsidP="00B92885">
      <w:r>
        <w:t>&lt;ESMA_QUESTION_FUNA_16&gt;</w:t>
      </w:r>
    </w:p>
    <w:p w14:paraId="6D8E7793" w14:textId="14304513" w:rsidR="00F87897" w:rsidRDefault="00F87897" w:rsidP="00B92885">
      <w:pPr>
        <w:pStyle w:val="Questionstyle"/>
        <w:numPr>
          <w:ilvl w:val="0"/>
          <w:numId w:val="39"/>
        </w:numPr>
        <w:rPr>
          <w:rFonts w:cstheme="minorBidi"/>
          <w:b w:val="0"/>
          <w:sz w:val="22"/>
          <w:lang w:eastAsia="en-US"/>
        </w:rPr>
      </w:pPr>
    </w:p>
    <w:sectPr w:rsidR="00F87897"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A7C01" w14:textId="77777777" w:rsidR="002E108C" w:rsidRDefault="002E108C">
      <w:r>
        <w:separator/>
      </w:r>
    </w:p>
    <w:p w14:paraId="25A3F7C0" w14:textId="77777777" w:rsidR="002E108C" w:rsidRDefault="002E108C"/>
  </w:endnote>
  <w:endnote w:type="continuationSeparator" w:id="0">
    <w:p w14:paraId="0659998E" w14:textId="77777777" w:rsidR="002E108C" w:rsidRDefault="002E108C">
      <w:r>
        <w:continuationSeparator/>
      </w:r>
    </w:p>
    <w:p w14:paraId="36649143" w14:textId="77777777" w:rsidR="002E108C" w:rsidRDefault="002E108C"/>
  </w:endnote>
  <w:endnote w:type="continuationNotice" w:id="1">
    <w:p w14:paraId="797C17AF" w14:textId="77777777" w:rsidR="002E108C" w:rsidRDefault="002E10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s Gothic GDB">
    <w:altName w:val="Calibri"/>
    <w:charset w:val="00"/>
    <w:family w:val="swiss"/>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4CF051A6" w:rsidR="00267551" w:rsidRDefault="00267551" w:rsidP="00B92885">
    <w:pPr>
      <w:pStyle w:val="Footer"/>
      <w:tabs>
        <w:tab w:val="clear" w:pos="4536"/>
        <w:tab w:val="clear" w:pos="9072"/>
        <w:tab w:val="left" w:pos="8227"/>
        <w:tab w:val="right" w:pos="9412"/>
      </w:tabs>
    </w:pPr>
    <w:r>
      <w:tab/>
    </w:r>
    <w:r w:rsidR="00B92885">
      <w:tab/>
    </w:r>
  </w:p>
  <w:p w14:paraId="3A793707" w14:textId="084F8123" w:rsidR="00B92885" w:rsidRDefault="00B92885" w:rsidP="00B92885">
    <w:pPr>
      <w:pStyle w:val="Footer"/>
      <w:tabs>
        <w:tab w:val="clear" w:pos="4536"/>
        <w:tab w:val="clear" w:pos="9072"/>
        <w:tab w:val="left" w:pos="8227"/>
        <w:tab w:val="right" w:pos="9412"/>
      </w:tabs>
    </w:pPr>
    <w:r>
      <w:tab/>
    </w:r>
    <w:r>
      <w:tab/>
    </w:r>
    <w:r>
      <w:tab/>
    </w:r>
  </w:p>
  <w:p w14:paraId="6D19C66C" w14:textId="10DE0B9B" w:rsidR="00B92885" w:rsidRDefault="00B92885" w:rsidP="00B92885">
    <w:pPr>
      <w:pStyle w:val="Footer"/>
      <w:tabs>
        <w:tab w:val="clear" w:pos="4536"/>
        <w:tab w:val="clear" w:pos="9072"/>
        <w:tab w:val="left" w:pos="8227"/>
        <w:tab w:val="right" w:pos="941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E82DA" w14:textId="77777777" w:rsidR="002E108C" w:rsidRDefault="002E108C">
      <w:r>
        <w:separator/>
      </w:r>
    </w:p>
    <w:p w14:paraId="464EEB2B" w14:textId="77777777" w:rsidR="002E108C" w:rsidRDefault="002E108C"/>
  </w:footnote>
  <w:footnote w:type="continuationSeparator" w:id="0">
    <w:p w14:paraId="196AD18B" w14:textId="77777777" w:rsidR="002E108C" w:rsidRDefault="002E108C">
      <w:r>
        <w:continuationSeparator/>
      </w:r>
    </w:p>
    <w:p w14:paraId="31F58635" w14:textId="77777777" w:rsidR="002E108C" w:rsidRDefault="002E108C"/>
  </w:footnote>
  <w:footnote w:type="continuationNotice" w:id="1">
    <w:p w14:paraId="7CF35C3A" w14:textId="77777777" w:rsidR="002E108C" w:rsidRDefault="002E10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Header"/>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2D870"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Header"/>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Header"/>
      <w:rPr>
        <w:lang w:val="fr-FR"/>
      </w:rPr>
    </w:pPr>
  </w:p>
  <w:p w14:paraId="3F30C70B" w14:textId="77777777" w:rsidR="00267551" w:rsidRPr="002F4496" w:rsidRDefault="00267551" w:rsidP="000C06C9">
    <w:pPr>
      <w:pStyle w:val="Header"/>
      <w:tabs>
        <w:tab w:val="clear" w:pos="4536"/>
        <w:tab w:val="clear" w:pos="9072"/>
        <w:tab w:val="left" w:pos="8227"/>
      </w:tabs>
      <w:rPr>
        <w:lang w:val="fr-FR"/>
      </w:rPr>
    </w:pPr>
  </w:p>
  <w:p w14:paraId="4D50BC39" w14:textId="77777777" w:rsidR="00267551" w:rsidRPr="002F4496" w:rsidRDefault="00267551" w:rsidP="00583885">
    <w:pPr>
      <w:pStyle w:val="Header"/>
      <w:jc w:val="right"/>
      <w:rPr>
        <w:lang w:val="fr-FR"/>
      </w:rPr>
    </w:pPr>
  </w:p>
  <w:p w14:paraId="2D51BEA2" w14:textId="77777777" w:rsidR="00267551" w:rsidRPr="002F4496" w:rsidRDefault="00267551">
    <w:pPr>
      <w:pStyle w:val="Header"/>
      <w:rPr>
        <w:lang w:val="fr-FR"/>
      </w:rPr>
    </w:pPr>
  </w:p>
  <w:p w14:paraId="340B2438" w14:textId="77777777" w:rsidR="00267551" w:rsidRPr="002F4496" w:rsidRDefault="00267551">
    <w:pPr>
      <w:pStyle w:val="Header"/>
      <w:rPr>
        <w:lang w:val="fr-FR"/>
      </w:rPr>
    </w:pPr>
  </w:p>
  <w:p w14:paraId="2A794A3E" w14:textId="77777777" w:rsidR="00267551" w:rsidRPr="002F4496" w:rsidRDefault="00267551">
    <w:pPr>
      <w:pStyle w:val="Header"/>
      <w:rPr>
        <w:lang w:val="fr-FR"/>
      </w:rPr>
    </w:pPr>
  </w:p>
  <w:p w14:paraId="0A21F475" w14:textId="77777777" w:rsidR="00267551" w:rsidRPr="002F4496" w:rsidRDefault="00267551">
    <w:pPr>
      <w:pStyle w:val="Header"/>
      <w:rPr>
        <w:highlight w:val="yellow"/>
        <w:lang w:val="fr-FR"/>
      </w:rPr>
    </w:pPr>
  </w:p>
  <w:p w14:paraId="53ABEE5D" w14:textId="77777777" w:rsidR="00267551" w:rsidRDefault="00267551">
    <w:pPr>
      <w:pStyle w:val="Header"/>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C18BA"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5FAC2285"/>
    <w:multiLevelType w:val="hybridMultilevel"/>
    <w:tmpl w:val="0AC22CD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3"/>
  </w:num>
  <w:num w:numId="5">
    <w:abstractNumId w:val="25"/>
  </w:num>
  <w:num w:numId="6">
    <w:abstractNumId w:val="0"/>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1"/>
  </w:num>
  <w:num w:numId="14">
    <w:abstractNumId w:val="22"/>
  </w:num>
  <w:num w:numId="15">
    <w:abstractNumId w:val="10"/>
  </w:num>
  <w:num w:numId="16">
    <w:abstractNumId w:val="1"/>
  </w:num>
  <w:num w:numId="17">
    <w:abstractNumId w:val="14"/>
  </w:num>
  <w:num w:numId="18">
    <w:abstractNumId w:val="15"/>
  </w:num>
  <w:num w:numId="19">
    <w:abstractNumId w:val="17"/>
  </w:num>
  <w:num w:numId="20">
    <w:abstractNumId w:val="26"/>
  </w:num>
  <w:num w:numId="21">
    <w:abstractNumId w:val="37"/>
  </w:num>
  <w:num w:numId="22">
    <w:abstractNumId w:val="24"/>
  </w:num>
  <w:num w:numId="23">
    <w:abstractNumId w:val="9"/>
  </w:num>
  <w:num w:numId="24">
    <w:abstractNumId w:val="29"/>
  </w:num>
  <w:num w:numId="25">
    <w:abstractNumId w:val="28"/>
  </w:num>
  <w:num w:numId="26">
    <w:abstractNumId w:val="19"/>
  </w:num>
  <w:num w:numId="27">
    <w:abstractNumId w:val="33"/>
  </w:num>
  <w:num w:numId="28">
    <w:abstractNumId w:val="39"/>
  </w:num>
  <w:num w:numId="29">
    <w:abstractNumId w:val="7"/>
  </w:num>
  <w:num w:numId="30">
    <w:abstractNumId w:val="2"/>
  </w:num>
  <w:num w:numId="31">
    <w:abstractNumId w:val="21"/>
  </w:num>
  <w:num w:numId="32">
    <w:abstractNumId w:val="20"/>
  </w:num>
  <w:num w:numId="33">
    <w:abstractNumId w:val="35"/>
  </w:num>
  <w:num w:numId="34">
    <w:abstractNumId w:val="34"/>
  </w:num>
  <w:num w:numId="35">
    <w:abstractNumId w:val="4"/>
  </w:num>
  <w:num w:numId="36">
    <w:abstractNumId w:val="36"/>
  </w:num>
  <w:num w:numId="37">
    <w:abstractNumId w:val="20"/>
    <w:lvlOverride w:ilvl="0">
      <w:startOverride w:val="1"/>
    </w:lvlOverride>
  </w:num>
  <w:num w:numId="38">
    <w:abstractNumId w:val="20"/>
  </w:num>
  <w:num w:numId="39">
    <w:abstractNumId w:val="12"/>
  </w:num>
  <w:num w:numId="40">
    <w:abstractNumId w:val="5"/>
  </w:num>
  <w:num w:numId="41">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27EEB"/>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C06C9"/>
    <w:rsid w:val="000C1DCC"/>
    <w:rsid w:val="000C1FBC"/>
    <w:rsid w:val="000C2054"/>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73D3"/>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073F1"/>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08C"/>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1DDE"/>
    <w:rsid w:val="0044277A"/>
    <w:rsid w:val="004434EF"/>
    <w:rsid w:val="004456DC"/>
    <w:rsid w:val="00447FBE"/>
    <w:rsid w:val="0045035E"/>
    <w:rsid w:val="0045175A"/>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3FA8"/>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52E"/>
    <w:rsid w:val="005765C0"/>
    <w:rsid w:val="005778DE"/>
    <w:rsid w:val="00580B3F"/>
    <w:rsid w:val="005825F2"/>
    <w:rsid w:val="00583885"/>
    <w:rsid w:val="005860AF"/>
    <w:rsid w:val="00587F1D"/>
    <w:rsid w:val="00590348"/>
    <w:rsid w:val="00591161"/>
    <w:rsid w:val="00591CDF"/>
    <w:rsid w:val="00592318"/>
    <w:rsid w:val="00593133"/>
    <w:rsid w:val="00594EA8"/>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161A"/>
    <w:rsid w:val="006021B8"/>
    <w:rsid w:val="00602253"/>
    <w:rsid w:val="006023E1"/>
    <w:rsid w:val="00605497"/>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246A"/>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4FB"/>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4C16"/>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768"/>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85"/>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1917"/>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AE0"/>
    <w:rsid w:val="00D4017D"/>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437"/>
    <w:rsid w:val="00F71AC2"/>
    <w:rsid w:val="00F739D4"/>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Bullet List,FooterText,Creds Title,Catch All,Heading III,List Paragraph Main,List first level,Liste 1"/>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Bullet List Char,FooterText Char,List Paragraph1 Char,Creds Title Char,Listenabsatz1 Char,Catch All Char,Heading III Char,List Paragraph Main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DefaultParagraphFont"/>
    <w:link w:val="Questionstyle"/>
    <w:locked/>
    <w:rsid w:val="000A609F"/>
    <w:rPr>
      <w:rFonts w:ascii="Arial" w:eastAsiaTheme="minorEastAsia" w:hAnsi="Arial" w:cs="Arial"/>
      <w:b/>
      <w:lang w:val="en-US"/>
    </w:rPr>
  </w:style>
  <w:style w:type="paragraph" w:customStyle="1" w:styleId="Questionstyle">
    <w:name w:val="Question style"/>
    <w:basedOn w:val="Normal"/>
    <w:next w:val="Normal"/>
    <w:link w:val="QuestionstyleChar"/>
    <w:autoRedefine/>
    <w:qFormat/>
    <w:rsid w:val="000A609F"/>
    <w:pPr>
      <w:spacing w:after="250" w:line="276" w:lineRule="auto"/>
      <w:contextualSpacing/>
      <w:jc w:val="both"/>
    </w:pPr>
    <w:rPr>
      <w:rFonts w:eastAsiaTheme="minorEastAsia" w:cs="Arial"/>
      <w:b/>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Date xmlns="35c8e399-07b8-49e4-91bf-01a20105d4df" xsi:nil="true"/>
    <Year xmlns="35c8e399-07b8-49e4-91bf-01a20105d4df">2022</Year>
    <TaxCatchAll xmlns="35c8e399-07b8-49e4-91bf-01a20105d4df">
      <Value>15</Value>
      <Value>46</Value>
      <Value>385</Value>
      <Value>194</Value>
      <Value>379</Value>
      <Value>38</Value>
    </TaxCatchAll>
    <_dlc_DocId xmlns="35c8e399-07b8-49e4-91bf-01a20105d4df">ESMA34-472-383</_dlc_DocId>
    <_dlc_DocIdUrl xmlns="35c8e399-07b8-49e4-91bf-01a20105d4df">
      <Url>https://sherpa.esma.europa.eu/sites/INIIVM/_layouts/15/DocIdRedir.aspx?ID=ESMA34-472-383</Url>
      <Description>ESMA34-472-383</Description>
    </_dlc_DocIdUrl>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Supervisory briefing</TermName>
          <TermId xmlns="http://schemas.microsoft.com/office/infopath/2007/PartnerControls">bf46ff00-e6bf-4d5e-8642-e9ec713c4e98</TermId>
        </TermInfo>
      </Terms>
    </pe003f6b23174764860dd10a5d2d3e7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IMSC and OWG work on sustainable finance</TermName>
          <TermId xmlns="http://schemas.microsoft.com/office/infopath/2007/PartnerControls">f6ed5092-971f-4cd6-863c-09ec339003ff</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oa4fe03ffd8943c1880fe290404e8de7>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2.xml><?xml version="1.0" encoding="utf-8"?>
<ds:datastoreItem xmlns:ds="http://schemas.openxmlformats.org/officeDocument/2006/customXml" ds:itemID="{30B5F0D0-E3B5-4691-8DB3-653E429C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35c8e399-07b8-49e4-91bf-01a20105d4df"/>
  </ds:schemaRefs>
</ds:datastoreItem>
</file>

<file path=customXml/itemProps6.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7675</Words>
  <Characters>43753</Characters>
  <Application>Microsoft Office Word</Application>
  <DocSecurity>8</DocSecurity>
  <Lines>364</Lines>
  <Paragraphs>102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51326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Daniel Sonnenburg</cp:lastModifiedBy>
  <cp:revision>6</cp:revision>
  <cp:lastPrinted>2015-02-18T11:01:00Z</cp:lastPrinted>
  <dcterms:created xsi:type="dcterms:W3CDTF">2023-02-20T22:21:00Z</dcterms:created>
  <dcterms:modified xsi:type="dcterms:W3CDTF">2023-02-20T22:36:00Z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ies>
</file>