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Hyperlink"/>
        </w:rPr>
        <w:t>www.esma.europa.eu</w:t>
      </w:r>
      <w:r w:rsidR="0066246A">
        <w:rPr>
          <w:rStyle w:val="Hyperlink"/>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9"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11E62466" w:rsidR="00C2682A" w:rsidRPr="00AB6D88" w:rsidRDefault="00F023CA" w:rsidP="00FA5524">
                <w:pPr>
                  <w:rPr>
                    <w:rStyle w:val="PlaceholderText"/>
                    <w:rFonts w:cs="Arial"/>
                  </w:rPr>
                </w:pPr>
                <w:r>
                  <w:rPr>
                    <w:rStyle w:val="PlaceholderText"/>
                    <w:rFonts w:cs="Arial"/>
                  </w:rPr>
                  <w:t>State Street Global Advisors Europe Limited</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4E2FB1BA" w:rsidR="00C2682A" w:rsidRPr="00AB6D88" w:rsidRDefault="00EC153E"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Asset</w:t>
                </w:r>
                <w:r w:rsidR="005E1126">
                  <w:rPr>
                    <w:rFonts w:cs="Arial"/>
                  </w:rPr>
                  <w:t xml:space="preserve"> Management</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41F79C44" w:rsidR="00C2682A" w:rsidRPr="00AB6D88" w:rsidRDefault="00D4017D"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3A3261D6" w:rsidR="00C2682A" w:rsidRPr="00AB6D88" w:rsidRDefault="00F023CA" w:rsidP="00FA5524">
                <w:pPr>
                  <w:rPr>
                    <w:rFonts w:cs="Arial"/>
                  </w:rPr>
                </w:pPr>
                <w:r>
                  <w:rPr>
                    <w:rFonts w:cs="Arial"/>
                  </w:rPr>
                  <w:t>Europe</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4B4BC7FE" w14:textId="44B473CE" w:rsidR="00F023CA" w:rsidRDefault="00F023CA" w:rsidP="00F023CA">
      <w:permStart w:id="1100430741" w:edGrp="everyone"/>
      <w:r>
        <w:t>State Street Global Advisors appreciates the opportunity to provide feedback on the consultat</w:t>
      </w:r>
      <w:r w:rsidR="009C3405">
        <w:t>ion paper i</w:t>
      </w:r>
      <w:r>
        <w:t xml:space="preserve">ssued by the European Supervisory and Markets Authority (“ESMA”) regarding </w:t>
      </w:r>
      <w:r>
        <w:rPr>
          <w:i/>
          <w:iCs/>
        </w:rPr>
        <w:t>Guidelines on funds’ names using ESG or sustainability-related terms</w:t>
      </w:r>
      <w:r>
        <w:t>.</w:t>
      </w:r>
    </w:p>
    <w:p w14:paraId="03308C06" w14:textId="259ED09B" w:rsidR="00F023CA" w:rsidRDefault="00F023CA" w:rsidP="00F023CA"/>
    <w:p w14:paraId="58B57ED5" w14:textId="325A6E7C" w:rsidR="00F023CA" w:rsidRDefault="00F023CA" w:rsidP="00F023CA">
      <w:r>
        <w:t>State Street Global Advisors is the investment arm of State Street Corporation</w:t>
      </w:r>
      <w:r w:rsidR="009C3405">
        <w:t xml:space="preserve"> and, w</w:t>
      </w:r>
      <w:r>
        <w:t>ith $3.5 trillion in assets under management</w:t>
      </w:r>
      <w:r w:rsidR="009C3405">
        <w:t xml:space="preserve"> (</w:t>
      </w:r>
      <w:r>
        <w:t>as of 31 December 2022</w:t>
      </w:r>
      <w:r w:rsidR="009C3405">
        <w:t>)</w:t>
      </w:r>
      <w:r>
        <w:t xml:space="preserve"> is one of the largest asset managers in the world. This includes approximately $59 billion of assets with respect to SPDR® products for which State Street Global Advisors Funds Distributors, LLC (SSGA FD) acts solely as the marketing agent. SSGA FD and State Street Global Advisors are affiliated. For more information, please visit SSGA’s website at www.ssga.com.</w:t>
      </w:r>
    </w:p>
    <w:p w14:paraId="6429573F" w14:textId="23F92B2B" w:rsidR="00F023CA" w:rsidRDefault="00F023CA" w:rsidP="00F023CA"/>
    <w:p w14:paraId="28F9C778" w14:textId="6907197E" w:rsidR="00F023CA" w:rsidRDefault="00F023CA" w:rsidP="00F023CA">
      <w:pPr>
        <w:rPr>
          <w:rFonts w:asciiTheme="minorHAnsi" w:hAnsiTheme="minorHAnsi"/>
          <w:szCs w:val="22"/>
          <w:lang w:eastAsia="zh-CN"/>
        </w:rPr>
      </w:pPr>
      <w:r>
        <w:t>We recognise the importance of ensuring fund names</w:t>
      </w:r>
      <w:r w:rsidR="009C3405">
        <w:t xml:space="preserve"> and marketing communications</w:t>
      </w:r>
      <w:r>
        <w:t xml:space="preserve"> are </w:t>
      </w:r>
      <w:r w:rsidR="009C3405">
        <w:t>“</w:t>
      </w:r>
      <w:r>
        <w:t>fair, clear and not misleading</w:t>
      </w:r>
      <w:r w:rsidR="009C3405">
        <w:t>”, and we agree that t</w:t>
      </w:r>
      <w:r>
        <w:t xml:space="preserve">ackling greenwashing </w:t>
      </w:r>
      <w:r w:rsidR="009C3405">
        <w:t xml:space="preserve">is </w:t>
      </w:r>
      <w:r>
        <w:t>an emerging area of focus</w:t>
      </w:r>
      <w:r w:rsidR="009C3405">
        <w:t>,</w:t>
      </w:r>
      <w:r>
        <w:t xml:space="preserve"> globally</w:t>
      </w:r>
      <w:r w:rsidR="009C3405">
        <w:t>, as a result of</w:t>
      </w:r>
      <w:r>
        <w:t xml:space="preserve"> a growing number of funds using ESG and sustainability-related terminology in their name.</w:t>
      </w:r>
      <w:r w:rsidR="009C3405">
        <w:t xml:space="preserve"> Overall, w</w:t>
      </w:r>
      <w:r>
        <w:t xml:space="preserve">hilst we are supportive </w:t>
      </w:r>
      <w:r w:rsidR="009C3405">
        <w:t xml:space="preserve">of the overarching </w:t>
      </w:r>
      <w:r>
        <w:t>objective in this regard, we are</w:t>
      </w:r>
      <w:r w:rsidR="009C3405">
        <w:t xml:space="preserve"> particularly</w:t>
      </w:r>
      <w:r>
        <w:t xml:space="preserve"> concerned </w:t>
      </w:r>
      <w:r w:rsidR="009C3405">
        <w:t xml:space="preserve">with the proposed </w:t>
      </w:r>
      <w:r w:rsidR="005B77E3">
        <w:t>introduc</w:t>
      </w:r>
      <w:r w:rsidR="009C3405">
        <w:t>tion of</w:t>
      </w:r>
      <w:r>
        <w:t xml:space="preserve"> quantitative thresholds </w:t>
      </w:r>
      <w:r w:rsidR="009C3405">
        <w:t xml:space="preserve">and other prescriptive criteria in order to </w:t>
      </w:r>
      <w:r>
        <w:t xml:space="preserve">use sustainable terminology in fund names. We provide detailed comments </w:t>
      </w:r>
      <w:r w:rsidR="009C3405">
        <w:t xml:space="preserve">in response </w:t>
      </w:r>
      <w:r>
        <w:t>to the consultation questions below.</w:t>
      </w:r>
    </w:p>
    <w:permEnd w:id="1100430741"/>
    <w:p w14:paraId="3B95B420"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B92885">
      <w:pPr>
        <w:pStyle w:val="Questionstyle"/>
        <w:numPr>
          <w:ilvl w:val="0"/>
          <w:numId w:val="39"/>
        </w:numPr>
      </w:pPr>
      <w:r>
        <w:br w:type="page"/>
      </w:r>
      <w:r w:rsidR="00B92885">
        <w:lastRenderedPageBreak/>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156461C8" w14:textId="38FC611F" w:rsidR="00F023CA" w:rsidRDefault="00F023CA" w:rsidP="00F023CA">
      <w:permStart w:id="1596738700" w:edGrp="everyone"/>
      <w:r>
        <w:t xml:space="preserve">Whilst we appreciate the proposed Guidelines </w:t>
      </w:r>
      <w:r w:rsidR="00092600">
        <w:t xml:space="preserve">seek to promote a more </w:t>
      </w:r>
      <w:r>
        <w:t>consisten</w:t>
      </w:r>
      <w:r w:rsidR="00092600">
        <w:t>t approach to the way in which ESG and sustainability-related terms are used in fund names</w:t>
      </w:r>
      <w:r>
        <w:t xml:space="preserve">, we </w:t>
      </w:r>
      <w:r w:rsidR="00092600">
        <w:t>do not agree with</w:t>
      </w:r>
      <w:r>
        <w:t xml:space="preserve"> </w:t>
      </w:r>
      <w:r w:rsidR="00092600">
        <w:t xml:space="preserve">the proposed introduction of </w:t>
      </w:r>
      <w:r>
        <w:t>quantitative thresholds</w:t>
      </w:r>
      <w:r w:rsidR="00092600">
        <w:t xml:space="preserve"> to assess funds’ names. </w:t>
      </w:r>
      <w:r>
        <w:t xml:space="preserve">Challenges with absent, unclear or incomparable data </w:t>
      </w:r>
      <w:r w:rsidR="00092600">
        <w:t xml:space="preserve">would </w:t>
      </w:r>
      <w:r>
        <w:t>impede investment mangers’ ability to calculate the thresholds accurately</w:t>
      </w:r>
      <w:r w:rsidR="00092600">
        <w:t xml:space="preserve">. There is also insufficient guidance provided as to how these thresholds should </w:t>
      </w:r>
      <w:r>
        <w:t>be calculated</w:t>
      </w:r>
      <w:r w:rsidR="00092600">
        <w:t>, not least given broad reference to undefined terms such as ‘sustainable investment’</w:t>
      </w:r>
      <w:r w:rsidR="00210474">
        <w:t xml:space="preserve">, as discussed below. </w:t>
      </w:r>
      <w:r w:rsidR="00092600">
        <w:t>We recommend</w:t>
      </w:r>
      <w:r>
        <w:t xml:space="preserve"> </w:t>
      </w:r>
      <w:r w:rsidR="00092600">
        <w:t xml:space="preserve">that these Guidelines focus on reinforcing existing rules for fund names and marketing communications, particularly in view of any </w:t>
      </w:r>
      <w:r>
        <w:t xml:space="preserve">recalibration of </w:t>
      </w:r>
      <w:r w:rsidR="00092600">
        <w:t>t</w:t>
      </w:r>
      <w:r>
        <w:t>he</w:t>
      </w:r>
      <w:r w:rsidR="00092600">
        <w:t xml:space="preserve"> EU</w:t>
      </w:r>
      <w:r>
        <w:t xml:space="preserve"> Sustainable Finance Disclosure Regulation (SFDR</w:t>
      </w:r>
      <w:r w:rsidR="00092600">
        <w:t>)</w:t>
      </w:r>
      <w:r>
        <w:t>.</w:t>
      </w:r>
    </w:p>
    <w:p w14:paraId="0DD99854" w14:textId="77777777" w:rsidR="00F023CA" w:rsidRDefault="00F023CA" w:rsidP="00F023CA">
      <w:pPr>
        <w:rPr>
          <w:rFonts w:asciiTheme="minorHAnsi" w:hAnsiTheme="minorHAnsi"/>
          <w:szCs w:val="22"/>
          <w:lang w:eastAsia="zh-CN"/>
        </w:rPr>
      </w:pPr>
    </w:p>
    <w:p w14:paraId="4707F2F3" w14:textId="1446F110" w:rsidR="00F023CA" w:rsidRDefault="00F023CA" w:rsidP="00F023CA">
      <w:r>
        <w:t xml:space="preserve">Specifically, the draft Guidelines do not provide any detail as to how the 80% threshold should be calculated. This would lead to investment managers and </w:t>
      </w:r>
      <w:r w:rsidR="00210474">
        <w:t>national competent authorities (“NCAs”)</w:t>
      </w:r>
      <w:r>
        <w:t xml:space="preserve"> adopting different approaches, thereby having the direct opposite effect of enhancing comparability between investment funds. We have similar concerns regarding the 50% minimum proportion of sustainable investments in order to the use of the word “sustainable” or any other sustainability-related term in the name of the fund. In short, there is no legal definition of “sustainable investment” that is sufficient to ensure a consistent approach across financial market participants. In the current application of SFDR, different managers have adopted different interpretation, and this may not lead to clear and consistent outcomes for consumers as intended by the Regulation.</w:t>
      </w:r>
    </w:p>
    <w:p w14:paraId="200FC82C" w14:textId="77777777" w:rsidR="00F023CA" w:rsidRDefault="00F023CA" w:rsidP="00F023CA"/>
    <w:p w14:paraId="17001E16" w14:textId="7C1DFC2E" w:rsidR="00F023CA" w:rsidRDefault="00F023CA" w:rsidP="00F023CA">
      <w:r>
        <w:t xml:space="preserve">These Guidelines are drafted in a way that could constrain sustainable funds to only invest in securities that have reasonably adequate data such as large cap equities, since data and methodological challenges would impede other asset classes’ ability to meet specific thresholds. For example, multi-asset funds and/or fixed income funds will probably be constructed of government bonds and cash, but the introduction of any threshold </w:t>
      </w:r>
      <w:r w:rsidR="00540847">
        <w:t>would effectively</w:t>
      </w:r>
      <w:r>
        <w:t xml:space="preserve"> place a cap on these assets.</w:t>
      </w:r>
      <w:r w:rsidR="00540847">
        <w:t xml:space="preserve"> </w:t>
      </w:r>
      <w:r>
        <w:t xml:space="preserve">This could detrimentally impact our ability to manage risk and expose investors to heightened concentration risk. </w:t>
      </w:r>
    </w:p>
    <w:p w14:paraId="2B9A175F" w14:textId="77777777" w:rsidR="00F023CA" w:rsidRDefault="00F023CA" w:rsidP="00F023CA"/>
    <w:p w14:paraId="7A8EE23E" w14:textId="60628AF4" w:rsidR="00F023CA" w:rsidRDefault="00F023CA" w:rsidP="00F023CA">
      <w:r>
        <w:t>Furthermore, in order to apply the proposed quantitative thresholds, the guidance refers to definitions provided for in the EU SFDR. This includes “environmental and social characteristics” and “sustainable investments” under Article 8 and Article 9. These definitions are not</w:t>
      </w:r>
      <w:r w:rsidR="00210474">
        <w:t xml:space="preserve"> currently precis</w:t>
      </w:r>
      <w:r>
        <w:t xml:space="preserve">ely defined in the Regulation, and have been subject to wide interpretation by financial market participants and NCAs. </w:t>
      </w:r>
      <w:r w:rsidR="00210474">
        <w:t>Should the</w:t>
      </w:r>
      <w:r>
        <w:t xml:space="preserve"> European Commission </w:t>
      </w:r>
      <w:r w:rsidR="00210474">
        <w:t xml:space="preserve">respond to the European Supervisory Authorities’ request for clarification as part of Level 1 legislative review, these Guidelines should not </w:t>
      </w:r>
      <w:r>
        <w:t>introduc</w:t>
      </w:r>
      <w:r w:rsidR="00210474">
        <w:t xml:space="preserve">e </w:t>
      </w:r>
      <w:r>
        <w:t>quantitative thresholds to avoid</w:t>
      </w:r>
      <w:r w:rsidR="00210474">
        <w:t xml:space="preserve"> unnecessary</w:t>
      </w:r>
      <w:r>
        <w:t xml:space="preserve"> further updates/changes to fund names</w:t>
      </w:r>
      <w:r w:rsidR="00210474">
        <w:t xml:space="preserve">.  </w:t>
      </w:r>
    </w:p>
    <w:p w14:paraId="4D361D96" w14:textId="77777777" w:rsidR="00F023CA" w:rsidRDefault="00F023CA" w:rsidP="00F023CA"/>
    <w:p w14:paraId="043F3971" w14:textId="0428150C" w:rsidR="00B92885" w:rsidRDefault="00F023CA" w:rsidP="00B92885">
      <w:r>
        <w:t>Should ESMA proceed with mandating quantitative thresholds, however, the final Guidelines would need to consider allowing for ‘cure periods’ to address inadvertent breaches of such thresholds.</w:t>
      </w:r>
    </w:p>
    <w:permEnd w:id="1596738700"/>
    <w:p w14:paraId="088B5A4D" w14:textId="77777777" w:rsidR="00B92885" w:rsidRDefault="00B92885" w:rsidP="00B92885">
      <w:r>
        <w:t>&lt;ESMA_QUESTION_FUNA_1&gt;</w:t>
      </w:r>
    </w:p>
    <w:p w14:paraId="651402EE" w14:textId="77777777" w:rsidR="00B92885" w:rsidRDefault="00B92885" w:rsidP="00B92885"/>
    <w:p w14:paraId="4BC13ED3" w14:textId="77777777" w:rsidR="00B92885" w:rsidRPr="00AA6F4F" w:rsidRDefault="00B92885" w:rsidP="00B92885">
      <w:pPr>
        <w:pStyle w:val="Questionstyle"/>
        <w:numPr>
          <w:ilvl w:val="0"/>
          <w:numId w:val="39"/>
        </w:numPr>
      </w:pPr>
      <w:r>
        <w:t xml:space="preserve">: </w:t>
      </w:r>
      <w:bookmarkStart w:id="3"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3"/>
    <w:p w14:paraId="4F9400BD" w14:textId="77777777" w:rsidR="00B92885" w:rsidRDefault="00B92885" w:rsidP="00B92885">
      <w:r>
        <w:t>&lt;ESMA_QUESTION_FUNA_2&gt;</w:t>
      </w:r>
    </w:p>
    <w:p w14:paraId="7F4D7E90" w14:textId="2FC82A34" w:rsidR="00F023CA" w:rsidRDefault="00F023CA" w:rsidP="00F023CA">
      <w:pPr>
        <w:rPr>
          <w:rFonts w:asciiTheme="minorHAnsi" w:hAnsiTheme="minorHAnsi"/>
          <w:szCs w:val="22"/>
          <w:lang w:eastAsia="zh-CN"/>
        </w:rPr>
      </w:pPr>
      <w:permStart w:id="1305634831" w:edGrp="everyone"/>
      <w:r>
        <w:t>As above -- we do not agree with the introduction of thresholds at this time. We recommend that ESMA relies on existing marketing requirements to ensure clear, fair and accurate product information, and apply that to fund naming conventions.</w:t>
      </w:r>
    </w:p>
    <w:permEnd w:id="1305634831"/>
    <w:p w14:paraId="562CCC86" w14:textId="77777777" w:rsidR="00B92885" w:rsidRDefault="00B92885" w:rsidP="00B92885">
      <w:r>
        <w:t>&lt;ESMA_QUESTION_FUNA_2&gt;</w:t>
      </w:r>
    </w:p>
    <w:p w14:paraId="0FAF0A39" w14:textId="77777777" w:rsidR="00B92885" w:rsidRDefault="00B92885" w:rsidP="00B92885"/>
    <w:p w14:paraId="4927E281" w14:textId="77777777" w:rsidR="00B92885" w:rsidRDefault="00B92885" w:rsidP="00B92885">
      <w:pPr>
        <w:pStyle w:val="Questionstyle"/>
        <w:numPr>
          <w:ilvl w:val="0"/>
          <w:numId w:val="39"/>
        </w:numPr>
      </w:pPr>
      <w:r>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lastRenderedPageBreak/>
        <w:t>&lt;ESMA_QUESTION_FUNA_3&gt;</w:t>
      </w:r>
    </w:p>
    <w:p w14:paraId="40689871" w14:textId="7D3BD063" w:rsidR="00F023CA" w:rsidRDefault="00F023CA" w:rsidP="00F023CA">
      <w:pPr>
        <w:rPr>
          <w:rFonts w:asciiTheme="minorHAnsi" w:hAnsiTheme="minorHAnsi"/>
          <w:szCs w:val="22"/>
          <w:lang w:eastAsia="zh-CN"/>
        </w:rPr>
      </w:pPr>
      <w:permStart w:id="347949177" w:edGrp="everyone"/>
      <w:r>
        <w:t>As discussed in questions 1 and 2, we do not agree with the introduction of thresholds at this time.</w:t>
      </w:r>
    </w:p>
    <w:permEnd w:id="347949177"/>
    <w:p w14:paraId="4C140ACE" w14:textId="77777777" w:rsidR="00B92885" w:rsidRDefault="00B92885" w:rsidP="00B92885">
      <w:r>
        <w:t>&lt;ESMA_QUESTION_FUNA_3&gt;</w:t>
      </w:r>
    </w:p>
    <w:p w14:paraId="37EF5282" w14:textId="77777777" w:rsidR="00B92885" w:rsidRDefault="00B92885" w:rsidP="00B92885"/>
    <w:p w14:paraId="733D1E9D" w14:textId="77777777" w:rsidR="00B92885" w:rsidRDefault="00B92885" w:rsidP="00B92885">
      <w:pPr>
        <w:pStyle w:val="Questionstyle"/>
        <w:numPr>
          <w:ilvl w:val="0"/>
          <w:numId w:val="39"/>
        </w:numPr>
      </w:pPr>
      <w:r>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34C5BD8D" w14:textId="2FCD8A9D" w:rsidR="00F023CA" w:rsidRDefault="00F023CA" w:rsidP="00F023CA">
      <w:pPr>
        <w:rPr>
          <w:rFonts w:asciiTheme="minorHAnsi" w:hAnsiTheme="minorHAnsi"/>
          <w:szCs w:val="22"/>
          <w:lang w:eastAsia="zh-CN"/>
        </w:rPr>
      </w:pPr>
      <w:permStart w:id="351877901" w:edGrp="everyone"/>
      <w:r>
        <w:t>As discussed in questions 1 and 2, we do not agree with the introduction of thresholds at this time.</w:t>
      </w:r>
    </w:p>
    <w:permEnd w:id="351877901"/>
    <w:p w14:paraId="29DD3DB8" w14:textId="77777777" w:rsidR="00B92885" w:rsidRDefault="00B92885" w:rsidP="00B92885">
      <w:r>
        <w:t>&lt;ESMA_QUESTION_FUNA_4&gt;</w:t>
      </w:r>
    </w:p>
    <w:p w14:paraId="2795765D" w14:textId="77777777" w:rsidR="00B92885" w:rsidRDefault="00B92885" w:rsidP="00B92885"/>
    <w:p w14:paraId="2BEAA24E" w14:textId="77777777" w:rsidR="00B92885" w:rsidRDefault="00B92885" w:rsidP="00B92885">
      <w:pPr>
        <w:pStyle w:val="Questionstyle"/>
        <w:numPr>
          <w:ilvl w:val="0"/>
          <w:numId w:val="39"/>
        </w:numPr>
      </w:pPr>
      <w:r>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t>&lt;ESMA_QUESTION_FUNA_5&gt;</w:t>
      </w:r>
    </w:p>
    <w:p w14:paraId="5B9F41E0" w14:textId="57224AC3" w:rsidR="00F023CA" w:rsidRDefault="00F023CA" w:rsidP="00F023CA">
      <w:pPr>
        <w:rPr>
          <w:rFonts w:asciiTheme="minorHAnsi" w:hAnsiTheme="minorHAnsi"/>
          <w:szCs w:val="22"/>
          <w:lang w:eastAsia="zh-CN"/>
        </w:rPr>
      </w:pPr>
      <w:permStart w:id="1539323392" w:edGrp="everyone"/>
      <w:r>
        <w:t>As discussed in questions 1 and 2, we do not agree with the introduction of thresholds at this time.</w:t>
      </w:r>
    </w:p>
    <w:permEnd w:id="1539323392"/>
    <w:p w14:paraId="436D4354" w14:textId="77777777" w:rsidR="00B92885" w:rsidRDefault="00B92885" w:rsidP="00B92885">
      <w:r>
        <w:t>&lt;ESMA_QUESTION_FUNA_5&gt;</w:t>
      </w:r>
    </w:p>
    <w:p w14:paraId="51BCCD20" w14:textId="77777777" w:rsidR="00B92885" w:rsidRDefault="00B92885" w:rsidP="00B92885"/>
    <w:p w14:paraId="531615C6" w14:textId="77777777" w:rsidR="00B92885" w:rsidRDefault="00B92885" w:rsidP="00B92885">
      <w:pPr>
        <w:pStyle w:val="Questionstyle"/>
        <w:numPr>
          <w:ilvl w:val="0"/>
          <w:numId w:val="39"/>
        </w:numPr>
      </w:pPr>
      <w:r>
        <w:t xml:space="preserve">: </w:t>
      </w:r>
      <w:r w:rsidRPr="000B78F5">
        <w:t>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114E1BE8" w14:textId="77777777" w:rsidR="00B92885" w:rsidRDefault="00B92885" w:rsidP="00B92885">
      <w:r>
        <w:t>&lt;ESMA_QUESTION_FUNA_6&gt;</w:t>
      </w:r>
    </w:p>
    <w:p w14:paraId="69510613" w14:textId="0CAA91E1" w:rsidR="00707117" w:rsidRPr="00707117" w:rsidRDefault="00D251FC" w:rsidP="00776F4B">
      <w:permStart w:id="175976681" w:edGrp="everyone"/>
      <w:r>
        <w:t xml:space="preserve">We do not agree with </w:t>
      </w:r>
      <w:r w:rsidR="00FA5E22">
        <w:t>m</w:t>
      </w:r>
      <w:r w:rsidR="00F023CA">
        <w:t>inimum safeguards on the remaining assets</w:t>
      </w:r>
      <w:r w:rsidR="00540847">
        <w:t xml:space="preserve"> of a portfolio</w:t>
      </w:r>
      <w:r w:rsidR="00FA5E22">
        <w:t xml:space="preserve"> </w:t>
      </w:r>
      <w:r w:rsidR="00210474">
        <w:t xml:space="preserve">that are </w:t>
      </w:r>
      <w:r w:rsidR="00FA5E22">
        <w:t>based on the referenced exclusion criteria</w:t>
      </w:r>
      <w:r>
        <w:t xml:space="preserve">. This would </w:t>
      </w:r>
      <w:r w:rsidR="006A3860">
        <w:t>effectively</w:t>
      </w:r>
      <w:r w:rsidR="00F023CA">
        <w:t xml:space="preserve"> require </w:t>
      </w:r>
      <w:r w:rsidR="00776F4B">
        <w:t>i</w:t>
      </w:r>
      <w:r w:rsidR="00776F4B" w:rsidRPr="000B78F5">
        <w:t>nvestment funds with an ESG- or sustainability-related term in their name</w:t>
      </w:r>
      <w:r w:rsidR="00F023CA">
        <w:t xml:space="preserve"> to be </w:t>
      </w:r>
      <w:r w:rsidR="006A3860">
        <w:t xml:space="preserve">entirely </w:t>
      </w:r>
      <w:r>
        <w:t xml:space="preserve">(100%) </w:t>
      </w:r>
      <w:r w:rsidR="00F023CA">
        <w:t>constructed of sustainable investments</w:t>
      </w:r>
      <w:r w:rsidR="006A3860">
        <w:t xml:space="preserve">, </w:t>
      </w:r>
      <w:r>
        <w:t xml:space="preserve">and </w:t>
      </w:r>
      <w:r w:rsidR="00F023CA">
        <w:t>could</w:t>
      </w:r>
      <w:r w:rsidR="00FA5E22">
        <w:t xml:space="preserve"> have the</w:t>
      </w:r>
      <w:r w:rsidR="00F023CA">
        <w:t xml:space="preserve"> potential</w:t>
      </w:r>
      <w:r w:rsidR="00FA5E22">
        <w:t xml:space="preserve"> to </w:t>
      </w:r>
      <w:r w:rsidR="00F023CA">
        <w:t>undermine the fund’s ability to diversify.</w:t>
      </w:r>
      <w:r w:rsidR="00FF4796">
        <w:t xml:space="preserve"> </w:t>
      </w:r>
      <w:r>
        <w:t>For example, m</w:t>
      </w:r>
      <w:r w:rsidR="006A3860" w:rsidRPr="00B4791E">
        <w:t xml:space="preserve">ulti-asset funds and/or fixed income funds </w:t>
      </w:r>
      <w:r w:rsidR="006A3860">
        <w:t xml:space="preserve">are likely to contain assets including </w:t>
      </w:r>
      <w:r w:rsidR="006A3860" w:rsidRPr="00B4791E">
        <w:t>government bonds</w:t>
      </w:r>
      <w:r w:rsidR="006A3860">
        <w:t>, and in particular,</w:t>
      </w:r>
      <w:r w:rsidR="006A3860" w:rsidRPr="00B4791E">
        <w:t xml:space="preserve"> cash</w:t>
      </w:r>
      <w:r>
        <w:t xml:space="preserve">. Should </w:t>
      </w:r>
      <w:r w:rsidR="006A3860">
        <w:t>ESMA proceed with</w:t>
      </w:r>
      <w:r>
        <w:t xml:space="preserve"> final guidance</w:t>
      </w:r>
      <w:r w:rsidR="006A3860">
        <w:t xml:space="preserve"> </w:t>
      </w:r>
      <w:r>
        <w:t>that</w:t>
      </w:r>
      <w:r w:rsidR="006A3860">
        <w:t xml:space="preserve"> introduce</w:t>
      </w:r>
      <w:r>
        <w:t>s</w:t>
      </w:r>
      <w:r w:rsidR="006A3860">
        <w:t xml:space="preserve"> </w:t>
      </w:r>
      <w:r w:rsidR="00776F4B">
        <w:t>thresholds</w:t>
      </w:r>
      <w:r w:rsidR="006A3860">
        <w:t xml:space="preserve"> and additional minimum safeguards, we recommend </w:t>
      </w:r>
      <w:r>
        <w:t>clarifying that</w:t>
      </w:r>
      <w:r w:rsidR="00776F4B">
        <w:t xml:space="preserve"> instruments used for hedging currency and interest rate risk, such as for exchange, interest rate derivatives and government bonds</w:t>
      </w:r>
      <w:r>
        <w:t>, are excluded.</w:t>
      </w:r>
    </w:p>
    <w:permEnd w:id="175976681"/>
    <w:p w14:paraId="6EE97467" w14:textId="77777777" w:rsidR="00B92885" w:rsidRDefault="00B92885" w:rsidP="00B92885">
      <w:r>
        <w:t>&lt;ESMA_QUESTION_FUNA_6&gt;</w:t>
      </w:r>
    </w:p>
    <w:p w14:paraId="0D23780D" w14:textId="77777777" w:rsidR="00B92885" w:rsidRDefault="00B92885" w:rsidP="00B92885"/>
    <w:p w14:paraId="24C13C1A" w14:textId="77777777" w:rsidR="00B92885" w:rsidRDefault="00B92885" w:rsidP="00B92885">
      <w:pPr>
        <w:pStyle w:val="Questionstyle"/>
        <w:numPr>
          <w:ilvl w:val="0"/>
          <w:numId w:val="39"/>
        </w:numPr>
      </w:pPr>
      <w:r>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55F013CD" w14:textId="77777777" w:rsidR="00F023CA" w:rsidRDefault="00F023CA" w:rsidP="00F023CA">
      <w:pPr>
        <w:rPr>
          <w:rFonts w:asciiTheme="minorHAnsi" w:hAnsiTheme="minorHAnsi"/>
          <w:szCs w:val="22"/>
          <w:lang w:eastAsia="zh-CN"/>
        </w:rPr>
      </w:pPr>
      <w:permStart w:id="576722602" w:edGrp="everyone"/>
      <w:r>
        <w:t>See above our comments to question 6.</w:t>
      </w:r>
    </w:p>
    <w:permEnd w:id="576722602"/>
    <w:p w14:paraId="523B84EB" w14:textId="77777777" w:rsidR="00B92885" w:rsidRDefault="00B92885" w:rsidP="00B92885">
      <w:r>
        <w:t>&lt;ESMA_QUESTION_FUNA_7&gt;</w:t>
      </w:r>
    </w:p>
    <w:p w14:paraId="50670D01" w14:textId="77777777" w:rsidR="00B92885" w:rsidRDefault="00B92885" w:rsidP="00B92885"/>
    <w:p w14:paraId="1C6AACD7" w14:textId="77777777" w:rsidR="00B92885" w:rsidRDefault="00B92885" w:rsidP="00B92885">
      <w:pPr>
        <w:pStyle w:val="Questionstyle"/>
        <w:numPr>
          <w:ilvl w:val="0"/>
          <w:numId w:val="40"/>
        </w:numPr>
      </w:pPr>
      <w:r>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09CB7BE3" w14:textId="77777777" w:rsidR="00F023CA" w:rsidRDefault="00F023CA" w:rsidP="00F023CA">
      <w:pPr>
        <w:rPr>
          <w:rFonts w:asciiTheme="minorHAnsi" w:hAnsiTheme="minorHAnsi"/>
          <w:szCs w:val="22"/>
          <w:lang w:eastAsia="zh-CN"/>
        </w:rPr>
      </w:pPr>
      <w:permStart w:id="1071974531" w:edGrp="everyone"/>
      <w:r>
        <w:t>See above our comments to question 6.</w:t>
      </w:r>
    </w:p>
    <w:permEnd w:id="1071974531"/>
    <w:p w14:paraId="3A9FC829" w14:textId="77777777" w:rsidR="00B92885" w:rsidRDefault="00B92885" w:rsidP="00B92885">
      <w:r>
        <w:t>&lt;ESMA_QUESTION_FUNA_1&gt;</w:t>
      </w:r>
    </w:p>
    <w:p w14:paraId="1ECE9E45" w14:textId="77777777" w:rsidR="00B92885" w:rsidRDefault="00B92885" w:rsidP="00B92885"/>
    <w:p w14:paraId="779A7A94" w14:textId="77777777" w:rsidR="00B92885" w:rsidRDefault="00B92885" w:rsidP="00B92885">
      <w:pPr>
        <w:pStyle w:val="Questionstyle"/>
        <w:numPr>
          <w:ilvl w:val="0"/>
          <w:numId w:val="40"/>
        </w:numPr>
      </w:pPr>
      <w:r>
        <w:t>Are there any other measures you would recommend for derivatives for the calculation of the minimum proportion of investments?</w:t>
      </w:r>
    </w:p>
    <w:p w14:paraId="7C5D84D6" w14:textId="77777777" w:rsidR="00B92885" w:rsidRDefault="00B92885" w:rsidP="00B92885">
      <w:r>
        <w:lastRenderedPageBreak/>
        <w:t>&lt;ESMA_QUESTION_FUNA_2&gt;</w:t>
      </w:r>
    </w:p>
    <w:p w14:paraId="6C0CB0A2" w14:textId="77777777" w:rsidR="00F023CA" w:rsidRDefault="00F023CA" w:rsidP="00F023CA">
      <w:pPr>
        <w:rPr>
          <w:rFonts w:asciiTheme="minorHAnsi" w:hAnsiTheme="minorHAnsi"/>
          <w:szCs w:val="22"/>
          <w:lang w:eastAsia="zh-CN"/>
        </w:rPr>
      </w:pPr>
      <w:permStart w:id="1162834929" w:edGrp="everyone"/>
      <w:r>
        <w:t>See above our comments to question 6.</w:t>
      </w:r>
    </w:p>
    <w:permEnd w:id="1162834929"/>
    <w:p w14:paraId="54A1018F" w14:textId="77777777" w:rsidR="00B92885" w:rsidRDefault="00B92885" w:rsidP="00B92885">
      <w:r>
        <w:t>&lt;ESMA_QUESTION_FUNA_2&gt;</w:t>
      </w:r>
    </w:p>
    <w:p w14:paraId="3FC5B87F" w14:textId="77777777" w:rsidR="00B92885" w:rsidRDefault="00B92885" w:rsidP="00B92885"/>
    <w:p w14:paraId="1F43A90B" w14:textId="77777777" w:rsidR="00B92885" w:rsidRDefault="00B92885" w:rsidP="00B92885">
      <w:pPr>
        <w:pStyle w:val="Questionstyle"/>
        <w:numPr>
          <w:ilvl w:val="0"/>
          <w:numId w:val="39"/>
        </w:numPr>
      </w:pPr>
      <w:r>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t>&lt;ESMA_QUESTION_FUNA_8&gt;</w:t>
      </w:r>
    </w:p>
    <w:p w14:paraId="78170A92" w14:textId="55638E89" w:rsidR="00F023CA" w:rsidRDefault="00F023CA" w:rsidP="00F023CA">
      <w:pPr>
        <w:rPr>
          <w:lang w:val="en-US"/>
        </w:rPr>
      </w:pPr>
      <w:permStart w:id="650455330" w:edGrp="everyone"/>
      <w:r>
        <w:rPr>
          <w:lang w:val="en-US"/>
        </w:rPr>
        <w:t>It is reasonable to consider applying the final Guidelines to all investment funds within scope of this proposal regardless of their investment approach; however, ESMA is right to question applicability to funds designating an index as a reference benchmark</w:t>
      </w:r>
      <w:r w:rsidR="00895DF2">
        <w:rPr>
          <w:lang w:val="en-US"/>
        </w:rPr>
        <w:t>—</w:t>
      </w:r>
      <w:r>
        <w:t>which we assume means for index tracking purposes</w:t>
      </w:r>
      <w:r w:rsidR="00895DF2">
        <w:t>—</w:t>
      </w:r>
      <w:r>
        <w:rPr>
          <w:lang w:val="en-US"/>
        </w:rPr>
        <w:t xml:space="preserve">in view of the additional challenges that index-based investment funds face. </w:t>
      </w:r>
    </w:p>
    <w:p w14:paraId="6CE29B06" w14:textId="77777777" w:rsidR="00F023CA" w:rsidRDefault="00F023CA" w:rsidP="00F023CA">
      <w:pPr>
        <w:rPr>
          <w:rFonts w:asciiTheme="minorHAnsi" w:hAnsiTheme="minorHAnsi"/>
          <w:szCs w:val="22"/>
          <w:lang w:val="en-US" w:eastAsia="zh-CN"/>
        </w:rPr>
      </w:pPr>
    </w:p>
    <w:p w14:paraId="26FD705C" w14:textId="151128BF" w:rsidR="00F023CA" w:rsidRDefault="00F023CA" w:rsidP="00F023CA">
      <w:pPr>
        <w:rPr>
          <w:lang w:val="en-US"/>
        </w:rPr>
      </w:pPr>
      <w:r>
        <w:rPr>
          <w:lang w:val="en-US"/>
        </w:rPr>
        <w:t xml:space="preserve">Index-tracking funds are often obliged to use the name provided by the index provider within the fund name. It would therefore be problematic to enforce naming restrictions on such funds in the absence of applying the regime to index providers, as discussed further below. </w:t>
      </w:r>
      <w:r w:rsidR="00210474">
        <w:rPr>
          <w:lang w:val="en-US"/>
        </w:rPr>
        <w:t xml:space="preserve">We do not believe it </w:t>
      </w:r>
      <w:r>
        <w:rPr>
          <w:lang w:val="en-US"/>
        </w:rPr>
        <w:t xml:space="preserve">An outcome whereby the name of a fund is required to be different than the name of the reference benchmark it tracks arguably creates less transparency for the end investor and is thus counterintuitive to the goals of these Guidelines. </w:t>
      </w:r>
    </w:p>
    <w:p w14:paraId="4E7F2F92" w14:textId="77777777" w:rsidR="00F023CA" w:rsidRDefault="00F023CA" w:rsidP="00F023CA">
      <w:pPr>
        <w:rPr>
          <w:lang w:val="en-US"/>
        </w:rPr>
      </w:pPr>
    </w:p>
    <w:p w14:paraId="30BA01FA" w14:textId="760FF718" w:rsidR="00F023CA" w:rsidRPr="00895DF2" w:rsidRDefault="00F023CA" w:rsidP="00F023CA">
      <w:pPr>
        <w:rPr>
          <w:lang w:val="en-US"/>
        </w:rPr>
      </w:pPr>
      <w:r>
        <w:rPr>
          <w:lang w:val="en-US"/>
        </w:rPr>
        <w:t xml:space="preserve">Furthermore, investment managers managing index-based strategies have limited input with respect to the methodology or standards applied by index providers. Index providers have developed sustainability-related index products in the market, using the index providers’ proprietary index construction methodologies and third-party data sources. Currently, most index providers provide  transparency in the methodology at their discretion, and are not subject to legal liability regarding the construction of their indices. </w:t>
      </w:r>
      <w:r>
        <w:t>The proposals note that funds designating an index as a reference benchmark could only use ESG-related terms in their name if the relevant thresholds proposed are met by the fund. Index-tracking funds are obliged to purchase the constituents of the index in order to meet their investment objective to track. Similarly, the timeframes within which the index provider can change the constitution of the index are likely to differ to those required to notify investors (and relevant competent authorities) of any change to a fund name. Whilst proportionate due diligence and periodic oversight of the index provider and index methodology is appropriate, we believe that index providers should be legally responsible and accountable for ensuring the accuracy of the indices they provide with respect to SFDR.</w:t>
      </w:r>
    </w:p>
    <w:p w14:paraId="3A105EB8" w14:textId="77777777" w:rsidR="00F023CA" w:rsidRDefault="00F023CA" w:rsidP="00F023CA">
      <w:pPr>
        <w:rPr>
          <w:lang w:val="en-US"/>
        </w:rPr>
      </w:pPr>
    </w:p>
    <w:p w14:paraId="6AEAB29A" w14:textId="0080B844" w:rsidR="00F023CA" w:rsidRDefault="00F023CA" w:rsidP="00F023CA">
      <w:r>
        <w:t>We believe there should be additional consideration with respect to the importance of index-tracking strategies in the investment ecosystem and the role played by index providers in delivering those investment outcomes through the development of SFDR and this proposal. Importantly, the proposed Guidelines potentially exclude strategies tracking Paris-Aligned Benchmarks (PAB) and/or Climate-Transition Benchmarks (CTB) where these indices do not satisfy the proposed thresholds requirements. Clarity regarding the roles and responsibilities of the index provider, fund manager and supervisory authority should be integrated into obligations prescribed under the EU Benchmark Regulation, accordingly.</w:t>
      </w:r>
    </w:p>
    <w:permEnd w:id="650455330"/>
    <w:p w14:paraId="737A5FA8" w14:textId="77777777" w:rsidR="00B92885" w:rsidRDefault="00B92885" w:rsidP="00B92885">
      <w:r>
        <w:t>&lt;ESMA_QUESTION_FUNA_8&gt;</w:t>
      </w:r>
    </w:p>
    <w:p w14:paraId="38B4AF69" w14:textId="77777777" w:rsidR="00B92885" w:rsidRDefault="00B92885" w:rsidP="00B92885"/>
    <w:p w14:paraId="06BA20E5" w14:textId="77777777" w:rsidR="00B92885" w:rsidRDefault="00B92885" w:rsidP="00B92885">
      <w:pPr>
        <w:pStyle w:val="Questionstyle"/>
        <w:numPr>
          <w:ilvl w:val="0"/>
          <w:numId w:val="39"/>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t>&lt;ESMA_QUESTION_FUNA_9&gt;</w:t>
      </w:r>
    </w:p>
    <w:p w14:paraId="43AAD658" w14:textId="77777777" w:rsidR="00895DF2" w:rsidRDefault="00895DF2" w:rsidP="00895DF2">
      <w:pPr>
        <w:rPr>
          <w:rFonts w:asciiTheme="minorHAnsi" w:hAnsiTheme="minorHAnsi"/>
          <w:szCs w:val="22"/>
          <w:lang w:eastAsia="zh-CN"/>
        </w:rPr>
      </w:pPr>
      <w:permStart w:id="1876589445" w:edGrp="everyone"/>
      <w:r>
        <w:t xml:space="preserve">We do not have any comments on this questions. </w:t>
      </w:r>
    </w:p>
    <w:permEnd w:id="1876589445"/>
    <w:p w14:paraId="1B5712A0" w14:textId="77777777" w:rsidR="00B92885" w:rsidRDefault="00B92885" w:rsidP="00B92885">
      <w:r>
        <w:t>&lt;ESMA_QUESTION_FUNA_9&gt;</w:t>
      </w:r>
    </w:p>
    <w:p w14:paraId="76724C94" w14:textId="77777777" w:rsidR="00B92885" w:rsidRDefault="00B92885" w:rsidP="00B92885"/>
    <w:p w14:paraId="19F0BC69" w14:textId="77777777" w:rsidR="00B92885" w:rsidRDefault="00B92885" w:rsidP="00B92885">
      <w:pPr>
        <w:pStyle w:val="Questionstyle"/>
        <w:numPr>
          <w:ilvl w:val="0"/>
          <w:numId w:val="39"/>
        </w:numPr>
      </w:pPr>
      <w:r>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6259B907" w14:textId="77777777" w:rsidR="00895DF2" w:rsidRDefault="00895DF2" w:rsidP="00895DF2">
      <w:pPr>
        <w:rPr>
          <w:rFonts w:asciiTheme="minorHAnsi" w:hAnsiTheme="minorHAnsi"/>
          <w:szCs w:val="22"/>
          <w:lang w:eastAsia="zh-CN"/>
        </w:rPr>
      </w:pPr>
      <w:permStart w:id="1992309739" w:edGrp="everyone"/>
      <w:r>
        <w:lastRenderedPageBreak/>
        <w:t xml:space="preserve">We do not currently offer impact funds, or funds with impact-related names. </w:t>
      </w:r>
    </w:p>
    <w:permEnd w:id="1992309739"/>
    <w:p w14:paraId="14AB0C87" w14:textId="77777777" w:rsidR="00B92885" w:rsidRDefault="00B92885" w:rsidP="00B92885">
      <w:r>
        <w:t>&lt;ESMA_QUESTION_FUNA_10&gt;</w:t>
      </w:r>
    </w:p>
    <w:p w14:paraId="010C54CA" w14:textId="77777777" w:rsidR="00B92885" w:rsidRDefault="00B92885" w:rsidP="00B92885"/>
    <w:p w14:paraId="511D7045" w14:textId="77777777" w:rsidR="00B92885" w:rsidRDefault="00B92885" w:rsidP="00B92885">
      <w:pPr>
        <w:pStyle w:val="Questionstyle"/>
        <w:numPr>
          <w:ilvl w:val="0"/>
          <w:numId w:val="39"/>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t>&lt;ESMA_QUESTION_FUNA_11&gt;</w:t>
      </w:r>
    </w:p>
    <w:p w14:paraId="63181AE9" w14:textId="3487CCDF" w:rsidR="00895DF2" w:rsidRDefault="00895DF2" w:rsidP="00895DF2">
      <w:pPr>
        <w:rPr>
          <w:rFonts w:asciiTheme="minorHAnsi" w:hAnsiTheme="minorHAnsi"/>
          <w:szCs w:val="22"/>
          <w:lang w:eastAsia="zh-CN"/>
        </w:rPr>
      </w:pPr>
      <w:permStart w:id="1423966990" w:edGrp="everyone"/>
      <w:r>
        <w:t xml:space="preserve">While we do not oppose specific provisions for transition-related fund names, this could create further complexity and confusion with limited benefit to investors. In the absence of clarification from the European Commission as to whether transition strategies are captured under </w:t>
      </w:r>
      <w:r w:rsidR="00C74FDC">
        <w:t xml:space="preserve">the EU </w:t>
      </w:r>
      <w:r>
        <w:t xml:space="preserve">SFDR, in addition to there being no clear definition of ‘sustainable investments’ within that framework, we recommend that ESMA refrains from prescribing specific provisions. </w:t>
      </w:r>
    </w:p>
    <w:permEnd w:id="1423966990"/>
    <w:p w14:paraId="0643B633" w14:textId="77777777" w:rsidR="00B92885" w:rsidRDefault="00B92885" w:rsidP="00B92885">
      <w:r>
        <w:t>&lt;ESMA_QUESTION_FUNA_11&gt;</w:t>
      </w:r>
    </w:p>
    <w:p w14:paraId="6EB17554" w14:textId="77777777" w:rsidR="00B92885" w:rsidRDefault="00B92885" w:rsidP="00B92885"/>
    <w:p w14:paraId="28EEF733" w14:textId="77777777" w:rsidR="00B92885" w:rsidRDefault="00B92885" w:rsidP="00B92885">
      <w:pPr>
        <w:pStyle w:val="Questionstyle"/>
        <w:numPr>
          <w:ilvl w:val="0"/>
          <w:numId w:val="39"/>
        </w:numPr>
      </w:pPr>
      <w:r>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755CFE81" w14:textId="4B73C06F" w:rsidR="00895DF2" w:rsidRDefault="00895DF2" w:rsidP="00895DF2">
      <w:pPr>
        <w:rPr>
          <w:rFonts w:asciiTheme="minorHAnsi" w:hAnsiTheme="minorHAnsi"/>
          <w:szCs w:val="22"/>
          <w:lang w:eastAsia="zh-CN"/>
        </w:rPr>
      </w:pPr>
      <w:permStart w:id="1434478937" w:edGrp="everyone"/>
      <w:r>
        <w:t>Yes. As a general matter, we believe it would be important to ensure a level playing field where investment funds have the same target market as other products.</w:t>
      </w:r>
    </w:p>
    <w:permEnd w:id="1434478937"/>
    <w:p w14:paraId="70EEE415" w14:textId="77777777" w:rsidR="00B92885" w:rsidRDefault="00B92885" w:rsidP="00B92885">
      <w:r>
        <w:t>&lt;ESMA_QUESTION_FUNA_12&gt;</w:t>
      </w:r>
    </w:p>
    <w:p w14:paraId="17B0E5FA" w14:textId="77777777" w:rsidR="00B92885" w:rsidRDefault="00B92885" w:rsidP="00B92885"/>
    <w:p w14:paraId="78737478" w14:textId="77777777" w:rsidR="00B92885" w:rsidRDefault="00B92885" w:rsidP="00B92885">
      <w:pPr>
        <w:pStyle w:val="Questionstyle"/>
        <w:numPr>
          <w:ilvl w:val="0"/>
          <w:numId w:val="39"/>
        </w:numPr>
      </w:pPr>
      <w:r>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t>&lt;ESMA_QUESTION_FUNA_13&gt;</w:t>
      </w:r>
    </w:p>
    <w:p w14:paraId="32E20406" w14:textId="34306A18" w:rsidR="00895DF2" w:rsidRDefault="00895DF2" w:rsidP="00895DF2">
      <w:permStart w:id="489244833" w:edGrp="everyone"/>
      <w:r>
        <w:t xml:space="preserve">The proposed 6-month transitional period is not a suitable timeframe in light of the volume of work required to update funds names, prospectuses and other fund documentation—which necessitates supervisory approval—in addition to, where relevant, obtaining shareholder consent. Considering ESMA estimate circa 4,000 investment funds were expected to be impacted during its Open Hearing on these draft Guidelines, we believe a transitional period of, at least, 12-18 months would be more appropriate. </w:t>
      </w:r>
    </w:p>
    <w:p w14:paraId="4062F5E8" w14:textId="77777777" w:rsidR="00895DF2" w:rsidRDefault="00895DF2" w:rsidP="00895DF2">
      <w:pPr>
        <w:rPr>
          <w:rFonts w:asciiTheme="minorHAnsi" w:hAnsiTheme="minorHAnsi"/>
          <w:szCs w:val="22"/>
          <w:lang w:eastAsia="zh-CN"/>
        </w:rPr>
      </w:pPr>
    </w:p>
    <w:p w14:paraId="23C12915" w14:textId="77777777" w:rsidR="00895DF2" w:rsidRDefault="00895DF2" w:rsidP="00895DF2">
      <w:r>
        <w:t>It may be prudent to consult NCAs in order to ensure there is sufficient bandwidth to support the application of these Guidelines. These Guidelines would constitute a profound reworking of the disclosures already made under SFDR, hence we are concerned that the currently proposed transitional period is unfeasible to conduct adequate supervisory review and approval. In addition, there have been multiple updates to prospectuses and offering documentation as a result of increased regulation. Further updates would not only incur additional cost to managers and funds, but could create confusion for investors given the number of updates they have seen.</w:t>
      </w:r>
    </w:p>
    <w:permEnd w:id="489244833"/>
    <w:p w14:paraId="739467F4" w14:textId="77777777" w:rsidR="00B92885" w:rsidRDefault="00B92885" w:rsidP="00B92885">
      <w:r>
        <w:t>&lt;ESMA_QUESTION_FUNA_13&gt;</w:t>
      </w:r>
    </w:p>
    <w:p w14:paraId="1F64F9E6" w14:textId="77777777" w:rsidR="00B92885" w:rsidRDefault="00B92885" w:rsidP="00B92885"/>
    <w:p w14:paraId="7FD3A293" w14:textId="77777777" w:rsidR="00B92885" w:rsidRDefault="00B92885" w:rsidP="00B92885">
      <w:pPr>
        <w:pStyle w:val="Questionstyle"/>
        <w:numPr>
          <w:ilvl w:val="0"/>
          <w:numId w:val="39"/>
        </w:numPr>
      </w:pPr>
      <w:r>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t>&lt;ESMA_QUESTION_FUNA_14&gt;</w:t>
      </w:r>
    </w:p>
    <w:p w14:paraId="74F64A25" w14:textId="3CD25425" w:rsidR="00895DF2" w:rsidRDefault="00895DF2" w:rsidP="00895DF2">
      <w:pPr>
        <w:rPr>
          <w:rFonts w:asciiTheme="minorHAnsi" w:hAnsiTheme="minorHAnsi"/>
          <w:szCs w:val="22"/>
          <w:lang w:eastAsia="zh-CN"/>
        </w:rPr>
      </w:pPr>
      <w:permStart w:id="1766353355" w:edGrp="everyone"/>
      <w:r>
        <w:t xml:space="preserve">We do not have any comments on this question. </w:t>
      </w:r>
    </w:p>
    <w:permEnd w:id="1766353355"/>
    <w:p w14:paraId="611042B9" w14:textId="77777777" w:rsidR="00B92885" w:rsidRDefault="00B92885" w:rsidP="00B92885">
      <w:r>
        <w:t>&lt;ESMA_QUESTION_FUNA_14&gt;</w:t>
      </w:r>
    </w:p>
    <w:p w14:paraId="47DCA7A5" w14:textId="77777777" w:rsidR="00B92885" w:rsidRDefault="00B92885" w:rsidP="00B92885"/>
    <w:p w14:paraId="7718491E" w14:textId="77777777" w:rsidR="00B92885" w:rsidRDefault="00B92885" w:rsidP="00B92885">
      <w:pPr>
        <w:pStyle w:val="Questionstyle"/>
        <w:numPr>
          <w:ilvl w:val="0"/>
          <w:numId w:val="39"/>
        </w:numPr>
      </w:pPr>
      <w:r>
        <w:t xml:space="preserve">: </w:t>
      </w:r>
      <w:r w:rsidRPr="00D5777E">
        <w:t>What is the anticipated impact from the introduction of the proposed Guidelines?</w:t>
      </w:r>
    </w:p>
    <w:p w14:paraId="79B9FE7A" w14:textId="77777777" w:rsidR="00B92885" w:rsidRDefault="00B92885" w:rsidP="00B92885">
      <w:r>
        <w:lastRenderedPageBreak/>
        <w:t>&lt;ESMA_QUESTION_FUNA_15&gt;</w:t>
      </w:r>
    </w:p>
    <w:p w14:paraId="5CE3A709" w14:textId="3D06B095" w:rsidR="00895DF2" w:rsidRDefault="00036932" w:rsidP="00895DF2">
      <w:permStart w:id="929254269" w:edGrp="everyone"/>
      <w:r>
        <w:t>As mentioned, t</w:t>
      </w:r>
      <w:r w:rsidR="00895DF2">
        <w:t>he anticipated impact of these Guidelines should not only be considered in relation to investment firms</w:t>
      </w:r>
      <w:r w:rsidR="005E1126">
        <w:t>,</w:t>
      </w:r>
      <w:r w:rsidR="00895DF2">
        <w:t xml:space="preserve"> but also </w:t>
      </w:r>
      <w:r>
        <w:t>to</w:t>
      </w:r>
      <w:r w:rsidR="005E1126">
        <w:t xml:space="preserve"> supervisors should </w:t>
      </w:r>
      <w:r>
        <w:t xml:space="preserve">there be significant </w:t>
      </w:r>
      <w:r w:rsidR="00895DF2">
        <w:t>change to</w:t>
      </w:r>
      <w:r>
        <w:t xml:space="preserve"> existing</w:t>
      </w:r>
      <w:r w:rsidR="00895DF2">
        <w:t xml:space="preserve"> fund names and relevant documentation. There are also additional challenges for index-based investment strategies, as described above. </w:t>
      </w:r>
    </w:p>
    <w:p w14:paraId="0D61A7BD" w14:textId="77777777" w:rsidR="00895DF2" w:rsidRDefault="00895DF2" w:rsidP="00895DF2">
      <w:pPr>
        <w:rPr>
          <w:rFonts w:asciiTheme="minorHAnsi" w:hAnsiTheme="minorHAnsi"/>
          <w:szCs w:val="22"/>
          <w:lang w:eastAsia="zh-CN"/>
        </w:rPr>
      </w:pPr>
    </w:p>
    <w:p w14:paraId="248BF4E4" w14:textId="77777777" w:rsidR="00895DF2" w:rsidRDefault="00895DF2" w:rsidP="00895DF2">
      <w:pPr>
        <w:rPr>
          <w:rFonts w:eastAsiaTheme="minorEastAsia"/>
        </w:rPr>
      </w:pPr>
      <w:r>
        <w:t xml:space="preserve">Furthermore, for global investment managers, the impact of the Guidelines will need to be assessed in the context of similar regulatory developments in other jurisdictions like the US and the UK. Although those jurisdictions are still in the process of finalising their requirements, inconsistent regulatory approaches appear to be inevitable, for example, in relation to the criteria and quantitative thresholds in which funds can use ESG or sustainable-related terms in fund names. This inconsistency can lead to confusion to investors. </w:t>
      </w:r>
    </w:p>
    <w:permEnd w:id="929254269"/>
    <w:p w14:paraId="00ADF191" w14:textId="77777777" w:rsidR="00B92885" w:rsidRDefault="00B92885" w:rsidP="00B92885">
      <w:r>
        <w:t>&lt;ESMA_QUESTION_FUNA_15&gt;</w:t>
      </w:r>
    </w:p>
    <w:p w14:paraId="2C1900D9" w14:textId="77777777" w:rsidR="00B92885" w:rsidRDefault="00B92885" w:rsidP="00B92885"/>
    <w:p w14:paraId="56424F03" w14:textId="77777777" w:rsidR="00B92885" w:rsidRPr="00C24402" w:rsidRDefault="00B92885" w:rsidP="00B92885">
      <w:pPr>
        <w:pStyle w:val="Questionstyle"/>
        <w:numPr>
          <w:ilvl w:val="0"/>
          <w:numId w:val="39"/>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t>&lt;ESMA_QUESTION_FUNA_16&gt;</w:t>
      </w:r>
    </w:p>
    <w:p w14:paraId="648CB30B" w14:textId="4B314CDC" w:rsidR="00895DF2" w:rsidRDefault="00895DF2" w:rsidP="00895DF2">
      <w:pPr>
        <w:rPr>
          <w:color w:val="000000" w:themeColor="text1"/>
        </w:rPr>
      </w:pPr>
      <w:permStart w:id="878708964" w:edGrp="everyone"/>
      <w:r>
        <w:rPr>
          <w:color w:val="000000" w:themeColor="text1"/>
        </w:rPr>
        <w:t>In principle, we agree that a common approach to the use of sustainability-related terms in funds’ names reduces the risk of providing misleading information to investors. However, that benefit may not be realised if the final Guidelines utilise terminology and definitions</w:t>
      </w:r>
      <w:r w:rsidR="00036932">
        <w:rPr>
          <w:color w:val="000000" w:themeColor="text1"/>
        </w:rPr>
        <w:t xml:space="preserve">, which are not clearly defined or </w:t>
      </w:r>
      <w:r>
        <w:rPr>
          <w:color w:val="000000" w:themeColor="text1"/>
        </w:rPr>
        <w:t>subject to wide interpretation by financial market participants and supervisors</w:t>
      </w:r>
      <w:r w:rsidR="00036932">
        <w:rPr>
          <w:color w:val="000000" w:themeColor="text1"/>
        </w:rPr>
        <w:t xml:space="preserve">, as described above. </w:t>
      </w:r>
    </w:p>
    <w:p w14:paraId="5D2FC23C" w14:textId="77777777" w:rsidR="00895DF2" w:rsidRDefault="00895DF2" w:rsidP="00895DF2">
      <w:pPr>
        <w:rPr>
          <w:rFonts w:asciiTheme="minorHAnsi" w:hAnsiTheme="minorHAnsi"/>
          <w:color w:val="000000" w:themeColor="text1"/>
          <w:szCs w:val="22"/>
          <w:lang w:eastAsia="zh-CN"/>
        </w:rPr>
      </w:pPr>
    </w:p>
    <w:p w14:paraId="04BD9A9F" w14:textId="6E534C56" w:rsidR="00895DF2" w:rsidRDefault="00895DF2" w:rsidP="00895DF2">
      <w:pPr>
        <w:rPr>
          <w:color w:val="000000" w:themeColor="text1"/>
        </w:rPr>
      </w:pPr>
      <w:r>
        <w:rPr>
          <w:color w:val="000000" w:themeColor="text1"/>
        </w:rPr>
        <w:t>With respect to the</w:t>
      </w:r>
      <w:r w:rsidR="00036932">
        <w:rPr>
          <w:color w:val="000000" w:themeColor="text1"/>
        </w:rPr>
        <w:t xml:space="preserve"> estimated</w:t>
      </w:r>
      <w:r>
        <w:rPr>
          <w:color w:val="000000" w:themeColor="text1"/>
        </w:rPr>
        <w:t xml:space="preserve"> costs to regulator(s), the draft analysis presumes limited impact</w:t>
      </w:r>
      <w:r w:rsidR="00036932">
        <w:rPr>
          <w:color w:val="000000" w:themeColor="text1"/>
        </w:rPr>
        <w:t xml:space="preserve"> because</w:t>
      </w:r>
      <w:r>
        <w:rPr>
          <w:color w:val="000000" w:themeColor="text1"/>
        </w:rPr>
        <w:t xml:space="preserve"> the additional assessment to verify compliance with the quantitative thresholds </w:t>
      </w:r>
      <w:r w:rsidR="00036932">
        <w:rPr>
          <w:color w:val="000000" w:themeColor="text1"/>
        </w:rPr>
        <w:t>will</w:t>
      </w:r>
      <w:r>
        <w:rPr>
          <w:color w:val="000000" w:themeColor="text1"/>
        </w:rPr>
        <w:t xml:space="preserve"> be part of </w:t>
      </w:r>
      <w:r w:rsidR="00036932">
        <w:rPr>
          <w:color w:val="000000" w:themeColor="text1"/>
        </w:rPr>
        <w:t xml:space="preserve">their </w:t>
      </w:r>
      <w:r>
        <w:rPr>
          <w:color w:val="000000" w:themeColor="text1"/>
        </w:rPr>
        <w:t xml:space="preserve">standard fund documentation/marketing communication approval process. However, we urge ESMA to not underestimate the sheer volume of work that </w:t>
      </w:r>
      <w:r w:rsidR="00036932">
        <w:rPr>
          <w:color w:val="000000" w:themeColor="text1"/>
        </w:rPr>
        <w:t>would</w:t>
      </w:r>
      <w:r>
        <w:rPr>
          <w:color w:val="000000" w:themeColor="text1"/>
        </w:rPr>
        <w:t xml:space="preserve"> </w:t>
      </w:r>
      <w:r w:rsidR="00036932">
        <w:rPr>
          <w:color w:val="000000" w:themeColor="text1"/>
        </w:rPr>
        <w:t xml:space="preserve">be </w:t>
      </w:r>
      <w:r>
        <w:rPr>
          <w:color w:val="000000" w:themeColor="text1"/>
        </w:rPr>
        <w:t>require</w:t>
      </w:r>
      <w:r w:rsidR="00036932">
        <w:rPr>
          <w:color w:val="000000" w:themeColor="text1"/>
        </w:rPr>
        <w:t>d</w:t>
      </w:r>
      <w:r>
        <w:rPr>
          <w:color w:val="000000" w:themeColor="text1"/>
        </w:rPr>
        <w:t xml:space="preserve"> in practice, </w:t>
      </w:r>
      <w:r w:rsidR="00036932">
        <w:rPr>
          <w:color w:val="000000" w:themeColor="text1"/>
        </w:rPr>
        <w:t>particularly</w:t>
      </w:r>
      <w:r>
        <w:rPr>
          <w:color w:val="000000" w:themeColor="text1"/>
        </w:rPr>
        <w:t xml:space="preserve"> as ESMA expects circa 4,000 funds to be impacted by these Guidelines.  </w:t>
      </w:r>
    </w:p>
    <w:p w14:paraId="03093A30" w14:textId="77777777" w:rsidR="00895DF2" w:rsidRDefault="00895DF2" w:rsidP="00895DF2">
      <w:pPr>
        <w:rPr>
          <w:color w:val="000000" w:themeColor="text1"/>
        </w:rPr>
      </w:pPr>
    </w:p>
    <w:p w14:paraId="78E16F45" w14:textId="2F042E6B" w:rsidR="00895DF2" w:rsidRDefault="00895DF2" w:rsidP="00895DF2">
      <w:r>
        <w:t xml:space="preserve">Similarly, </w:t>
      </w:r>
      <w:r w:rsidR="00036932">
        <w:t xml:space="preserve">we disagree that there will be no additional compliance costs in terms of </w:t>
      </w:r>
      <w:r>
        <w:t>IT, training or staff</w:t>
      </w:r>
      <w:r w:rsidR="00036932">
        <w:t>, pa</w:t>
      </w:r>
      <w:r>
        <w:t xml:space="preserve">rticularly in view of emerging regulatory divergence across various regulatory regimes. Investment managers would need to further develop processes and controls to monitor (and address) any breaches should the final Guidelines introduce the proposed </w:t>
      </w:r>
      <w:r w:rsidR="00036932">
        <w:t xml:space="preserve">quantitative </w:t>
      </w:r>
      <w:r>
        <w:t xml:space="preserve">thresholds. </w:t>
      </w:r>
    </w:p>
    <w:permEnd w:id="878708964"/>
    <w:p w14:paraId="651FE8BB" w14:textId="77777777" w:rsidR="00B92885" w:rsidRDefault="00B92885" w:rsidP="00B92885">
      <w:r>
        <w:t>&lt;ESMA_QUESTION_FUNA_16&gt;</w:t>
      </w:r>
    </w:p>
    <w:p w14:paraId="6D8E7793" w14:textId="14304513" w:rsidR="00F87897" w:rsidRDefault="00F87897" w:rsidP="00B92885">
      <w:pPr>
        <w:pStyle w:val="Questionstyle"/>
        <w:numPr>
          <w:ilvl w:val="0"/>
          <w:numId w:val="39"/>
        </w:numPr>
        <w:rPr>
          <w:rFonts w:cstheme="minorBidi"/>
          <w:b w:val="0"/>
          <w:sz w:val="22"/>
          <w:lang w:eastAsia="en-US"/>
        </w:rPr>
      </w:pPr>
    </w:p>
    <w:sectPr w:rsidR="00F8789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04936" w14:textId="77777777" w:rsidR="00171933" w:rsidRDefault="00171933">
      <w:r>
        <w:separator/>
      </w:r>
    </w:p>
    <w:p w14:paraId="14655AA9" w14:textId="77777777" w:rsidR="00171933" w:rsidRDefault="00171933"/>
  </w:endnote>
  <w:endnote w:type="continuationSeparator" w:id="0">
    <w:p w14:paraId="1C32914E" w14:textId="77777777" w:rsidR="00171933" w:rsidRDefault="00171933">
      <w:r>
        <w:continuationSeparator/>
      </w:r>
    </w:p>
    <w:p w14:paraId="5AFD30F4" w14:textId="77777777" w:rsidR="00171933" w:rsidRDefault="00171933"/>
  </w:endnote>
  <w:endnote w:type="continuationNotice" w:id="1">
    <w:p w14:paraId="031FC349" w14:textId="77777777" w:rsidR="00171933" w:rsidRDefault="00171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68C1" w14:textId="77777777" w:rsidR="00D00196" w:rsidRDefault="00D0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4CF051A6" w:rsidR="00267551" w:rsidRDefault="00267551" w:rsidP="00B92885">
    <w:pPr>
      <w:pStyle w:val="Footer"/>
      <w:tabs>
        <w:tab w:val="clear" w:pos="4536"/>
        <w:tab w:val="clear" w:pos="9072"/>
        <w:tab w:val="left" w:pos="8227"/>
        <w:tab w:val="right" w:pos="9412"/>
      </w:tabs>
    </w:pPr>
    <w:r>
      <w:tab/>
    </w:r>
    <w:r w:rsidR="00B92885">
      <w:tab/>
    </w:r>
  </w:p>
  <w:p w14:paraId="3A793707" w14:textId="084F8123" w:rsidR="00B92885" w:rsidRDefault="00B92885" w:rsidP="00B92885">
    <w:pPr>
      <w:pStyle w:val="Footer"/>
      <w:tabs>
        <w:tab w:val="clear" w:pos="4536"/>
        <w:tab w:val="clear" w:pos="9072"/>
        <w:tab w:val="left" w:pos="8227"/>
        <w:tab w:val="right" w:pos="9412"/>
      </w:tabs>
    </w:pPr>
    <w:r>
      <w:tab/>
    </w:r>
    <w:r>
      <w:tab/>
    </w:r>
    <w:r>
      <w:tab/>
    </w:r>
  </w:p>
  <w:p w14:paraId="6D19C66C" w14:textId="10DE0B9B" w:rsidR="00B92885" w:rsidRDefault="00B92885" w:rsidP="00B92885">
    <w:pPr>
      <w:pStyle w:val="Footer"/>
      <w:tabs>
        <w:tab w:val="clear" w:pos="4536"/>
        <w:tab w:val="clear" w:pos="9072"/>
        <w:tab w:val="left" w:pos="8227"/>
        <w:tab w:val="right" w:pos="9412"/>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5C54A" w14:textId="77777777" w:rsidR="00171933" w:rsidRDefault="00171933">
      <w:r>
        <w:separator/>
      </w:r>
    </w:p>
    <w:p w14:paraId="60BEA144" w14:textId="77777777" w:rsidR="00171933" w:rsidRDefault="00171933"/>
  </w:footnote>
  <w:footnote w:type="continuationSeparator" w:id="0">
    <w:p w14:paraId="31012019" w14:textId="77777777" w:rsidR="00171933" w:rsidRDefault="00171933">
      <w:r>
        <w:continuationSeparator/>
      </w:r>
    </w:p>
    <w:p w14:paraId="13393195" w14:textId="77777777" w:rsidR="00171933" w:rsidRDefault="00171933"/>
  </w:footnote>
  <w:footnote w:type="continuationNotice" w:id="1">
    <w:p w14:paraId="09E7F0E4" w14:textId="77777777" w:rsidR="00171933" w:rsidRDefault="001719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4D90" w14:textId="77777777" w:rsidR="00D00196" w:rsidRDefault="00D00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CAE20"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BCF71"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3"/>
  </w:num>
  <w:num w:numId="5">
    <w:abstractNumId w:val="25"/>
  </w:num>
  <w:num w:numId="6">
    <w:abstractNumId w:val="0"/>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6"/>
  </w:num>
  <w:num w:numId="21">
    <w:abstractNumId w:val="36"/>
  </w:num>
  <w:num w:numId="22">
    <w:abstractNumId w:val="24"/>
  </w:num>
  <w:num w:numId="23">
    <w:abstractNumId w:val="9"/>
  </w:num>
  <w:num w:numId="24">
    <w:abstractNumId w:val="29"/>
  </w:num>
  <w:num w:numId="25">
    <w:abstractNumId w:val="28"/>
  </w:num>
  <w:num w:numId="26">
    <w:abstractNumId w:val="19"/>
  </w:num>
  <w:num w:numId="27">
    <w:abstractNumId w:val="32"/>
  </w:num>
  <w:num w:numId="28">
    <w:abstractNumId w:val="38"/>
  </w:num>
  <w:num w:numId="29">
    <w:abstractNumId w:val="7"/>
  </w:num>
  <w:num w:numId="30">
    <w:abstractNumId w:val="2"/>
  </w:num>
  <w:num w:numId="31">
    <w:abstractNumId w:val="21"/>
  </w:num>
  <w:num w:numId="32">
    <w:abstractNumId w:val="20"/>
  </w:num>
  <w:num w:numId="33">
    <w:abstractNumId w:val="34"/>
  </w:num>
  <w:num w:numId="34">
    <w:abstractNumId w:val="33"/>
  </w:num>
  <w:num w:numId="35">
    <w:abstractNumId w:val="4"/>
  </w:num>
  <w:num w:numId="36">
    <w:abstractNumId w:val="35"/>
  </w:num>
  <w:num w:numId="37">
    <w:abstractNumId w:val="20"/>
    <w:lvlOverride w:ilvl="0">
      <w:startOverride w:val="1"/>
    </w:lvlOverride>
  </w:num>
  <w:num w:numId="38">
    <w:abstractNumId w:val="20"/>
  </w:num>
  <w:num w:numId="39">
    <w:abstractNumId w:val="12"/>
  </w:num>
  <w:num w:numId="40">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27EEB"/>
    <w:rsid w:val="000303BE"/>
    <w:rsid w:val="000344D6"/>
    <w:rsid w:val="00034960"/>
    <w:rsid w:val="00036932"/>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2600"/>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054"/>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193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3D3"/>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073F1"/>
    <w:rsid w:val="00210474"/>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399E"/>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B5B"/>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4D1F"/>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1DDE"/>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A24"/>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847"/>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7E3"/>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126"/>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246A"/>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3860"/>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07117"/>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4174"/>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6F4B"/>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5DF2"/>
    <w:rsid w:val="008A2585"/>
    <w:rsid w:val="008A2718"/>
    <w:rsid w:val="008A3865"/>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4FB"/>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6A8"/>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3405"/>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85"/>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4FDC"/>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196"/>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1FC"/>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017D"/>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53FE"/>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1C6E"/>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153E"/>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3CA"/>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5E22"/>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E685E"/>
    <w:rsid w:val="00FF097B"/>
    <w:rsid w:val="00FF0B6E"/>
    <w:rsid w:val="00FF1C1B"/>
    <w:rsid w:val="00FF2067"/>
    <w:rsid w:val="00FF3BC4"/>
    <w:rsid w:val="00FF4796"/>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20206558">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98260636">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44268879">
      <w:bodyDiv w:val="1"/>
      <w:marLeft w:val="0"/>
      <w:marRight w:val="0"/>
      <w:marTop w:val="0"/>
      <w:marBottom w:val="0"/>
      <w:divBdr>
        <w:top w:val="none" w:sz="0" w:space="0" w:color="auto"/>
        <w:left w:val="none" w:sz="0" w:space="0" w:color="auto"/>
        <w:bottom w:val="none" w:sz="0" w:space="0" w:color="auto"/>
        <w:right w:val="none" w:sz="0" w:space="0" w:color="auto"/>
      </w:divBdr>
    </w:div>
    <w:div w:id="264655297">
      <w:bodyDiv w:val="1"/>
      <w:marLeft w:val="0"/>
      <w:marRight w:val="0"/>
      <w:marTop w:val="0"/>
      <w:marBottom w:val="0"/>
      <w:divBdr>
        <w:top w:val="none" w:sz="0" w:space="0" w:color="auto"/>
        <w:left w:val="none" w:sz="0" w:space="0" w:color="auto"/>
        <w:bottom w:val="none" w:sz="0" w:space="0" w:color="auto"/>
        <w:right w:val="none" w:sz="0" w:space="0" w:color="auto"/>
      </w:divBdr>
    </w:div>
    <w:div w:id="28396889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32992278">
      <w:bodyDiv w:val="1"/>
      <w:marLeft w:val="0"/>
      <w:marRight w:val="0"/>
      <w:marTop w:val="0"/>
      <w:marBottom w:val="0"/>
      <w:divBdr>
        <w:top w:val="none" w:sz="0" w:space="0" w:color="auto"/>
        <w:left w:val="none" w:sz="0" w:space="0" w:color="auto"/>
        <w:bottom w:val="none" w:sz="0" w:space="0" w:color="auto"/>
        <w:right w:val="none" w:sz="0" w:space="0" w:color="auto"/>
      </w:divBdr>
    </w:div>
    <w:div w:id="344984367">
      <w:bodyDiv w:val="1"/>
      <w:marLeft w:val="0"/>
      <w:marRight w:val="0"/>
      <w:marTop w:val="0"/>
      <w:marBottom w:val="0"/>
      <w:divBdr>
        <w:top w:val="none" w:sz="0" w:space="0" w:color="auto"/>
        <w:left w:val="none" w:sz="0" w:space="0" w:color="auto"/>
        <w:bottom w:val="none" w:sz="0" w:space="0" w:color="auto"/>
        <w:right w:val="none" w:sz="0" w:space="0" w:color="auto"/>
      </w:divBdr>
    </w:div>
    <w:div w:id="375735450">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0949455">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56812188">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549839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79456506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120193">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35083972">
      <w:bodyDiv w:val="1"/>
      <w:marLeft w:val="0"/>
      <w:marRight w:val="0"/>
      <w:marTop w:val="0"/>
      <w:marBottom w:val="0"/>
      <w:divBdr>
        <w:top w:val="none" w:sz="0" w:space="0" w:color="auto"/>
        <w:left w:val="none" w:sz="0" w:space="0" w:color="auto"/>
        <w:bottom w:val="none" w:sz="0" w:space="0" w:color="auto"/>
        <w:right w:val="none" w:sz="0" w:space="0" w:color="auto"/>
      </w:divBdr>
    </w:div>
    <w:div w:id="1078212213">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2369337">
      <w:bodyDiv w:val="1"/>
      <w:marLeft w:val="0"/>
      <w:marRight w:val="0"/>
      <w:marTop w:val="0"/>
      <w:marBottom w:val="0"/>
      <w:divBdr>
        <w:top w:val="none" w:sz="0" w:space="0" w:color="auto"/>
        <w:left w:val="none" w:sz="0" w:space="0" w:color="auto"/>
        <w:bottom w:val="none" w:sz="0" w:space="0" w:color="auto"/>
        <w:right w:val="none" w:sz="0" w:space="0" w:color="auto"/>
      </w:divBdr>
    </w:div>
    <w:div w:id="1659797437">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88305397">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23547742">
      <w:bodyDiv w:val="1"/>
      <w:marLeft w:val="0"/>
      <w:marRight w:val="0"/>
      <w:marTop w:val="0"/>
      <w:marBottom w:val="0"/>
      <w:divBdr>
        <w:top w:val="none" w:sz="0" w:space="0" w:color="auto"/>
        <w:left w:val="none" w:sz="0" w:space="0" w:color="auto"/>
        <w:bottom w:val="none" w:sz="0" w:space="0" w:color="auto"/>
        <w:right w:val="none" w:sz="0" w:space="0" w:color="auto"/>
      </w:divBdr>
    </w:div>
    <w:div w:id="1835336379">
      <w:bodyDiv w:val="1"/>
      <w:marLeft w:val="0"/>
      <w:marRight w:val="0"/>
      <w:marTop w:val="0"/>
      <w:marBottom w:val="0"/>
      <w:divBdr>
        <w:top w:val="none" w:sz="0" w:space="0" w:color="auto"/>
        <w:left w:val="none" w:sz="0" w:space="0" w:color="auto"/>
        <w:bottom w:val="none" w:sz="0" w:space="0" w:color="auto"/>
        <w:right w:val="none" w:sz="0" w:space="0" w:color="auto"/>
      </w:divBdr>
    </w:div>
    <w:div w:id="1880972399">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04870599">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MeetingDate xmlns="35c8e399-07b8-49e4-91bf-01a20105d4df" xsi:nil="true"/>
    <Year xmlns="35c8e399-07b8-49e4-91bf-01a20105d4df">2022</Year>
    <TaxCatchAll xmlns="35c8e399-07b8-49e4-91bf-01a20105d4df">
      <Value>15</Value>
      <Value>46</Value>
      <Value>385</Value>
      <Value>194</Value>
      <Value>379</Value>
      <Value>38</Value>
    </TaxCatchAll>
    <_dlc_DocId xmlns="35c8e399-07b8-49e4-91bf-01a20105d4df">ESMA34-472-383</_dlc_DocId>
    <_dlc_DocIdUrl xmlns="35c8e399-07b8-49e4-91bf-01a20105d4df">
      <Url>https://sherpa.esma.europa.eu/sites/INIIVM/_layouts/15/DocIdRedir.aspx?ID=ESMA34-472-383</Url>
      <Description>ESMA34-472-383</Description>
    </_dlc_DocIdUrl>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Supervisory briefing</TermName>
          <TermId xmlns="http://schemas.microsoft.com/office/infopath/2007/PartnerControls">bf46ff00-e6bf-4d5e-8642-e9ec713c4e98</TermId>
        </TermInfo>
      </Terms>
    </pe003f6b23174764860dd10a5d2d3e7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IMSC and OWG work on sustainable finance</TermName>
          <TermId xmlns="http://schemas.microsoft.com/office/infopath/2007/PartnerControls">f6ed5092-971f-4cd6-863c-09ec339003ff</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oa4fe03ffd8943c1880fe290404e8de7>
  </documentManagement>
</p:propertie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30B5F0D0-E3B5-4691-8DB3-653E429C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5.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35c8e399-07b8-49e4-91bf-01a20105d4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2958</Words>
  <Characters>17252</Characters>
  <Application>Microsoft Office Word</Application>
  <DocSecurity>8</DocSecurity>
  <Lines>325</Lines>
  <Paragraphs>126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 CP on Guidelines on funds’ names using ESG or sustainability-related terms</vt:lpstr>
      <vt:lpstr>20110000</vt:lpstr>
      <vt:lpstr>20110000</vt:lpstr>
      <vt:lpstr>20110000</vt:lpstr>
      <vt:lpstr>20110000</vt:lpstr>
    </vt:vector>
  </TitlesOfParts>
  <Company>ESMA</Company>
  <LinksUpToDate>false</LinksUpToDate>
  <CharactersWithSpaces>20115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keywords>General</cp:keywords>
  <cp:lastModifiedBy>Horigan, Ciara</cp:lastModifiedBy>
  <cp:revision>3</cp:revision>
  <cp:lastPrinted>2015-02-18T11:01:00Z</cp:lastPrinted>
  <dcterms:created xsi:type="dcterms:W3CDTF">2023-02-20T22:15:00Z</dcterms:created>
  <dcterms:modified xsi:type="dcterms:W3CDTF">2023-02-20T22:15:00Z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y fmtid="{D5CDD505-2E9C-101B-9397-08002B2CF9AE}" pid="10" name="TitusGUID">
    <vt:lpwstr>73f7cea0-6158-40fc-ad10-696701e240f3</vt:lpwstr>
  </property>
  <property fmtid="{D5CDD505-2E9C-101B-9397-08002B2CF9AE}" pid="11" name="SSCClassification">
    <vt:lpwstr>G</vt:lpwstr>
  </property>
  <property fmtid="{D5CDD505-2E9C-101B-9397-08002B2CF9AE}" pid="12" name="SSCVisualMarks">
    <vt:lpwstr>Y</vt:lpwstr>
  </property>
</Properties>
</file>