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94AC" w14:textId="77777777" w:rsidR="00FD2023" w:rsidRDefault="00FD2023">
      <w:pPr>
        <w:widowControl w:val="0"/>
        <w:pBdr>
          <w:top w:val="nil"/>
          <w:left w:val="nil"/>
          <w:bottom w:val="nil"/>
          <w:right w:val="nil"/>
          <w:between w:val="nil"/>
        </w:pBdr>
        <w:spacing w:line="276" w:lineRule="auto"/>
        <w:rPr>
          <w:color w:val="000000"/>
          <w:sz w:val="22"/>
          <w:szCs w:val="22"/>
        </w:rPr>
      </w:pPr>
    </w:p>
    <w:tbl>
      <w:tblPr>
        <w:tblStyle w:val="a"/>
        <w:tblW w:w="9412" w:type="dxa"/>
        <w:tblLayout w:type="fixed"/>
        <w:tblLook w:val="0000" w:firstRow="0" w:lastRow="0" w:firstColumn="0" w:lastColumn="0" w:noHBand="0" w:noVBand="0"/>
      </w:tblPr>
      <w:tblGrid>
        <w:gridCol w:w="9412"/>
      </w:tblGrid>
      <w:tr w:rsidR="00FD2023" w14:paraId="21921446" w14:textId="77777777">
        <w:trPr>
          <w:trHeight w:val="284"/>
        </w:trPr>
        <w:tc>
          <w:tcPr>
            <w:tcW w:w="9412" w:type="dxa"/>
          </w:tcPr>
          <w:p w14:paraId="6B226538" w14:textId="77777777" w:rsidR="00FD2023" w:rsidRDefault="00000000">
            <w:pPr>
              <w:pBdr>
                <w:top w:val="nil"/>
                <w:left w:val="nil"/>
                <w:bottom w:val="nil"/>
                <w:right w:val="nil"/>
                <w:between w:val="nil"/>
              </w:pBdr>
              <w:tabs>
                <w:tab w:val="center" w:pos="4536"/>
                <w:tab w:val="right" w:pos="9072"/>
              </w:tabs>
              <w:rPr>
                <w:color w:val="000000"/>
                <w:sz w:val="22"/>
                <w:szCs w:val="22"/>
              </w:rPr>
            </w:pPr>
            <w:r>
              <w:rPr>
                <w:color w:val="FFFFFF"/>
                <w:sz w:val="22"/>
                <w:szCs w:val="22"/>
              </w:rPr>
              <w:t>18 November 2022</w:t>
            </w:r>
          </w:p>
        </w:tc>
      </w:tr>
    </w:tbl>
    <w:p w14:paraId="7C208FE0" w14:textId="77777777" w:rsidR="00FD2023" w:rsidRDefault="00FD2023">
      <w:pPr>
        <w:widowControl w:val="0"/>
        <w:pBdr>
          <w:top w:val="nil"/>
          <w:left w:val="nil"/>
          <w:bottom w:val="nil"/>
          <w:right w:val="nil"/>
          <w:between w:val="nil"/>
        </w:pBdr>
        <w:spacing w:line="276" w:lineRule="auto"/>
        <w:rPr>
          <w:color w:val="000000"/>
          <w:sz w:val="22"/>
          <w:szCs w:val="22"/>
        </w:rPr>
      </w:pPr>
    </w:p>
    <w:tbl>
      <w:tblPr>
        <w:tblStyle w:val="a0"/>
        <w:tblW w:w="9397" w:type="dxa"/>
        <w:tblLayout w:type="fixed"/>
        <w:tblLook w:val="0000" w:firstRow="0" w:lastRow="0" w:firstColumn="0" w:lastColumn="0" w:noHBand="0" w:noVBand="0"/>
      </w:tblPr>
      <w:tblGrid>
        <w:gridCol w:w="9397"/>
      </w:tblGrid>
      <w:tr w:rsidR="00FD2023" w14:paraId="7CB34CDE" w14:textId="77777777">
        <w:trPr>
          <w:trHeight w:val="1985"/>
        </w:trPr>
        <w:tc>
          <w:tcPr>
            <w:tcW w:w="9397" w:type="dxa"/>
            <w:vAlign w:val="bottom"/>
          </w:tcPr>
          <w:p w14:paraId="083C8B66" w14:textId="77777777" w:rsidR="00FD2023" w:rsidRDefault="00000000">
            <w:pPr>
              <w:pBdr>
                <w:top w:val="nil"/>
                <w:left w:val="nil"/>
                <w:bottom w:val="nil"/>
                <w:right w:val="nil"/>
                <w:between w:val="nil"/>
              </w:pBdr>
              <w:spacing w:line="400" w:lineRule="auto"/>
              <w:rPr>
                <w:b/>
                <w:color w:val="2D4190"/>
                <w:sz w:val="40"/>
                <w:szCs w:val="40"/>
              </w:rPr>
            </w:pPr>
            <w:r>
              <w:rPr>
                <w:b/>
                <w:color w:val="2D4190"/>
                <w:sz w:val="40"/>
                <w:szCs w:val="40"/>
              </w:rPr>
              <w:t xml:space="preserve">Reply form for the Consultation Paper </w:t>
            </w:r>
            <w:proofErr w:type="gramStart"/>
            <w:r>
              <w:rPr>
                <w:b/>
                <w:color w:val="2D4190"/>
                <w:sz w:val="40"/>
                <w:szCs w:val="40"/>
              </w:rPr>
              <w:t xml:space="preserve">on </w:t>
            </w:r>
            <w:r>
              <w:rPr>
                <w:color w:val="000000"/>
                <w:sz w:val="22"/>
                <w:szCs w:val="22"/>
              </w:rPr>
              <w:t xml:space="preserve"> </w:t>
            </w:r>
            <w:r>
              <w:rPr>
                <w:b/>
                <w:color w:val="2D4190"/>
                <w:sz w:val="40"/>
                <w:szCs w:val="40"/>
              </w:rPr>
              <w:t>Guidelines</w:t>
            </w:r>
            <w:proofErr w:type="gramEnd"/>
            <w:r>
              <w:rPr>
                <w:b/>
                <w:color w:val="2D4190"/>
                <w:sz w:val="40"/>
                <w:szCs w:val="40"/>
              </w:rPr>
              <w:t xml:space="preserve"> for the use of ESG or sustainability-related terms in funds’ names</w:t>
            </w:r>
          </w:p>
          <w:p w14:paraId="15BC87D2" w14:textId="77777777" w:rsidR="00FD2023" w:rsidRDefault="00FD2023">
            <w:pPr>
              <w:pBdr>
                <w:top w:val="nil"/>
                <w:left w:val="nil"/>
                <w:bottom w:val="nil"/>
                <w:right w:val="nil"/>
                <w:between w:val="nil"/>
              </w:pBdr>
              <w:spacing w:line="400" w:lineRule="auto"/>
              <w:rPr>
                <w:b/>
                <w:color w:val="2D4190"/>
                <w:sz w:val="40"/>
                <w:szCs w:val="40"/>
              </w:rPr>
            </w:pPr>
          </w:p>
        </w:tc>
      </w:tr>
      <w:tr w:rsidR="00FD2023" w14:paraId="51594696" w14:textId="77777777">
        <w:trPr>
          <w:trHeight w:val="605"/>
        </w:trPr>
        <w:tc>
          <w:tcPr>
            <w:tcW w:w="9397" w:type="dxa"/>
            <w:tcMar>
              <w:top w:w="142" w:type="dxa"/>
            </w:tcMar>
          </w:tcPr>
          <w:p w14:paraId="0598C8BA" w14:textId="77777777" w:rsidR="00FD2023" w:rsidRDefault="00000000">
            <w:pPr>
              <w:pBdr>
                <w:top w:val="nil"/>
                <w:left w:val="nil"/>
                <w:bottom w:val="nil"/>
                <w:right w:val="nil"/>
                <w:between w:val="nil"/>
              </w:pBdr>
              <w:jc w:val="right"/>
              <w:rPr>
                <w:color w:val="000000"/>
                <w:sz w:val="24"/>
              </w:rPr>
            </w:pPr>
            <w:r>
              <w:rPr>
                <w:color w:val="000000"/>
                <w:sz w:val="24"/>
              </w:rPr>
              <w:t xml:space="preserve"> </w:t>
            </w:r>
          </w:p>
        </w:tc>
      </w:tr>
    </w:tbl>
    <w:p w14:paraId="68F5B91D" w14:textId="77777777" w:rsidR="00FD2023" w:rsidRDefault="00FD2023">
      <w:pPr>
        <w:pBdr>
          <w:top w:val="nil"/>
          <w:left w:val="nil"/>
          <w:bottom w:val="nil"/>
          <w:right w:val="nil"/>
          <w:between w:val="nil"/>
        </w:pBdr>
        <w:spacing w:after="250" w:line="300" w:lineRule="auto"/>
        <w:jc w:val="both"/>
        <w:rPr>
          <w:b/>
          <w:color w:val="000000"/>
          <w:sz w:val="24"/>
        </w:rPr>
        <w:sectPr w:rsidR="00FD2023">
          <w:headerReference w:type="default" r:id="rId8"/>
          <w:footerReference w:type="default" r:id="rId9"/>
          <w:headerReference w:type="first" r:id="rId10"/>
          <w:footerReference w:type="first" r:id="rId11"/>
          <w:pgSz w:w="11906" w:h="16838"/>
          <w:pgMar w:top="2835" w:right="1247" w:bottom="1361" w:left="1247" w:header="709" w:footer="709" w:gutter="0"/>
          <w:pgNumType w:start="1"/>
          <w:cols w:space="720"/>
          <w:titlePg/>
        </w:sectPr>
      </w:pPr>
    </w:p>
    <w:p w14:paraId="35CB7875" w14:textId="77777777" w:rsidR="00FD2023" w:rsidRDefault="00FD2023">
      <w:pPr>
        <w:widowControl w:val="0"/>
        <w:pBdr>
          <w:top w:val="nil"/>
          <w:left w:val="nil"/>
          <w:bottom w:val="nil"/>
          <w:right w:val="nil"/>
          <w:between w:val="nil"/>
        </w:pBdr>
        <w:spacing w:line="276" w:lineRule="auto"/>
        <w:rPr>
          <w:b/>
          <w:color w:val="000000"/>
          <w:sz w:val="24"/>
        </w:rPr>
      </w:pPr>
    </w:p>
    <w:tbl>
      <w:tblPr>
        <w:tblStyle w:val="a1"/>
        <w:tblW w:w="2325" w:type="dxa"/>
        <w:tblLayout w:type="fixed"/>
        <w:tblLook w:val="0000" w:firstRow="0" w:lastRow="0" w:firstColumn="0" w:lastColumn="0" w:noHBand="0" w:noVBand="0"/>
      </w:tblPr>
      <w:tblGrid>
        <w:gridCol w:w="2325"/>
      </w:tblGrid>
      <w:tr w:rsidR="00FD2023" w14:paraId="7000AEB4" w14:textId="77777777">
        <w:trPr>
          <w:trHeight w:val="964"/>
        </w:trPr>
        <w:tc>
          <w:tcPr>
            <w:tcW w:w="2325" w:type="dxa"/>
          </w:tcPr>
          <w:p w14:paraId="59D9020F" w14:textId="77777777" w:rsidR="00FD2023" w:rsidRDefault="00000000">
            <w:pPr>
              <w:pBdr>
                <w:top w:val="nil"/>
                <w:left w:val="nil"/>
                <w:bottom w:val="nil"/>
                <w:right w:val="nil"/>
                <w:between w:val="nil"/>
              </w:pBdr>
              <w:spacing w:line="220" w:lineRule="auto"/>
              <w:rPr>
                <w:color w:val="000000"/>
                <w:sz w:val="17"/>
                <w:szCs w:val="17"/>
              </w:rPr>
            </w:pPr>
            <w:r>
              <w:rPr>
                <w:color w:val="000000"/>
                <w:sz w:val="17"/>
                <w:szCs w:val="17"/>
              </w:rPr>
              <w:t>Date: 18 November 2022</w:t>
            </w:r>
          </w:p>
          <w:p w14:paraId="7530E651" w14:textId="77777777" w:rsidR="00FD2023" w:rsidRDefault="00FD2023">
            <w:pPr>
              <w:pBdr>
                <w:top w:val="nil"/>
                <w:left w:val="nil"/>
                <w:bottom w:val="nil"/>
                <w:right w:val="nil"/>
                <w:between w:val="nil"/>
              </w:pBdr>
              <w:spacing w:line="220" w:lineRule="auto"/>
              <w:rPr>
                <w:color w:val="000000"/>
                <w:sz w:val="17"/>
                <w:szCs w:val="17"/>
              </w:rPr>
            </w:pPr>
          </w:p>
        </w:tc>
      </w:tr>
    </w:tbl>
    <w:p w14:paraId="653B2434" w14:textId="77777777" w:rsidR="00FD2023" w:rsidRDefault="00000000">
      <w:pPr>
        <w:pBdr>
          <w:top w:val="nil"/>
          <w:left w:val="nil"/>
          <w:bottom w:val="nil"/>
          <w:right w:val="nil"/>
          <w:between w:val="nil"/>
        </w:pBdr>
        <w:spacing w:after="250" w:line="300" w:lineRule="auto"/>
        <w:jc w:val="both"/>
        <w:rPr>
          <w:b/>
          <w:color w:val="000000"/>
          <w:sz w:val="24"/>
        </w:rPr>
      </w:pPr>
      <w:bookmarkStart w:id="0" w:name="_heading=h.gjdgxs" w:colFirst="0" w:colLast="0"/>
      <w:bookmarkEnd w:id="0"/>
      <w:r>
        <w:rPr>
          <w:b/>
          <w:color w:val="000000"/>
          <w:sz w:val="24"/>
        </w:rPr>
        <w:t xml:space="preserve">Responding to this paper </w:t>
      </w:r>
    </w:p>
    <w:p w14:paraId="28E8BFA0" w14:textId="77777777" w:rsidR="00FD2023" w:rsidRDefault="00000000">
      <w:pPr>
        <w:pBdr>
          <w:top w:val="nil"/>
          <w:left w:val="nil"/>
          <w:bottom w:val="nil"/>
          <w:right w:val="nil"/>
          <w:between w:val="nil"/>
        </w:pBdr>
        <w:spacing w:before="120" w:after="120" w:line="276" w:lineRule="auto"/>
        <w:jc w:val="both"/>
        <w:rPr>
          <w:color w:val="000000"/>
          <w:szCs w:val="20"/>
        </w:rPr>
      </w:pPr>
      <w:r>
        <w:rPr>
          <w:color w:val="000000"/>
          <w:szCs w:val="20"/>
        </w:rPr>
        <w:t>The European Securities and Markets Authority (ESMA) invites responses to the specific questions listed in the Consultation Paper on Guidelines for the use of ESG or sustainability-related terms in funds’ names published on the ESMA website.</w:t>
      </w:r>
    </w:p>
    <w:p w14:paraId="040C23B6" w14:textId="77777777" w:rsidR="00FD2023" w:rsidRDefault="00FD2023">
      <w:pPr>
        <w:spacing w:before="120" w:after="120" w:line="276" w:lineRule="auto"/>
        <w:jc w:val="both"/>
        <w:rPr>
          <w:b/>
          <w:i/>
        </w:rPr>
      </w:pPr>
    </w:p>
    <w:p w14:paraId="60C2B4A3" w14:textId="77777777" w:rsidR="00FD2023" w:rsidRDefault="00000000">
      <w:pPr>
        <w:spacing w:before="120" w:after="120" w:line="276" w:lineRule="auto"/>
        <w:jc w:val="both"/>
        <w:rPr>
          <w:b/>
          <w:i/>
        </w:rPr>
      </w:pPr>
      <w:r>
        <w:rPr>
          <w:b/>
          <w:i/>
        </w:rPr>
        <w:t>Instructions</w:t>
      </w:r>
    </w:p>
    <w:p w14:paraId="2898C1E9" w14:textId="77777777" w:rsidR="00FD2023" w:rsidRDefault="00000000">
      <w:pPr>
        <w:pBdr>
          <w:top w:val="nil"/>
          <w:left w:val="nil"/>
          <w:bottom w:val="nil"/>
          <w:right w:val="nil"/>
          <w:between w:val="nil"/>
        </w:pBdr>
        <w:spacing w:before="120" w:after="120" w:line="276" w:lineRule="auto"/>
        <w:jc w:val="both"/>
        <w:rPr>
          <w:color w:val="000000"/>
          <w:szCs w:val="20"/>
        </w:rPr>
      </w:pPr>
      <w:r>
        <w:rPr>
          <w:color w:val="000000"/>
          <w:szCs w:val="20"/>
        </w:rPr>
        <w:t xml:space="preserve">Please note that, </w:t>
      </w:r>
      <w:proofErr w:type="gramStart"/>
      <w:r>
        <w:rPr>
          <w:color w:val="000000"/>
          <w:szCs w:val="20"/>
        </w:rPr>
        <w:t>in order to</w:t>
      </w:r>
      <w:proofErr w:type="gramEnd"/>
      <w:r>
        <w:rPr>
          <w:color w:val="000000"/>
          <w:szCs w:val="20"/>
        </w:rPr>
        <w:t xml:space="preserve">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14:paraId="0753C251" w14:textId="77777777" w:rsidR="00FD2023" w:rsidRDefault="00000000">
      <w:pPr>
        <w:numPr>
          <w:ilvl w:val="0"/>
          <w:numId w:val="3"/>
        </w:numPr>
        <w:pBdr>
          <w:top w:val="nil"/>
          <w:left w:val="nil"/>
          <w:bottom w:val="nil"/>
          <w:right w:val="nil"/>
          <w:between w:val="nil"/>
        </w:pBdr>
        <w:spacing w:before="120" w:after="120" w:line="276" w:lineRule="auto"/>
        <w:jc w:val="both"/>
        <w:rPr>
          <w:color w:val="000000"/>
          <w:szCs w:val="20"/>
        </w:rPr>
      </w:pPr>
      <w:r>
        <w:rPr>
          <w:color w:val="000000"/>
          <w:szCs w:val="20"/>
        </w:rPr>
        <w:t>use this form and send your responses in Word format (pdf documents will not be considered</w:t>
      </w:r>
      <w:proofErr w:type="gramStart"/>
      <w:r>
        <w:rPr>
          <w:color w:val="000000"/>
          <w:szCs w:val="20"/>
        </w:rPr>
        <w:t>);</w:t>
      </w:r>
      <w:proofErr w:type="gramEnd"/>
    </w:p>
    <w:p w14:paraId="33525985" w14:textId="77777777" w:rsidR="00FD2023" w:rsidRDefault="00000000">
      <w:pPr>
        <w:numPr>
          <w:ilvl w:val="0"/>
          <w:numId w:val="3"/>
        </w:numPr>
        <w:pBdr>
          <w:top w:val="nil"/>
          <w:left w:val="nil"/>
          <w:bottom w:val="nil"/>
          <w:right w:val="nil"/>
          <w:between w:val="nil"/>
        </w:pBdr>
        <w:spacing w:before="120" w:after="120" w:line="276" w:lineRule="auto"/>
        <w:jc w:val="both"/>
        <w:rPr>
          <w:color w:val="000000"/>
          <w:szCs w:val="20"/>
        </w:rPr>
      </w:pPr>
      <w:r>
        <w:rPr>
          <w:color w:val="000000"/>
          <w:szCs w:val="20"/>
        </w:rPr>
        <w:t xml:space="preserve">do not remove the tags of </w:t>
      </w:r>
      <w:r>
        <w:rPr>
          <w:color w:val="000000"/>
          <w:szCs w:val="20"/>
          <w:highlight w:val="yellow"/>
        </w:rPr>
        <w:t xml:space="preserve">type &lt;ESMA_QUESTION_FUNA_0&gt; - </w:t>
      </w:r>
      <w:proofErr w:type="gramStart"/>
      <w:r>
        <w:rPr>
          <w:color w:val="000000"/>
          <w:szCs w:val="20"/>
          <w:highlight w:val="yellow"/>
        </w:rPr>
        <w:t>i.</w:t>
      </w:r>
      <w:r>
        <w:rPr>
          <w:color w:val="000000"/>
          <w:szCs w:val="20"/>
        </w:rPr>
        <w:t>e.</w:t>
      </w:r>
      <w:proofErr w:type="gramEnd"/>
      <w:r>
        <w:rPr>
          <w:color w:val="000000"/>
          <w:szCs w:val="20"/>
        </w:rPr>
        <w:t xml:space="preserve"> the response to one question has to be framed by the 2 tags corresponding to the question; and</w:t>
      </w:r>
    </w:p>
    <w:p w14:paraId="794110B7" w14:textId="77777777" w:rsidR="00FD2023" w:rsidRDefault="00000000">
      <w:pPr>
        <w:numPr>
          <w:ilvl w:val="0"/>
          <w:numId w:val="3"/>
        </w:numPr>
        <w:pBdr>
          <w:top w:val="nil"/>
          <w:left w:val="nil"/>
          <w:bottom w:val="nil"/>
          <w:right w:val="nil"/>
          <w:between w:val="nil"/>
        </w:pBdr>
        <w:spacing w:before="120" w:after="120" w:line="276" w:lineRule="auto"/>
        <w:jc w:val="both"/>
        <w:rPr>
          <w:color w:val="000000"/>
          <w:szCs w:val="20"/>
        </w:rPr>
      </w:pPr>
      <w:r>
        <w:rPr>
          <w:color w:val="000000"/>
          <w:szCs w:val="20"/>
        </w:rPr>
        <w:t>if you do not have a response to a question, do not delete it and leave the text “TYPE YOUR TEXT HERE” between the tags.</w:t>
      </w:r>
    </w:p>
    <w:p w14:paraId="502B2EAC" w14:textId="77777777" w:rsidR="00FD2023" w:rsidRDefault="00000000">
      <w:pPr>
        <w:pBdr>
          <w:top w:val="nil"/>
          <w:left w:val="nil"/>
          <w:bottom w:val="nil"/>
          <w:right w:val="nil"/>
          <w:between w:val="nil"/>
        </w:pBdr>
        <w:spacing w:before="120" w:after="120" w:line="276" w:lineRule="auto"/>
        <w:ind w:left="568" w:hanging="284"/>
        <w:jc w:val="both"/>
        <w:rPr>
          <w:color w:val="000000"/>
          <w:szCs w:val="20"/>
        </w:rPr>
      </w:pPr>
      <w:r>
        <w:rPr>
          <w:color w:val="000000"/>
          <w:szCs w:val="20"/>
        </w:rPr>
        <w:t>Responses are most helpful:</w:t>
      </w:r>
    </w:p>
    <w:p w14:paraId="23AA4F6F" w14:textId="77777777" w:rsidR="00FD2023" w:rsidRDefault="00000000">
      <w:pPr>
        <w:numPr>
          <w:ilvl w:val="0"/>
          <w:numId w:val="4"/>
        </w:numPr>
        <w:pBdr>
          <w:top w:val="nil"/>
          <w:left w:val="nil"/>
          <w:bottom w:val="nil"/>
          <w:right w:val="nil"/>
          <w:between w:val="nil"/>
        </w:pBdr>
        <w:spacing w:before="120" w:after="120" w:line="276" w:lineRule="auto"/>
        <w:jc w:val="both"/>
        <w:rPr>
          <w:color w:val="000000"/>
          <w:szCs w:val="20"/>
        </w:rPr>
      </w:pPr>
      <w:r>
        <w:rPr>
          <w:color w:val="000000"/>
          <w:szCs w:val="20"/>
        </w:rPr>
        <w:t xml:space="preserve">if they respond to the question </w:t>
      </w:r>
      <w:proofErr w:type="gramStart"/>
      <w:r>
        <w:rPr>
          <w:color w:val="000000"/>
          <w:szCs w:val="20"/>
        </w:rPr>
        <w:t>stated;</w:t>
      </w:r>
      <w:proofErr w:type="gramEnd"/>
    </w:p>
    <w:p w14:paraId="57B60BB9" w14:textId="77777777" w:rsidR="00FD2023" w:rsidRDefault="00000000">
      <w:pPr>
        <w:numPr>
          <w:ilvl w:val="0"/>
          <w:numId w:val="4"/>
        </w:numPr>
        <w:pBdr>
          <w:top w:val="nil"/>
          <w:left w:val="nil"/>
          <w:bottom w:val="nil"/>
          <w:right w:val="nil"/>
          <w:between w:val="nil"/>
        </w:pBdr>
        <w:spacing w:before="120" w:after="120" w:line="276" w:lineRule="auto"/>
        <w:jc w:val="both"/>
        <w:rPr>
          <w:color w:val="000000"/>
          <w:szCs w:val="20"/>
        </w:rPr>
      </w:pPr>
      <w:r>
        <w:rPr>
          <w:color w:val="000000"/>
          <w:szCs w:val="20"/>
        </w:rPr>
        <w:t xml:space="preserve">indicate the specific question to which the comment </w:t>
      </w:r>
      <w:proofErr w:type="gramStart"/>
      <w:r>
        <w:rPr>
          <w:color w:val="000000"/>
          <w:szCs w:val="20"/>
        </w:rPr>
        <w:t>relates;</w:t>
      </w:r>
      <w:proofErr w:type="gramEnd"/>
    </w:p>
    <w:p w14:paraId="7DEC8D19" w14:textId="77777777" w:rsidR="00FD2023" w:rsidRDefault="00000000">
      <w:pPr>
        <w:numPr>
          <w:ilvl w:val="0"/>
          <w:numId w:val="4"/>
        </w:numPr>
        <w:pBdr>
          <w:top w:val="nil"/>
          <w:left w:val="nil"/>
          <w:bottom w:val="nil"/>
          <w:right w:val="nil"/>
          <w:between w:val="nil"/>
        </w:pBdr>
        <w:spacing w:before="120" w:after="120" w:line="276" w:lineRule="auto"/>
        <w:jc w:val="both"/>
        <w:rPr>
          <w:color w:val="000000"/>
          <w:szCs w:val="20"/>
        </w:rPr>
      </w:pPr>
      <w:r>
        <w:rPr>
          <w:color w:val="000000"/>
          <w:szCs w:val="20"/>
        </w:rPr>
        <w:t>contain a clear rationale; and</w:t>
      </w:r>
    </w:p>
    <w:p w14:paraId="76EDF090" w14:textId="77777777" w:rsidR="00FD2023" w:rsidRDefault="00000000">
      <w:pPr>
        <w:numPr>
          <w:ilvl w:val="0"/>
          <w:numId w:val="4"/>
        </w:numPr>
        <w:pBdr>
          <w:top w:val="nil"/>
          <w:left w:val="nil"/>
          <w:bottom w:val="nil"/>
          <w:right w:val="nil"/>
          <w:between w:val="nil"/>
        </w:pBdr>
        <w:spacing w:before="120" w:after="120" w:line="276" w:lineRule="auto"/>
        <w:jc w:val="both"/>
        <w:rPr>
          <w:color w:val="000000"/>
          <w:szCs w:val="20"/>
        </w:rPr>
      </w:pPr>
      <w:r>
        <w:rPr>
          <w:color w:val="000000"/>
          <w:szCs w:val="20"/>
        </w:rPr>
        <w:t>describe any alternatives ESMA should consider.</w:t>
      </w:r>
    </w:p>
    <w:p w14:paraId="2132C784" w14:textId="77777777" w:rsidR="00FD2023" w:rsidRDefault="00FD2023">
      <w:pPr>
        <w:pBdr>
          <w:top w:val="nil"/>
          <w:left w:val="nil"/>
          <w:bottom w:val="nil"/>
          <w:right w:val="nil"/>
          <w:between w:val="nil"/>
        </w:pBdr>
        <w:spacing w:before="120" w:after="120" w:line="276" w:lineRule="auto"/>
        <w:rPr>
          <w:b/>
          <w:color w:val="000000"/>
          <w:szCs w:val="20"/>
        </w:rPr>
      </w:pPr>
    </w:p>
    <w:p w14:paraId="341CC887" w14:textId="77777777" w:rsidR="00FD2023" w:rsidRDefault="00000000">
      <w:pPr>
        <w:pBdr>
          <w:top w:val="nil"/>
          <w:left w:val="nil"/>
          <w:bottom w:val="nil"/>
          <w:right w:val="nil"/>
          <w:between w:val="nil"/>
        </w:pBdr>
        <w:spacing w:before="120" w:after="120" w:line="276" w:lineRule="auto"/>
        <w:rPr>
          <w:b/>
          <w:color w:val="000000"/>
          <w:szCs w:val="20"/>
        </w:rPr>
      </w:pPr>
      <w:r>
        <w:rPr>
          <w:b/>
          <w:color w:val="000000"/>
          <w:szCs w:val="20"/>
        </w:rPr>
        <w:t>Naming protocol</w:t>
      </w:r>
    </w:p>
    <w:p w14:paraId="4F45B803" w14:textId="77777777" w:rsidR="00FD2023" w:rsidRDefault="00000000">
      <w:pPr>
        <w:pBdr>
          <w:top w:val="nil"/>
          <w:left w:val="nil"/>
          <w:bottom w:val="nil"/>
          <w:right w:val="nil"/>
          <w:between w:val="nil"/>
        </w:pBdr>
        <w:spacing w:before="120" w:after="120" w:line="276" w:lineRule="auto"/>
        <w:rPr>
          <w:color w:val="000000"/>
          <w:szCs w:val="20"/>
        </w:rPr>
      </w:pPr>
      <w:proofErr w:type="gramStart"/>
      <w:r>
        <w:rPr>
          <w:color w:val="000000"/>
          <w:szCs w:val="20"/>
        </w:rPr>
        <w:t>In order to</w:t>
      </w:r>
      <w:proofErr w:type="gramEnd"/>
      <w:r>
        <w:rPr>
          <w:color w:val="000000"/>
          <w:szCs w:val="20"/>
        </w:rPr>
        <w:t xml:space="preserve"> facilitate the handling of stakeholders’ responses please save your document using the following format:</w:t>
      </w:r>
    </w:p>
    <w:p w14:paraId="40B1242E" w14:textId="77777777" w:rsidR="00FD2023" w:rsidRDefault="00000000">
      <w:pPr>
        <w:pBdr>
          <w:top w:val="nil"/>
          <w:left w:val="nil"/>
          <w:bottom w:val="nil"/>
          <w:right w:val="nil"/>
          <w:between w:val="nil"/>
        </w:pBdr>
        <w:spacing w:before="120" w:after="120" w:line="276" w:lineRule="auto"/>
        <w:rPr>
          <w:color w:val="000000"/>
          <w:szCs w:val="20"/>
        </w:rPr>
      </w:pPr>
      <w:r>
        <w:rPr>
          <w:color w:val="000000"/>
          <w:szCs w:val="20"/>
          <w:highlight w:val="yellow"/>
        </w:rPr>
        <w:t>ESMA_CP_FUNA_NAMEOFCOMPANY_REPLYFORM.</w:t>
      </w:r>
    </w:p>
    <w:p w14:paraId="66C5D16D" w14:textId="77777777" w:rsidR="00FD2023" w:rsidRDefault="00000000">
      <w:pPr>
        <w:pBdr>
          <w:top w:val="nil"/>
          <w:left w:val="nil"/>
          <w:bottom w:val="nil"/>
          <w:right w:val="nil"/>
          <w:between w:val="nil"/>
        </w:pBdr>
        <w:spacing w:before="120" w:after="120" w:line="276" w:lineRule="auto"/>
        <w:rPr>
          <w:color w:val="000000"/>
          <w:szCs w:val="20"/>
        </w:rPr>
      </w:pPr>
      <w:proofErr w:type="gramStart"/>
      <w:r>
        <w:rPr>
          <w:color w:val="000000"/>
          <w:szCs w:val="20"/>
        </w:rPr>
        <w:t>e.g.</w:t>
      </w:r>
      <w:proofErr w:type="gramEnd"/>
      <w:r>
        <w:rPr>
          <w:color w:val="000000"/>
          <w:szCs w:val="20"/>
        </w:rPr>
        <w:t xml:space="preserve"> if the respondent were ABCD, the name of the reply form would be:</w:t>
      </w:r>
    </w:p>
    <w:p w14:paraId="4E001ED5" w14:textId="77777777" w:rsidR="00FD2023" w:rsidRDefault="00000000">
      <w:pPr>
        <w:pBdr>
          <w:top w:val="nil"/>
          <w:left w:val="nil"/>
          <w:bottom w:val="nil"/>
          <w:right w:val="nil"/>
          <w:between w:val="nil"/>
        </w:pBdr>
        <w:spacing w:before="120" w:after="120" w:line="276" w:lineRule="auto"/>
        <w:rPr>
          <w:color w:val="000000"/>
          <w:szCs w:val="20"/>
        </w:rPr>
      </w:pPr>
      <w:r>
        <w:rPr>
          <w:color w:val="000000"/>
          <w:szCs w:val="20"/>
          <w:highlight w:val="yellow"/>
        </w:rPr>
        <w:t>ESMA_CP_FUNA_ABCD_REPLYFORM</w:t>
      </w:r>
    </w:p>
    <w:p w14:paraId="75ABC238" w14:textId="77777777" w:rsidR="00FD2023" w:rsidRDefault="00FD2023">
      <w:pPr>
        <w:spacing w:before="120" w:after="120" w:line="276" w:lineRule="auto"/>
        <w:jc w:val="both"/>
        <w:rPr>
          <w:b/>
          <w:i/>
          <w:color w:val="000000"/>
        </w:rPr>
      </w:pPr>
    </w:p>
    <w:p w14:paraId="5946CD50" w14:textId="77777777" w:rsidR="00FD2023" w:rsidRDefault="00000000">
      <w:pPr>
        <w:spacing w:before="120" w:after="120" w:line="276" w:lineRule="auto"/>
        <w:jc w:val="both"/>
        <w:rPr>
          <w:b/>
          <w:i/>
          <w:color w:val="000000"/>
        </w:rPr>
      </w:pPr>
      <w:r>
        <w:rPr>
          <w:b/>
          <w:i/>
          <w:color w:val="000000"/>
        </w:rPr>
        <w:t>Deadline</w:t>
      </w:r>
    </w:p>
    <w:p w14:paraId="0C3F505B" w14:textId="77777777" w:rsidR="00FD2023" w:rsidRDefault="00000000">
      <w:pPr>
        <w:pBdr>
          <w:top w:val="nil"/>
          <w:left w:val="nil"/>
          <w:bottom w:val="nil"/>
          <w:right w:val="nil"/>
          <w:between w:val="nil"/>
        </w:pBdr>
        <w:spacing w:before="120" w:after="120" w:line="276" w:lineRule="auto"/>
        <w:jc w:val="both"/>
        <w:rPr>
          <w:color w:val="000000"/>
          <w:szCs w:val="20"/>
        </w:rPr>
      </w:pPr>
      <w:r>
        <w:rPr>
          <w:color w:val="000000"/>
          <w:szCs w:val="20"/>
        </w:rPr>
        <w:t>Responses must reach us by 20 February 2022.</w:t>
      </w:r>
    </w:p>
    <w:p w14:paraId="73FA61D0" w14:textId="77777777" w:rsidR="00FD2023" w:rsidRDefault="00000000">
      <w:pPr>
        <w:spacing w:before="120" w:after="120" w:line="276" w:lineRule="auto"/>
        <w:jc w:val="both"/>
        <w:rPr>
          <w:b/>
          <w:i/>
          <w:color w:val="000000"/>
        </w:rPr>
      </w:pPr>
      <w:bookmarkStart w:id="1" w:name="_heading=h.30j0zll" w:colFirst="0" w:colLast="0"/>
      <w:bookmarkEnd w:id="1"/>
      <w:r>
        <w:t xml:space="preserve">All contributions should be submitted online at </w:t>
      </w:r>
      <w:hyperlink r:id="rId12">
        <w:r>
          <w:rPr>
            <w:color w:val="0000FF"/>
            <w:u w:val="single"/>
          </w:rPr>
          <w:t>www.esma.europa.eu</w:t>
        </w:r>
      </w:hyperlink>
      <w:r>
        <w:t xml:space="preserve"> under the heading ‘Your input - Consultations’.</w:t>
      </w:r>
    </w:p>
    <w:p w14:paraId="67874F96" w14:textId="77777777" w:rsidR="00FD2023" w:rsidRDefault="00FD2023">
      <w:pPr>
        <w:spacing w:before="120" w:after="120" w:line="276" w:lineRule="auto"/>
        <w:jc w:val="both"/>
        <w:rPr>
          <w:b/>
          <w:i/>
          <w:color w:val="000000"/>
        </w:rPr>
      </w:pPr>
    </w:p>
    <w:p w14:paraId="4D052467" w14:textId="77777777" w:rsidR="00FD2023" w:rsidRDefault="00000000">
      <w:pPr>
        <w:spacing w:before="120" w:after="120" w:line="276" w:lineRule="auto"/>
        <w:jc w:val="both"/>
        <w:rPr>
          <w:b/>
          <w:i/>
          <w:color w:val="000000"/>
        </w:rPr>
      </w:pPr>
      <w:r>
        <w:rPr>
          <w:b/>
          <w:i/>
          <w:color w:val="000000"/>
        </w:rPr>
        <w:t>Publication of responses</w:t>
      </w:r>
    </w:p>
    <w:p w14:paraId="5952675F" w14:textId="77777777" w:rsidR="00FD2023" w:rsidRDefault="00000000">
      <w:pPr>
        <w:pBdr>
          <w:top w:val="nil"/>
          <w:left w:val="nil"/>
          <w:bottom w:val="nil"/>
          <w:right w:val="nil"/>
          <w:between w:val="nil"/>
        </w:pBdr>
        <w:spacing w:before="120" w:after="120" w:line="276" w:lineRule="auto"/>
        <w:jc w:val="both"/>
        <w:rPr>
          <w:color w:val="000000"/>
          <w:szCs w:val="20"/>
        </w:rPr>
      </w:pPr>
      <w:r>
        <w:rPr>
          <w:color w:val="000000"/>
          <w:szCs w:val="20"/>
        </w:rPr>
        <w:t xml:space="preserve">All contributions received will be published following the end of the consultation period, unless otherwise requested. </w:t>
      </w:r>
      <w:r>
        <w:rPr>
          <w:b/>
          <w:color w:val="000000"/>
          <w:szCs w:val="20"/>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color w:val="000000"/>
          <w:szCs w:val="20"/>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9548D30" w14:textId="77777777" w:rsidR="00FD2023" w:rsidRDefault="00FD2023">
      <w:pPr>
        <w:spacing w:before="120" w:after="120" w:line="276" w:lineRule="auto"/>
        <w:jc w:val="both"/>
        <w:rPr>
          <w:b/>
          <w:i/>
          <w:color w:val="000000"/>
        </w:rPr>
      </w:pPr>
      <w:bookmarkStart w:id="2" w:name="_heading=h.1fob9te" w:colFirst="0" w:colLast="0"/>
      <w:bookmarkEnd w:id="2"/>
    </w:p>
    <w:p w14:paraId="4BB956EF" w14:textId="77777777" w:rsidR="00FD2023" w:rsidRDefault="00000000">
      <w:pPr>
        <w:spacing w:before="120" w:after="120" w:line="276" w:lineRule="auto"/>
        <w:jc w:val="both"/>
        <w:rPr>
          <w:b/>
          <w:i/>
          <w:color w:val="000000"/>
        </w:rPr>
      </w:pPr>
      <w:r>
        <w:rPr>
          <w:b/>
          <w:i/>
          <w:color w:val="000000"/>
        </w:rPr>
        <w:t>Data protection</w:t>
      </w:r>
    </w:p>
    <w:p w14:paraId="2048E944" w14:textId="77777777" w:rsidR="00FD2023" w:rsidRDefault="00000000">
      <w:pPr>
        <w:spacing w:before="120" w:after="120" w:line="276" w:lineRule="auto"/>
        <w:jc w:val="both"/>
      </w:pPr>
      <w:r>
        <w:t xml:space="preserve">Information on data protection can be found at </w:t>
      </w:r>
      <w:hyperlink r:id="rId13">
        <w:r>
          <w:rPr>
            <w:color w:val="0000FF"/>
            <w:u w:val="single"/>
          </w:rPr>
          <w:t>www.esma.europa.eu</w:t>
        </w:r>
      </w:hyperlink>
      <w:r>
        <w:t xml:space="preserve"> under the headings ‘Legal notice’ and ‘Data protection’.</w:t>
      </w:r>
    </w:p>
    <w:p w14:paraId="28299266" w14:textId="77777777" w:rsidR="00FD2023" w:rsidRDefault="00FD2023">
      <w:pPr>
        <w:spacing w:before="120" w:after="120" w:line="276" w:lineRule="auto"/>
        <w:jc w:val="both"/>
      </w:pPr>
    </w:p>
    <w:p w14:paraId="5DE20B79" w14:textId="77777777" w:rsidR="00FD2023" w:rsidRDefault="00000000">
      <w:pPr>
        <w:rPr>
          <w:b/>
          <w:sz w:val="24"/>
        </w:rPr>
      </w:pPr>
      <w:r>
        <w:br w:type="page"/>
      </w:r>
    </w:p>
    <w:p w14:paraId="43DF188B" w14:textId="77777777" w:rsidR="00FD2023" w:rsidRDefault="00000000">
      <w:pPr>
        <w:pStyle w:val="Heading1"/>
      </w:pPr>
      <w:r>
        <w:lastRenderedPageBreak/>
        <w:t>General information about respondent</w:t>
      </w:r>
    </w:p>
    <w:tbl>
      <w:tblPr>
        <w:tblStyle w:val="a2"/>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9"/>
        <w:gridCol w:w="5595"/>
      </w:tblGrid>
      <w:tr w:rsidR="00FD2023" w14:paraId="40F3E215" w14:textId="77777777">
        <w:tc>
          <w:tcPr>
            <w:tcW w:w="3929" w:type="dxa"/>
            <w:shd w:val="clear" w:color="auto" w:fill="auto"/>
          </w:tcPr>
          <w:p w14:paraId="60BD6270" w14:textId="77777777" w:rsidR="00FD2023" w:rsidRDefault="00000000">
            <w:pPr>
              <w:rPr>
                <w:sz w:val="22"/>
                <w:szCs w:val="22"/>
              </w:rPr>
            </w:pPr>
            <w:r>
              <w:rPr>
                <w:sz w:val="22"/>
                <w:szCs w:val="22"/>
              </w:rPr>
              <w:t>Name of the company / organisation</w:t>
            </w:r>
          </w:p>
        </w:tc>
        <w:tc>
          <w:tcPr>
            <w:tcW w:w="5595" w:type="dxa"/>
            <w:shd w:val="clear" w:color="auto" w:fill="auto"/>
          </w:tcPr>
          <w:p w14:paraId="5C7649A3" w14:textId="77777777" w:rsidR="00FD2023" w:rsidRDefault="00000000">
            <w:pPr>
              <w:rPr>
                <w:color w:val="808080"/>
              </w:rPr>
            </w:pPr>
            <w:r>
              <w:rPr>
                <w:color w:val="808080"/>
              </w:rPr>
              <w:t xml:space="preserve">     Clarity AI</w:t>
            </w:r>
          </w:p>
        </w:tc>
      </w:tr>
      <w:tr w:rsidR="00FD2023" w14:paraId="3389437D" w14:textId="77777777">
        <w:tc>
          <w:tcPr>
            <w:tcW w:w="3929" w:type="dxa"/>
            <w:shd w:val="clear" w:color="auto" w:fill="auto"/>
          </w:tcPr>
          <w:p w14:paraId="673520BC" w14:textId="77777777" w:rsidR="00FD2023" w:rsidRDefault="00000000">
            <w:pPr>
              <w:rPr>
                <w:sz w:val="22"/>
                <w:szCs w:val="22"/>
              </w:rPr>
            </w:pPr>
            <w:r>
              <w:rPr>
                <w:sz w:val="22"/>
                <w:szCs w:val="22"/>
              </w:rPr>
              <w:t>Activity</w:t>
            </w:r>
          </w:p>
        </w:tc>
        <w:tc>
          <w:tcPr>
            <w:tcW w:w="5595" w:type="dxa"/>
            <w:shd w:val="clear" w:color="auto" w:fill="auto"/>
          </w:tcPr>
          <w:p w14:paraId="7C35B5B8" w14:textId="77777777" w:rsidR="00FD2023" w:rsidRDefault="00000000">
            <w:r>
              <w:t>Sustainability tech provider</w:t>
            </w:r>
          </w:p>
        </w:tc>
      </w:tr>
      <w:tr w:rsidR="00FD2023" w14:paraId="7B14D6CD" w14:textId="77777777">
        <w:tc>
          <w:tcPr>
            <w:tcW w:w="3929" w:type="dxa"/>
            <w:shd w:val="clear" w:color="auto" w:fill="auto"/>
          </w:tcPr>
          <w:p w14:paraId="33EEDEC3" w14:textId="77777777" w:rsidR="00FD2023" w:rsidRDefault="00000000">
            <w:pPr>
              <w:rPr>
                <w:sz w:val="22"/>
                <w:szCs w:val="22"/>
              </w:rPr>
            </w:pPr>
            <w:r>
              <w:rPr>
                <w:sz w:val="22"/>
                <w:szCs w:val="22"/>
              </w:rPr>
              <w:t>Are you representing an association?</w:t>
            </w:r>
          </w:p>
        </w:tc>
        <w:tc>
          <w:tcPr>
            <w:tcW w:w="5595" w:type="dxa"/>
            <w:shd w:val="clear" w:color="auto" w:fill="auto"/>
          </w:tcPr>
          <w:p w14:paraId="6DE4BC33" w14:textId="77777777" w:rsidR="00FD2023" w:rsidRDefault="00000000">
            <w:r>
              <w:rPr>
                <w:rFonts w:ascii="MS Gothic" w:eastAsia="MS Gothic" w:hAnsi="MS Gothic" w:cs="MS Gothic"/>
              </w:rPr>
              <w:t>☐</w:t>
            </w:r>
          </w:p>
        </w:tc>
      </w:tr>
      <w:tr w:rsidR="00FD2023" w14:paraId="40EDEADB" w14:textId="77777777">
        <w:tc>
          <w:tcPr>
            <w:tcW w:w="3929" w:type="dxa"/>
            <w:shd w:val="clear" w:color="auto" w:fill="auto"/>
          </w:tcPr>
          <w:p w14:paraId="6981746D" w14:textId="77777777" w:rsidR="00FD2023" w:rsidRDefault="00000000">
            <w:pPr>
              <w:rPr>
                <w:sz w:val="22"/>
                <w:szCs w:val="22"/>
              </w:rPr>
            </w:pPr>
            <w:r>
              <w:rPr>
                <w:sz w:val="22"/>
                <w:szCs w:val="22"/>
              </w:rPr>
              <w:t>Country/Region</w:t>
            </w:r>
          </w:p>
        </w:tc>
        <w:tc>
          <w:tcPr>
            <w:tcW w:w="5595" w:type="dxa"/>
            <w:shd w:val="clear" w:color="auto" w:fill="auto"/>
          </w:tcPr>
          <w:p w14:paraId="265C607A" w14:textId="77777777" w:rsidR="00FD2023" w:rsidRDefault="00000000">
            <w:r>
              <w:t xml:space="preserve"> Spain    </w:t>
            </w:r>
          </w:p>
        </w:tc>
      </w:tr>
    </w:tbl>
    <w:p w14:paraId="0257B8CA" w14:textId="77777777" w:rsidR="00FD2023" w:rsidRDefault="00FD2023">
      <w:pPr>
        <w:spacing w:after="120" w:line="264" w:lineRule="auto"/>
      </w:pPr>
    </w:p>
    <w:p w14:paraId="7A58E011" w14:textId="77777777" w:rsidR="00FD2023" w:rsidRDefault="00FD2023">
      <w:pPr>
        <w:spacing w:after="120" w:line="264" w:lineRule="auto"/>
      </w:pPr>
    </w:p>
    <w:p w14:paraId="3E98DF58" w14:textId="77777777" w:rsidR="00FD2023" w:rsidRDefault="00000000">
      <w:pPr>
        <w:pStyle w:val="Heading1"/>
        <w:ind w:left="431" w:hanging="431"/>
      </w:pPr>
      <w:r>
        <w:t>Introduction</w:t>
      </w:r>
    </w:p>
    <w:p w14:paraId="09BD046B" w14:textId="77777777" w:rsidR="00FD2023" w:rsidRDefault="00000000">
      <w:pPr>
        <w:rPr>
          <w:b/>
          <w:i/>
        </w:rPr>
      </w:pPr>
      <w:r>
        <w:rPr>
          <w:b/>
          <w:i/>
        </w:rPr>
        <w:t>Please make your introductory comments below, if any:</w:t>
      </w:r>
    </w:p>
    <w:p w14:paraId="335F415B" w14:textId="77777777" w:rsidR="00FD2023" w:rsidRDefault="00FD2023"/>
    <w:p w14:paraId="685B1AA5" w14:textId="77777777" w:rsidR="00FD2023" w:rsidRDefault="00000000">
      <w:pPr>
        <w:spacing w:after="160" w:line="259" w:lineRule="auto"/>
        <w:rPr>
          <w:rFonts w:ascii="Calibri" w:eastAsia="Calibri" w:hAnsi="Calibri" w:cs="Calibri"/>
          <w:sz w:val="22"/>
          <w:szCs w:val="22"/>
        </w:rPr>
      </w:pPr>
      <w:r>
        <w:rPr>
          <w:rFonts w:ascii="Calibri" w:eastAsia="Calibri" w:hAnsi="Calibri" w:cs="Calibri"/>
          <w:sz w:val="22"/>
          <w:szCs w:val="22"/>
        </w:rPr>
        <w:t>&lt;ESMA_QUESTION_FUNA_0&gt;</w:t>
      </w:r>
    </w:p>
    <w:p w14:paraId="0A1A1CF0" w14:textId="77777777" w:rsidR="00FD2023" w:rsidRDefault="00000000">
      <w:pPr>
        <w:spacing w:after="160" w:line="259" w:lineRule="auto"/>
        <w:rPr>
          <w:rFonts w:ascii="Calibri" w:eastAsia="Calibri" w:hAnsi="Calibri" w:cs="Calibri"/>
          <w:sz w:val="22"/>
          <w:szCs w:val="22"/>
        </w:rPr>
      </w:pPr>
      <w:r>
        <w:rPr>
          <w:rFonts w:ascii="Calibri" w:eastAsia="Calibri" w:hAnsi="Calibri" w:cs="Calibri"/>
          <w:sz w:val="22"/>
          <w:szCs w:val="22"/>
        </w:rPr>
        <w:t>TYPE YOUR TEXT HERE</w:t>
      </w:r>
    </w:p>
    <w:p w14:paraId="26D4D35E" w14:textId="77777777" w:rsidR="00FD2023" w:rsidRDefault="00000000">
      <w:pPr>
        <w:spacing w:after="160" w:line="259" w:lineRule="auto"/>
        <w:rPr>
          <w:rFonts w:ascii="Calibri" w:eastAsia="Calibri" w:hAnsi="Calibri" w:cs="Calibri"/>
          <w:sz w:val="22"/>
          <w:szCs w:val="22"/>
        </w:rPr>
      </w:pPr>
      <w:r>
        <w:rPr>
          <w:rFonts w:ascii="Calibri" w:eastAsia="Calibri" w:hAnsi="Calibri" w:cs="Calibri"/>
          <w:sz w:val="22"/>
          <w:szCs w:val="22"/>
        </w:rPr>
        <w:t>&lt;ESMA_QUESTION_FUNA_0&gt;</w:t>
      </w:r>
    </w:p>
    <w:p w14:paraId="4DBD8F1F" w14:textId="77777777" w:rsidR="00FD2023" w:rsidRDefault="00FD2023"/>
    <w:p w14:paraId="7C286728" w14:textId="77777777" w:rsidR="00FD2023" w:rsidRDefault="00000000">
      <w:pPr>
        <w:numPr>
          <w:ilvl w:val="0"/>
          <w:numId w:val="5"/>
        </w:numPr>
        <w:pBdr>
          <w:top w:val="nil"/>
          <w:left w:val="nil"/>
          <w:bottom w:val="nil"/>
          <w:right w:val="nil"/>
          <w:between w:val="nil"/>
        </w:pBdr>
        <w:spacing w:after="250" w:line="276" w:lineRule="auto"/>
        <w:jc w:val="both"/>
      </w:pPr>
      <w:r>
        <w:br w:type="page"/>
      </w:r>
      <w:r>
        <w:rPr>
          <w:b/>
          <w:color w:val="000000"/>
          <w:szCs w:val="20"/>
        </w:rPr>
        <w:lastRenderedPageBreak/>
        <w:t>: Do you agree with the need to introduce quantitative thresholds to assess funds’ names?</w:t>
      </w:r>
    </w:p>
    <w:p w14:paraId="350A7400" w14:textId="77777777" w:rsidR="00FD2023" w:rsidRDefault="00000000">
      <w:r>
        <w:t>&lt;ESMA_QUESTION_FUNA_1&gt;</w:t>
      </w:r>
    </w:p>
    <w:p w14:paraId="6D10F140" w14:textId="77777777" w:rsidR="00FD2023" w:rsidRDefault="00000000">
      <w:pPr>
        <w:numPr>
          <w:ilvl w:val="0"/>
          <w:numId w:val="2"/>
        </w:numPr>
        <w:rPr>
          <w:color w:val="0000FF"/>
        </w:rPr>
      </w:pPr>
      <w:r>
        <w:rPr>
          <w:color w:val="0000FF"/>
        </w:rPr>
        <w:t>Yes, we agree. Two main reasons:</w:t>
      </w:r>
    </w:p>
    <w:p w14:paraId="3E040881" w14:textId="77777777" w:rsidR="00FD2023" w:rsidRDefault="00000000">
      <w:pPr>
        <w:numPr>
          <w:ilvl w:val="1"/>
          <w:numId w:val="2"/>
        </w:numPr>
        <w:rPr>
          <w:color w:val="0000FF"/>
        </w:rPr>
      </w:pPr>
      <w:r>
        <w:rPr>
          <w:color w:val="0000FF"/>
        </w:rPr>
        <w:t>Research is clear that names are important to investors when they make their choices. It is therefore important that there are guardrails in place around the use of terms.</w:t>
      </w:r>
    </w:p>
    <w:p w14:paraId="3BC71834" w14:textId="77777777" w:rsidR="00FD2023" w:rsidRDefault="00000000">
      <w:pPr>
        <w:numPr>
          <w:ilvl w:val="1"/>
          <w:numId w:val="2"/>
        </w:numPr>
        <w:rPr>
          <w:color w:val="0000FF"/>
        </w:rPr>
      </w:pPr>
      <w:r>
        <w:rPr>
          <w:color w:val="0000FF"/>
        </w:rPr>
        <w:t xml:space="preserve">Investors have been using Article 8 and 9 as de facto labels. As such, it is important that they not only imply a level of sustainability but that they </w:t>
      </w:r>
      <w:proofErr w:type="gramStart"/>
      <w:r>
        <w:rPr>
          <w:color w:val="0000FF"/>
        </w:rPr>
        <w:t>actually deliver</w:t>
      </w:r>
      <w:proofErr w:type="gramEnd"/>
      <w:r>
        <w:rPr>
          <w:color w:val="0000FF"/>
        </w:rPr>
        <w:t xml:space="preserve"> some minimum standard. </w:t>
      </w:r>
    </w:p>
    <w:p w14:paraId="5FF84679" w14:textId="77777777" w:rsidR="00FD2023" w:rsidRDefault="00000000">
      <w:pPr>
        <w:numPr>
          <w:ilvl w:val="0"/>
          <w:numId w:val="2"/>
        </w:numPr>
        <w:rPr>
          <w:color w:val="0000FF"/>
        </w:rPr>
      </w:pPr>
      <w:r>
        <w:rPr>
          <w:color w:val="0000FF"/>
        </w:rPr>
        <w:t>This is an important issue but is only one of the issues currently facing investors in EU. For instance:</w:t>
      </w:r>
    </w:p>
    <w:p w14:paraId="52B48A04" w14:textId="77777777" w:rsidR="00FD2023" w:rsidRDefault="00000000">
      <w:pPr>
        <w:numPr>
          <w:ilvl w:val="1"/>
          <w:numId w:val="2"/>
        </w:numPr>
        <w:rPr>
          <w:color w:val="0000FF"/>
        </w:rPr>
      </w:pPr>
      <w:r>
        <w:rPr>
          <w:color w:val="0000FF"/>
        </w:rPr>
        <w:t>Could the regime be broadened to encompass a wider variety of sustainability linked objectives (impact, improvement, transition), such as those seen in regimes in UK and US?</w:t>
      </w:r>
    </w:p>
    <w:p w14:paraId="7038790F" w14:textId="77777777" w:rsidR="00E67FC6" w:rsidRDefault="00E67FC6" w:rsidP="00E67FC6">
      <w:pPr>
        <w:numPr>
          <w:ilvl w:val="1"/>
          <w:numId w:val="2"/>
        </w:numPr>
        <w:rPr>
          <w:color w:val="0000FF"/>
        </w:rPr>
      </w:pPr>
      <w:r>
        <w:rPr>
          <w:color w:val="0000FF"/>
        </w:rPr>
        <w:t>Can we ensure that findings are equally valid for private and public assets, for active and passive funds?</w:t>
      </w:r>
    </w:p>
    <w:p w14:paraId="658BBAB5" w14:textId="77777777" w:rsidR="00E67FC6" w:rsidRDefault="00E67FC6" w:rsidP="00E67FC6">
      <w:pPr>
        <w:numPr>
          <w:ilvl w:val="1"/>
          <w:numId w:val="2"/>
        </w:numPr>
        <w:rPr>
          <w:color w:val="0000FF"/>
        </w:rPr>
      </w:pPr>
      <w:r>
        <w:rPr>
          <w:color w:val="0000FF"/>
        </w:rPr>
        <w:t>Can we incentivise shareholder activism in a way that materially impacts investee companies?</w:t>
      </w:r>
    </w:p>
    <w:p w14:paraId="731F912B" w14:textId="77777777" w:rsidR="00FD2023" w:rsidRDefault="00000000">
      <w:pPr>
        <w:numPr>
          <w:ilvl w:val="1"/>
          <w:numId w:val="2"/>
        </w:numPr>
        <w:rPr>
          <w:color w:val="0000FF"/>
        </w:rPr>
      </w:pPr>
      <w:r>
        <w:rPr>
          <w:color w:val="0000FF"/>
        </w:rPr>
        <w:t>Should PAI reporting be mandatory at product level?</w:t>
      </w:r>
    </w:p>
    <w:p w14:paraId="1DDC62C9" w14:textId="77777777" w:rsidR="00FD2023" w:rsidRDefault="00FD2023">
      <w:pPr>
        <w:ind w:left="1440"/>
        <w:rPr>
          <w:color w:val="0000FF"/>
        </w:rPr>
      </w:pPr>
    </w:p>
    <w:p w14:paraId="2AC68287" w14:textId="77777777" w:rsidR="00FD2023" w:rsidRDefault="00000000">
      <w:r>
        <w:t>&lt;ESMA_QUESTION_FUNA_1&gt;</w:t>
      </w:r>
    </w:p>
    <w:p w14:paraId="1C8A2FCA" w14:textId="77777777" w:rsidR="00FD2023" w:rsidRDefault="00FD2023"/>
    <w:p w14:paraId="7C581B71" w14:textId="77777777" w:rsidR="00FD2023" w:rsidRDefault="00000000">
      <w:pPr>
        <w:numPr>
          <w:ilvl w:val="0"/>
          <w:numId w:val="5"/>
        </w:numPr>
        <w:pBdr>
          <w:top w:val="nil"/>
          <w:left w:val="nil"/>
          <w:bottom w:val="nil"/>
          <w:right w:val="nil"/>
          <w:between w:val="nil"/>
        </w:pBdr>
        <w:spacing w:after="250" w:line="276" w:lineRule="auto"/>
        <w:jc w:val="both"/>
      </w:pPr>
      <w:bookmarkStart w:id="3" w:name="_heading=h.3znysh7" w:colFirst="0" w:colLast="0"/>
      <w:bookmarkEnd w:id="3"/>
      <w:r>
        <w:rPr>
          <w:b/>
          <w:color w:val="000000"/>
          <w:szCs w:val="20"/>
        </w:rPr>
        <w:t>: Do you agree with the proposed threshold of 80% of the minimum proportion of investments for the use of any ESG-, or impact-related words in the name of a fund? If not, please explain why and provide an alternative proposal.</w:t>
      </w:r>
    </w:p>
    <w:p w14:paraId="5B21ADB1" w14:textId="77777777" w:rsidR="00FD2023" w:rsidRDefault="00000000">
      <w:r>
        <w:t>&lt;ESMA_QUESTION_FUNA_2&gt;</w:t>
      </w:r>
    </w:p>
    <w:p w14:paraId="36115204" w14:textId="77777777" w:rsidR="00FD2023" w:rsidRDefault="00000000">
      <w:pPr>
        <w:numPr>
          <w:ilvl w:val="0"/>
          <w:numId w:val="2"/>
        </w:numPr>
        <w:rPr>
          <w:color w:val="0000FF"/>
        </w:rPr>
      </w:pPr>
      <w:r>
        <w:rPr>
          <w:color w:val="0000FF"/>
        </w:rPr>
        <w:t>We have no specific insight on this threshold level. We believe the market will be grateful for the certainty provided by a concrete figure. Nevertheless, some flexibility could be built in to ensure that threshold is not broken through fluctuations in the valuations of certain assets.</w:t>
      </w:r>
    </w:p>
    <w:p w14:paraId="518440D0" w14:textId="313D6774" w:rsidR="00FD2023" w:rsidRDefault="00000000">
      <w:pPr>
        <w:numPr>
          <w:ilvl w:val="0"/>
          <w:numId w:val="2"/>
        </w:numPr>
        <w:rPr>
          <w:color w:val="0000FF"/>
        </w:rPr>
      </w:pPr>
      <w:r>
        <w:rPr>
          <w:color w:val="0000FF"/>
        </w:rPr>
        <w:t>This requirement also seems very difficult to police: how can you measure if investments are being used to meet the environmental or social characteristics or sustainable investment objectives in accordance with the binding elements of the investment strategy? It is also not clear which terms would be impacted</w:t>
      </w:r>
      <w:r w:rsidR="00E67FC6">
        <w:rPr>
          <w:color w:val="0000FF"/>
        </w:rPr>
        <w:t xml:space="preserve"> by the 80% figure</w:t>
      </w:r>
      <w:r>
        <w:rPr>
          <w:color w:val="0000FF"/>
        </w:rPr>
        <w:t>. To that end, we would suggest ESMA releases a set of terms that would be affected by this rule and guidance on how investments might be judged to have met the investment characteristics or objectives.</w:t>
      </w:r>
    </w:p>
    <w:p w14:paraId="59B751D7" w14:textId="1BB6A15D" w:rsidR="00FD2023" w:rsidRDefault="00000000">
      <w:pPr>
        <w:numPr>
          <w:ilvl w:val="0"/>
          <w:numId w:val="2"/>
        </w:numPr>
        <w:rPr>
          <w:color w:val="0000FF"/>
        </w:rPr>
      </w:pPr>
      <w:r>
        <w:rPr>
          <w:color w:val="0000FF"/>
        </w:rPr>
        <w:t xml:space="preserve">In general, we see this threshold as the main mechanism for ensuring that the fund is making investment decisions in line with its overarching strategy. This is </w:t>
      </w:r>
      <w:proofErr w:type="gramStart"/>
      <w:r>
        <w:rPr>
          <w:color w:val="0000FF"/>
        </w:rPr>
        <w:t>similar to</w:t>
      </w:r>
      <w:proofErr w:type="gramEnd"/>
      <w:r>
        <w:rPr>
          <w:color w:val="0000FF"/>
        </w:rPr>
        <w:t xml:space="preserve"> the provision within Article 9 funds that they should make “only” sustainable investments except for assets used for hedging or cash purposes. The key difference is that no numeric figure is mentioned for Article 9. As such, we suggest aligning the requirements across the two categories (</w:t>
      </w:r>
      <w:proofErr w:type="gramStart"/>
      <w:r>
        <w:rPr>
          <w:color w:val="0000FF"/>
        </w:rPr>
        <w:t>i.e.</w:t>
      </w:r>
      <w:proofErr w:type="gramEnd"/>
      <w:r>
        <w:rPr>
          <w:color w:val="0000FF"/>
        </w:rPr>
        <w:t xml:space="preserve"> implementing an 80% minimum sustainable investment for Article 9). </w:t>
      </w:r>
    </w:p>
    <w:p w14:paraId="68CB7C9F" w14:textId="77777777" w:rsidR="00FD2023" w:rsidRDefault="00FD2023">
      <w:pPr>
        <w:ind w:left="1440"/>
        <w:rPr>
          <w:color w:val="0000FF"/>
        </w:rPr>
      </w:pPr>
    </w:p>
    <w:p w14:paraId="6178BF98" w14:textId="77777777" w:rsidR="00FD2023" w:rsidRDefault="00000000">
      <w:r>
        <w:t>&lt;ESMA_QUESTION_FUNA_2&gt;</w:t>
      </w:r>
    </w:p>
    <w:p w14:paraId="705B1045" w14:textId="77777777" w:rsidR="00FD2023" w:rsidRDefault="00FD2023"/>
    <w:p w14:paraId="708C100A"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48503BE7" w14:textId="77777777" w:rsidR="00FD2023" w:rsidRDefault="00000000">
      <w:r>
        <w:t>&lt;ESMA_QUESTION_FUNA_3&gt;</w:t>
      </w:r>
    </w:p>
    <w:p w14:paraId="4916F8E4" w14:textId="77777777" w:rsidR="00FD2023" w:rsidRDefault="00000000">
      <w:pPr>
        <w:numPr>
          <w:ilvl w:val="0"/>
          <w:numId w:val="2"/>
        </w:numPr>
        <w:rPr>
          <w:color w:val="0000FF"/>
        </w:rPr>
      </w:pPr>
      <w:r>
        <w:rPr>
          <w:color w:val="0000FF"/>
        </w:rPr>
        <w:t>Firstly, the wording is not clear as drafted. We are aware of confusion around whether it referred to 50% of the whole fund or 50% of the 80% threshold (</w:t>
      </w:r>
      <w:proofErr w:type="gramStart"/>
      <w:r>
        <w:rPr>
          <w:color w:val="0000FF"/>
        </w:rPr>
        <w:t>i.e.</w:t>
      </w:r>
      <w:proofErr w:type="gramEnd"/>
      <w:r>
        <w:rPr>
          <w:color w:val="0000FF"/>
        </w:rPr>
        <w:t xml:space="preserve"> 40%). We understand from the ESMA hearing that it is the former.</w:t>
      </w:r>
    </w:p>
    <w:p w14:paraId="115712DB" w14:textId="1F28F127" w:rsidR="00FD2023" w:rsidRDefault="00000000">
      <w:pPr>
        <w:numPr>
          <w:ilvl w:val="0"/>
          <w:numId w:val="2"/>
        </w:numPr>
        <w:rPr>
          <w:color w:val="0000FF"/>
        </w:rPr>
      </w:pPr>
      <w:r>
        <w:rPr>
          <w:color w:val="0000FF"/>
        </w:rPr>
        <w:lastRenderedPageBreak/>
        <w:t xml:space="preserve">Secondly, we have undertaken some analysis of this using EET and our </w:t>
      </w:r>
      <w:proofErr w:type="gramStart"/>
      <w:r>
        <w:rPr>
          <w:color w:val="0000FF"/>
        </w:rPr>
        <w:t>in house</w:t>
      </w:r>
      <w:proofErr w:type="gramEnd"/>
      <w:r>
        <w:rPr>
          <w:color w:val="0000FF"/>
        </w:rPr>
        <w:t xml:space="preserve"> data and found that many </w:t>
      </w:r>
      <w:r w:rsidR="00E67FC6">
        <w:rPr>
          <w:color w:val="0000FF"/>
        </w:rPr>
        <w:t>A</w:t>
      </w:r>
      <w:r>
        <w:rPr>
          <w:color w:val="0000FF"/>
        </w:rPr>
        <w:t>rticle 8 funds with sustainable in their names (or terms derived from “sustainable”) will struggle to make the 50% threshold.</w:t>
      </w:r>
    </w:p>
    <w:p w14:paraId="547B0EBC" w14:textId="77777777" w:rsidR="00FD2023" w:rsidRDefault="00000000">
      <w:pPr>
        <w:numPr>
          <w:ilvl w:val="0"/>
          <w:numId w:val="2"/>
        </w:numPr>
        <w:rPr>
          <w:color w:val="0000FF"/>
        </w:rPr>
      </w:pPr>
      <w:r>
        <w:rPr>
          <w:color w:val="0000FF"/>
        </w:rPr>
        <w:t>From our data, we found that roughly 850 Article 8 funds and 250 Article 9 funds have the word sustainable or a derived term in their name</w:t>
      </w:r>
      <w:r>
        <w:rPr>
          <w:color w:val="0000FF"/>
          <w:vertAlign w:val="superscript"/>
        </w:rPr>
        <w:footnoteReference w:id="1"/>
      </w:r>
      <w:r>
        <w:rPr>
          <w:color w:val="0000FF"/>
        </w:rPr>
        <w:t>.</w:t>
      </w:r>
    </w:p>
    <w:p w14:paraId="0FF11E76" w14:textId="77777777" w:rsidR="00FD2023" w:rsidRDefault="00000000">
      <w:pPr>
        <w:numPr>
          <w:ilvl w:val="0"/>
          <w:numId w:val="2"/>
        </w:numPr>
        <w:rPr>
          <w:color w:val="0000FF"/>
        </w:rPr>
      </w:pPr>
      <w:r>
        <w:rPr>
          <w:color w:val="0000FF"/>
        </w:rPr>
        <w:t>Drawing on EET data, we were able to examine what minimum proportion of sustainable investment affected funds were committing to. In total, nearly 500 Article 8 funds and 150 Article 9 funds report a minimum sustainable investment proportion (looking at field 20420).</w:t>
      </w:r>
    </w:p>
    <w:p w14:paraId="302A5861" w14:textId="77777777" w:rsidR="00FD2023" w:rsidRDefault="00000000">
      <w:pPr>
        <w:numPr>
          <w:ilvl w:val="0"/>
          <w:numId w:val="2"/>
        </w:numPr>
        <w:rPr>
          <w:color w:val="0000FF"/>
        </w:rPr>
      </w:pPr>
      <w:r>
        <w:rPr>
          <w:color w:val="0000FF"/>
        </w:rPr>
        <w:t xml:space="preserve">Of those, only 16% (less than 100 funds) planned a sustainable investment of more than 50%. In fact, over 20% of those funds planned 10% or less sustainable investment.  </w:t>
      </w:r>
    </w:p>
    <w:p w14:paraId="638D4DF7" w14:textId="77777777" w:rsidR="00FD2023" w:rsidRDefault="00000000">
      <w:pPr>
        <w:numPr>
          <w:ilvl w:val="0"/>
          <w:numId w:val="2"/>
        </w:numPr>
        <w:rPr>
          <w:color w:val="0000FF"/>
        </w:rPr>
      </w:pPr>
      <w:r>
        <w:rPr>
          <w:color w:val="0000FF"/>
        </w:rPr>
        <w:t>Even amongst Article 9 funds, we find much higher SI on average, but still found 10% were not planning sustainable investment above 50%.</w:t>
      </w:r>
    </w:p>
    <w:p w14:paraId="3EF4D692" w14:textId="77777777" w:rsidR="00FD2023" w:rsidRDefault="00FD2023">
      <w:pPr>
        <w:ind w:left="720"/>
        <w:rPr>
          <w:color w:val="0000FF"/>
        </w:rPr>
      </w:pPr>
    </w:p>
    <w:p w14:paraId="51D870B6" w14:textId="0F000D6E" w:rsidR="00FD2023" w:rsidRDefault="00000000">
      <w:pPr>
        <w:numPr>
          <w:ilvl w:val="0"/>
          <w:numId w:val="2"/>
        </w:numPr>
        <w:rPr>
          <w:color w:val="0000FF"/>
        </w:rPr>
      </w:pPr>
      <w:r>
        <w:rPr>
          <w:color w:val="0000FF"/>
        </w:rPr>
        <w:t xml:space="preserve">We also checked this data against our </w:t>
      </w:r>
      <w:proofErr w:type="gramStart"/>
      <w:r>
        <w:rPr>
          <w:color w:val="0000FF"/>
        </w:rPr>
        <w:t>in house</w:t>
      </w:r>
      <w:proofErr w:type="gramEnd"/>
      <w:r>
        <w:rPr>
          <w:color w:val="0000FF"/>
        </w:rPr>
        <w:t xml:space="preserve"> data that goes beyond the EET disclosure</w:t>
      </w:r>
      <w:r w:rsidR="00E67FC6">
        <w:rPr>
          <w:color w:val="0000FF"/>
        </w:rPr>
        <w:t xml:space="preserve"> to examine level of sustainable investment</w:t>
      </w:r>
      <w:r>
        <w:rPr>
          <w:color w:val="0000FF"/>
        </w:rPr>
        <w:t xml:space="preserve"> and found a broadly similar picture. From this analysis, we examined 715 Article 8 funds with “sustainable” terms in their names and found only 13% have an actual sustainable investment over 50%. </w:t>
      </w:r>
    </w:p>
    <w:p w14:paraId="7768CF81" w14:textId="77777777" w:rsidR="00FD2023" w:rsidRDefault="00000000">
      <w:pPr>
        <w:numPr>
          <w:ilvl w:val="0"/>
          <w:numId w:val="2"/>
        </w:numPr>
        <w:rPr>
          <w:color w:val="0000FF"/>
        </w:rPr>
      </w:pPr>
      <w:r>
        <w:rPr>
          <w:color w:val="0000FF"/>
        </w:rPr>
        <w:t xml:space="preserve">These are preliminary results based on an ongoing analysis that will be published in full in the coming weeks (with new data). The results may develop but we believe the preliminary results are enlightening in terms of the adjustments that will be necessary from the industry.  </w:t>
      </w:r>
    </w:p>
    <w:p w14:paraId="0AED7C75" w14:textId="77777777" w:rsidR="00FD2023" w:rsidRDefault="00000000">
      <w:pPr>
        <w:numPr>
          <w:ilvl w:val="0"/>
          <w:numId w:val="2"/>
        </w:numPr>
        <w:rPr>
          <w:color w:val="0000FF"/>
        </w:rPr>
      </w:pPr>
      <w:r>
        <w:rPr>
          <w:color w:val="0000FF"/>
        </w:rPr>
        <w:t xml:space="preserve">Given these significant adjustments, we would advocate for a longer transition period to ensure that the new measure is not overly disruptive to the market and end investors. </w:t>
      </w:r>
    </w:p>
    <w:p w14:paraId="53CC39E4" w14:textId="77777777" w:rsidR="00FD2023" w:rsidRDefault="00000000">
      <w:pPr>
        <w:numPr>
          <w:ilvl w:val="0"/>
          <w:numId w:val="2"/>
        </w:numPr>
        <w:rPr>
          <w:color w:val="0000FF"/>
        </w:rPr>
      </w:pPr>
      <w:r>
        <w:rPr>
          <w:color w:val="0000FF"/>
        </w:rPr>
        <w:t xml:space="preserve">If not, we fear there could be a wave of “downgrades” </w:t>
      </w:r>
      <w:proofErr w:type="gramStart"/>
      <w:r>
        <w:rPr>
          <w:color w:val="0000FF"/>
        </w:rPr>
        <w:t>similar to</w:t>
      </w:r>
      <w:proofErr w:type="gramEnd"/>
      <w:r>
        <w:rPr>
          <w:color w:val="0000FF"/>
        </w:rPr>
        <w:t xml:space="preserve"> those seen in Article 9 funds. It may also be the case that funds attempt to “game” the system by avoiding “sustainable” but instead using terms like “green” which do not have a minimum SI attached to them.</w:t>
      </w:r>
    </w:p>
    <w:p w14:paraId="5CD5D22B" w14:textId="77777777" w:rsidR="00FD2023" w:rsidRDefault="00FD2023">
      <w:pPr>
        <w:rPr>
          <w:i/>
          <w:color w:val="3D85C6"/>
        </w:rPr>
      </w:pPr>
    </w:p>
    <w:p w14:paraId="11EC9C82" w14:textId="77777777" w:rsidR="00FD2023" w:rsidRDefault="00FD2023"/>
    <w:p w14:paraId="3D3CD562" w14:textId="77777777" w:rsidR="00FD2023" w:rsidRDefault="00000000">
      <w:r>
        <w:t>&lt;ESMA_QUESTION_FUNA_3&gt;</w:t>
      </w:r>
    </w:p>
    <w:p w14:paraId="61D2E63E" w14:textId="77777777" w:rsidR="00FD2023" w:rsidRDefault="00FD2023"/>
    <w:p w14:paraId="72D7C9F6"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Do you think that there are alternative ways to construct the threshold mechanism? If yes, please explain your alternative proposal.</w:t>
      </w:r>
    </w:p>
    <w:p w14:paraId="5B6BE2B8" w14:textId="77777777" w:rsidR="00FD2023" w:rsidRDefault="00000000">
      <w:r>
        <w:t>&lt;ESMA_QUESTION_FUNA_4&gt;</w:t>
      </w:r>
    </w:p>
    <w:p w14:paraId="54E58C87" w14:textId="77777777" w:rsidR="00FD2023" w:rsidRDefault="00000000">
      <w:pPr>
        <w:numPr>
          <w:ilvl w:val="0"/>
          <w:numId w:val="2"/>
        </w:numPr>
        <w:rPr>
          <w:color w:val="0000FF"/>
        </w:rPr>
      </w:pPr>
      <w:r>
        <w:rPr>
          <w:color w:val="0000FF"/>
        </w:rPr>
        <w:t>The interaction between the 50% sustainable investment and 80% “aligned” assets may be confusing for some end investors. Perhaps a system where different strategies were recognised (impact, transition, sustainable) could make things more straightforward (with minimum SI for Article 9 funds).</w:t>
      </w:r>
    </w:p>
    <w:p w14:paraId="054CEF2A" w14:textId="77777777" w:rsidR="00FD2023" w:rsidRDefault="00FD2023"/>
    <w:p w14:paraId="737FC2BF" w14:textId="77777777" w:rsidR="00FD2023" w:rsidRDefault="00000000">
      <w:r>
        <w:t>&lt;ESMA_QUESTION_FUNA_4&gt;</w:t>
      </w:r>
    </w:p>
    <w:p w14:paraId="075F04D6" w14:textId="77777777" w:rsidR="00FD2023" w:rsidRDefault="00FD2023"/>
    <w:p w14:paraId="63494B80"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xml:space="preserve">: 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 </w:t>
      </w:r>
    </w:p>
    <w:p w14:paraId="0DE24B77" w14:textId="77777777" w:rsidR="00FD2023" w:rsidRDefault="00000000">
      <w:r>
        <w:t>&lt;ESMA_QUESTION_FUNA_5&gt;</w:t>
      </w:r>
    </w:p>
    <w:p w14:paraId="3D75BF2A" w14:textId="77777777" w:rsidR="00FD2023" w:rsidRDefault="00000000">
      <w:pPr>
        <w:numPr>
          <w:ilvl w:val="0"/>
          <w:numId w:val="2"/>
        </w:numPr>
        <w:rPr>
          <w:color w:val="0000FF"/>
        </w:rPr>
      </w:pPr>
      <w:r>
        <w:rPr>
          <w:color w:val="0000FF"/>
        </w:rPr>
        <w:t>We believe there is still room for improvement within the SFDR beyond these proposals.</w:t>
      </w:r>
    </w:p>
    <w:p w14:paraId="69338B2B" w14:textId="77777777" w:rsidR="00FD2023" w:rsidRDefault="00000000">
      <w:pPr>
        <w:numPr>
          <w:ilvl w:val="0"/>
          <w:numId w:val="2"/>
        </w:numPr>
        <w:rPr>
          <w:color w:val="0000FF"/>
        </w:rPr>
      </w:pPr>
      <w:r>
        <w:rPr>
          <w:color w:val="0000FF"/>
        </w:rPr>
        <w:t>To this end, we noted a recent publication by the French AMF which highlighted a few points worth considering:</w:t>
      </w:r>
    </w:p>
    <w:p w14:paraId="796ED373" w14:textId="77777777" w:rsidR="00FD2023" w:rsidRDefault="00000000">
      <w:pPr>
        <w:numPr>
          <w:ilvl w:val="1"/>
          <w:numId w:val="2"/>
        </w:numPr>
        <w:rPr>
          <w:color w:val="0000FF"/>
        </w:rPr>
      </w:pPr>
      <w:r>
        <w:rPr>
          <w:color w:val="0000FF"/>
        </w:rPr>
        <w:t>possibly introducing minimum exclusions across the board for Article 8 and 9 funds</w:t>
      </w:r>
    </w:p>
    <w:p w14:paraId="2BB2D306" w14:textId="77777777" w:rsidR="00FD2023" w:rsidRDefault="00000000">
      <w:pPr>
        <w:numPr>
          <w:ilvl w:val="1"/>
          <w:numId w:val="2"/>
        </w:numPr>
        <w:rPr>
          <w:color w:val="0000FF"/>
        </w:rPr>
      </w:pPr>
      <w:r>
        <w:rPr>
          <w:color w:val="0000FF"/>
        </w:rPr>
        <w:lastRenderedPageBreak/>
        <w:t>whether SFDR could make it easier for funds to incorporate transition assets into their strategy</w:t>
      </w:r>
    </w:p>
    <w:p w14:paraId="0656448E" w14:textId="77777777" w:rsidR="00FD2023" w:rsidRDefault="00000000">
      <w:pPr>
        <w:numPr>
          <w:ilvl w:val="1"/>
          <w:numId w:val="2"/>
        </w:numPr>
        <w:rPr>
          <w:color w:val="0000FF"/>
        </w:rPr>
      </w:pPr>
      <w:r>
        <w:rPr>
          <w:color w:val="0000FF"/>
        </w:rPr>
        <w:t>whether to mandate PAI reporting at product level for all Article 8 and 9 funds</w:t>
      </w:r>
    </w:p>
    <w:p w14:paraId="16654C99" w14:textId="77777777" w:rsidR="00656DEA" w:rsidRDefault="00000000" w:rsidP="00656DEA">
      <w:pPr>
        <w:numPr>
          <w:ilvl w:val="1"/>
          <w:numId w:val="2"/>
        </w:numPr>
        <w:rPr>
          <w:color w:val="0000FF"/>
        </w:rPr>
      </w:pPr>
      <w:r>
        <w:rPr>
          <w:color w:val="0000FF"/>
        </w:rPr>
        <w:t>how to encourage greater shareholder activism to effect change in investee companies.</w:t>
      </w:r>
    </w:p>
    <w:p w14:paraId="68EEDB18" w14:textId="4B7C87FA" w:rsidR="00FD2023" w:rsidRPr="00656DEA" w:rsidRDefault="00000000" w:rsidP="00656DEA">
      <w:pPr>
        <w:pStyle w:val="aNEW-Paragraph"/>
        <w:rPr>
          <w:rFonts w:eastAsia="Arial"/>
          <w:color w:val="0000FF"/>
          <w:szCs w:val="24"/>
        </w:rPr>
      </w:pPr>
      <w:r w:rsidRPr="00656DEA">
        <w:rPr>
          <w:rFonts w:eastAsia="Arial"/>
          <w:color w:val="0000FF"/>
          <w:szCs w:val="24"/>
        </w:rPr>
        <w:t xml:space="preserve">Overall, we agree with </w:t>
      </w:r>
      <w:r w:rsidR="00656DEA">
        <w:rPr>
          <w:rFonts w:eastAsia="Arial"/>
          <w:color w:val="0000FF"/>
          <w:szCs w:val="24"/>
        </w:rPr>
        <w:t>the AMF</w:t>
      </w:r>
      <w:r w:rsidRPr="00656DEA">
        <w:rPr>
          <w:rFonts w:eastAsia="Arial"/>
          <w:color w:val="0000FF"/>
          <w:szCs w:val="24"/>
        </w:rPr>
        <w:t xml:space="preserve"> overarching suggestion of initiating a concrete discussion on the topic. </w:t>
      </w:r>
    </w:p>
    <w:p w14:paraId="2E58096D" w14:textId="77777777" w:rsidR="00FD2023" w:rsidRDefault="00FD2023"/>
    <w:p w14:paraId="026E6F0C" w14:textId="77777777" w:rsidR="00FD2023" w:rsidRDefault="00000000">
      <w:r>
        <w:t>&lt;ESMA_QUESTION_FUNA_5&gt;</w:t>
      </w:r>
    </w:p>
    <w:p w14:paraId="61A6C7AB" w14:textId="77777777" w:rsidR="00FD2023" w:rsidRDefault="00FD2023"/>
    <w:p w14:paraId="5646E0AF"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78268A30" w14:textId="77777777" w:rsidR="00FD2023" w:rsidRDefault="00000000">
      <w:r>
        <w:t>&lt;ESMA_QUESTION_FUNA_6&gt;</w:t>
      </w:r>
    </w:p>
    <w:p w14:paraId="799053DD" w14:textId="77777777" w:rsidR="00FD2023" w:rsidRDefault="00000000">
      <w:pPr>
        <w:numPr>
          <w:ilvl w:val="0"/>
          <w:numId w:val="2"/>
        </w:numPr>
        <w:rPr>
          <w:color w:val="0000FF"/>
        </w:rPr>
      </w:pPr>
      <w:r>
        <w:rPr>
          <w:color w:val="0000FF"/>
        </w:rPr>
        <w:t xml:space="preserve">As noted above, we are in favour of minimum safeguards as a general concept. This helps ensure a minimum standard and can offer assurance to end investors in terms of the outcomes they can expect from their investments. </w:t>
      </w:r>
    </w:p>
    <w:p w14:paraId="30EE2C03" w14:textId="77777777" w:rsidR="00FD2023" w:rsidRDefault="00000000">
      <w:pPr>
        <w:numPr>
          <w:ilvl w:val="0"/>
          <w:numId w:val="2"/>
        </w:numPr>
        <w:rPr>
          <w:color w:val="0000FF"/>
        </w:rPr>
      </w:pPr>
      <w:r>
        <w:rPr>
          <w:color w:val="0000FF"/>
        </w:rPr>
        <w:t xml:space="preserve">One observation here is not to create an uneven playing field within Article 8 funds. Therefore, if there are minimum standards, it could be worth applying them across the board and not just to funds with certain terms in their names. </w:t>
      </w:r>
    </w:p>
    <w:p w14:paraId="3C1B4A21" w14:textId="77777777" w:rsidR="00FD2023" w:rsidRDefault="00000000">
      <w:pPr>
        <w:numPr>
          <w:ilvl w:val="0"/>
          <w:numId w:val="2"/>
        </w:numPr>
        <w:rPr>
          <w:color w:val="0000FF"/>
        </w:rPr>
      </w:pPr>
      <w:r>
        <w:rPr>
          <w:color w:val="0000FF"/>
        </w:rPr>
        <w:t>We plan to test these thresholds to understand how the relevant universe of funds would be affected by them as part of our upcoming research mentioned above.</w:t>
      </w:r>
    </w:p>
    <w:p w14:paraId="7DF7A20F" w14:textId="246EB6DA" w:rsidR="00FD2023" w:rsidRDefault="00000000">
      <w:pPr>
        <w:numPr>
          <w:ilvl w:val="0"/>
          <w:numId w:val="2"/>
        </w:numPr>
        <w:rPr>
          <w:color w:val="0000FF"/>
        </w:rPr>
      </w:pPr>
      <w:r>
        <w:rPr>
          <w:color w:val="0000FF"/>
        </w:rPr>
        <w:t xml:space="preserve">A priori, we believe that these safeguards will necessitate a longer transition period, given some investments may not meet them. For instance, in a recent Whitepaper [https://clarity.ai/research-and-insights/sfdr-just-how-sustainable-are-article-9-funds/] we published, we found nearly 20% of the Article 9 funds have more than 10% of their investments in companies with violations of the UNGC principles or the OECD Guidelines for multinational enterprises. Further clarity on what exactly a violation means and how long it would apply for would apply for (including </w:t>
      </w:r>
      <w:r w:rsidR="00656DEA">
        <w:rPr>
          <w:color w:val="0000FF"/>
        </w:rPr>
        <w:t xml:space="preserve">the impact of any </w:t>
      </w:r>
      <w:r>
        <w:rPr>
          <w:color w:val="0000FF"/>
        </w:rPr>
        <w:t>corrective action) would also be useful.</w:t>
      </w:r>
    </w:p>
    <w:p w14:paraId="201123FE" w14:textId="77777777" w:rsidR="00FD2023" w:rsidRDefault="00FD2023"/>
    <w:p w14:paraId="4C9E9B91" w14:textId="77777777" w:rsidR="00FD2023" w:rsidRDefault="00000000">
      <w:r>
        <w:t>&lt;ESMA_QUESTION_FUNA_6&gt;</w:t>
      </w:r>
    </w:p>
    <w:p w14:paraId="7BC2F0C6" w14:textId="77777777" w:rsidR="00FD2023" w:rsidRDefault="00FD2023"/>
    <w:p w14:paraId="009BD9BD"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xml:space="preserve">: Do you think that, for the purpose of these Guidelines, derivatives should be subject to specific provisions for calculating thresholds? </w:t>
      </w:r>
    </w:p>
    <w:p w14:paraId="75FCDA3C" w14:textId="77777777" w:rsidR="00FD2023" w:rsidRDefault="00000000">
      <w:r>
        <w:t>&lt;ESMA_QUESTION_FUNA_7&gt;</w:t>
      </w:r>
    </w:p>
    <w:p w14:paraId="004D20F2" w14:textId="563AE898" w:rsidR="00FD2023" w:rsidRDefault="00000000">
      <w:pPr>
        <w:numPr>
          <w:ilvl w:val="0"/>
          <w:numId w:val="2"/>
        </w:numPr>
        <w:rPr>
          <w:color w:val="0000FF"/>
        </w:rPr>
      </w:pPr>
      <w:r>
        <w:rPr>
          <w:color w:val="0000FF"/>
        </w:rPr>
        <w:t xml:space="preserve">No </w:t>
      </w:r>
      <w:r w:rsidR="00656DEA">
        <w:rPr>
          <w:color w:val="0000FF"/>
        </w:rPr>
        <w:t xml:space="preserve">strong </w:t>
      </w:r>
      <w:r>
        <w:rPr>
          <w:color w:val="0000FF"/>
        </w:rPr>
        <w:t>view</w:t>
      </w:r>
      <w:r w:rsidR="00656DEA">
        <w:rPr>
          <w:color w:val="0000FF"/>
        </w:rPr>
        <w:t>.</w:t>
      </w:r>
    </w:p>
    <w:p w14:paraId="29F58735" w14:textId="77777777" w:rsidR="00FD2023" w:rsidRDefault="00FD2023"/>
    <w:p w14:paraId="4B50C4EF" w14:textId="77777777" w:rsidR="00FD2023" w:rsidRDefault="00000000">
      <w:r>
        <w:t>&lt;ESMA_QUESTION_FUNA_7&gt;</w:t>
      </w:r>
    </w:p>
    <w:p w14:paraId="749FF464" w14:textId="77777777" w:rsidR="00FD2023" w:rsidRDefault="00FD2023"/>
    <w:p w14:paraId="376F8BED" w14:textId="77777777" w:rsidR="00FD2023" w:rsidRDefault="00000000">
      <w:pPr>
        <w:numPr>
          <w:ilvl w:val="0"/>
          <w:numId w:val="1"/>
        </w:numPr>
        <w:pBdr>
          <w:top w:val="nil"/>
          <w:left w:val="nil"/>
          <w:bottom w:val="nil"/>
          <w:right w:val="nil"/>
          <w:between w:val="nil"/>
        </w:pBdr>
        <w:spacing w:after="250" w:line="276" w:lineRule="auto"/>
        <w:jc w:val="both"/>
      </w:pPr>
      <w:r>
        <w:rPr>
          <w:b/>
          <w:color w:val="000000"/>
          <w:szCs w:val="20"/>
        </w:rPr>
        <w:t>Would you suggest the use of the notional value or the market value for the purpose of the calculation of the minimum proportion of investment?</w:t>
      </w:r>
    </w:p>
    <w:p w14:paraId="4D57D6A4" w14:textId="77777777" w:rsidR="00FD2023" w:rsidRDefault="00000000">
      <w:r>
        <w:t>&lt;ESMA_QUESTION_FUNA_1&gt;</w:t>
      </w:r>
    </w:p>
    <w:p w14:paraId="3DD23FB9" w14:textId="09D1C25A" w:rsidR="00FD2023" w:rsidRDefault="00000000">
      <w:pPr>
        <w:numPr>
          <w:ilvl w:val="0"/>
          <w:numId w:val="2"/>
        </w:numPr>
        <w:rPr>
          <w:color w:val="0000FF"/>
        </w:rPr>
      </w:pPr>
      <w:r>
        <w:rPr>
          <w:color w:val="0000FF"/>
        </w:rPr>
        <w:t xml:space="preserve">No strong view </w:t>
      </w:r>
      <w:r w:rsidR="00656DEA">
        <w:rPr>
          <w:color w:val="0000FF"/>
        </w:rPr>
        <w:t>– the m</w:t>
      </w:r>
      <w:r>
        <w:rPr>
          <w:color w:val="0000FF"/>
        </w:rPr>
        <w:t xml:space="preserve">arket value </w:t>
      </w:r>
      <w:r w:rsidR="00656DEA">
        <w:rPr>
          <w:color w:val="0000FF"/>
        </w:rPr>
        <w:t>may be</w:t>
      </w:r>
      <w:r>
        <w:rPr>
          <w:color w:val="0000FF"/>
        </w:rPr>
        <w:t xml:space="preserve"> more accurate but might be out of date for illiquid securities.</w:t>
      </w:r>
    </w:p>
    <w:p w14:paraId="45E3767F" w14:textId="77777777" w:rsidR="00FD2023" w:rsidRDefault="00FD2023"/>
    <w:p w14:paraId="4245BB41" w14:textId="77777777" w:rsidR="00FD2023" w:rsidRDefault="00000000">
      <w:r>
        <w:t>&lt;ESMA_QUESTION_FUNA_1&gt;</w:t>
      </w:r>
    </w:p>
    <w:p w14:paraId="082D93A5" w14:textId="77777777" w:rsidR="00FD2023" w:rsidRDefault="00FD2023"/>
    <w:p w14:paraId="5785CB0D" w14:textId="77777777" w:rsidR="00FD2023" w:rsidRDefault="00000000">
      <w:pPr>
        <w:numPr>
          <w:ilvl w:val="0"/>
          <w:numId w:val="1"/>
        </w:numPr>
        <w:pBdr>
          <w:top w:val="nil"/>
          <w:left w:val="nil"/>
          <w:bottom w:val="nil"/>
          <w:right w:val="nil"/>
          <w:between w:val="nil"/>
        </w:pBdr>
        <w:spacing w:after="250" w:line="276" w:lineRule="auto"/>
        <w:jc w:val="both"/>
      </w:pPr>
      <w:r>
        <w:rPr>
          <w:b/>
          <w:color w:val="000000"/>
          <w:szCs w:val="20"/>
        </w:rPr>
        <w:t>Are there any other measures you would recommend for derivatives for the calculation of the minimum proportion of investments?</w:t>
      </w:r>
    </w:p>
    <w:p w14:paraId="42CB8EB5" w14:textId="77777777" w:rsidR="00FD2023" w:rsidRDefault="00000000">
      <w:r>
        <w:t>&lt;ESMA_QUESTION_FUNA_2&gt;</w:t>
      </w:r>
    </w:p>
    <w:p w14:paraId="162E9F8E" w14:textId="77777777" w:rsidR="00FD2023" w:rsidRDefault="00000000">
      <w:pPr>
        <w:numPr>
          <w:ilvl w:val="0"/>
          <w:numId w:val="2"/>
        </w:numPr>
        <w:rPr>
          <w:color w:val="0000FF"/>
        </w:rPr>
      </w:pPr>
      <w:r>
        <w:rPr>
          <w:color w:val="0000FF"/>
        </w:rPr>
        <w:lastRenderedPageBreak/>
        <w:t>No strong view.</w:t>
      </w:r>
    </w:p>
    <w:p w14:paraId="15ABD059" w14:textId="77777777" w:rsidR="00FD2023" w:rsidRDefault="00000000">
      <w:r>
        <w:t>&lt;ESMA_QUESTION_FUNA_2&gt;</w:t>
      </w:r>
    </w:p>
    <w:p w14:paraId="7B649DED" w14:textId="77777777" w:rsidR="00FD2023" w:rsidRDefault="00FD2023"/>
    <w:p w14:paraId="5E0B84C2"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Do you agree that funds designating an index as a reference benchmark should also consider the same requirements for funds’ names as any other fund? If not, explain why and provide an alternative proposal.</w:t>
      </w:r>
    </w:p>
    <w:p w14:paraId="7AF0E376" w14:textId="77777777" w:rsidR="00FD2023" w:rsidRDefault="00000000">
      <w:r>
        <w:t>&lt;ESMA_QUESTION_FUNA_8&gt;</w:t>
      </w:r>
    </w:p>
    <w:p w14:paraId="06530FAB" w14:textId="77777777" w:rsidR="00FD2023" w:rsidRDefault="00000000">
      <w:pPr>
        <w:numPr>
          <w:ilvl w:val="0"/>
          <w:numId w:val="2"/>
        </w:numPr>
        <w:rPr>
          <w:color w:val="0000FF"/>
        </w:rPr>
      </w:pPr>
      <w:r>
        <w:rPr>
          <w:color w:val="0000FF"/>
        </w:rPr>
        <w:t>Agree that for consistency this could be useful.</w:t>
      </w:r>
    </w:p>
    <w:p w14:paraId="3B8CD8E1" w14:textId="77777777" w:rsidR="00FD2023" w:rsidRDefault="00000000">
      <w:r>
        <w:t>&lt;ESMA_QUESTION_FUNA_8&gt;</w:t>
      </w:r>
    </w:p>
    <w:p w14:paraId="25690DB3" w14:textId="77777777" w:rsidR="00FD2023" w:rsidRDefault="00FD2023"/>
    <w:p w14:paraId="4A3F5D53"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Would you make a distinction between physical and synthetic replication, for example in relation to the collateral held, of an index?</w:t>
      </w:r>
    </w:p>
    <w:p w14:paraId="7BEC160F" w14:textId="77777777" w:rsidR="00FD2023" w:rsidRDefault="00000000">
      <w:r>
        <w:t>&lt;ESMA_QUESTION_FUNA_9&gt;</w:t>
      </w:r>
    </w:p>
    <w:p w14:paraId="2B1746A5" w14:textId="77777777" w:rsidR="00FD2023" w:rsidRDefault="00000000">
      <w:pPr>
        <w:numPr>
          <w:ilvl w:val="0"/>
          <w:numId w:val="2"/>
        </w:numPr>
        <w:rPr>
          <w:color w:val="0000FF"/>
        </w:rPr>
      </w:pPr>
      <w:r>
        <w:rPr>
          <w:color w:val="0000FF"/>
        </w:rPr>
        <w:t xml:space="preserve">No strong view. </w:t>
      </w:r>
    </w:p>
    <w:p w14:paraId="36FDF1E6" w14:textId="77777777" w:rsidR="00FD2023" w:rsidRDefault="00000000">
      <w:r>
        <w:t>&lt;ESMA_QUESTION_FUNA_9&gt;</w:t>
      </w:r>
    </w:p>
    <w:p w14:paraId="4735C2BF" w14:textId="77777777" w:rsidR="00FD2023" w:rsidRDefault="00FD2023"/>
    <w:p w14:paraId="747CEA15"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xml:space="preserve">: Do you agree of having specific provisions for “impact” or impact-related names in these Guidelines? </w:t>
      </w:r>
    </w:p>
    <w:p w14:paraId="772D1984" w14:textId="77777777" w:rsidR="00FD2023" w:rsidRDefault="00000000">
      <w:r>
        <w:t>&lt;ESMA_QUESTION_FUNA_10&gt;</w:t>
      </w:r>
    </w:p>
    <w:p w14:paraId="1838E0C1" w14:textId="10DCD7D2" w:rsidR="00FD2023" w:rsidRDefault="00000000">
      <w:pPr>
        <w:numPr>
          <w:ilvl w:val="0"/>
          <w:numId w:val="2"/>
        </w:numPr>
        <w:rPr>
          <w:color w:val="0000FF"/>
        </w:rPr>
      </w:pPr>
      <w:r>
        <w:rPr>
          <w:color w:val="0000FF"/>
        </w:rPr>
        <w:t xml:space="preserve">We agree with treating impact with specific provision. However, we still believe that more could be done to reflect differing investment objectives of different end investors. As per UK’s SDR and proposals from US SEC, impact could be treated as a </w:t>
      </w:r>
      <w:proofErr w:type="gramStart"/>
      <w:r>
        <w:rPr>
          <w:color w:val="0000FF"/>
        </w:rPr>
        <w:t>category in its own right, with</w:t>
      </w:r>
      <w:proofErr w:type="gramEnd"/>
      <w:r>
        <w:rPr>
          <w:color w:val="0000FF"/>
        </w:rPr>
        <w:t xml:space="preserve"> its own KPIs and reporting requirements. To assist this, the EU could propose a definition for </w:t>
      </w:r>
      <w:r w:rsidR="00656DEA">
        <w:rPr>
          <w:color w:val="0000FF"/>
        </w:rPr>
        <w:t>“</w:t>
      </w:r>
      <w:r>
        <w:rPr>
          <w:color w:val="0000FF"/>
        </w:rPr>
        <w:t>impact</w:t>
      </w:r>
      <w:r w:rsidR="00656DEA">
        <w:rPr>
          <w:color w:val="0000FF"/>
        </w:rPr>
        <w:t>”</w:t>
      </w:r>
      <w:r>
        <w:rPr>
          <w:color w:val="0000FF"/>
        </w:rPr>
        <w:t xml:space="preserve"> that could be used by market participants. </w:t>
      </w:r>
    </w:p>
    <w:p w14:paraId="59131312" w14:textId="77777777" w:rsidR="00FD2023" w:rsidRDefault="00000000">
      <w:r>
        <w:t>&lt;ESMA_QUESTION_FUNA_10&gt;</w:t>
      </w:r>
    </w:p>
    <w:p w14:paraId="4BCF73E7" w14:textId="77777777" w:rsidR="00FD2023" w:rsidRDefault="00FD2023"/>
    <w:p w14:paraId="709E4101"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Should there be specific provisions for “transition” or transition-related names in these Guidelines? If yes, what should they be?</w:t>
      </w:r>
    </w:p>
    <w:p w14:paraId="0230A646" w14:textId="77777777" w:rsidR="00FD2023" w:rsidRDefault="00000000">
      <w:r>
        <w:t>&lt;ESMA_QUESTION_FUNA_11&gt;</w:t>
      </w:r>
    </w:p>
    <w:p w14:paraId="1F6775EB" w14:textId="77777777" w:rsidR="00FD2023" w:rsidRDefault="00000000">
      <w:pPr>
        <w:numPr>
          <w:ilvl w:val="0"/>
          <w:numId w:val="2"/>
        </w:numPr>
        <w:rPr>
          <w:color w:val="0000FF"/>
        </w:rPr>
      </w:pPr>
      <w:r>
        <w:rPr>
          <w:color w:val="0000FF"/>
        </w:rPr>
        <w:t xml:space="preserve">We agree with treating transition with specific provision. However, we still believe that more could be done to reflect differing investment objectives of different end investors. As per UK’s SDR, transition could be treated as a </w:t>
      </w:r>
      <w:proofErr w:type="gramStart"/>
      <w:r>
        <w:rPr>
          <w:color w:val="0000FF"/>
        </w:rPr>
        <w:t>category in its own right, with</w:t>
      </w:r>
      <w:proofErr w:type="gramEnd"/>
      <w:r>
        <w:rPr>
          <w:color w:val="0000FF"/>
        </w:rPr>
        <w:t xml:space="preserve"> its own KPIs and reporting requirements.</w:t>
      </w:r>
    </w:p>
    <w:p w14:paraId="5F236B79" w14:textId="77777777" w:rsidR="00FD2023" w:rsidRDefault="00000000">
      <w:r>
        <w:t>&lt;ESMA_QUESTION_FUNA_11&gt;</w:t>
      </w:r>
    </w:p>
    <w:p w14:paraId="6CDEED27" w14:textId="77777777" w:rsidR="00FD2023" w:rsidRDefault="00FD2023"/>
    <w:p w14:paraId="3F3CD619"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xml:space="preserve">: The proposals in this consultation paper relates to investment funds’ names </w:t>
      </w:r>
      <w:proofErr w:type="gramStart"/>
      <w:r>
        <w:rPr>
          <w:b/>
          <w:color w:val="000000"/>
          <w:szCs w:val="20"/>
        </w:rPr>
        <w:t>in light of</w:t>
      </w:r>
      <w:proofErr w:type="gramEnd"/>
      <w:r>
        <w:rPr>
          <w:b/>
          <w:color w:val="000000"/>
          <w:szCs w:val="20"/>
        </w:rPr>
        <w:t xml:space="preserve"> specific sectoral concerns. However, considering the SFDR disclosures apply also to other sectors, do you think that these proposals may have implications for other sectors and, if so, would you see merit in having similar guidance for other financial products?   </w:t>
      </w:r>
    </w:p>
    <w:p w14:paraId="1BEE4A56" w14:textId="77777777" w:rsidR="00FD2023" w:rsidRDefault="00000000">
      <w:r>
        <w:t>&lt;ESMA_QUESTION_FUNA_12&gt;</w:t>
      </w:r>
    </w:p>
    <w:p w14:paraId="1FA68323" w14:textId="77777777" w:rsidR="00FD2023" w:rsidRDefault="00000000">
      <w:pPr>
        <w:numPr>
          <w:ilvl w:val="0"/>
          <w:numId w:val="2"/>
        </w:numPr>
        <w:rPr>
          <w:color w:val="0000FF"/>
        </w:rPr>
      </w:pPr>
      <w:r>
        <w:rPr>
          <w:color w:val="0000FF"/>
        </w:rPr>
        <w:t>No strong view.</w:t>
      </w:r>
    </w:p>
    <w:p w14:paraId="52018A8A" w14:textId="77777777" w:rsidR="00FD2023" w:rsidRDefault="00000000">
      <w:r>
        <w:t>&lt;ESMA_QUESTION_FUNA_12&gt;</w:t>
      </w:r>
    </w:p>
    <w:p w14:paraId="202CAC26" w14:textId="77777777" w:rsidR="00FD2023" w:rsidRDefault="00FD2023"/>
    <w:p w14:paraId="6CD4E360"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Do you agree with having a transitional period of 6 months from the date of the application of the Guidelines for existing funds? If not, please explain why and provide an alternative proposal.</w:t>
      </w:r>
    </w:p>
    <w:p w14:paraId="3E23D535" w14:textId="77777777" w:rsidR="00FD2023" w:rsidRDefault="00000000">
      <w:r>
        <w:t>&lt;ESMA_QUESTION_FUNA_13&gt;</w:t>
      </w:r>
    </w:p>
    <w:p w14:paraId="7FB72B7D" w14:textId="77777777" w:rsidR="00FD2023" w:rsidRDefault="00000000">
      <w:pPr>
        <w:numPr>
          <w:ilvl w:val="0"/>
          <w:numId w:val="2"/>
        </w:numPr>
        <w:rPr>
          <w:color w:val="0000FF"/>
        </w:rPr>
      </w:pPr>
      <w:r>
        <w:rPr>
          <w:color w:val="0000FF"/>
        </w:rPr>
        <w:lastRenderedPageBreak/>
        <w:t xml:space="preserve">As mentioned above, based on our evidence, we would push for a longer transitional period. </w:t>
      </w:r>
    </w:p>
    <w:p w14:paraId="310C676D" w14:textId="77777777" w:rsidR="00FD2023" w:rsidRDefault="00000000">
      <w:r>
        <w:t>&lt;ESMA_QUESTION_FUNA_13&gt;</w:t>
      </w:r>
    </w:p>
    <w:p w14:paraId="43E894BE" w14:textId="77777777" w:rsidR="00FD2023" w:rsidRDefault="00FD2023"/>
    <w:p w14:paraId="4C9F1630"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Should the naming-related provisions be extended to closed-ended funds which have terminated their subscription period before the application date of the Guidelines? If not, please explain your answer.</w:t>
      </w:r>
    </w:p>
    <w:p w14:paraId="0E230F20" w14:textId="77777777" w:rsidR="00FD2023" w:rsidRDefault="00000000">
      <w:r>
        <w:t>&lt;ESMA_QUESTION_FUNA_14&gt;</w:t>
      </w:r>
    </w:p>
    <w:p w14:paraId="7207F060" w14:textId="77777777" w:rsidR="00FD2023" w:rsidRDefault="00000000">
      <w:pPr>
        <w:numPr>
          <w:ilvl w:val="0"/>
          <w:numId w:val="2"/>
        </w:numPr>
        <w:rPr>
          <w:color w:val="0000FF"/>
        </w:rPr>
      </w:pPr>
      <w:r>
        <w:rPr>
          <w:color w:val="0000FF"/>
        </w:rPr>
        <w:t xml:space="preserve">No strong view. </w:t>
      </w:r>
    </w:p>
    <w:p w14:paraId="359D8418" w14:textId="77777777" w:rsidR="00FD2023" w:rsidRDefault="00000000">
      <w:r>
        <w:t>&lt;ESMA_QUESTION_FUNA_14&gt;</w:t>
      </w:r>
    </w:p>
    <w:p w14:paraId="76E151E0" w14:textId="77777777" w:rsidR="00FD2023" w:rsidRDefault="00FD2023"/>
    <w:p w14:paraId="3D0EF151"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What is the anticipated impact from the introduction of the proposed Guidelines?</w:t>
      </w:r>
    </w:p>
    <w:p w14:paraId="014C7C7B" w14:textId="77777777" w:rsidR="00FD2023" w:rsidRDefault="00000000">
      <w:r>
        <w:t>&lt;ESMA_QUESTION_FUNA_15&gt;</w:t>
      </w:r>
    </w:p>
    <w:p w14:paraId="6E503C2B" w14:textId="77777777" w:rsidR="00FD2023" w:rsidRDefault="00000000">
      <w:pPr>
        <w:numPr>
          <w:ilvl w:val="0"/>
          <w:numId w:val="2"/>
        </w:numPr>
        <w:rPr>
          <w:color w:val="0000FF"/>
        </w:rPr>
      </w:pPr>
      <w:r>
        <w:rPr>
          <w:color w:val="0000FF"/>
        </w:rPr>
        <w:t xml:space="preserve">Without a transition period we worry that funds may rename themselves to avoid the toughest parts of the regulations. </w:t>
      </w:r>
    </w:p>
    <w:p w14:paraId="17213463" w14:textId="77777777" w:rsidR="00FD2023" w:rsidRDefault="00000000">
      <w:pPr>
        <w:numPr>
          <w:ilvl w:val="0"/>
          <w:numId w:val="2"/>
        </w:numPr>
        <w:rPr>
          <w:color w:val="0000FF"/>
        </w:rPr>
      </w:pPr>
      <w:r>
        <w:rPr>
          <w:color w:val="0000FF"/>
        </w:rPr>
        <w:t>It is also possible that the proposals could lead to a wave of “downgrades” from Article 8 to Article 6. This could cause damage to the EU’s green deal and efforts to green the economy.</w:t>
      </w:r>
    </w:p>
    <w:p w14:paraId="6FE3753B" w14:textId="77777777" w:rsidR="00FD2023" w:rsidRDefault="00000000">
      <w:r>
        <w:t>&lt;ESMA_QUESTION_FUNA_15&gt;</w:t>
      </w:r>
    </w:p>
    <w:p w14:paraId="04154C47" w14:textId="77777777" w:rsidR="00FD2023" w:rsidRDefault="00FD2023"/>
    <w:p w14:paraId="401BEC60" w14:textId="77777777" w:rsidR="00FD2023" w:rsidRDefault="00000000">
      <w:pPr>
        <w:numPr>
          <w:ilvl w:val="0"/>
          <w:numId w:val="5"/>
        </w:numPr>
        <w:pBdr>
          <w:top w:val="nil"/>
          <w:left w:val="nil"/>
          <w:bottom w:val="nil"/>
          <w:right w:val="nil"/>
          <w:between w:val="nil"/>
        </w:pBdr>
        <w:spacing w:after="250" w:line="276" w:lineRule="auto"/>
        <w:jc w:val="both"/>
      </w:pPr>
      <w:r>
        <w:rPr>
          <w:b/>
          <w:color w:val="000000"/>
          <w:szCs w:val="20"/>
        </w:rPr>
        <w:t xml:space="preserve">: What additional costs and benefits would compliance with the proposed Guidelines bring to the stakeholder(s) you represent? Please provide quantitative figures, where available. </w:t>
      </w:r>
    </w:p>
    <w:p w14:paraId="0A47FBA4" w14:textId="77777777" w:rsidR="00FD2023" w:rsidRDefault="00000000">
      <w:r>
        <w:t>&lt;ESMA_QUESTION_FUNA_16&gt;</w:t>
      </w:r>
    </w:p>
    <w:p w14:paraId="068D711D" w14:textId="77777777" w:rsidR="00FD2023" w:rsidRDefault="00000000">
      <w:pPr>
        <w:numPr>
          <w:ilvl w:val="0"/>
          <w:numId w:val="2"/>
        </w:numPr>
        <w:rPr>
          <w:color w:val="0000FF"/>
        </w:rPr>
      </w:pPr>
      <w:r>
        <w:rPr>
          <w:color w:val="0000FF"/>
        </w:rPr>
        <w:t xml:space="preserve">No strong view. </w:t>
      </w:r>
    </w:p>
    <w:p w14:paraId="7B39114A" w14:textId="77777777" w:rsidR="00FD2023" w:rsidRDefault="00000000">
      <w:r>
        <w:t>&lt;ESMA_QUESTION_FUNA_16&gt;</w:t>
      </w:r>
    </w:p>
    <w:p w14:paraId="57594715" w14:textId="77777777" w:rsidR="00FD2023" w:rsidRDefault="00FD2023">
      <w:pPr>
        <w:numPr>
          <w:ilvl w:val="0"/>
          <w:numId w:val="5"/>
        </w:numPr>
        <w:pBdr>
          <w:top w:val="nil"/>
          <w:left w:val="nil"/>
          <w:bottom w:val="nil"/>
          <w:right w:val="nil"/>
          <w:between w:val="nil"/>
        </w:pBdr>
        <w:spacing w:after="250" w:line="276" w:lineRule="auto"/>
        <w:jc w:val="both"/>
        <w:rPr>
          <w:color w:val="000000"/>
          <w:sz w:val="22"/>
          <w:szCs w:val="22"/>
        </w:rPr>
      </w:pPr>
    </w:p>
    <w:sectPr w:rsidR="00FD2023">
      <w:headerReference w:type="even" r:id="rId14"/>
      <w:headerReference w:type="first" r:id="rId15"/>
      <w:footerReference w:type="first" r:id="rId16"/>
      <w:pgSz w:w="11906" w:h="16838"/>
      <w:pgMar w:top="2410" w:right="1247" w:bottom="1135" w:left="124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FF40" w14:textId="77777777" w:rsidR="00072FDE" w:rsidRDefault="00072FDE">
      <w:r>
        <w:separator/>
      </w:r>
    </w:p>
  </w:endnote>
  <w:endnote w:type="continuationSeparator" w:id="0">
    <w:p w14:paraId="3DCEF8DB" w14:textId="77777777" w:rsidR="00072FDE" w:rsidRDefault="0007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Lucida Grande">
    <w:panose1 w:val="020B0600040502020204"/>
    <w:charset w:val="00"/>
    <w:family w:val="roman"/>
    <w:notTrueType/>
    <w:pitch w:val="default"/>
  </w:font>
  <w:font w:name="EUAlbertin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leste">
    <w:panose1 w:val="020B06040202020202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panose1 w:val="020B0604020202020204"/>
    <w:charset w:val="00"/>
    <w:family w:val="roman"/>
    <w:notTrueType/>
    <w:pitch w:val="default"/>
  </w:font>
  <w:font w:name="Myriad Pro Light">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A8F6" w14:textId="77777777" w:rsidR="00FD2023" w:rsidRDefault="00FD2023">
    <w:pPr>
      <w:widowControl w:val="0"/>
      <w:pBdr>
        <w:top w:val="nil"/>
        <w:left w:val="nil"/>
        <w:bottom w:val="nil"/>
        <w:right w:val="nil"/>
        <w:between w:val="nil"/>
      </w:pBdr>
      <w:spacing w:line="276" w:lineRule="auto"/>
      <w:rPr>
        <w:color w:val="000000"/>
        <w:szCs w:val="20"/>
      </w:rPr>
    </w:pPr>
  </w:p>
  <w:tbl>
    <w:tblPr>
      <w:tblStyle w:val="a4"/>
      <w:tblW w:w="9412" w:type="dxa"/>
      <w:tblLayout w:type="fixed"/>
      <w:tblLook w:val="0000" w:firstRow="0" w:lastRow="0" w:firstColumn="0" w:lastColumn="0" w:noHBand="0" w:noVBand="0"/>
    </w:tblPr>
    <w:tblGrid>
      <w:gridCol w:w="4456"/>
      <w:gridCol w:w="4455"/>
      <w:gridCol w:w="501"/>
    </w:tblGrid>
    <w:tr w:rsidR="00FD2023" w14:paraId="4E959593" w14:textId="77777777">
      <w:trPr>
        <w:trHeight w:val="284"/>
      </w:trPr>
      <w:tc>
        <w:tcPr>
          <w:tcW w:w="4455" w:type="dxa"/>
        </w:tcPr>
        <w:p w14:paraId="3E97E964" w14:textId="77777777" w:rsidR="00FD2023" w:rsidRDefault="00FD2023">
          <w:pPr>
            <w:pBdr>
              <w:top w:val="nil"/>
              <w:left w:val="nil"/>
              <w:bottom w:val="nil"/>
              <w:right w:val="nil"/>
              <w:between w:val="nil"/>
            </w:pBdr>
            <w:spacing w:line="200" w:lineRule="auto"/>
            <w:rPr>
              <w:color w:val="2D4190"/>
              <w:sz w:val="16"/>
              <w:szCs w:val="16"/>
            </w:rPr>
          </w:pPr>
        </w:p>
      </w:tc>
      <w:tc>
        <w:tcPr>
          <w:tcW w:w="4455" w:type="dxa"/>
        </w:tcPr>
        <w:p w14:paraId="64E17D43" w14:textId="77777777" w:rsidR="00FD2023" w:rsidRDefault="00FD2023">
          <w:pPr>
            <w:pBdr>
              <w:top w:val="nil"/>
              <w:left w:val="nil"/>
              <w:bottom w:val="nil"/>
              <w:right w:val="nil"/>
              <w:between w:val="nil"/>
            </w:pBdr>
            <w:spacing w:line="200" w:lineRule="auto"/>
            <w:rPr>
              <w:color w:val="2D4190"/>
              <w:sz w:val="16"/>
              <w:szCs w:val="16"/>
            </w:rPr>
          </w:pPr>
        </w:p>
      </w:tc>
      <w:tc>
        <w:tcPr>
          <w:tcW w:w="501" w:type="dxa"/>
        </w:tcPr>
        <w:p w14:paraId="398F6EAC" w14:textId="6170BC62" w:rsidR="00FD2023" w:rsidRDefault="00000000">
          <w:pPr>
            <w:pBdr>
              <w:top w:val="nil"/>
              <w:left w:val="nil"/>
              <w:bottom w:val="nil"/>
              <w:right w:val="nil"/>
              <w:between w:val="nil"/>
            </w:pBdr>
            <w:spacing w:line="20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67FC6">
            <w:rPr>
              <w:noProof/>
              <w:color w:val="000000"/>
              <w:sz w:val="22"/>
              <w:szCs w:val="22"/>
            </w:rPr>
            <w:t>3</w:t>
          </w:r>
          <w:r>
            <w:rPr>
              <w:color w:val="000000"/>
              <w:sz w:val="22"/>
              <w:szCs w:val="22"/>
            </w:rPr>
            <w:fldChar w:fldCharType="end"/>
          </w:r>
        </w:p>
      </w:tc>
    </w:tr>
  </w:tbl>
  <w:p w14:paraId="5B98011E" w14:textId="77777777" w:rsidR="00FD2023" w:rsidRDefault="00FD2023">
    <w:pPr>
      <w:pBdr>
        <w:top w:val="nil"/>
        <w:left w:val="nil"/>
        <w:bottom w:val="nil"/>
        <w:right w:val="nil"/>
        <w:between w:val="nil"/>
      </w:pBdr>
      <w:tabs>
        <w:tab w:val="center" w:pos="4536"/>
        <w:tab w:val="right" w:pos="9072"/>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3685" w14:textId="77777777" w:rsidR="00FD2023" w:rsidRDefault="00000000">
    <w:pPr>
      <w:pBdr>
        <w:top w:val="nil"/>
        <w:left w:val="nil"/>
        <w:bottom w:val="nil"/>
        <w:right w:val="nil"/>
        <w:between w:val="nil"/>
      </w:pBdr>
      <w:tabs>
        <w:tab w:val="center" w:pos="4536"/>
        <w:tab w:val="right" w:pos="9072"/>
        <w:tab w:val="left" w:pos="8227"/>
        <w:tab w:val="right" w:pos="9412"/>
      </w:tabs>
      <w:rPr>
        <w:color w:val="000000"/>
        <w:szCs w:val="20"/>
      </w:rPr>
    </w:pPr>
    <w:r>
      <w:rPr>
        <w:color w:val="000000"/>
        <w:szCs w:val="20"/>
      </w:rPr>
      <w:tab/>
    </w:r>
    <w:r>
      <w:rPr>
        <w:color w:val="000000"/>
        <w:szCs w:val="20"/>
      </w:rPr>
      <w:tab/>
    </w:r>
  </w:p>
  <w:p w14:paraId="2D6E78BD" w14:textId="77777777" w:rsidR="00FD2023" w:rsidRDefault="00000000">
    <w:pPr>
      <w:pBdr>
        <w:top w:val="nil"/>
        <w:left w:val="nil"/>
        <w:bottom w:val="nil"/>
        <w:right w:val="nil"/>
        <w:between w:val="nil"/>
      </w:pBdr>
      <w:tabs>
        <w:tab w:val="center" w:pos="4536"/>
        <w:tab w:val="right" w:pos="9072"/>
        <w:tab w:val="left" w:pos="8227"/>
        <w:tab w:val="right" w:pos="9412"/>
      </w:tabs>
      <w:rPr>
        <w:color w:val="000000"/>
        <w:szCs w:val="20"/>
      </w:rPr>
    </w:pPr>
    <w:r>
      <w:rPr>
        <w:color w:val="000000"/>
        <w:szCs w:val="20"/>
      </w:rPr>
      <w:tab/>
    </w:r>
    <w:r>
      <w:rPr>
        <w:color w:val="000000"/>
        <w:szCs w:val="20"/>
      </w:rPr>
      <w:tab/>
    </w:r>
    <w:r>
      <w:rPr>
        <w:color w:val="000000"/>
        <w:szCs w:val="20"/>
      </w:rPr>
      <w:tab/>
    </w:r>
  </w:p>
  <w:p w14:paraId="021ABE22" w14:textId="77777777" w:rsidR="00FD2023" w:rsidRDefault="00000000">
    <w:pPr>
      <w:pBdr>
        <w:top w:val="nil"/>
        <w:left w:val="nil"/>
        <w:bottom w:val="nil"/>
        <w:right w:val="nil"/>
        <w:between w:val="nil"/>
      </w:pBdr>
      <w:tabs>
        <w:tab w:val="center" w:pos="4536"/>
        <w:tab w:val="right" w:pos="9072"/>
        <w:tab w:val="left" w:pos="8227"/>
        <w:tab w:val="right" w:pos="9412"/>
      </w:tabs>
      <w:rPr>
        <w:color w:val="000000"/>
        <w:szCs w:val="20"/>
      </w:rPr>
    </w:pPr>
    <w:r>
      <w:rPr>
        <w:color w:val="00000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1C9B" w14:textId="77777777" w:rsidR="00FD2023" w:rsidRDefault="00FD2023">
    <w:pPr>
      <w:pBdr>
        <w:top w:val="nil"/>
        <w:left w:val="nil"/>
        <w:bottom w:val="nil"/>
        <w:right w:val="nil"/>
        <w:between w:val="nil"/>
      </w:pBdr>
      <w:tabs>
        <w:tab w:val="center" w:pos="4536"/>
        <w:tab w:val="right" w:pos="9072"/>
      </w:tabs>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8E37" w14:textId="77777777" w:rsidR="00072FDE" w:rsidRDefault="00072FDE">
      <w:r>
        <w:separator/>
      </w:r>
    </w:p>
  </w:footnote>
  <w:footnote w:type="continuationSeparator" w:id="0">
    <w:p w14:paraId="1047D84E" w14:textId="77777777" w:rsidR="00072FDE" w:rsidRDefault="00072FDE">
      <w:r>
        <w:continuationSeparator/>
      </w:r>
    </w:p>
  </w:footnote>
  <w:footnote w:id="1">
    <w:p w14:paraId="0C2A01BA" w14:textId="77777777" w:rsidR="00FD2023" w:rsidRDefault="00000000">
      <w:r>
        <w:rPr>
          <w:rStyle w:val="FootnoteReference"/>
        </w:rPr>
        <w:footnoteRef/>
      </w:r>
      <w:r>
        <w:t xml:space="preserve">  Terms </w:t>
      </w:r>
      <w:proofErr w:type="gramStart"/>
      <w:r>
        <w:t>include:</w:t>
      </w:r>
      <w:proofErr w:type="gramEnd"/>
      <w:r>
        <w:t xml:space="preserve"> Sustainable, Sust, Sus, Sustainability, </w:t>
      </w:r>
      <w:proofErr w:type="spellStart"/>
      <w:r>
        <w:t>Sustnby</w:t>
      </w:r>
      <w:proofErr w:type="spellEnd"/>
      <w:r>
        <w:t xml:space="preserve">, Sustain, </w:t>
      </w:r>
      <w:proofErr w:type="spellStart"/>
      <w:r>
        <w:t>Sstnb</w:t>
      </w:r>
      <w:proofErr w:type="spellEnd"/>
      <w:r>
        <w:t xml:space="preserve">, </w:t>
      </w:r>
      <w:proofErr w:type="spellStart"/>
      <w:r>
        <w:t>Sustainab</w:t>
      </w:r>
      <w:proofErr w:type="spellEnd"/>
      <w:r>
        <w:t xml:space="preserve">, </w:t>
      </w:r>
      <w:proofErr w:type="spellStart"/>
      <w:r>
        <w:t>Sustnb</w:t>
      </w:r>
      <w:proofErr w:type="spellEnd"/>
      <w:r>
        <w:t xml:space="preserve"> and </w:t>
      </w:r>
      <w:proofErr w:type="spellStart"/>
      <w:r>
        <w:t>Sstnbl</w:t>
      </w:r>
      <w:proofErr w:type="spellEnd"/>
    </w:p>
    <w:p w14:paraId="42910374" w14:textId="77777777" w:rsidR="00FD2023" w:rsidRDefault="00FD2023"/>
    <w:p w14:paraId="503E4C89" w14:textId="77777777" w:rsidR="00FD2023" w:rsidRDefault="00FD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5003" w14:textId="77777777" w:rsidR="00FD2023" w:rsidRDefault="00000000">
    <w:pPr>
      <w:pBdr>
        <w:top w:val="nil"/>
        <w:left w:val="nil"/>
        <w:bottom w:val="nil"/>
        <w:right w:val="nil"/>
        <w:between w:val="nil"/>
      </w:pBdr>
      <w:tabs>
        <w:tab w:val="center" w:pos="4536"/>
        <w:tab w:val="right" w:pos="9072"/>
      </w:tabs>
      <w:rPr>
        <w:color w:val="000000"/>
        <w:szCs w:val="20"/>
      </w:rPr>
    </w:pPr>
    <w:r>
      <w:rPr>
        <w:noProof/>
        <w:color w:val="000000"/>
        <w:szCs w:val="20"/>
      </w:rPr>
      <w:drawing>
        <wp:anchor distT="0" distB="0" distL="114300" distR="114300" simplePos="0" relativeHeight="251658240" behindDoc="0" locked="0" layoutInCell="1" hidden="0" allowOverlap="1" wp14:anchorId="3E4507D2" wp14:editId="7949E91D">
          <wp:simplePos x="0" y="0"/>
          <wp:positionH relativeFrom="page">
            <wp:posOffset>791845</wp:posOffset>
          </wp:positionH>
          <wp:positionV relativeFrom="page">
            <wp:posOffset>612140</wp:posOffset>
          </wp:positionV>
          <wp:extent cx="561975" cy="561975"/>
          <wp:effectExtent l="0" t="0" r="0" b="0"/>
          <wp:wrapNone/>
          <wp:docPr id="141" name="image5.jpg" descr="esma_8_V3_no_claim"/>
          <wp:cNvGraphicFramePr/>
          <a:graphic xmlns:a="http://schemas.openxmlformats.org/drawingml/2006/main">
            <a:graphicData uri="http://schemas.openxmlformats.org/drawingml/2006/picture">
              <pic:pic xmlns:pic="http://schemas.openxmlformats.org/drawingml/2006/picture">
                <pic:nvPicPr>
                  <pic:cNvPr id="0" name="image5.jpg" descr="esma_8_V3_no_claim"/>
                  <pic:cNvPicPr preferRelativeResize="0"/>
                </pic:nvPicPr>
                <pic:blipFill>
                  <a:blip r:embed="rId1"/>
                  <a:srcRect/>
                  <a:stretch>
                    <a:fillRect/>
                  </a:stretch>
                </pic:blipFill>
                <pic:spPr>
                  <a:xfrm>
                    <a:off x="0" y="0"/>
                    <a:ext cx="561975" cy="561975"/>
                  </a:xfrm>
                  <a:prstGeom prst="rect">
                    <a:avLst/>
                  </a:prstGeom>
                  <a:ln/>
                </pic:spPr>
              </pic:pic>
            </a:graphicData>
          </a:graphic>
        </wp:anchor>
      </w:drawing>
    </w:r>
    <w:r>
      <w:rPr>
        <w:noProof/>
        <w:color w:val="000000"/>
        <w:szCs w:val="20"/>
      </w:rPr>
      <mc:AlternateContent>
        <mc:Choice Requires="wps">
          <w:drawing>
            <wp:anchor distT="0" distB="0" distL="114295" distR="114295" simplePos="0" relativeHeight="251659264" behindDoc="0" locked="0" layoutInCell="1" hidden="0" allowOverlap="1" wp14:anchorId="2380F7F8" wp14:editId="25B5B771">
              <wp:simplePos x="0" y="0"/>
              <wp:positionH relativeFrom="page">
                <wp:posOffset>1541779</wp:posOffset>
              </wp:positionH>
              <wp:positionV relativeFrom="page">
                <wp:posOffset>612140</wp:posOffset>
              </wp:positionV>
              <wp:extent cx="0" cy="558165"/>
              <wp:effectExtent l="0" t="0" r="0" b="0"/>
              <wp:wrapNone/>
              <wp:docPr id="139" name="Straight Arrow Connector 139"/>
              <wp:cNvGraphicFramePr/>
              <a:graphic xmlns:a="http://schemas.openxmlformats.org/drawingml/2006/main">
                <a:graphicData uri="http://schemas.microsoft.com/office/word/2010/wordprocessingShape">
                  <wps:wsp>
                    <wps:cNvCnPr/>
                    <wps:spPr>
                      <a:xfrm>
                        <a:off x="5346000" y="3500918"/>
                        <a:ext cx="0" cy="558165"/>
                      </a:xfrm>
                      <a:prstGeom prst="straightConnector1">
                        <a:avLst/>
                      </a:prstGeom>
                      <a:noFill/>
                      <a:ln w="12700" cap="flat" cmpd="sng">
                        <a:solidFill>
                          <a:srgbClr val="283583"/>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5" distR="114295" hidden="0" layoutInCell="1" locked="0" relativeHeight="0" simplePos="0">
              <wp:simplePos x="0" y="0"/>
              <wp:positionH relativeFrom="page">
                <wp:posOffset>1541779</wp:posOffset>
              </wp:positionH>
              <wp:positionV relativeFrom="page">
                <wp:posOffset>612140</wp:posOffset>
              </wp:positionV>
              <wp:extent cx="0" cy="558165"/>
              <wp:effectExtent b="0" l="0" r="0" t="0"/>
              <wp:wrapNone/>
              <wp:docPr id="13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55816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E131" w14:textId="77777777" w:rsidR="00FD2023" w:rsidRDefault="00000000">
    <w:pPr>
      <w:pBdr>
        <w:top w:val="nil"/>
        <w:left w:val="nil"/>
        <w:bottom w:val="nil"/>
        <w:right w:val="nil"/>
        <w:between w:val="nil"/>
      </w:pBdr>
      <w:tabs>
        <w:tab w:val="center" w:pos="4536"/>
        <w:tab w:val="right" w:pos="9072"/>
      </w:tabs>
      <w:jc w:val="right"/>
      <w:rPr>
        <w:color w:val="000000"/>
        <w:szCs w:val="20"/>
      </w:rPr>
    </w:pPr>
    <w:r>
      <w:rPr>
        <w:noProof/>
        <w:color w:val="000000"/>
        <w:szCs w:val="20"/>
      </w:rPr>
      <w:drawing>
        <wp:anchor distT="0" distB="0" distL="114300" distR="114300" simplePos="0" relativeHeight="251660288" behindDoc="0" locked="0" layoutInCell="1" hidden="0" allowOverlap="1" wp14:anchorId="474B356E" wp14:editId="2B4D8C76">
          <wp:simplePos x="0" y="0"/>
          <wp:positionH relativeFrom="page">
            <wp:posOffset>377825</wp:posOffset>
          </wp:positionH>
          <wp:positionV relativeFrom="page">
            <wp:posOffset>377825</wp:posOffset>
          </wp:positionV>
          <wp:extent cx="2209800" cy="904875"/>
          <wp:effectExtent l="0" t="0" r="0" b="0"/>
          <wp:wrapNone/>
          <wp:docPr id="142" name="image1.jpg" descr="esma_8_V3"/>
          <wp:cNvGraphicFramePr/>
          <a:graphic xmlns:a="http://schemas.openxmlformats.org/drawingml/2006/main">
            <a:graphicData uri="http://schemas.openxmlformats.org/drawingml/2006/picture">
              <pic:pic xmlns:pic="http://schemas.openxmlformats.org/drawingml/2006/picture">
                <pic:nvPicPr>
                  <pic:cNvPr id="0" name="image1.jpg" descr="esma_8_V3"/>
                  <pic:cNvPicPr preferRelativeResize="0"/>
                </pic:nvPicPr>
                <pic:blipFill>
                  <a:blip r:embed="rId1"/>
                  <a:srcRect/>
                  <a:stretch>
                    <a:fillRect/>
                  </a:stretch>
                </pic:blipFill>
                <pic:spPr>
                  <a:xfrm>
                    <a:off x="0" y="0"/>
                    <a:ext cx="2209800" cy="904875"/>
                  </a:xfrm>
                  <a:prstGeom prst="rect">
                    <a:avLst/>
                  </a:prstGeom>
                  <a:ln/>
                </pic:spPr>
              </pic:pic>
            </a:graphicData>
          </a:graphic>
        </wp:anchor>
      </w:drawing>
    </w:r>
    <w:r>
      <w:rPr>
        <w:noProof/>
        <w:color w:val="000000"/>
        <w:szCs w:val="20"/>
      </w:rPr>
      <w:drawing>
        <wp:anchor distT="0" distB="0" distL="0" distR="0" simplePos="0" relativeHeight="251661312" behindDoc="1" locked="0" layoutInCell="1" hidden="0" allowOverlap="1" wp14:anchorId="591259FE" wp14:editId="301337EC">
          <wp:simplePos x="0" y="0"/>
          <wp:positionH relativeFrom="page">
            <wp:posOffset>0</wp:posOffset>
          </wp:positionH>
          <wp:positionV relativeFrom="page">
            <wp:posOffset>3895725</wp:posOffset>
          </wp:positionV>
          <wp:extent cx="7560310" cy="6800850"/>
          <wp:effectExtent l="0" t="0" r="0" b="0"/>
          <wp:wrapNone/>
          <wp:docPr id="144" name="image2.jpg" descr="report_db"/>
          <wp:cNvGraphicFramePr/>
          <a:graphic xmlns:a="http://schemas.openxmlformats.org/drawingml/2006/main">
            <a:graphicData uri="http://schemas.openxmlformats.org/drawingml/2006/picture">
              <pic:pic xmlns:pic="http://schemas.openxmlformats.org/drawingml/2006/picture">
                <pic:nvPicPr>
                  <pic:cNvPr id="0" name="image2.jpg" descr="report_db"/>
                  <pic:cNvPicPr preferRelativeResize="0"/>
                </pic:nvPicPr>
                <pic:blipFill>
                  <a:blip r:embed="rId2"/>
                  <a:srcRect/>
                  <a:stretch>
                    <a:fillRect/>
                  </a:stretch>
                </pic:blipFill>
                <pic:spPr>
                  <a:xfrm>
                    <a:off x="0" y="0"/>
                    <a:ext cx="7560310" cy="6800850"/>
                  </a:xfrm>
                  <a:prstGeom prst="rect">
                    <a:avLst/>
                  </a:prstGeom>
                  <a:ln/>
                </pic:spPr>
              </pic:pic>
            </a:graphicData>
          </a:graphic>
        </wp:anchor>
      </w:drawing>
    </w:r>
    <w:r>
      <w:rPr>
        <w:color w:val="00000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2CAC" w14:textId="77777777" w:rsidR="00FD2023" w:rsidRDefault="00FD202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3121" w14:textId="77777777" w:rsidR="00FD2023" w:rsidRDefault="00FD2023">
    <w:pPr>
      <w:widowControl w:val="0"/>
      <w:pBdr>
        <w:top w:val="nil"/>
        <w:left w:val="nil"/>
        <w:bottom w:val="nil"/>
        <w:right w:val="nil"/>
        <w:between w:val="nil"/>
      </w:pBdr>
      <w:spacing w:line="276" w:lineRule="auto"/>
      <w:rPr>
        <w:color w:val="000000"/>
        <w:szCs w:val="20"/>
      </w:rPr>
    </w:pPr>
  </w:p>
  <w:tbl>
    <w:tblPr>
      <w:tblStyle w:val="a3"/>
      <w:tblW w:w="9412" w:type="dxa"/>
      <w:tblLayout w:type="fixed"/>
      <w:tblLook w:val="0000" w:firstRow="0" w:lastRow="0" w:firstColumn="0" w:lastColumn="0" w:noHBand="0" w:noVBand="0"/>
    </w:tblPr>
    <w:tblGrid>
      <w:gridCol w:w="8460"/>
      <w:gridCol w:w="952"/>
    </w:tblGrid>
    <w:tr w:rsidR="00FD2023" w14:paraId="0F73A7BA" w14:textId="77777777">
      <w:trPr>
        <w:trHeight w:val="284"/>
      </w:trPr>
      <w:tc>
        <w:tcPr>
          <w:tcW w:w="8460" w:type="dxa"/>
        </w:tcPr>
        <w:p w14:paraId="3BEEA4E4" w14:textId="77777777" w:rsidR="00FD2023" w:rsidRDefault="00FD2023">
          <w:pPr>
            <w:pBdr>
              <w:top w:val="nil"/>
              <w:left w:val="nil"/>
              <w:bottom w:val="nil"/>
              <w:right w:val="nil"/>
              <w:between w:val="nil"/>
            </w:pBdr>
            <w:spacing w:line="200" w:lineRule="auto"/>
            <w:rPr>
              <w:color w:val="2D4190"/>
              <w:sz w:val="16"/>
              <w:szCs w:val="16"/>
            </w:rPr>
          </w:pPr>
        </w:p>
      </w:tc>
      <w:tc>
        <w:tcPr>
          <w:tcW w:w="952" w:type="dxa"/>
        </w:tcPr>
        <w:p w14:paraId="4D3899DE" w14:textId="77777777" w:rsidR="00FD2023" w:rsidRDefault="00FD2023">
          <w:pPr>
            <w:pBdr>
              <w:top w:val="nil"/>
              <w:left w:val="nil"/>
              <w:bottom w:val="nil"/>
              <w:right w:val="nil"/>
              <w:between w:val="nil"/>
            </w:pBdr>
            <w:spacing w:line="200" w:lineRule="auto"/>
            <w:jc w:val="right"/>
            <w:rPr>
              <w:color w:val="000000"/>
              <w:szCs w:val="20"/>
            </w:rPr>
          </w:pPr>
        </w:p>
      </w:tc>
    </w:tr>
  </w:tbl>
  <w:p w14:paraId="62F64862" w14:textId="77777777" w:rsidR="00FD2023" w:rsidRDefault="00FD2023"/>
  <w:p w14:paraId="1D43D230" w14:textId="77777777" w:rsidR="00FD2023" w:rsidRDefault="00FD2023">
    <w:pPr>
      <w:pBdr>
        <w:top w:val="nil"/>
        <w:left w:val="nil"/>
        <w:bottom w:val="nil"/>
        <w:right w:val="nil"/>
        <w:between w:val="nil"/>
      </w:pBdr>
      <w:tabs>
        <w:tab w:val="center" w:pos="4536"/>
        <w:tab w:val="right" w:pos="9072"/>
      </w:tabs>
      <w:rPr>
        <w:color w:val="000000"/>
        <w:szCs w:val="20"/>
      </w:rPr>
    </w:pPr>
  </w:p>
  <w:p w14:paraId="4DE33535" w14:textId="77777777" w:rsidR="00FD2023" w:rsidRDefault="00FD2023">
    <w:pPr>
      <w:pBdr>
        <w:top w:val="nil"/>
        <w:left w:val="nil"/>
        <w:bottom w:val="nil"/>
        <w:right w:val="nil"/>
        <w:between w:val="nil"/>
      </w:pBdr>
      <w:tabs>
        <w:tab w:val="center" w:pos="4536"/>
        <w:tab w:val="right" w:pos="9072"/>
        <w:tab w:val="left" w:pos="8227"/>
      </w:tabs>
      <w:rPr>
        <w:color w:val="000000"/>
        <w:szCs w:val="20"/>
      </w:rPr>
    </w:pPr>
  </w:p>
  <w:p w14:paraId="207D0DD2" w14:textId="77777777" w:rsidR="00FD2023" w:rsidRDefault="00FD2023">
    <w:pPr>
      <w:pBdr>
        <w:top w:val="nil"/>
        <w:left w:val="nil"/>
        <w:bottom w:val="nil"/>
        <w:right w:val="nil"/>
        <w:between w:val="nil"/>
      </w:pBdr>
      <w:tabs>
        <w:tab w:val="center" w:pos="4536"/>
        <w:tab w:val="right" w:pos="9072"/>
      </w:tabs>
      <w:jc w:val="right"/>
      <w:rPr>
        <w:color w:val="000000"/>
        <w:szCs w:val="20"/>
      </w:rPr>
    </w:pPr>
  </w:p>
  <w:p w14:paraId="7887E36A" w14:textId="77777777" w:rsidR="00FD2023" w:rsidRDefault="00FD2023">
    <w:pPr>
      <w:pBdr>
        <w:top w:val="nil"/>
        <w:left w:val="nil"/>
        <w:bottom w:val="nil"/>
        <w:right w:val="nil"/>
        <w:between w:val="nil"/>
      </w:pBdr>
      <w:tabs>
        <w:tab w:val="center" w:pos="4536"/>
        <w:tab w:val="right" w:pos="9072"/>
      </w:tabs>
      <w:rPr>
        <w:color w:val="000000"/>
        <w:szCs w:val="20"/>
      </w:rPr>
    </w:pPr>
  </w:p>
  <w:p w14:paraId="102C4735" w14:textId="77777777" w:rsidR="00FD2023" w:rsidRDefault="00FD2023">
    <w:pPr>
      <w:pBdr>
        <w:top w:val="nil"/>
        <w:left w:val="nil"/>
        <w:bottom w:val="nil"/>
        <w:right w:val="nil"/>
        <w:between w:val="nil"/>
      </w:pBdr>
      <w:tabs>
        <w:tab w:val="center" w:pos="4536"/>
        <w:tab w:val="right" w:pos="9072"/>
      </w:tabs>
      <w:rPr>
        <w:color w:val="000000"/>
        <w:szCs w:val="20"/>
      </w:rPr>
    </w:pPr>
  </w:p>
  <w:p w14:paraId="0DB46CBC" w14:textId="77777777" w:rsidR="00FD2023" w:rsidRDefault="00FD2023">
    <w:pPr>
      <w:pBdr>
        <w:top w:val="nil"/>
        <w:left w:val="nil"/>
        <w:bottom w:val="nil"/>
        <w:right w:val="nil"/>
        <w:between w:val="nil"/>
      </w:pBdr>
      <w:tabs>
        <w:tab w:val="center" w:pos="4536"/>
        <w:tab w:val="right" w:pos="9072"/>
      </w:tabs>
      <w:rPr>
        <w:color w:val="000000"/>
        <w:szCs w:val="20"/>
      </w:rPr>
    </w:pPr>
  </w:p>
  <w:p w14:paraId="5DBC2FC7" w14:textId="77777777" w:rsidR="00FD2023" w:rsidRDefault="00FD2023">
    <w:pPr>
      <w:pBdr>
        <w:top w:val="nil"/>
        <w:left w:val="nil"/>
        <w:bottom w:val="nil"/>
        <w:right w:val="nil"/>
        <w:between w:val="nil"/>
      </w:pBdr>
      <w:tabs>
        <w:tab w:val="center" w:pos="4536"/>
        <w:tab w:val="right" w:pos="9072"/>
      </w:tabs>
      <w:rPr>
        <w:color w:val="000000"/>
        <w:szCs w:val="20"/>
        <w:highlight w:val="yellow"/>
      </w:rPr>
    </w:pPr>
  </w:p>
  <w:p w14:paraId="1781CA13" w14:textId="77777777" w:rsidR="00FD2023" w:rsidRDefault="00000000">
    <w:pPr>
      <w:pBdr>
        <w:top w:val="nil"/>
        <w:left w:val="nil"/>
        <w:bottom w:val="nil"/>
        <w:right w:val="nil"/>
        <w:between w:val="nil"/>
      </w:pBdr>
      <w:tabs>
        <w:tab w:val="center" w:pos="4536"/>
        <w:tab w:val="right" w:pos="9072"/>
      </w:tabs>
      <w:rPr>
        <w:color w:val="000000"/>
        <w:szCs w:val="20"/>
      </w:rPr>
    </w:pPr>
    <w:r>
      <w:rPr>
        <w:noProof/>
        <w:color w:val="000000"/>
        <w:szCs w:val="20"/>
      </w:rPr>
      <mc:AlternateContent>
        <mc:Choice Requires="wps">
          <w:drawing>
            <wp:anchor distT="0" distB="0" distL="114299" distR="114299" simplePos="0" relativeHeight="251662336" behindDoc="0" locked="0" layoutInCell="1" hidden="0" allowOverlap="1" wp14:anchorId="6C55199F" wp14:editId="17C4CE24">
              <wp:simplePos x="0" y="0"/>
              <wp:positionH relativeFrom="page">
                <wp:posOffset>5034279</wp:posOffset>
              </wp:positionH>
              <wp:positionV relativeFrom="page">
                <wp:posOffset>612140</wp:posOffset>
              </wp:positionV>
              <wp:extent cx="0" cy="899795"/>
              <wp:effectExtent l="0" t="0" r="0" b="0"/>
              <wp:wrapNone/>
              <wp:docPr id="140" name="Straight Arrow Connector 140"/>
              <wp:cNvGraphicFramePr/>
              <a:graphic xmlns:a="http://schemas.openxmlformats.org/drawingml/2006/main">
                <a:graphicData uri="http://schemas.microsoft.com/office/word/2010/wordprocessingShape">
                  <wps:wsp>
                    <wps:cNvCnPr/>
                    <wps:spPr>
                      <a:xfrm>
                        <a:off x="5346000" y="3330103"/>
                        <a:ext cx="0" cy="899795"/>
                      </a:xfrm>
                      <a:prstGeom prst="straightConnector1">
                        <a:avLst/>
                      </a:prstGeom>
                      <a:noFill/>
                      <a:ln w="12700" cap="flat" cmpd="sng">
                        <a:solidFill>
                          <a:srgbClr val="283583"/>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page">
                <wp:posOffset>5034279</wp:posOffset>
              </wp:positionH>
              <wp:positionV relativeFrom="page">
                <wp:posOffset>612140</wp:posOffset>
              </wp:positionV>
              <wp:extent cx="0" cy="899795"/>
              <wp:effectExtent b="0" l="0" r="0" t="0"/>
              <wp:wrapNone/>
              <wp:docPr id="14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899795"/>
                      </a:xfrm>
                      <a:prstGeom prst="rect"/>
                      <a:ln/>
                    </pic:spPr>
                  </pic:pic>
                </a:graphicData>
              </a:graphic>
            </wp:anchor>
          </w:drawing>
        </mc:Fallback>
      </mc:AlternateContent>
    </w:r>
    <w:r>
      <w:rPr>
        <w:noProof/>
        <w:color w:val="000000"/>
        <w:szCs w:val="20"/>
      </w:rPr>
      <w:drawing>
        <wp:anchor distT="0" distB="0" distL="114300" distR="114300" simplePos="0" relativeHeight="251663360" behindDoc="0" locked="0" layoutInCell="1" hidden="0" allowOverlap="1" wp14:anchorId="74250BC6" wp14:editId="4C419CD2">
          <wp:simplePos x="0" y="0"/>
          <wp:positionH relativeFrom="page">
            <wp:posOffset>791845</wp:posOffset>
          </wp:positionH>
          <wp:positionV relativeFrom="page">
            <wp:posOffset>612140</wp:posOffset>
          </wp:positionV>
          <wp:extent cx="2209800" cy="904875"/>
          <wp:effectExtent l="0" t="0" r="0" b="0"/>
          <wp:wrapNone/>
          <wp:docPr id="143" name="image1.jpg" descr="esma_8_V3"/>
          <wp:cNvGraphicFramePr/>
          <a:graphic xmlns:a="http://schemas.openxmlformats.org/drawingml/2006/main">
            <a:graphicData uri="http://schemas.openxmlformats.org/drawingml/2006/picture">
              <pic:pic xmlns:pic="http://schemas.openxmlformats.org/drawingml/2006/picture">
                <pic:nvPicPr>
                  <pic:cNvPr id="0" name="image1.jpg" descr="esma_8_V3"/>
                  <pic:cNvPicPr preferRelativeResize="0"/>
                </pic:nvPicPr>
                <pic:blipFill>
                  <a:blip r:embed="rId2"/>
                  <a:srcRect/>
                  <a:stretch>
                    <a:fillRect/>
                  </a:stretch>
                </pic:blipFill>
                <pic:spPr>
                  <a:xfrm>
                    <a:off x="0" y="0"/>
                    <a:ext cx="2209800" cy="904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660"/>
    <w:multiLevelType w:val="multilevel"/>
    <w:tmpl w:val="2D14DCFE"/>
    <w:lvl w:ilvl="0">
      <w:start w:val="1"/>
      <w:numFmt w:val="bullet"/>
      <w:pStyle w:val="aNEW-Paragraph"/>
      <w:lvlText w:val="●"/>
      <w:lvlJc w:val="left"/>
      <w:pPr>
        <w:ind w:left="720" w:hanging="360"/>
      </w:pPr>
      <w:rPr>
        <w:u w:val="none"/>
      </w:rPr>
    </w:lvl>
    <w:lvl w:ilvl="1">
      <w:start w:val="1"/>
      <w:numFmt w:val="bullet"/>
      <w:pStyle w:val="NEW-Paragraph-level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791A55"/>
    <w:multiLevelType w:val="multilevel"/>
    <w:tmpl w:val="B34C022A"/>
    <w:lvl w:ilvl="0">
      <w:start w:val="1"/>
      <w:numFmt w:val="lowerLetter"/>
      <w:pStyle w:val="05dHeadline1blu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53E167F"/>
    <w:multiLevelType w:val="multilevel"/>
    <w:tmpl w:val="885C9D96"/>
    <w:lvl w:ilvl="0">
      <w:start w:val="1"/>
      <w:numFmt w:val="decimal"/>
      <w:pStyle w:val="Heading5"/>
      <w:lvlText w:val="%1."/>
      <w:lvlJc w:val="left"/>
      <w:pPr>
        <w:tabs>
          <w:tab w:val="num" w:pos="720"/>
        </w:tabs>
        <w:ind w:left="720" w:hanging="720"/>
      </w:pPr>
    </w:lvl>
    <w:lvl w:ilvl="1">
      <w:start w:val="1"/>
      <w:numFmt w:val="decimal"/>
      <w:pStyle w:val="aStyle"/>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pStyle w:val="Point2number"/>
      <w:lvlText w:val="%5."/>
      <w:lvlJc w:val="left"/>
      <w:pPr>
        <w:tabs>
          <w:tab w:val="num" w:pos="3600"/>
        </w:tabs>
        <w:ind w:left="3600" w:hanging="720"/>
      </w:pPr>
    </w:lvl>
    <w:lvl w:ilvl="5">
      <w:start w:val="1"/>
      <w:numFmt w:val="decimal"/>
      <w:pStyle w:val="Point2letter"/>
      <w:lvlText w:val="%6."/>
      <w:lvlJc w:val="left"/>
      <w:pPr>
        <w:tabs>
          <w:tab w:val="num" w:pos="4320"/>
        </w:tabs>
        <w:ind w:left="4320" w:hanging="720"/>
      </w:pPr>
    </w:lvl>
    <w:lvl w:ilvl="6">
      <w:start w:val="1"/>
      <w:numFmt w:val="decimal"/>
      <w:pStyle w:val="Point3number"/>
      <w:lvlText w:val="%7."/>
      <w:lvlJc w:val="left"/>
      <w:pPr>
        <w:tabs>
          <w:tab w:val="num" w:pos="5040"/>
        </w:tabs>
        <w:ind w:left="5040" w:hanging="720"/>
      </w:pPr>
    </w:lvl>
    <w:lvl w:ilvl="7">
      <w:start w:val="1"/>
      <w:numFmt w:val="decimal"/>
      <w:pStyle w:val="Point3letter"/>
      <w:lvlText w:val="%8."/>
      <w:lvlJc w:val="left"/>
      <w:pPr>
        <w:tabs>
          <w:tab w:val="num" w:pos="5760"/>
        </w:tabs>
        <w:ind w:left="5760" w:hanging="720"/>
      </w:pPr>
    </w:lvl>
    <w:lvl w:ilvl="8">
      <w:start w:val="1"/>
      <w:numFmt w:val="decimal"/>
      <w:pStyle w:val="Point4letter"/>
      <w:lvlText w:val="%9."/>
      <w:lvlJc w:val="left"/>
      <w:pPr>
        <w:tabs>
          <w:tab w:val="num" w:pos="6480"/>
        </w:tabs>
        <w:ind w:left="6480" w:hanging="720"/>
      </w:pPr>
    </w:lvl>
  </w:abstractNum>
  <w:abstractNum w:abstractNumId="3" w15:restartNumberingAfterBreak="0">
    <w:nsid w:val="468D492F"/>
    <w:multiLevelType w:val="multilevel"/>
    <w:tmpl w:val="B268DBCE"/>
    <w:lvl w:ilvl="0">
      <w:start w:val="1"/>
      <w:numFmt w:val="decimal"/>
      <w:pStyle w:val="Heading1"/>
      <w:lvlText w:val="Q%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C17A82"/>
    <w:multiLevelType w:val="multilevel"/>
    <w:tmpl w:val="4AAC0722"/>
    <w:lvl w:ilvl="0">
      <w:start w:val="1"/>
      <w:numFmt w:val="bullet"/>
      <w:pStyle w:val="04b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207C96"/>
    <w:multiLevelType w:val="multilevel"/>
    <w:tmpl w:val="D3C253AC"/>
    <w:lvl w:ilvl="0">
      <w:start w:val="1"/>
      <w:numFmt w:val="bullet"/>
      <w:pStyle w:val="05cHeadline1"/>
      <w:lvlText w:val="●"/>
      <w:lvlJc w:val="left"/>
      <w:pPr>
        <w:ind w:left="720" w:hanging="360"/>
      </w:pPr>
      <w:rPr>
        <w:rFonts w:ascii="Noto Sans Symbols" w:eastAsia="Noto Sans Symbols" w:hAnsi="Noto Sans Symbols" w:cs="Noto Sans Symbols"/>
      </w:rPr>
    </w:lvl>
    <w:lvl w:ilvl="1">
      <w:start w:val="1"/>
      <w:numFmt w:val="bullet"/>
      <w:pStyle w:val="05eHeadline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5734315">
    <w:abstractNumId w:val="1"/>
  </w:num>
  <w:num w:numId="2" w16cid:durableId="1644234167">
    <w:abstractNumId w:val="0"/>
  </w:num>
  <w:num w:numId="3" w16cid:durableId="1811705996">
    <w:abstractNumId w:val="4"/>
  </w:num>
  <w:num w:numId="4" w16cid:durableId="1233929113">
    <w:abstractNumId w:val="5"/>
  </w:num>
  <w:num w:numId="5" w16cid:durableId="1309553283">
    <w:abstractNumId w:val="3"/>
  </w:num>
  <w:num w:numId="6" w16cid:durableId="88738002">
    <w:abstractNumId w:val="2"/>
  </w:num>
  <w:num w:numId="7" w16cid:durableId="27933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780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6963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125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070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5144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7871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8994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783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4065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816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583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497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718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5291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47415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0252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0264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5785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17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6122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7069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3730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6608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2287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1122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423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6488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23"/>
    <w:rsid w:val="00072FDE"/>
    <w:rsid w:val="00656DEA"/>
    <w:rsid w:val="00E67FC6"/>
    <w:rsid w:val="00FD202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25770111"/>
  <w15:docId w15:val="{79B17CFA-2A2F-2E46-970B-70F8909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30"/>
    <w:rPr>
      <w:szCs w:val="24"/>
      <w:lang w:eastAsia="de-DE"/>
    </w:rPr>
  </w:style>
  <w:style w:type="paragraph" w:styleId="Heading1">
    <w:name w:val="heading 1"/>
    <w:basedOn w:val="Normal"/>
    <w:next w:val="Normal"/>
    <w:link w:val="Heading1Char"/>
    <w:uiPriority w:val="9"/>
    <w:qFormat/>
    <w:rsid w:val="009E7724"/>
    <w:pPr>
      <w:keepNext/>
      <w:numPr>
        <w:numId w:val="5"/>
      </w:numPr>
      <w:spacing w:before="240" w:after="60"/>
      <w:outlineLvl w:val="0"/>
    </w:pPr>
    <w:rPr>
      <w:b/>
      <w:bCs/>
      <w:kern w:val="32"/>
      <w:sz w:val="24"/>
      <w:szCs w:val="32"/>
    </w:rPr>
  </w:style>
  <w:style w:type="paragraph" w:styleId="Heading2">
    <w:name w:val="heading 2"/>
    <w:basedOn w:val="Normal"/>
    <w:next w:val="Normal"/>
    <w:link w:val="Heading2Char2"/>
    <w:uiPriority w:val="9"/>
    <w:semiHidden/>
    <w:unhideWhenUsed/>
    <w:qFormat/>
    <w:rsid w:val="00886A60"/>
    <w:pPr>
      <w:keepNext/>
      <w:keepLines/>
      <w:spacing w:before="200" w:after="120"/>
      <w:outlineLvl w:val="1"/>
    </w:pPr>
    <w:rPr>
      <w:b/>
      <w:bCs/>
      <w:szCs w:val="26"/>
    </w:rPr>
  </w:style>
  <w:style w:type="paragraph" w:styleId="Heading3">
    <w:name w:val="heading 3"/>
    <w:basedOn w:val="Normal"/>
    <w:next w:val="Normal"/>
    <w:link w:val="Heading3Char2"/>
    <w:uiPriority w:val="9"/>
    <w:semiHidden/>
    <w:unhideWhenUsed/>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
    <w:semiHidden/>
    <w:unhideWhenUsed/>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semiHidden/>
    <w:unhideWhenUsed/>
    <w:qFormat/>
    <w:rsid w:val="00E9344E"/>
    <w:pPr>
      <w:keepNext/>
      <w:keepLines/>
      <w:numPr>
        <w:numId w:val="6"/>
      </w:numPr>
      <w:spacing w:before="200"/>
      <w:jc w:val="both"/>
      <w:outlineLvl w:val="4"/>
    </w:pPr>
    <w:rPr>
      <w:b/>
    </w:rPr>
  </w:style>
  <w:style w:type="paragraph" w:styleId="Heading6">
    <w:name w:val="heading 6"/>
    <w:basedOn w:val="Normal"/>
    <w:next w:val="Normal"/>
    <w:link w:val="Heading6Char"/>
    <w:uiPriority w:val="9"/>
    <w:semiHidden/>
    <w:unhideWhenUsed/>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tabs>
        <w:tab w:val="clear" w:pos="454"/>
        <w:tab w:val="num" w:pos="720"/>
      </w:tabs>
      <w:ind w:left="720" w:hanging="720"/>
    </w:pPr>
    <w:rPr>
      <w:szCs w:val="20"/>
    </w:rPr>
  </w:style>
  <w:style w:type="character" w:customStyle="1" w:styleId="DPparaChar">
    <w:name w:val="DP para Char"/>
    <w:link w:val="DPpara"/>
    <w:locked/>
    <w:rsid w:val="00D0272C"/>
    <w:rPr>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tabs>
        <w:tab w:val="num" w:pos="720"/>
      </w:tabs>
      <w:spacing w:after="240"/>
      <w:ind w:left="720" w:hanging="720"/>
      <w:jc w:val="both"/>
    </w:pPr>
    <w:rPr>
      <w:rFonts w:ascii="Times New Roman" w:hAnsi="Times New Roman"/>
      <w:sz w:val="24"/>
      <w:szCs w:val="20"/>
      <w:lang w:eastAsia="en-GB"/>
    </w:rPr>
  </w:style>
  <w:style w:type="character" w:customStyle="1" w:styleId="BodyTextChar">
    <w:name w:val="Body Text Char"/>
    <w:link w:val="BodyText"/>
    <w:rsid w:val="00AA016B"/>
    <w:rPr>
      <w:rFonts w:ascii="Times New Roman" w:hAnsi="Times New Roman"/>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tabs>
        <w:tab w:val="num" w:pos="720"/>
      </w:tabs>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tabs>
        <w:tab w:val="num" w:pos="720"/>
      </w:tabs>
      <w:spacing w:before="120" w:after="120"/>
      <w:ind w:left="720" w:hanging="7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tabs>
        <w:tab w:val="left" w:pos="708"/>
      </w:tabs>
      <w:spacing w:before="120" w:after="120" w:line="276" w:lineRule="auto"/>
      <w:ind w:left="720" w:hanging="720"/>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tabs>
        <w:tab w:val="num" w:pos="720"/>
      </w:tabs>
      <w:ind w:left="720" w:hanging="720"/>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tabs>
        <w:tab w:val="num" w:pos="720"/>
      </w:tabs>
      <w:ind w:left="720" w:hanging="720"/>
    </w:pPr>
  </w:style>
  <w:style w:type="paragraph" w:customStyle="1" w:styleId="Tiret4">
    <w:name w:val="Tiret 4"/>
    <w:basedOn w:val="Point4"/>
    <w:locked/>
    <w:rsid w:val="000D2D0B"/>
    <w:pPr>
      <w:tabs>
        <w:tab w:val="num" w:pos="720"/>
      </w:tabs>
      <w:ind w:left="720" w:hanging="720"/>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NumPar2">
    <w:name w:val="NumPar 2"/>
    <w:basedOn w:val="Normal"/>
    <w:next w:val="Text1"/>
    <w:locked/>
    <w:rsid w:val="000D2D0B"/>
    <w:pPr>
      <w:tabs>
        <w:tab w:val="num" w:pos="1440"/>
      </w:tabs>
      <w:spacing w:before="120" w:after="120"/>
      <w:ind w:left="1440" w:hanging="7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17"/>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17"/>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Point1number">
    <w:name w:val="Point 1 (number)"/>
    <w:basedOn w:val="Normal"/>
    <w:locked/>
    <w:rsid w:val="000D2D0B"/>
    <w:pPr>
      <w:tabs>
        <w:tab w:val="num" w:pos="2160"/>
      </w:tabs>
      <w:spacing w:before="120" w:after="120"/>
      <w:ind w:left="2160" w:hanging="7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1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1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tabs>
        <w:tab w:val="num" w:pos="1440"/>
      </w:tabs>
      <w:spacing w:before="120" w:after="120"/>
      <w:ind w:left="1440" w:hanging="720"/>
      <w:jc w:val="both"/>
    </w:pPr>
    <w:rPr>
      <w:rFonts w:ascii="Times New Roman" w:hAnsi="Times New Roman"/>
      <w:sz w:val="24"/>
      <w:lang w:eastAsia="en-US"/>
    </w:rPr>
  </w:style>
  <w:style w:type="paragraph" w:customStyle="1" w:styleId="Point1letter">
    <w:name w:val="Point 1 (letter)"/>
    <w:basedOn w:val="Normal"/>
    <w:locked/>
    <w:rsid w:val="000D2D0B"/>
    <w:pPr>
      <w:tabs>
        <w:tab w:val="num" w:pos="2880"/>
      </w:tabs>
      <w:spacing w:before="120" w:after="120"/>
      <w:ind w:left="2880" w:hanging="7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1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1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1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Bullet1">
    <w:name w:val="Bullet 1"/>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Bullet2">
    <w:name w:val="Bullet 2"/>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Bullet3">
    <w:name w:val="Bullet 3"/>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Bullet4">
    <w:name w:val="Bullet 4"/>
    <w:basedOn w:val="Normal"/>
    <w:locked/>
    <w:rsid w:val="000D2D0B"/>
    <w:pPr>
      <w:tabs>
        <w:tab w:val="num" w:pos="720"/>
      </w:tabs>
      <w:spacing w:before="120" w:after="120"/>
      <w:ind w:left="720" w:hanging="7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tabs>
        <w:tab w:val="num" w:pos="360"/>
        <w:tab w:val="num" w:pos="72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tabs>
        <w:tab w:val="num" w:pos="720"/>
        <w:tab w:val="num" w:pos="926"/>
      </w:tabs>
      <w:spacing w:before="120" w:after="120"/>
      <w:ind w:left="926" w:hanging="720"/>
      <w:jc w:val="both"/>
    </w:pPr>
    <w:rPr>
      <w:rFonts w:ascii="Times New Roman" w:hAnsi="Times New Roman"/>
      <w:sz w:val="24"/>
      <w:lang w:eastAsia="en-US"/>
    </w:rPr>
  </w:style>
  <w:style w:type="paragraph" w:styleId="ListBullet4">
    <w:name w:val="List Bullet 4"/>
    <w:basedOn w:val="Normal"/>
    <w:locked/>
    <w:rsid w:val="000D2D0B"/>
    <w:pPr>
      <w:tabs>
        <w:tab w:val="num" w:pos="720"/>
        <w:tab w:val="num" w:pos="1209"/>
      </w:tabs>
      <w:spacing w:before="120" w:after="120"/>
      <w:ind w:left="1209" w:hanging="720"/>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tabs>
        <w:tab w:val="num" w:pos="720"/>
      </w:tabs>
      <w:suppressAutoHyphens/>
      <w:spacing w:after="250" w:line="276" w:lineRule="auto"/>
      <w:ind w:left="720" w:hanging="720"/>
      <w:jc w:val="both"/>
    </w:pPr>
    <w:rPr>
      <w:szCs w:val="20"/>
      <w:lang w:val="x-none" w:eastAsia="x-none"/>
    </w:rPr>
  </w:style>
  <w:style w:type="character" w:customStyle="1" w:styleId="aStyle1Char">
    <w:name w:val="a. Style1 Char"/>
    <w:link w:val="aStyle1"/>
    <w:rsid w:val="000D2D0B"/>
    <w:rPr>
      <w:lang w:val="x-none" w:eastAsia="x-none"/>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tabs>
        <w:tab w:val="num" w:pos="2160"/>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lang w:eastAsia="de-DE"/>
    </w:rPr>
  </w:style>
  <w:style w:type="paragraph" w:customStyle="1" w:styleId="NEW-Level0">
    <w:name w:val="NEW-Level0"/>
    <w:basedOn w:val="Normal"/>
    <w:locked/>
    <w:rsid w:val="003A6E9A"/>
    <w:pPr>
      <w:keepNext/>
      <w:tabs>
        <w:tab w:val="num" w:pos="720"/>
      </w:tabs>
      <w:spacing w:before="240" w:after="250" w:line="276" w:lineRule="auto"/>
      <w:ind w:left="720" w:hanging="720"/>
      <w:outlineLvl w:val="0"/>
    </w:pPr>
    <w:rPr>
      <w:b/>
      <w:bCs/>
      <w:kern w:val="32"/>
      <w:sz w:val="28"/>
      <w:szCs w:val="28"/>
    </w:rPr>
  </w:style>
  <w:style w:type="paragraph" w:customStyle="1" w:styleId="NEW-Level1">
    <w:name w:val="NEW-Level1"/>
    <w:basedOn w:val="Normal"/>
    <w:locked/>
    <w:rsid w:val="003A6E9A"/>
    <w:pPr>
      <w:keepNext/>
      <w:tabs>
        <w:tab w:val="num" w:pos="1440"/>
      </w:tabs>
      <w:spacing w:before="240" w:after="250" w:line="276" w:lineRule="auto"/>
      <w:ind w:left="1440" w:hanging="72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tabs>
        <w:tab w:val="num" w:pos="720"/>
      </w:tabs>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num" w:pos="426"/>
      </w:tabs>
      <w:ind w:left="426" w:hanging="426"/>
    </w:pPr>
    <w:rPr>
      <w:rFonts w:eastAsia="Calibri"/>
    </w:rPr>
  </w:style>
  <w:style w:type="character" w:customStyle="1" w:styleId="aNEW-QuestionsChar">
    <w:name w:val="aNEW-Questions Char"/>
    <w:link w:val="aNEW-Questions"/>
    <w:rsid w:val="003A6E9A"/>
    <w:rPr>
      <w:rFonts w:eastAsia="Calibri"/>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tabs>
        <w:tab w:val="num" w:pos="720"/>
      </w:tabs>
      <w:spacing w:before="250" w:after="250" w:line="276" w:lineRule="auto"/>
      <w:ind w:left="720" w:hanging="720"/>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eastAsiaTheme="minorEastAsia" w:cstheme="minorBidi"/>
      <w:b/>
      <w:sz w:val="22"/>
      <w:lang w:eastAsia="en-US"/>
    </w:rPr>
  </w:style>
  <w:style w:type="paragraph" w:customStyle="1" w:styleId="CPQuest2">
    <w:name w:val="CP_Quest2"/>
    <w:basedOn w:val="CPQuestions"/>
    <w:link w:val="CPQuest2Char"/>
    <w:autoRedefine/>
    <w:qFormat/>
    <w:locked/>
    <w:rsid w:val="00566C6A"/>
    <w:rPr>
      <w:rFonts w:eastAsia="Calibri"/>
    </w:rPr>
  </w:style>
  <w:style w:type="character" w:customStyle="1" w:styleId="CPQuest2Char">
    <w:name w:val="CP_Quest2 Char"/>
    <w:basedOn w:val="CPQuestionsChar"/>
    <w:link w:val="CPQuest2"/>
    <w:rsid w:val="00566C6A"/>
    <w:rPr>
      <w:rFonts w:eastAsia="Calibri"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0"/>
      </w:numPr>
      <w:tabs>
        <w:tab w:val="num" w:pos="720"/>
      </w:tabs>
      <w:spacing w:before="320" w:after="0" w:line="276" w:lineRule="auto"/>
      <w:ind w:left="720" w:hanging="720"/>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tabs>
        <w:tab w:val="num" w:pos="360"/>
        <w:tab w:val="num" w:pos="2160"/>
      </w:tabs>
      <w:spacing w:before="250" w:after="0" w:line="276" w:lineRule="auto"/>
      <w:ind w:left="2160" w:hanging="720"/>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tabs>
        <w:tab w:val="num" w:pos="2880"/>
      </w:tabs>
      <w:spacing w:before="250" w:line="276" w:lineRule="auto"/>
      <w:ind w:left="2880" w:hanging="720"/>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tabs>
        <w:tab w:val="num" w:pos="3600"/>
      </w:tabs>
      <w:spacing w:before="250" w:line="276" w:lineRule="auto"/>
      <w:ind w:left="3600" w:hanging="720"/>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tabs>
        <w:tab w:val="num" w:pos="4320"/>
      </w:tabs>
      <w:spacing w:before="250" w:line="276" w:lineRule="auto"/>
      <w:ind w:left="4320" w:hanging="720"/>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tabs>
        <w:tab w:val="num" w:pos="5040"/>
      </w:tabs>
      <w:spacing w:before="250" w:line="276" w:lineRule="auto"/>
      <w:ind w:left="5040" w:hanging="720"/>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tabs>
        <w:tab w:val="num" w:pos="5760"/>
      </w:tabs>
      <w:spacing w:before="250" w:line="276" w:lineRule="auto"/>
      <w:ind w:left="5760" w:hanging="720"/>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tabs>
        <w:tab w:val="num" w:pos="6480"/>
      </w:tabs>
      <w:spacing w:before="250" w:line="276" w:lineRule="auto"/>
      <w:ind w:left="6480" w:hanging="720"/>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b/>
      <w:szCs w:val="20"/>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w01VE/lJHixMEnM0MuyQB9I7hg==">AMUW2mUvQNoTDMr6DmM9pLK3WIbfawH6a6YyNUgngJl7xGIA8vibvwCVb1920eBcxoQML+Ijh5NSr8kTWuuvmcqXUv7szOtIsVGuSKWUZFksRqFgmpf6JtCnTnbgwrwsMotzR/Ag8GFIRIsUBH2sRgCgow0DiK9mRz+QGBViXHmNzqs87fNe4uc=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2291</Words>
  <Characters>13060</Characters>
  <Application>Microsoft Office Word</Application>
  <DocSecurity>0</DocSecurity>
  <Lines>108</Lines>
  <Paragraphs>30</Paragraphs>
  <ScaleCrop>false</ScaleCrop>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Thomas Willman</cp:lastModifiedBy>
  <cp:revision>3</cp:revision>
  <dcterms:created xsi:type="dcterms:W3CDTF">2023-02-10T15:46:00Z</dcterms:created>
  <dcterms:modified xsi:type="dcterms:W3CDTF">2023-02-20T20:59:00Z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