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0A609F" w14:paraId="5DCC7BC8" w14:textId="77777777" w:rsidTr="00315E96">
        <w:trPr>
          <w:trHeight w:val="284"/>
        </w:trPr>
        <w:tc>
          <w:tcPr>
            <w:tcW w:w="9412" w:type="dxa"/>
          </w:tcPr>
          <w:p w14:paraId="16A89E45" w14:textId="3C1BD526" w:rsidR="00C2094B" w:rsidRPr="00986AF7" w:rsidRDefault="00A52EBB" w:rsidP="0071740A">
            <w:pPr>
              <w:pStyle w:val="Footer"/>
              <w:rPr>
                <w:rFonts w:cs="Arial"/>
                <w:sz w:val="22"/>
                <w:szCs w:val="22"/>
              </w:rPr>
            </w:pPr>
            <w:r w:rsidRPr="00986AF7">
              <w:rPr>
                <w:rFonts w:cs="Arial"/>
                <w:color w:val="FFFFFF" w:themeColor="background1"/>
                <w:sz w:val="22"/>
                <w:szCs w:val="22"/>
              </w:rPr>
              <w:ptab w:relativeTo="margin" w:alignment="center" w:leader="none"/>
            </w:r>
            <w:r w:rsidRPr="00986AF7">
              <w:rPr>
                <w:rFonts w:cs="Arial"/>
                <w:color w:val="FFFFFF" w:themeColor="background1"/>
                <w:sz w:val="22"/>
                <w:szCs w:val="22"/>
              </w:rPr>
              <w:ptab w:relativeTo="margin" w:alignment="right" w:leader="none"/>
            </w:r>
            <w:r w:rsidR="001B73D3">
              <w:rPr>
                <w:rFonts w:cs="Arial"/>
                <w:color w:val="FFFFFF" w:themeColor="background1"/>
                <w:sz w:val="22"/>
                <w:szCs w:val="22"/>
              </w:rPr>
              <w:t>18</w:t>
            </w:r>
            <w:r w:rsidR="00267551">
              <w:rPr>
                <w:rFonts w:cs="Arial"/>
                <w:color w:val="FFFFFF" w:themeColor="background1"/>
                <w:sz w:val="22"/>
                <w:szCs w:val="22"/>
              </w:rPr>
              <w:t xml:space="preserve"> </w:t>
            </w:r>
            <w:r w:rsidR="001B73D3">
              <w:rPr>
                <w:rFonts w:cs="Arial"/>
                <w:color w:val="FFFFFF" w:themeColor="background1"/>
                <w:sz w:val="22"/>
                <w:szCs w:val="22"/>
              </w:rPr>
              <w:t>November</w:t>
            </w:r>
            <w:r w:rsidR="004F6E70">
              <w:rPr>
                <w:rFonts w:cs="Arial"/>
                <w:color w:val="FFFFFF" w:themeColor="background1"/>
                <w:sz w:val="22"/>
                <w:szCs w:val="22"/>
              </w:rPr>
              <w:t xml:space="preserve"> 2022</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0BB3970D"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B92885">
              <w:rPr>
                <w:rFonts w:cs="Arial"/>
              </w:rPr>
              <w:t xml:space="preserve"> </w:t>
            </w:r>
            <w:r w:rsidR="001B73D3" w:rsidRPr="001B73D3">
              <w:rPr>
                <w:rFonts w:eastAsiaTheme="minorHAnsi" w:cs="Arial"/>
                <w:b w:val="0"/>
                <w:bCs/>
                <w:color w:val="auto"/>
                <w:sz w:val="22"/>
                <w:szCs w:val="22"/>
                <w:lang w:eastAsia="en-US"/>
              </w:rPr>
              <w:t xml:space="preserve"> </w:t>
            </w:r>
            <w:r w:rsidR="001B73D3" w:rsidRPr="001B73D3">
              <w:rPr>
                <w:rFonts w:cs="Arial"/>
                <w:bCs/>
              </w:rPr>
              <w:t>Guidelines for the use of ESG or sustainability-related terms in funds’ names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4C8ED68C" w14:textId="77777777" w:rsidR="00620D7C" w:rsidRDefault="00620D7C" w:rsidP="00B1467D">
            <w:pPr>
              <w:pStyle w:val="02Date"/>
              <w:rPr>
                <w:rFonts w:cs="Arial"/>
              </w:rPr>
            </w:pPr>
            <w:r w:rsidRPr="00A52EBB">
              <w:rPr>
                <w:rFonts w:cs="Arial"/>
              </w:rPr>
              <w:lastRenderedPageBreak/>
              <w:t>Date</w:t>
            </w:r>
            <w:r w:rsidRPr="00267551">
              <w:rPr>
                <w:rFonts w:cs="Arial"/>
              </w:rPr>
              <w:t xml:space="preserve">: </w:t>
            </w:r>
            <w:r w:rsidR="001B73D3">
              <w:rPr>
                <w:rFonts w:cs="Arial"/>
              </w:rPr>
              <w:t>18</w:t>
            </w:r>
            <w:r w:rsidR="004F6E70">
              <w:rPr>
                <w:rFonts w:cs="Arial"/>
              </w:rPr>
              <w:t xml:space="preserve"> </w:t>
            </w:r>
            <w:r w:rsidR="001B73D3">
              <w:rPr>
                <w:rFonts w:cs="Arial"/>
              </w:rPr>
              <w:t>Nov</w:t>
            </w:r>
            <w:r w:rsidR="004F6E70">
              <w:rPr>
                <w:rFonts w:cs="Arial"/>
              </w:rPr>
              <w:t>ember 2022</w:t>
            </w:r>
          </w:p>
          <w:p w14:paraId="2CAB5AA6" w14:textId="21EAECE5" w:rsidR="00B92885" w:rsidRPr="00A52EBB" w:rsidRDefault="00B92885" w:rsidP="00B1467D">
            <w:pPr>
              <w:pStyle w:val="02Date"/>
              <w:rPr>
                <w:rFonts w:cs="Arial"/>
              </w:rPr>
            </w:pP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7A474624"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w:t>
      </w:r>
      <w:r w:rsidR="000C2054">
        <w:rPr>
          <w:rFonts w:cs="Arial"/>
        </w:rPr>
        <w:t>Guidelines for the use of ESG or sustainability-related terms in funds’ names</w:t>
      </w:r>
      <w:r w:rsidR="000E78C1">
        <w:rPr>
          <w:rFonts w:cs="Arial"/>
        </w:rPr>
        <w:t xml:space="preserve">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1B5ADF92"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w:t>
      </w:r>
    </w:p>
    <w:p w14:paraId="557F67D8" w14:textId="6CD7CFF5"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 xml:space="preserve">not remove the tags of </w:t>
      </w:r>
      <w:r w:rsidR="00F574D0" w:rsidRPr="001B73D3">
        <w:rPr>
          <w:rFonts w:cs="Arial"/>
          <w:highlight w:val="yellow"/>
        </w:rPr>
        <w:t xml:space="preserve">type </w:t>
      </w:r>
      <w:r w:rsidR="000A609F" w:rsidRPr="001B73D3">
        <w:rPr>
          <w:rFonts w:cs="Arial"/>
          <w:highlight w:val="yellow"/>
        </w:rPr>
        <w:t>&lt;ESMA_QUESTION_</w:t>
      </w:r>
      <w:r w:rsidR="00B92885">
        <w:rPr>
          <w:rFonts w:cs="Arial"/>
          <w:highlight w:val="yellow"/>
        </w:rPr>
        <w:t>FUNA</w:t>
      </w:r>
      <w:r w:rsidR="000A609F" w:rsidRPr="001B73D3">
        <w:rPr>
          <w:rFonts w:cs="Arial"/>
          <w:highlight w:val="yellow"/>
        </w:rPr>
        <w:t xml:space="preserve">_0&gt; </w:t>
      </w:r>
      <w:r w:rsidR="00F574D0" w:rsidRPr="001B73D3">
        <w:rPr>
          <w:rFonts w:cs="Arial"/>
          <w:highlight w:val="yellow"/>
        </w:rPr>
        <w:t>- i.</w:t>
      </w:r>
      <w:r w:rsidR="00F574D0" w:rsidRPr="00293D78">
        <w:rPr>
          <w:rFonts w:cs="Arial"/>
        </w:rPr>
        <w:t>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76F21CD9" w:rsidR="000D17AA"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FUNA</w:t>
      </w:r>
      <w:r w:rsidR="000A609F" w:rsidRPr="001B73D3">
        <w:rPr>
          <w:rFonts w:cs="Arial"/>
          <w:highlight w:val="yellow"/>
        </w:rPr>
        <w:t>_</w:t>
      </w:r>
      <w:r w:rsidRPr="001B73D3">
        <w:rPr>
          <w:rFonts w:cs="Arial"/>
          <w:highlight w:val="yellow"/>
        </w:rPr>
        <w:t>NAMEOFCOMPANY_</w:t>
      </w:r>
      <w:r w:rsidR="000C2054">
        <w:rPr>
          <w:rFonts w:cs="Arial"/>
          <w:highlight w:val="yellow"/>
        </w:rPr>
        <w:t>REPLYFORM</w:t>
      </w:r>
      <w:r w:rsidR="000D17AA" w:rsidRPr="001B73D3">
        <w:rPr>
          <w:rFonts w:cs="Arial"/>
          <w:highlight w:val="yellow"/>
        </w:rPr>
        <w:t>.</w:t>
      </w:r>
    </w:p>
    <w:p w14:paraId="339C231E" w14:textId="5B11E242"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w:t>
      </w:r>
      <w:r w:rsidR="00B92885">
        <w:rPr>
          <w:rFonts w:cs="Arial"/>
        </w:rPr>
        <w:t>ABCD</w:t>
      </w:r>
      <w:r w:rsidR="000D17AA" w:rsidRPr="00EF0769">
        <w:rPr>
          <w:rFonts w:cs="Arial"/>
        </w:rPr>
        <w:t xml:space="preserve">, the </w:t>
      </w:r>
      <w:r w:rsidR="00021E83" w:rsidRPr="00EF0769">
        <w:rPr>
          <w:rFonts w:cs="Arial"/>
        </w:rPr>
        <w:t>name of the reply form would be:</w:t>
      </w:r>
    </w:p>
    <w:p w14:paraId="07FC02DB" w14:textId="5319DAC7" w:rsidR="00021E83"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w:t>
      </w:r>
      <w:r w:rsidR="00733158" w:rsidRPr="001B73D3">
        <w:rPr>
          <w:rFonts w:cs="Arial"/>
          <w:highlight w:val="yellow"/>
        </w:rPr>
        <w:t>A</w:t>
      </w:r>
      <w:r w:rsidR="00227C1A" w:rsidRPr="001B73D3">
        <w:rPr>
          <w:rFonts w:cs="Arial"/>
          <w:highlight w:val="yellow"/>
        </w:rPr>
        <w:t>_</w:t>
      </w:r>
      <w:r w:rsidR="00B92885">
        <w:rPr>
          <w:rFonts w:cs="Arial"/>
          <w:highlight w:val="yellow"/>
        </w:rPr>
        <w:t>ABCD</w:t>
      </w:r>
      <w:r w:rsidRPr="001B73D3">
        <w:rPr>
          <w:rFonts w:cs="Arial"/>
          <w:highlight w:val="yellow"/>
        </w:rPr>
        <w:t>_REPLYFORM</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0B300711" w:rsidR="00F574D0" w:rsidRPr="00EF0769" w:rsidRDefault="00F574D0" w:rsidP="00F574D0">
      <w:pPr>
        <w:pStyle w:val="04BodyText"/>
        <w:spacing w:before="120" w:after="120"/>
        <w:rPr>
          <w:rFonts w:cs="Arial"/>
        </w:rPr>
      </w:pPr>
      <w:r w:rsidRPr="00EF0769">
        <w:rPr>
          <w:rFonts w:cs="Arial"/>
        </w:rPr>
        <w:t xml:space="preserve">Responses must reach us by </w:t>
      </w:r>
      <w:r w:rsidR="001B73D3">
        <w:rPr>
          <w:rFonts w:cs="Arial"/>
        </w:rPr>
        <w:t>20</w:t>
      </w:r>
      <w:r w:rsidR="00733158">
        <w:rPr>
          <w:rFonts w:cs="Arial"/>
        </w:rPr>
        <w:t xml:space="preserve"> </w:t>
      </w:r>
      <w:r w:rsidR="001B73D3">
        <w:rPr>
          <w:rFonts w:cs="Arial"/>
        </w:rPr>
        <w:t>February</w:t>
      </w:r>
      <w:r w:rsidR="00733158">
        <w:rPr>
          <w:rFonts w:cs="Arial"/>
        </w:rPr>
        <w:t xml:space="preserve"> </w:t>
      </w:r>
      <w:r w:rsidR="00591CDF" w:rsidRPr="00267551">
        <w:rPr>
          <w:rFonts w:cs="Arial"/>
        </w:rPr>
        <w:t>202</w:t>
      </w:r>
      <w:r w:rsidR="00733158">
        <w:rPr>
          <w:rFonts w:cs="Arial"/>
        </w:rPr>
        <w:t>2</w:t>
      </w:r>
      <w:r w:rsidR="00021E83" w:rsidRPr="00267551">
        <w:rPr>
          <w:rFonts w:cs="Arial"/>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permStart w:id="82257371" w:edGrp="everyone"/>
      <w:r w:rsidR="0066246A">
        <w:fldChar w:fldCharType="begin"/>
      </w:r>
      <w:r w:rsidR="0066246A">
        <w:instrText>HYPERLINK "http://www.esma.europa.eu"</w:instrText>
      </w:r>
      <w:r w:rsidR="0066246A">
        <w:fldChar w:fldCharType="separate"/>
      </w:r>
      <w:r w:rsidRPr="005B6B12">
        <w:rPr>
          <w:rStyle w:val="Hyperlink"/>
        </w:rPr>
        <w:t>www.esma.europa.eu</w:t>
      </w:r>
      <w:r w:rsidR="0066246A">
        <w:rPr>
          <w:rStyle w:val="Hyperlink"/>
        </w:rPr>
        <w:fldChar w:fldCharType="end"/>
      </w:r>
      <w:permEnd w:id="82257371"/>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lastRenderedPageBreak/>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PlaceholderText"/>
              <w:rFonts w:cs="Arial"/>
            </w:rPr>
            <w:id w:val="651570699"/>
            <w:text/>
          </w:sdtPr>
          <w:sdtEndPr>
            <w:rPr>
              <w:rStyle w:val="PlaceholderText"/>
            </w:rPr>
          </w:sdtEndPr>
          <w:sdtContent>
            <w:tc>
              <w:tcPr>
                <w:tcW w:w="5595" w:type="dxa"/>
                <w:shd w:val="clear" w:color="auto" w:fill="auto"/>
              </w:tcPr>
              <w:p w14:paraId="7A68491E" w14:textId="235E4DF3" w:rsidR="00C2682A" w:rsidRPr="00AB6D88" w:rsidRDefault="00C068C2" w:rsidP="00FA5524">
                <w:pPr>
                  <w:rPr>
                    <w:rStyle w:val="PlaceholderText"/>
                    <w:rFonts w:cs="Arial"/>
                  </w:rPr>
                </w:pPr>
                <w:r>
                  <w:rPr>
                    <w:rStyle w:val="PlaceholderText"/>
                    <w:rFonts w:cs="Arial"/>
                  </w:rPr>
                  <w:t>CANDRIAM</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4F60F59E" w:rsidR="00C2682A" w:rsidRPr="00AB6D88" w:rsidRDefault="00FB5086"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8E4E16">
                  <w:rPr>
                    <w:rFonts w:cs="Arial"/>
                  </w:rPr>
                  <w:t>Investment Services</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0"/>
              <w14:checkedState w14:val="2612" w14:font="MS Gothic"/>
              <w14:uncheckedState w14:val="2610" w14:font="MS Gothic"/>
            </w14:checkbox>
          </w:sdtPr>
          <w:sdtEndPr/>
          <w:sdtContent>
            <w:tc>
              <w:tcPr>
                <w:tcW w:w="5595" w:type="dxa"/>
                <w:shd w:val="clear" w:color="auto" w:fill="auto"/>
              </w:tcPr>
              <w:p w14:paraId="3EE0D441" w14:textId="41F79C44" w:rsidR="00C2682A" w:rsidRPr="00AB6D88" w:rsidRDefault="00D4017D"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796AA72C" w:rsidR="00C2682A" w:rsidRPr="00AB6D88" w:rsidRDefault="00C068C2" w:rsidP="00FA5524">
                <w:pPr>
                  <w:rPr>
                    <w:rFonts w:cs="Arial"/>
                  </w:rPr>
                </w:pPr>
                <w:r>
                  <w:rPr>
                    <w:rFonts w:cs="Arial"/>
                  </w:rPr>
                  <w:t>Belgium</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Heading1"/>
        <w:numPr>
          <w:ilvl w:val="0"/>
          <w:numId w:val="0"/>
        </w:numPr>
        <w:ind w:left="431" w:hanging="431"/>
      </w:pPr>
      <w:r>
        <w:t>Introduction</w:t>
      </w:r>
    </w:p>
    <w:p w14:paraId="0A354328" w14:textId="77777777" w:rsidR="00F87897" w:rsidRPr="001D47A5" w:rsidRDefault="00F87897" w:rsidP="00F87897">
      <w:pPr>
        <w:rPr>
          <w:rStyle w:val="IntenseEmphasis"/>
        </w:rPr>
      </w:pPr>
      <w:r w:rsidRPr="001D47A5">
        <w:rPr>
          <w:rStyle w:val="IntenseEmphasis"/>
        </w:rPr>
        <w:t>Please make your introductory comments below, if any:</w:t>
      </w:r>
    </w:p>
    <w:p w14:paraId="385E0DBA" w14:textId="77777777" w:rsidR="00F87897" w:rsidRPr="00BF28DA" w:rsidRDefault="00F87897" w:rsidP="00F87897"/>
    <w:p w14:paraId="2487CCBE"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788FC28C" w14:textId="4AB4FF9E" w:rsidR="006F031C" w:rsidRPr="00FB5086" w:rsidRDefault="001A4E78" w:rsidP="006F031C">
      <w:pPr>
        <w:pStyle w:val="Default"/>
        <w:spacing w:after="175"/>
        <w:jc w:val="both"/>
        <w:rPr>
          <w:rFonts w:ascii="Arial" w:hAnsi="Arial" w:cs="Arial"/>
          <w:bCs/>
          <w:color w:val="auto"/>
          <w:sz w:val="20"/>
          <w:szCs w:val="20"/>
          <w:lang w:val="en-GB"/>
        </w:rPr>
      </w:pPr>
      <w:permStart w:id="1100430741" w:edGrp="everyone"/>
      <w:r w:rsidRPr="00FB5086">
        <w:rPr>
          <w:rFonts w:ascii="Arial" w:hAnsi="Arial" w:cs="Arial"/>
          <w:bCs/>
          <w:color w:val="auto"/>
          <w:sz w:val="20"/>
          <w:szCs w:val="20"/>
          <w:lang w:val="en-GB"/>
        </w:rPr>
        <w:t>As an asset manager active in ESG since</w:t>
      </w:r>
      <w:r w:rsidR="00B711B9" w:rsidRPr="00FB5086">
        <w:rPr>
          <w:rFonts w:ascii="Arial" w:hAnsi="Arial" w:cs="Arial"/>
          <w:bCs/>
          <w:color w:val="auto"/>
          <w:sz w:val="20"/>
          <w:szCs w:val="20"/>
          <w:lang w:val="en-GB"/>
        </w:rPr>
        <w:t xml:space="preserve"> </w:t>
      </w:r>
      <w:r w:rsidRPr="00FB5086">
        <w:rPr>
          <w:rFonts w:ascii="Arial" w:hAnsi="Arial" w:cs="Arial"/>
          <w:bCs/>
          <w:color w:val="auto"/>
          <w:sz w:val="20"/>
          <w:szCs w:val="20"/>
          <w:lang w:val="en-GB"/>
        </w:rPr>
        <w:t>a long time, Candriam a</w:t>
      </w:r>
      <w:r w:rsidR="006F031C" w:rsidRPr="00FB5086">
        <w:rPr>
          <w:rFonts w:ascii="Arial" w:hAnsi="Arial" w:cs="Arial"/>
          <w:bCs/>
          <w:color w:val="auto"/>
          <w:sz w:val="20"/>
          <w:szCs w:val="20"/>
          <w:lang w:val="en-GB"/>
        </w:rPr>
        <w:t xml:space="preserve">grees with the overarching objective of seeking to limit greenwashing allegations risks, increase legal certainty and avoid misleading information for investors. </w:t>
      </w:r>
    </w:p>
    <w:p w14:paraId="3E275D89" w14:textId="793E7C21" w:rsidR="006F031C" w:rsidRPr="00FB5086" w:rsidRDefault="006F031C" w:rsidP="006F031C">
      <w:pPr>
        <w:pStyle w:val="Default"/>
        <w:spacing w:after="175"/>
        <w:jc w:val="both"/>
        <w:rPr>
          <w:rFonts w:ascii="Arial" w:hAnsi="Arial" w:cs="Arial"/>
          <w:bCs/>
          <w:color w:val="auto"/>
          <w:sz w:val="20"/>
          <w:szCs w:val="20"/>
          <w:lang w:val="en-GB"/>
        </w:rPr>
      </w:pPr>
      <w:r w:rsidRPr="00FB5086">
        <w:rPr>
          <w:rFonts w:ascii="Arial" w:hAnsi="Arial" w:cs="Arial"/>
          <w:bCs/>
          <w:color w:val="auto"/>
          <w:sz w:val="20"/>
          <w:szCs w:val="20"/>
          <w:lang w:val="en-GB"/>
        </w:rPr>
        <w:t xml:space="preserve">This said, </w:t>
      </w:r>
      <w:r w:rsidR="00D87AE9" w:rsidRPr="00FB5086">
        <w:rPr>
          <w:rFonts w:ascii="Arial" w:hAnsi="Arial" w:cs="Arial"/>
          <w:bCs/>
          <w:color w:val="auto"/>
          <w:sz w:val="20"/>
          <w:szCs w:val="20"/>
          <w:lang w:val="en-GB"/>
        </w:rPr>
        <w:t xml:space="preserve">we </w:t>
      </w:r>
      <w:r w:rsidRPr="00FB5086">
        <w:rPr>
          <w:rFonts w:ascii="Arial" w:hAnsi="Arial" w:cs="Arial"/>
          <w:bCs/>
          <w:color w:val="auto"/>
          <w:sz w:val="20"/>
          <w:szCs w:val="20"/>
          <w:lang w:val="en-GB"/>
        </w:rPr>
        <w:t>would like to express some doubts over the timeline for this consultation.  Indeed, the EU regulatory framework on sustainable finance is not complete yet and some initiatives are currently still being discussed:</w:t>
      </w:r>
    </w:p>
    <w:p w14:paraId="073C212C" w14:textId="77777777" w:rsidR="006F031C" w:rsidRPr="00FB5086" w:rsidRDefault="006F031C" w:rsidP="00FB5086">
      <w:pPr>
        <w:pStyle w:val="Default"/>
        <w:numPr>
          <w:ilvl w:val="0"/>
          <w:numId w:val="39"/>
        </w:numPr>
        <w:spacing w:after="175"/>
        <w:jc w:val="both"/>
        <w:rPr>
          <w:rFonts w:ascii="Arial" w:hAnsi="Arial" w:cs="Arial"/>
          <w:bCs/>
          <w:color w:val="auto"/>
          <w:sz w:val="20"/>
          <w:szCs w:val="20"/>
          <w:lang w:val="en-GB"/>
        </w:rPr>
      </w:pPr>
      <w:r w:rsidRPr="00FB5086">
        <w:rPr>
          <w:rFonts w:ascii="Arial" w:hAnsi="Arial" w:cs="Arial"/>
          <w:bCs/>
          <w:color w:val="auto"/>
          <w:sz w:val="20"/>
          <w:szCs w:val="20"/>
          <w:lang w:val="en-GB"/>
        </w:rPr>
        <w:t>the ESAs are currently working on a report on « greenwashing ». An interim report is due in May 2023 and a final report in May 2024.</w:t>
      </w:r>
    </w:p>
    <w:p w14:paraId="7F430F22" w14:textId="77777777" w:rsidR="006F031C" w:rsidRPr="00FB5086" w:rsidRDefault="006F031C" w:rsidP="00FB5086">
      <w:pPr>
        <w:pStyle w:val="Default"/>
        <w:numPr>
          <w:ilvl w:val="0"/>
          <w:numId w:val="39"/>
        </w:numPr>
        <w:spacing w:after="175"/>
        <w:jc w:val="both"/>
        <w:rPr>
          <w:rFonts w:ascii="Arial" w:hAnsi="Arial" w:cs="Arial"/>
          <w:bCs/>
          <w:color w:val="auto"/>
          <w:sz w:val="20"/>
          <w:szCs w:val="20"/>
          <w:lang w:val="en-GB"/>
        </w:rPr>
      </w:pPr>
      <w:r w:rsidRPr="00FB5086">
        <w:rPr>
          <w:rFonts w:ascii="Arial" w:hAnsi="Arial" w:cs="Arial"/>
          <w:bCs/>
          <w:color w:val="auto"/>
          <w:sz w:val="20"/>
          <w:szCs w:val="20"/>
          <w:lang w:val="en-GB"/>
        </w:rPr>
        <w:t>the ESAs sent some questions to the European Commission (EC) on concepts included in this consultation (</w:t>
      </w:r>
      <w:proofErr w:type="gramStart"/>
      <w:r w:rsidRPr="00FB5086">
        <w:rPr>
          <w:rFonts w:ascii="Arial" w:hAnsi="Arial" w:cs="Arial"/>
          <w:bCs/>
          <w:color w:val="auto"/>
          <w:sz w:val="20"/>
          <w:szCs w:val="20"/>
          <w:lang w:val="en-GB"/>
        </w:rPr>
        <w:t>i.e.</w:t>
      </w:r>
      <w:proofErr w:type="gramEnd"/>
      <w:r w:rsidRPr="00FB5086">
        <w:rPr>
          <w:rFonts w:ascii="Arial" w:hAnsi="Arial" w:cs="Arial"/>
          <w:bCs/>
          <w:color w:val="auto"/>
          <w:sz w:val="20"/>
          <w:szCs w:val="20"/>
          <w:lang w:val="en-GB"/>
        </w:rPr>
        <w:t xml:space="preserve"> “sustainable investment”) and an answer is due by the EC in the first quarter of 2023.</w:t>
      </w:r>
    </w:p>
    <w:p w14:paraId="4AA87719" w14:textId="77777777" w:rsidR="006F031C" w:rsidRPr="00FB5086" w:rsidRDefault="006F031C" w:rsidP="00FB5086">
      <w:pPr>
        <w:pStyle w:val="Default"/>
        <w:numPr>
          <w:ilvl w:val="0"/>
          <w:numId w:val="39"/>
        </w:numPr>
        <w:spacing w:after="175"/>
        <w:jc w:val="both"/>
        <w:rPr>
          <w:rFonts w:ascii="Arial" w:hAnsi="Arial" w:cs="Arial"/>
          <w:bCs/>
          <w:color w:val="auto"/>
          <w:sz w:val="20"/>
          <w:szCs w:val="20"/>
          <w:lang w:val="en-GB"/>
        </w:rPr>
      </w:pPr>
      <w:r w:rsidRPr="00FB5086">
        <w:rPr>
          <w:rFonts w:ascii="Arial" w:hAnsi="Arial" w:cs="Arial"/>
          <w:bCs/>
          <w:color w:val="auto"/>
          <w:sz w:val="20"/>
          <w:szCs w:val="20"/>
          <w:lang w:val="en-GB"/>
        </w:rPr>
        <w:t>the EC is supposed to be working on minimum criteria for article 8 and article 9 products.</w:t>
      </w:r>
    </w:p>
    <w:p w14:paraId="3BEDDBB7" w14:textId="77777777" w:rsidR="006F031C" w:rsidRPr="00FB5086" w:rsidRDefault="006F031C" w:rsidP="00FB5086">
      <w:pPr>
        <w:pStyle w:val="Default"/>
        <w:numPr>
          <w:ilvl w:val="0"/>
          <w:numId w:val="39"/>
        </w:numPr>
        <w:spacing w:after="175"/>
        <w:jc w:val="both"/>
        <w:rPr>
          <w:rFonts w:ascii="Arial" w:hAnsi="Arial" w:cs="Arial"/>
          <w:bCs/>
          <w:color w:val="auto"/>
          <w:sz w:val="20"/>
          <w:szCs w:val="20"/>
          <w:lang w:val="en-GB"/>
        </w:rPr>
      </w:pPr>
      <w:r w:rsidRPr="00FB5086">
        <w:rPr>
          <w:rFonts w:ascii="Arial" w:hAnsi="Arial" w:cs="Arial"/>
          <w:bCs/>
          <w:color w:val="auto"/>
          <w:sz w:val="20"/>
          <w:szCs w:val="20"/>
          <w:lang w:val="en-GB"/>
        </w:rPr>
        <w:t>the EC is also working on minimum standards and transparency requirements of EU ESG benchmarks.</w:t>
      </w:r>
      <w:r w:rsidRPr="00FB5086">
        <w:rPr>
          <w:rFonts w:ascii="Arial" w:hAnsi="Arial" w:cs="Arial"/>
          <w:color w:val="auto"/>
          <w:sz w:val="20"/>
          <w:szCs w:val="20"/>
          <w:shd w:val="clear" w:color="auto" w:fill="FFFFFF"/>
          <w:lang w:val="en-GB"/>
        </w:rPr>
        <w:t> </w:t>
      </w:r>
    </w:p>
    <w:p w14:paraId="2F12C8F5" w14:textId="550B13FD" w:rsidR="006F031C" w:rsidRPr="00FB5086" w:rsidRDefault="006F031C" w:rsidP="006F031C">
      <w:pPr>
        <w:pStyle w:val="Default"/>
        <w:spacing w:after="175"/>
        <w:jc w:val="both"/>
        <w:rPr>
          <w:rFonts w:ascii="Arial" w:hAnsi="Arial" w:cs="Arial"/>
          <w:bCs/>
          <w:color w:val="auto"/>
          <w:sz w:val="20"/>
          <w:szCs w:val="20"/>
          <w:lang w:val="en-GB"/>
        </w:rPr>
      </w:pPr>
      <w:r w:rsidRPr="00FB5086">
        <w:rPr>
          <w:rFonts w:ascii="Arial" w:hAnsi="Arial" w:cs="Arial"/>
          <w:bCs/>
          <w:color w:val="auto"/>
          <w:sz w:val="20"/>
          <w:szCs w:val="20"/>
          <w:lang w:val="en-GB"/>
        </w:rPr>
        <w:t xml:space="preserve">Hence, </w:t>
      </w:r>
      <w:r w:rsidR="00262412" w:rsidRPr="00FB5086">
        <w:rPr>
          <w:rFonts w:ascii="Arial" w:hAnsi="Arial" w:cs="Arial"/>
          <w:bCs/>
          <w:color w:val="auto"/>
          <w:sz w:val="20"/>
          <w:szCs w:val="20"/>
          <w:lang w:val="en-GB"/>
        </w:rPr>
        <w:t xml:space="preserve">as a general principle, </w:t>
      </w:r>
      <w:r w:rsidRPr="00FB5086">
        <w:rPr>
          <w:rFonts w:ascii="Arial" w:hAnsi="Arial" w:cs="Arial"/>
          <w:bCs/>
          <w:color w:val="auto"/>
          <w:sz w:val="20"/>
          <w:szCs w:val="20"/>
          <w:lang w:val="en-GB"/>
        </w:rPr>
        <w:t xml:space="preserve">we believe that if ESMA wants to proceed and publish guidelines, these should be aligned with future initiatives that might be launched at EU level. </w:t>
      </w:r>
    </w:p>
    <w:p w14:paraId="7EB431CC" w14:textId="77777777" w:rsidR="006F031C" w:rsidRPr="00FB5086" w:rsidRDefault="006F031C" w:rsidP="006F031C">
      <w:pPr>
        <w:pStyle w:val="Default"/>
        <w:spacing w:after="175"/>
        <w:jc w:val="both"/>
        <w:rPr>
          <w:rFonts w:ascii="Arial" w:hAnsi="Arial" w:cs="Arial"/>
          <w:bCs/>
          <w:color w:val="auto"/>
          <w:sz w:val="20"/>
          <w:szCs w:val="20"/>
          <w:lang w:val="en-GB"/>
        </w:rPr>
      </w:pPr>
      <w:r w:rsidRPr="00FB5086">
        <w:rPr>
          <w:rFonts w:ascii="Arial" w:hAnsi="Arial" w:cs="Arial"/>
          <w:bCs/>
          <w:color w:val="auto"/>
          <w:sz w:val="20"/>
          <w:szCs w:val="20"/>
          <w:lang w:val="en-GB"/>
        </w:rPr>
        <w:t>We also believe that introducing thresholds on elements yet to be defined could have a detrimental impact on the sustainable finance market and impede the reorientation of capital towards sustainable finance. This situation could lead to:</w:t>
      </w:r>
    </w:p>
    <w:p w14:paraId="61E7544C" w14:textId="77777777" w:rsidR="006F031C" w:rsidRPr="00FB5086" w:rsidRDefault="006F031C" w:rsidP="00FB5086">
      <w:pPr>
        <w:pStyle w:val="ListParagraph"/>
        <w:numPr>
          <w:ilvl w:val="0"/>
          <w:numId w:val="39"/>
        </w:numPr>
        <w:spacing w:after="160" w:line="259" w:lineRule="auto"/>
        <w:rPr>
          <w:rFonts w:cs="Arial"/>
          <w:bCs/>
          <w:szCs w:val="20"/>
        </w:rPr>
      </w:pPr>
      <w:r w:rsidRPr="00FB5086">
        <w:rPr>
          <w:rFonts w:cs="Arial"/>
          <w:bCs/>
          <w:szCs w:val="20"/>
        </w:rPr>
        <w:t>increasing the risk of greenwashing as the thresholds are based on concept not clearly defined.</w:t>
      </w:r>
    </w:p>
    <w:p w14:paraId="0299C4C0" w14:textId="77777777" w:rsidR="006F031C" w:rsidRPr="00FB5086" w:rsidRDefault="006F031C" w:rsidP="00FB5086">
      <w:pPr>
        <w:pStyle w:val="Default"/>
        <w:numPr>
          <w:ilvl w:val="0"/>
          <w:numId w:val="39"/>
        </w:numPr>
        <w:spacing w:after="175"/>
        <w:jc w:val="both"/>
        <w:rPr>
          <w:rFonts w:ascii="Arial" w:hAnsi="Arial" w:cs="Arial"/>
          <w:bCs/>
          <w:color w:val="auto"/>
          <w:sz w:val="20"/>
          <w:szCs w:val="20"/>
          <w:lang w:val="en-GB"/>
        </w:rPr>
      </w:pPr>
      <w:r w:rsidRPr="00FB5086">
        <w:rPr>
          <w:rFonts w:ascii="Arial" w:hAnsi="Arial" w:cs="Arial"/>
          <w:bCs/>
          <w:color w:val="auto"/>
          <w:sz w:val="20"/>
          <w:szCs w:val="20"/>
          <w:lang w:val="en-GB"/>
        </w:rPr>
        <w:t>risk of “green hushing”, the rules being too complex to implement, financial market participants could be diverted from the sustainable finance market until rules are clearer.</w:t>
      </w:r>
    </w:p>
    <w:permEnd w:id="1100430741"/>
    <w:p w14:paraId="3B95B420"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3B7AB56A" w14:textId="486D865E" w:rsidR="00F87897" w:rsidRPr="00BF28DA" w:rsidRDefault="00F87897" w:rsidP="00F87897"/>
    <w:p w14:paraId="08CA68BE" w14:textId="77777777" w:rsidR="00B92885" w:rsidRDefault="00F87897" w:rsidP="00FB5086">
      <w:pPr>
        <w:pStyle w:val="Questionstyle"/>
        <w:numPr>
          <w:ilvl w:val="0"/>
          <w:numId w:val="37"/>
        </w:numPr>
      </w:pPr>
      <w:r>
        <w:br w:type="page"/>
      </w:r>
      <w:r w:rsidR="00B92885">
        <w:lastRenderedPageBreak/>
        <w:t xml:space="preserve">: </w:t>
      </w:r>
      <w:r w:rsidR="00B92885" w:rsidRPr="00C96AFA">
        <w:t>Do you agree with the need to introduce quantitative thresholds to assess funds’ names?</w:t>
      </w:r>
    </w:p>
    <w:p w14:paraId="5820FAB8" w14:textId="77777777" w:rsidR="00B92885" w:rsidRDefault="00B92885" w:rsidP="00B92885">
      <w:r>
        <w:t>&lt;ESMA_QUESTION_FUNA_1&gt;</w:t>
      </w:r>
    </w:p>
    <w:p w14:paraId="043F3971" w14:textId="1F36B181" w:rsidR="00B92885" w:rsidRPr="00B34E8F" w:rsidRDefault="00FF335B" w:rsidP="00B92885">
      <w:pPr>
        <w:rPr>
          <w:rFonts w:cs="Arial"/>
          <w:szCs w:val="20"/>
        </w:rPr>
      </w:pPr>
      <w:permStart w:id="1596738700" w:edGrp="everyone"/>
      <w:r w:rsidRPr="00B34E8F">
        <w:rPr>
          <w:rFonts w:cs="Arial"/>
          <w:szCs w:val="20"/>
        </w:rPr>
        <w:t>W</w:t>
      </w:r>
      <w:r w:rsidRPr="00B34E8F">
        <w:rPr>
          <w:rFonts w:cs="Arial"/>
          <w:szCs w:val="20"/>
        </w:rPr>
        <w:t xml:space="preserve">e question whether the proposed threshold approach is the appropriate way to meet the regulatory objectives of avoiding greenwashing or the need for enhanced clarity for investors. We have set out below several reasons why we are not convinced that this initiative is sufficiently meaningful at this </w:t>
      </w:r>
      <w:r w:rsidR="00BE4CC0" w:rsidRPr="00B34E8F">
        <w:rPr>
          <w:rFonts w:cs="Arial"/>
          <w:szCs w:val="20"/>
        </w:rPr>
        <w:t>stage.</w:t>
      </w:r>
    </w:p>
    <w:p w14:paraId="10446886" w14:textId="77777777" w:rsidR="00D67162" w:rsidRPr="00B34E8F" w:rsidRDefault="00D67162" w:rsidP="00B92885">
      <w:pPr>
        <w:rPr>
          <w:rFonts w:cs="Arial"/>
          <w:szCs w:val="20"/>
        </w:rPr>
      </w:pPr>
    </w:p>
    <w:p w14:paraId="64C24202" w14:textId="77777777" w:rsidR="00DF4C89" w:rsidRPr="00B34E8F" w:rsidRDefault="00DF4C89" w:rsidP="00DF4C89">
      <w:pPr>
        <w:pStyle w:val="Default"/>
        <w:spacing w:after="175"/>
        <w:jc w:val="both"/>
        <w:rPr>
          <w:rFonts w:ascii="Arial" w:hAnsi="Arial" w:cs="Arial"/>
          <w:bCs/>
          <w:color w:val="auto"/>
          <w:sz w:val="20"/>
          <w:szCs w:val="20"/>
          <w:lang w:val="en-US"/>
        </w:rPr>
      </w:pPr>
      <w:r w:rsidRPr="00B34E8F">
        <w:rPr>
          <w:rFonts w:ascii="Arial" w:hAnsi="Arial" w:cs="Arial"/>
          <w:bCs/>
          <w:color w:val="auto"/>
          <w:sz w:val="20"/>
          <w:szCs w:val="20"/>
          <w:lang w:val="en-US"/>
        </w:rPr>
        <w:t>We strongly advise that proportionality should be introduced between the “marketing” disclosures of a financial product (among which the name) and the degree of ESG commitment and related impact in the financial product. Unlike some national rules (such as the French non-financial disclosure rules or German ones), or label rules in some Members States, SFDR disclosures are not dealing with this issue. In July 2021, the European Commission (EC) clarified that the definition of funds disclosing under SFDR art8 is quite large, while the definition of funds disclosing under art9 has been narrowed due to the “sustainable investments only” requirement. On this basis, introducing fund naming rules may allow to introduce some proportionality among the art8 funds.</w:t>
      </w:r>
    </w:p>
    <w:p w14:paraId="0B6B36E6" w14:textId="77777777" w:rsidR="00DF4C89" w:rsidRPr="00B34E8F" w:rsidRDefault="00DF4C89" w:rsidP="00DF4C89">
      <w:pPr>
        <w:pStyle w:val="Default"/>
        <w:spacing w:after="175"/>
        <w:jc w:val="both"/>
        <w:rPr>
          <w:rFonts w:ascii="Arial" w:hAnsi="Arial" w:cs="Arial"/>
          <w:bCs/>
          <w:color w:val="auto"/>
          <w:sz w:val="20"/>
          <w:szCs w:val="20"/>
          <w:lang w:val="en-US"/>
        </w:rPr>
      </w:pPr>
      <w:r w:rsidRPr="00B34E8F">
        <w:rPr>
          <w:rFonts w:ascii="Arial" w:hAnsi="Arial" w:cs="Arial"/>
          <w:bCs/>
          <w:color w:val="auto"/>
          <w:sz w:val="20"/>
          <w:szCs w:val="20"/>
          <w:lang w:val="en-US"/>
        </w:rPr>
        <w:t xml:space="preserve">On top of introducing measurable </w:t>
      </w:r>
      <w:r w:rsidRPr="00B34E8F">
        <w:rPr>
          <w:rFonts w:ascii="Arial" w:hAnsi="Arial" w:cs="Arial"/>
          <w:b/>
          <w:bCs/>
          <w:color w:val="auto"/>
          <w:sz w:val="20"/>
          <w:szCs w:val="20"/>
          <w:lang w:val="en-US"/>
        </w:rPr>
        <w:t>proportionality</w:t>
      </w:r>
      <w:r w:rsidRPr="00B34E8F">
        <w:rPr>
          <w:rFonts w:ascii="Arial" w:hAnsi="Arial" w:cs="Arial"/>
          <w:bCs/>
          <w:color w:val="auto"/>
          <w:sz w:val="20"/>
          <w:szCs w:val="20"/>
          <w:lang w:val="en-US"/>
        </w:rPr>
        <w:t xml:space="preserve">, in theory, quantitative thresholds rules have the </w:t>
      </w:r>
      <w:r w:rsidRPr="00B34E8F">
        <w:rPr>
          <w:rFonts w:ascii="Arial" w:hAnsi="Arial" w:cs="Arial"/>
          <w:b/>
          <w:bCs/>
          <w:color w:val="auto"/>
          <w:sz w:val="20"/>
          <w:szCs w:val="20"/>
          <w:lang w:val="en-US"/>
        </w:rPr>
        <w:t>merit to be simple</w:t>
      </w:r>
      <w:r w:rsidRPr="00B34E8F">
        <w:rPr>
          <w:rFonts w:ascii="Arial" w:hAnsi="Arial" w:cs="Arial"/>
          <w:bCs/>
          <w:color w:val="auto"/>
          <w:sz w:val="20"/>
          <w:szCs w:val="20"/>
          <w:lang w:val="en-US"/>
        </w:rPr>
        <w:t xml:space="preserve">: based on pre-contractual asset allocation, simple to check for the regulator (against periodic reports). </w:t>
      </w:r>
    </w:p>
    <w:p w14:paraId="2B25C5CF" w14:textId="46FFE7FA" w:rsidR="00DF4C89" w:rsidRPr="00B34E8F" w:rsidRDefault="00DF4C89" w:rsidP="00DF4C89">
      <w:pPr>
        <w:pStyle w:val="Default"/>
        <w:spacing w:after="175"/>
        <w:jc w:val="both"/>
        <w:rPr>
          <w:rFonts w:ascii="Arial" w:hAnsi="Arial" w:cs="Arial"/>
          <w:bCs/>
          <w:color w:val="auto"/>
          <w:sz w:val="20"/>
          <w:szCs w:val="20"/>
          <w:lang w:val="en-US"/>
        </w:rPr>
      </w:pPr>
      <w:r w:rsidRPr="00B34E8F">
        <w:rPr>
          <w:rFonts w:ascii="Arial" w:hAnsi="Arial" w:cs="Arial"/>
          <w:bCs/>
          <w:color w:val="auto"/>
          <w:sz w:val="20"/>
          <w:szCs w:val="20"/>
          <w:lang w:val="en-US"/>
        </w:rPr>
        <w:t xml:space="preserve">But </w:t>
      </w:r>
      <w:r w:rsidRPr="00B34E8F">
        <w:rPr>
          <w:rFonts w:ascii="Arial" w:hAnsi="Arial" w:cs="Arial"/>
          <w:b/>
          <w:bCs/>
          <w:color w:val="auto"/>
          <w:sz w:val="20"/>
          <w:szCs w:val="20"/>
          <w:lang w:val="en-US"/>
        </w:rPr>
        <w:t>such apparent simplicity in using quantitative thresholds is actually bringing confusion</w:t>
      </w:r>
      <w:r w:rsidR="004500FD" w:rsidRPr="00B34E8F">
        <w:rPr>
          <w:rFonts w:ascii="Arial" w:hAnsi="Arial" w:cs="Arial"/>
          <w:b/>
          <w:bCs/>
          <w:color w:val="auto"/>
          <w:sz w:val="20"/>
          <w:szCs w:val="20"/>
          <w:lang w:val="en-US"/>
        </w:rPr>
        <w:t xml:space="preserve"> and the </w:t>
      </w:r>
      <w:proofErr w:type="gramStart"/>
      <w:r w:rsidR="004500FD" w:rsidRPr="00B34E8F">
        <w:rPr>
          <w:rFonts w:ascii="Arial" w:hAnsi="Arial" w:cs="Arial"/>
          <w:b/>
          <w:bCs/>
          <w:color w:val="auto"/>
          <w:sz w:val="20"/>
          <w:szCs w:val="20"/>
          <w:lang w:val="en-US"/>
        </w:rPr>
        <w:t xml:space="preserve">following </w:t>
      </w:r>
      <w:r w:rsidRPr="00B34E8F">
        <w:rPr>
          <w:rFonts w:ascii="Arial" w:hAnsi="Arial" w:cs="Arial"/>
          <w:b/>
          <w:bCs/>
          <w:color w:val="auto"/>
          <w:sz w:val="20"/>
          <w:szCs w:val="20"/>
          <w:lang w:val="en-US"/>
        </w:rPr>
        <w:t>:</w:t>
      </w:r>
      <w:proofErr w:type="gramEnd"/>
    </w:p>
    <w:p w14:paraId="6E810038" w14:textId="77777777" w:rsidR="008F3D19" w:rsidRPr="00DA666C" w:rsidRDefault="008F3D19" w:rsidP="00FB5086">
      <w:pPr>
        <w:pStyle w:val="ListParagraph"/>
        <w:widowControl w:val="0"/>
        <w:numPr>
          <w:ilvl w:val="0"/>
          <w:numId w:val="40"/>
        </w:numPr>
        <w:autoSpaceDE w:val="0"/>
        <w:autoSpaceDN w:val="0"/>
        <w:spacing w:line="276" w:lineRule="auto"/>
        <w:contextualSpacing w:val="0"/>
        <w:jc w:val="both"/>
        <w:rPr>
          <w:rFonts w:cs="Arial"/>
          <w:b/>
          <w:bCs/>
          <w:color w:val="244061" w:themeColor="accent1" w:themeShade="80"/>
        </w:rPr>
      </w:pPr>
      <w:r w:rsidRPr="00DA666C">
        <w:rPr>
          <w:rFonts w:cs="Arial"/>
          <w:b/>
          <w:bCs/>
          <w:color w:val="244061" w:themeColor="accent1" w:themeShade="80"/>
        </w:rPr>
        <w:t>Interoperability between the Guidelines, SFDR, MiFID, and other regulatory developments</w:t>
      </w:r>
    </w:p>
    <w:p w14:paraId="65F2619F" w14:textId="77777777" w:rsidR="008F3D19" w:rsidRPr="00DA666C" w:rsidRDefault="008F3D19" w:rsidP="008F3D19">
      <w:pPr>
        <w:spacing w:before="240" w:line="276" w:lineRule="auto"/>
        <w:jc w:val="both"/>
        <w:rPr>
          <w:rFonts w:cs="Arial"/>
          <w:b/>
          <w:bCs/>
          <w:i/>
          <w:iCs/>
          <w:color w:val="4F81BD" w:themeColor="accent1"/>
        </w:rPr>
      </w:pPr>
      <w:r w:rsidRPr="00DA666C">
        <w:rPr>
          <w:rFonts w:cs="Arial"/>
          <w:b/>
          <w:bCs/>
          <w:i/>
          <w:iCs/>
          <w:color w:val="4F81BD" w:themeColor="accent1"/>
        </w:rPr>
        <w:t xml:space="preserve">SFDR </w:t>
      </w:r>
    </w:p>
    <w:p w14:paraId="1E980594" w14:textId="77777777" w:rsidR="008F3D19" w:rsidRPr="00DA666C" w:rsidRDefault="008F3D19" w:rsidP="008F3D19">
      <w:pPr>
        <w:spacing w:before="240" w:line="276" w:lineRule="auto"/>
        <w:jc w:val="both"/>
        <w:rPr>
          <w:rFonts w:cs="Arial"/>
          <w:b/>
          <w:bCs/>
          <w:i/>
          <w:iCs/>
          <w:color w:val="4F81BD" w:themeColor="accent1"/>
        </w:rPr>
      </w:pPr>
      <w:r w:rsidRPr="00DA666C">
        <w:rPr>
          <w:rFonts w:cs="Arial"/>
        </w:rPr>
        <w:t>Although the alignment of fund names with strategies is important, this issue cannot be viewed or solved in isolation. A fund meeting the SFDR Article 8 and 9 criteria which is ineligible to be named ESG and/or sustainable in some cases because the ESMA thresholds are not met, will only increase the risk of investor confusion. There needs to be alignment between the guidelines and SFDR, complementing each other, rather than introducing conflicting rules that could undermine the credibility of the regime overall in the eyes of investors.</w:t>
      </w:r>
    </w:p>
    <w:p w14:paraId="5B0E330E" w14:textId="77777777" w:rsidR="00764350" w:rsidRPr="00DA666C" w:rsidRDefault="00764350" w:rsidP="00764350">
      <w:pPr>
        <w:spacing w:line="276" w:lineRule="auto"/>
        <w:jc w:val="both"/>
        <w:rPr>
          <w:rFonts w:cs="Arial"/>
          <w:b/>
          <w:bCs/>
          <w:i/>
          <w:iCs/>
          <w:color w:val="948A54" w:themeColor="background2" w:themeShade="80"/>
        </w:rPr>
      </w:pPr>
      <w:r w:rsidRPr="00DA666C">
        <w:rPr>
          <w:rFonts w:cs="Arial"/>
          <w:b/>
          <w:bCs/>
          <w:i/>
          <w:iCs/>
          <w:color w:val="948A54" w:themeColor="background2" w:themeShade="80"/>
        </w:rPr>
        <w:t>Aligning the investment process</w:t>
      </w:r>
    </w:p>
    <w:p w14:paraId="4AC9810B" w14:textId="77777777" w:rsidR="00764350" w:rsidRPr="00DA666C" w:rsidRDefault="00764350" w:rsidP="00764350">
      <w:pPr>
        <w:spacing w:line="276" w:lineRule="auto"/>
        <w:jc w:val="both"/>
        <w:rPr>
          <w:rFonts w:cs="Arial"/>
        </w:rPr>
      </w:pPr>
      <w:r w:rsidRPr="00DA666C">
        <w:rPr>
          <w:rFonts w:cs="Arial"/>
        </w:rPr>
        <w:t xml:space="preserve">A threshold mechanism as suggested in the draft consultation focuses directly and solely on outcomes and holdings leaving aside how these are generated and what the underlying process is that leads to them. </w:t>
      </w:r>
      <w:r w:rsidRPr="00DA666C">
        <w:rPr>
          <w:rFonts w:cs="Arial"/>
          <w:b/>
          <w:bCs/>
        </w:rPr>
        <w:t>Our preference would be to align this approach, similarly to the principle-based supervisory guidance on fund names, with SFDR which focuses on the investment processes</w:t>
      </w:r>
      <w:r w:rsidRPr="00DA666C">
        <w:rPr>
          <w:rFonts w:cs="Arial"/>
        </w:rPr>
        <w:t>, rather than outcomes.</w:t>
      </w:r>
    </w:p>
    <w:p w14:paraId="2F685E7C" w14:textId="77777777" w:rsidR="00764350" w:rsidRPr="00DA666C" w:rsidRDefault="00764350" w:rsidP="00764350">
      <w:pPr>
        <w:spacing w:line="276" w:lineRule="auto"/>
        <w:jc w:val="both"/>
        <w:rPr>
          <w:rFonts w:cs="Arial"/>
        </w:rPr>
      </w:pPr>
      <w:r w:rsidRPr="00DA666C">
        <w:rPr>
          <w:rFonts w:cs="Arial"/>
        </w:rPr>
        <w:t>For any criteria to effectively address greenwashing and allow a comprehensive view as to why an ESG claim is made in a fund’s name, it needs to be inherently linked to the fund’s investment process and the binding elements (</w:t>
      </w:r>
      <w:proofErr w:type="gramStart"/>
      <w:r w:rsidRPr="00DA666C">
        <w:rPr>
          <w:rFonts w:cs="Arial"/>
        </w:rPr>
        <w:t>i.e.</w:t>
      </w:r>
      <w:proofErr w:type="gramEnd"/>
      <w:r w:rsidRPr="00DA666C">
        <w:rPr>
          <w:rFonts w:cs="Arial"/>
        </w:rPr>
        <w:t xml:space="preserve"> clear binding KPIs) in relation to the ESG strategy/objective. This will allow for clarity and certainty as to the appropriateness of an ESG claim in a fund’s name and enhance the comparability between different products. It is the underlying process that allows specific holdings and justifies claims rather than a direct claim on holdings. Thereby, we consider it key for any fund naming rule to be linked to transparency </w:t>
      </w:r>
      <w:proofErr w:type="gramStart"/>
      <w:r w:rsidRPr="00DA666C">
        <w:rPr>
          <w:rFonts w:cs="Arial"/>
        </w:rPr>
        <w:t>with regard to</w:t>
      </w:r>
      <w:proofErr w:type="gramEnd"/>
      <w:r w:rsidRPr="00DA666C">
        <w:rPr>
          <w:rFonts w:cs="Arial"/>
        </w:rPr>
        <w:t xml:space="preserve"> the investment process and the ESG binding elements. Reporting on outcomes can also occur, but in a complementary way, not as the key criterion to be fulfilled against specific percentages.</w:t>
      </w:r>
    </w:p>
    <w:p w14:paraId="338DAD38" w14:textId="77777777" w:rsidR="00CD0DF1" w:rsidRPr="00DA666C" w:rsidRDefault="00CD0DF1" w:rsidP="00CD0DF1">
      <w:pPr>
        <w:spacing w:line="276" w:lineRule="auto"/>
        <w:jc w:val="both"/>
        <w:rPr>
          <w:rFonts w:cs="Arial"/>
          <w:b/>
          <w:bCs/>
          <w:i/>
          <w:iCs/>
          <w:color w:val="4F81BD" w:themeColor="accent1"/>
        </w:rPr>
      </w:pPr>
      <w:r w:rsidRPr="00DA666C">
        <w:rPr>
          <w:rFonts w:cs="Arial"/>
          <w:b/>
          <w:bCs/>
          <w:i/>
          <w:iCs/>
          <w:color w:val="948A54" w:themeColor="background2" w:themeShade="80"/>
        </w:rPr>
        <w:t xml:space="preserve">Aligning timing </w:t>
      </w:r>
    </w:p>
    <w:p w14:paraId="5D3B1801" w14:textId="77777777" w:rsidR="00CD0DF1" w:rsidRPr="00C06A7A" w:rsidRDefault="00CD0DF1" w:rsidP="00CD0DF1">
      <w:pPr>
        <w:spacing w:after="240" w:line="276" w:lineRule="auto"/>
        <w:jc w:val="both"/>
        <w:rPr>
          <w:rFonts w:cs="Arial"/>
        </w:rPr>
      </w:pPr>
      <w:r w:rsidRPr="00DA666C">
        <w:rPr>
          <w:rFonts w:cs="Arial"/>
        </w:rPr>
        <w:t xml:space="preserve">SFDR contains many open issues and points of improvement which are still being evaluated. </w:t>
      </w:r>
      <w:proofErr w:type="gramStart"/>
      <w:r w:rsidRPr="00DA666C">
        <w:rPr>
          <w:rFonts w:cs="Arial"/>
        </w:rPr>
        <w:t>In particular, there</w:t>
      </w:r>
      <w:proofErr w:type="gramEnd"/>
      <w:r w:rsidRPr="00DA666C">
        <w:rPr>
          <w:rFonts w:cs="Arial"/>
        </w:rPr>
        <w:t xml:space="preserve"> is a lack of clarity in the market with regard to what exactly qualifies as a </w:t>
      </w:r>
      <w:r w:rsidRPr="00DA666C">
        <w:rPr>
          <w:rFonts w:cs="Arial"/>
          <w:b/>
          <w:bCs/>
        </w:rPr>
        <w:t>sustainable investment</w:t>
      </w:r>
      <w:r w:rsidRPr="00EF7176">
        <w:rPr>
          <w:rFonts w:cstheme="minorHAnsi"/>
          <w:b/>
          <w:bCs/>
        </w:rPr>
        <w:t xml:space="preserve"> </w:t>
      </w:r>
      <w:r w:rsidRPr="00C06A7A">
        <w:rPr>
          <w:rFonts w:cs="Arial"/>
          <w:b/>
          <w:bCs/>
        </w:rPr>
        <w:t>under SFDR</w:t>
      </w:r>
      <w:r w:rsidRPr="00C06A7A">
        <w:rPr>
          <w:rFonts w:cs="Arial"/>
        </w:rPr>
        <w:t xml:space="preserve"> and it is clear that approaches vary significantly. Given that we are still waiting for the Commission to respond to the ESAs regarding the operationalisation of the definition of sustainable investments </w:t>
      </w:r>
      <w:r w:rsidRPr="00C06A7A">
        <w:rPr>
          <w:rFonts w:cs="Arial"/>
        </w:rPr>
        <w:lastRenderedPageBreak/>
        <w:t xml:space="preserve">under SFDR, we believe now is </w:t>
      </w:r>
      <w:r w:rsidRPr="00C06A7A">
        <w:rPr>
          <w:rFonts w:cs="Arial"/>
          <w:b/>
          <w:bCs/>
        </w:rPr>
        <w:t>not the right time</w:t>
      </w:r>
      <w:r w:rsidRPr="00C06A7A">
        <w:rPr>
          <w:rFonts w:cs="Arial"/>
        </w:rPr>
        <w:t xml:space="preserve"> to impose any parameters regarding the use of ‘sustainable’ in a fund name as it pre-empts the Commission’s response. Setting a quantitative threshold where the underlying definition is unclear and there is </w:t>
      </w:r>
      <w:r w:rsidRPr="00C06A7A">
        <w:rPr>
          <w:rFonts w:cs="Arial"/>
          <w:b/>
          <w:bCs/>
        </w:rPr>
        <w:t>no level playing field across products will not address greenwashing</w:t>
      </w:r>
      <w:r w:rsidRPr="00C06A7A">
        <w:rPr>
          <w:rFonts w:cs="Arial"/>
        </w:rPr>
        <w:t xml:space="preserve">. We believe it makes more sense to set numerical thresholds once sustainable investments have been better defined, including their calculation methods. </w:t>
      </w:r>
    </w:p>
    <w:p w14:paraId="4278AAA9" w14:textId="710E782A" w:rsidR="00D83F31" w:rsidRPr="00C06A7A" w:rsidRDefault="00CD0DF1" w:rsidP="00D83F31">
      <w:pPr>
        <w:spacing w:after="240" w:line="276" w:lineRule="auto"/>
        <w:jc w:val="both"/>
        <w:rPr>
          <w:rFonts w:cs="Arial"/>
        </w:rPr>
      </w:pPr>
      <w:r w:rsidRPr="00C06A7A">
        <w:rPr>
          <w:rFonts w:cs="Arial"/>
        </w:rPr>
        <w:t xml:space="preserve">So, detailed guidance on fund names, if needed, should not be prior to the </w:t>
      </w:r>
      <w:r w:rsidR="00344953" w:rsidRPr="00C06A7A">
        <w:rPr>
          <w:rFonts w:cs="Arial"/>
        </w:rPr>
        <w:t>wide-ranging</w:t>
      </w:r>
      <w:r w:rsidRPr="00C06A7A">
        <w:rPr>
          <w:rFonts w:cs="Arial"/>
        </w:rPr>
        <w:t xml:space="preserve"> debate that SFDR</w:t>
      </w:r>
      <w:r w:rsidR="00D83F31" w:rsidRPr="00C06A7A">
        <w:rPr>
          <w:rFonts w:cs="Arial"/>
        </w:rPr>
        <w:t xml:space="preserve"> </w:t>
      </w:r>
      <w:r w:rsidR="00D83F31" w:rsidRPr="00C06A7A">
        <w:rPr>
          <w:rFonts w:cs="Arial"/>
        </w:rPr>
        <w:t xml:space="preserve">must undergo. Or at least these Guidelines should be delayed until further regulatory guidance and interpretation issues are solved, particularly when one of the thresholds’ cornerstones is, as mentioned before, a concept that is still pending clarification. Temporary solutions that are not aligned with potential changes to SFDR are not only time and resource-consuming, but also entail undue reputational risks and wariness towards the fund market. </w:t>
      </w:r>
    </w:p>
    <w:p w14:paraId="2A37DF80" w14:textId="77777777" w:rsidR="00D83F31" w:rsidRPr="00C06A7A" w:rsidRDefault="00D83F31" w:rsidP="00D83F31">
      <w:pPr>
        <w:spacing w:line="276" w:lineRule="auto"/>
        <w:jc w:val="both"/>
        <w:rPr>
          <w:rFonts w:cs="Arial"/>
          <w:b/>
          <w:bCs/>
          <w:i/>
          <w:iCs/>
          <w:color w:val="948A54" w:themeColor="background2" w:themeShade="80"/>
        </w:rPr>
      </w:pPr>
      <w:r w:rsidRPr="00C06A7A">
        <w:rPr>
          <w:rFonts w:cs="Arial"/>
          <w:b/>
          <w:bCs/>
          <w:i/>
          <w:iCs/>
          <w:color w:val="948A54" w:themeColor="background2" w:themeShade="80"/>
        </w:rPr>
        <w:t>Avoiding unharmonized supervision by NCAs</w:t>
      </w:r>
    </w:p>
    <w:p w14:paraId="3C85FDA1" w14:textId="060576DA" w:rsidR="00D83F31" w:rsidRPr="00C06A7A" w:rsidRDefault="00D83F31" w:rsidP="00D83F31">
      <w:pPr>
        <w:jc w:val="both"/>
        <w:rPr>
          <w:rFonts w:cs="Arial"/>
        </w:rPr>
      </w:pPr>
      <w:r w:rsidRPr="00C06A7A">
        <w:rPr>
          <w:rFonts w:cs="Arial"/>
        </w:rPr>
        <w:t xml:space="preserve">At the same time, national competent authorities (NCAs) are already diverging in their supervision approaches of fund names in response to the principles-based guidance provided by the ESMA supervisory briefing on sustainability risks and disclosures </w:t>
      </w:r>
      <w:proofErr w:type="gramStart"/>
      <w:r w:rsidRPr="00C06A7A">
        <w:rPr>
          <w:rFonts w:cs="Arial"/>
        </w:rPr>
        <w:t>in the area of</w:t>
      </w:r>
      <w:proofErr w:type="gramEnd"/>
      <w:r w:rsidRPr="00C06A7A">
        <w:rPr>
          <w:rFonts w:cs="Arial"/>
        </w:rPr>
        <w:t xml:space="preserve"> investment management. In this regard, we recommend a coherent approach by ESMA to ensure that NCAs do not provide more detailed guidance leading to unharmonized supervision (</w:t>
      </w:r>
      <w:proofErr w:type="gramStart"/>
      <w:r w:rsidRPr="00C06A7A">
        <w:rPr>
          <w:rFonts w:cs="Arial"/>
        </w:rPr>
        <w:t>e.g.</w:t>
      </w:r>
      <w:proofErr w:type="gramEnd"/>
      <w:r w:rsidRPr="00C06A7A">
        <w:rPr>
          <w:rFonts w:cs="Arial"/>
        </w:rPr>
        <w:t xml:space="preserve"> existing local rules in France, Germany, or potential rules in Belgium</w:t>
      </w:r>
      <w:r w:rsidR="003D76FF" w:rsidRPr="00C06A7A">
        <w:rPr>
          <w:rFonts w:cs="Arial"/>
        </w:rPr>
        <w:t>), eventually</w:t>
      </w:r>
      <w:r w:rsidRPr="00C06A7A">
        <w:rPr>
          <w:rFonts w:cs="Arial"/>
        </w:rPr>
        <w:t xml:space="preserve"> leading to an ineffective market with additional costs be borne by the end clients. </w:t>
      </w:r>
    </w:p>
    <w:p w14:paraId="040BB817" w14:textId="77777777" w:rsidR="003C1F96" w:rsidRPr="00C06A7A" w:rsidRDefault="003C1F96" w:rsidP="003C1F96">
      <w:pPr>
        <w:spacing w:line="276" w:lineRule="auto"/>
        <w:jc w:val="both"/>
        <w:rPr>
          <w:rFonts w:cs="Arial"/>
        </w:rPr>
      </w:pPr>
      <w:r w:rsidRPr="00C06A7A">
        <w:rPr>
          <w:rFonts w:cs="Arial"/>
        </w:rPr>
        <w:t>Besides the ESMA guidelines being compatible with SDFR, in an ideal world they should also not conflict with foreign local regulatory requirements (</w:t>
      </w:r>
      <w:proofErr w:type="gramStart"/>
      <w:r w:rsidRPr="00C06A7A">
        <w:rPr>
          <w:rFonts w:cs="Arial"/>
        </w:rPr>
        <w:t>e.g.</w:t>
      </w:r>
      <w:proofErr w:type="gramEnd"/>
      <w:r w:rsidRPr="00C06A7A">
        <w:rPr>
          <w:rFonts w:cs="Arial"/>
        </w:rPr>
        <w:t xml:space="preserve"> UK Sustainability Disclosure Requirements (SDR) and investment labels). In our view, it is important that ESMA’s proposed new requirements do not limit/impede the cross-border distribution of EU funds outside the EU and do not affect the competitiveness of the EU asset management industry. </w:t>
      </w:r>
    </w:p>
    <w:p w14:paraId="50A1F3F1" w14:textId="77777777" w:rsidR="003C1F96" w:rsidRPr="00C06A7A" w:rsidRDefault="003C1F96" w:rsidP="003C1F96">
      <w:pPr>
        <w:spacing w:line="276" w:lineRule="auto"/>
        <w:jc w:val="both"/>
        <w:rPr>
          <w:rFonts w:cs="Arial"/>
        </w:rPr>
      </w:pPr>
    </w:p>
    <w:p w14:paraId="7018371F" w14:textId="77777777" w:rsidR="003C1F96" w:rsidRPr="00C06A7A" w:rsidRDefault="003C1F96" w:rsidP="003C1F96">
      <w:pPr>
        <w:pStyle w:val="Default"/>
        <w:spacing w:after="175" w:line="276" w:lineRule="auto"/>
        <w:jc w:val="both"/>
        <w:rPr>
          <w:rFonts w:ascii="Arial" w:hAnsi="Arial" w:cs="Arial"/>
          <w:b/>
          <w:bCs/>
          <w:i/>
          <w:iCs/>
          <w:color w:val="4F81BD" w:themeColor="accent1"/>
          <w:sz w:val="22"/>
          <w:szCs w:val="22"/>
          <w:lang w:val="en-GB"/>
        </w:rPr>
      </w:pPr>
      <w:r w:rsidRPr="00C06A7A">
        <w:rPr>
          <w:rFonts w:ascii="Arial" w:hAnsi="Arial" w:cs="Arial"/>
          <w:b/>
          <w:bCs/>
          <w:i/>
          <w:iCs/>
          <w:color w:val="4F81BD" w:themeColor="accent1"/>
          <w:sz w:val="22"/>
          <w:szCs w:val="22"/>
          <w:lang w:val="en-GB"/>
        </w:rPr>
        <w:t>MiFID Delegated Regulation and Directive</w:t>
      </w:r>
    </w:p>
    <w:p w14:paraId="6C07808B" w14:textId="77777777" w:rsidR="003C1F96" w:rsidRPr="00C06A7A" w:rsidRDefault="003C1F96" w:rsidP="003C1F96">
      <w:pPr>
        <w:pStyle w:val="Default"/>
        <w:spacing w:after="30" w:line="276" w:lineRule="auto"/>
        <w:jc w:val="both"/>
        <w:rPr>
          <w:rFonts w:ascii="Arial" w:hAnsi="Arial" w:cs="Arial"/>
          <w:color w:val="auto"/>
          <w:sz w:val="22"/>
          <w:szCs w:val="22"/>
          <w:lang w:val="en-GB"/>
        </w:rPr>
      </w:pPr>
      <w:r w:rsidRPr="00C06A7A">
        <w:rPr>
          <w:rFonts w:ascii="Arial" w:hAnsi="Arial" w:cs="Arial"/>
          <w:color w:val="auto"/>
          <w:sz w:val="22"/>
          <w:szCs w:val="22"/>
          <w:lang w:val="en-GB"/>
        </w:rPr>
        <w:t xml:space="preserve">MiFID/IDD requirements of “sustainability preferences” add another layer of regulation and create further confusion. As such, </w:t>
      </w:r>
      <w:proofErr w:type="spellStart"/>
      <w:r w:rsidRPr="00C06A7A">
        <w:rPr>
          <w:rFonts w:ascii="Arial" w:hAnsi="Arial" w:cs="Arial"/>
          <w:color w:val="auto"/>
          <w:sz w:val="22"/>
          <w:szCs w:val="22"/>
          <w:lang w:val="en-GB"/>
        </w:rPr>
        <w:t>i</w:t>
      </w:r>
      <w:proofErr w:type="spellEnd"/>
      <w:r w:rsidRPr="00C06A7A">
        <w:rPr>
          <w:rFonts w:ascii="Arial" w:hAnsi="Arial" w:cs="Arial"/>
          <w:color w:val="auto"/>
          <w:sz w:val="22"/>
          <w:szCs w:val="22"/>
          <w:lang w:val="en-GB"/>
        </w:rPr>
        <w:t xml:space="preserve">) clients indicating sustainability preferences under MiFID/IDD may be recommended a product that considers Principal Adverse Impacts (PAIs) to meet sustainability preferences, even though this product may not be labelled as ‘Sustainable’ under the Guidelines; or ii) clients indicating sustainability preferences under MiFID may be recommended a product that considers EU Taxonomy (Taxonomy) alignment to meet sustainability preferences, even though this product may not be labelled as ‘Sustainable’ or ‘ESG’ under the Guidelines. </w:t>
      </w:r>
    </w:p>
    <w:p w14:paraId="76DB3E11" w14:textId="77777777" w:rsidR="003C1F96" w:rsidRPr="00C06A7A" w:rsidRDefault="003C1F96" w:rsidP="003C1F96">
      <w:pPr>
        <w:pStyle w:val="Default"/>
        <w:spacing w:after="30" w:line="276" w:lineRule="auto"/>
        <w:jc w:val="both"/>
        <w:rPr>
          <w:rFonts w:ascii="Arial" w:hAnsi="Arial" w:cs="Arial"/>
          <w:color w:val="auto"/>
          <w:sz w:val="22"/>
          <w:szCs w:val="22"/>
          <w:lang w:val="en-GB"/>
        </w:rPr>
      </w:pPr>
      <w:r w:rsidRPr="00C06A7A">
        <w:rPr>
          <w:rFonts w:ascii="Arial" w:hAnsi="Arial" w:cs="Arial"/>
          <w:color w:val="auto"/>
          <w:sz w:val="22"/>
          <w:szCs w:val="22"/>
          <w:lang w:val="en-GB"/>
        </w:rPr>
        <w:t>We are concerned that this lack of interoperability will be misleading for investors wanting to invest sustainably in Europe and make it very challenging for asset managers, distributors, and advisors to clearly explain products with sustainability features to investors.</w:t>
      </w:r>
    </w:p>
    <w:p w14:paraId="53E90FD4" w14:textId="77777777" w:rsidR="003C1F96" w:rsidRPr="00C06A7A" w:rsidRDefault="003C1F96" w:rsidP="003C1F96">
      <w:pPr>
        <w:pStyle w:val="Default"/>
        <w:spacing w:after="30" w:line="276" w:lineRule="auto"/>
        <w:jc w:val="both"/>
        <w:rPr>
          <w:rFonts w:ascii="Arial" w:hAnsi="Arial" w:cs="Arial"/>
          <w:color w:val="auto"/>
          <w:sz w:val="22"/>
          <w:szCs w:val="22"/>
          <w:lang w:val="en-GB"/>
        </w:rPr>
      </w:pPr>
    </w:p>
    <w:p w14:paraId="2F112962" w14:textId="77777777" w:rsidR="003C1F96" w:rsidRPr="00C06A7A" w:rsidRDefault="003C1F96" w:rsidP="003C1F96">
      <w:pPr>
        <w:pStyle w:val="Default"/>
        <w:spacing w:after="30" w:line="276" w:lineRule="auto"/>
        <w:jc w:val="both"/>
        <w:rPr>
          <w:rFonts w:ascii="Arial" w:hAnsi="Arial" w:cs="Arial"/>
          <w:color w:val="auto"/>
          <w:sz w:val="22"/>
          <w:szCs w:val="22"/>
          <w:lang w:val="en-GB"/>
        </w:rPr>
      </w:pPr>
      <w:r w:rsidRPr="00C06A7A">
        <w:rPr>
          <w:rFonts w:ascii="Arial" w:hAnsi="Arial" w:cs="Arial"/>
          <w:color w:val="auto"/>
          <w:sz w:val="22"/>
          <w:szCs w:val="22"/>
          <w:lang w:val="en-GB"/>
        </w:rPr>
        <w:t xml:space="preserve">We strongly urge ESMA to </w:t>
      </w:r>
      <w:r w:rsidRPr="00C06A7A">
        <w:rPr>
          <w:rFonts w:ascii="Arial" w:hAnsi="Arial" w:cs="Arial"/>
          <w:b/>
          <w:bCs/>
          <w:color w:val="auto"/>
          <w:sz w:val="22"/>
          <w:szCs w:val="22"/>
          <w:lang w:val="en-GB"/>
        </w:rPr>
        <w:t>delay the Guidelines until ESMA and the European Commission can resolve the interoperability issues between MiFID, SFDR and the Guidelines.</w:t>
      </w:r>
      <w:r w:rsidRPr="00C06A7A">
        <w:rPr>
          <w:rFonts w:ascii="Arial" w:hAnsi="Arial" w:cs="Arial"/>
          <w:color w:val="auto"/>
          <w:sz w:val="22"/>
          <w:szCs w:val="22"/>
          <w:lang w:val="en-GB"/>
        </w:rPr>
        <w:t xml:space="preserve"> </w:t>
      </w:r>
    </w:p>
    <w:p w14:paraId="406D679F" w14:textId="77777777" w:rsidR="003C1F96" w:rsidRPr="00C06A7A" w:rsidRDefault="003C1F96" w:rsidP="003C1F96">
      <w:pPr>
        <w:pStyle w:val="Default"/>
        <w:spacing w:before="240" w:after="175" w:line="276" w:lineRule="auto"/>
        <w:jc w:val="both"/>
        <w:rPr>
          <w:rFonts w:ascii="Arial" w:hAnsi="Arial" w:cs="Arial"/>
          <w:b/>
          <w:bCs/>
          <w:i/>
          <w:iCs/>
          <w:color w:val="4F81BD" w:themeColor="accent1"/>
          <w:sz w:val="22"/>
          <w:szCs w:val="22"/>
          <w:lang w:val="en-GB"/>
        </w:rPr>
      </w:pPr>
      <w:r w:rsidRPr="00C06A7A">
        <w:rPr>
          <w:rFonts w:ascii="Arial" w:hAnsi="Arial" w:cs="Arial"/>
          <w:b/>
          <w:bCs/>
          <w:i/>
          <w:iCs/>
          <w:color w:val="4F81BD" w:themeColor="accent1"/>
          <w:sz w:val="22"/>
          <w:szCs w:val="22"/>
          <w:lang w:val="en-GB"/>
        </w:rPr>
        <w:t>Other regulatory developments</w:t>
      </w:r>
    </w:p>
    <w:p w14:paraId="402D227E" w14:textId="77777777" w:rsidR="003C1F96" w:rsidRPr="00C06A7A" w:rsidRDefault="003C1F96" w:rsidP="003C1F96">
      <w:pPr>
        <w:spacing w:line="276" w:lineRule="auto"/>
        <w:jc w:val="both"/>
        <w:rPr>
          <w:rFonts w:cs="Arial"/>
        </w:rPr>
      </w:pPr>
      <w:r w:rsidRPr="00C06A7A">
        <w:rPr>
          <w:rFonts w:cs="Arial"/>
        </w:rPr>
        <w:t xml:space="preserve">A </w:t>
      </w:r>
      <w:r w:rsidRPr="00C06A7A">
        <w:rPr>
          <w:rFonts w:cs="Arial"/>
          <w:b/>
          <w:bCs/>
        </w:rPr>
        <w:t>reform of the SFDR</w:t>
      </w:r>
      <w:r w:rsidRPr="00C06A7A">
        <w:rPr>
          <w:rFonts w:cs="Arial"/>
        </w:rPr>
        <w:t xml:space="preserve"> is expected, leading to binding requirements for product design and fund naming. The Sustainable Finance strategy planned to determine </w:t>
      </w:r>
      <w:r w:rsidRPr="00C06A7A">
        <w:rPr>
          <w:rFonts w:cs="Arial"/>
          <w:b/>
          <w:bCs/>
        </w:rPr>
        <w:t>minimum criteria for art.8</w:t>
      </w:r>
      <w:r w:rsidRPr="00C06A7A">
        <w:rPr>
          <w:rFonts w:cs="Arial"/>
        </w:rPr>
        <w:t xml:space="preserve"> (as indicated in ESMA’s</w:t>
      </w:r>
      <w:r>
        <w:rPr>
          <w:rFonts w:cstheme="minorHAnsi"/>
        </w:rPr>
        <w:t xml:space="preserve"> roadmap), the initiated work about “</w:t>
      </w:r>
      <w:r w:rsidRPr="00D75902">
        <w:rPr>
          <w:rFonts w:cstheme="minorHAnsi"/>
          <w:b/>
          <w:bCs/>
        </w:rPr>
        <w:t>ESG benchmark” rules</w:t>
      </w:r>
      <w:r>
        <w:rPr>
          <w:rFonts w:cstheme="minorHAnsi"/>
        </w:rPr>
        <w:t xml:space="preserve"> whereby a benchmark could qualify as “ESG” </w:t>
      </w:r>
      <w:proofErr w:type="gramStart"/>
      <w:r w:rsidRPr="00C06A7A">
        <w:rPr>
          <w:rFonts w:cs="Arial"/>
        </w:rPr>
        <w:t>and also</w:t>
      </w:r>
      <w:proofErr w:type="gramEnd"/>
      <w:r w:rsidRPr="00C06A7A">
        <w:rPr>
          <w:rFonts w:cs="Arial"/>
        </w:rPr>
        <w:t xml:space="preserve"> the ESAs’ proposed </w:t>
      </w:r>
      <w:r w:rsidRPr="00C06A7A">
        <w:rPr>
          <w:rFonts w:cs="Arial"/>
          <w:b/>
          <w:bCs/>
        </w:rPr>
        <w:t>amendments to the SFDR RTS</w:t>
      </w:r>
      <w:r w:rsidRPr="00C06A7A">
        <w:rPr>
          <w:rFonts w:cs="Arial"/>
        </w:rPr>
        <w:t xml:space="preserve"> scheduled to be published by October 2023 </w:t>
      </w:r>
      <w:r w:rsidRPr="00C06A7A">
        <w:rPr>
          <w:rFonts w:cs="Arial"/>
        </w:rPr>
        <w:lastRenderedPageBreak/>
        <w:t xml:space="preserve">(at the earliest). All these future developments will very likely involve new changes in the investment strategy and/or the fund name and fund documentation. </w:t>
      </w:r>
    </w:p>
    <w:p w14:paraId="1E910C8C" w14:textId="77777777" w:rsidR="003C1F96" w:rsidRPr="00C06A7A" w:rsidRDefault="003C1F96" w:rsidP="003C1F96">
      <w:pPr>
        <w:spacing w:line="276" w:lineRule="auto"/>
        <w:jc w:val="both"/>
        <w:rPr>
          <w:rFonts w:cs="Arial"/>
        </w:rPr>
      </w:pPr>
      <w:r w:rsidRPr="00C06A7A">
        <w:rPr>
          <w:rFonts w:cs="Arial"/>
        </w:rPr>
        <w:t xml:space="preserve">From this perspective, Guidelines frontrunning these developments would create an excessive burden, confusion, and uncertainty for both the management companies and retail investors. </w:t>
      </w:r>
    </w:p>
    <w:p w14:paraId="2DD3EFD2" w14:textId="77777777" w:rsidR="008D4792" w:rsidRPr="00C06A7A" w:rsidRDefault="003C1F96" w:rsidP="008D4792">
      <w:pPr>
        <w:jc w:val="both"/>
        <w:rPr>
          <w:rFonts w:cs="Arial"/>
        </w:rPr>
      </w:pPr>
      <w:r w:rsidRPr="00C06A7A">
        <w:rPr>
          <w:rFonts w:cs="Arial"/>
        </w:rPr>
        <w:t xml:space="preserve">Moreover, the issue of the naming of funds is currently also being discussed </w:t>
      </w:r>
      <w:proofErr w:type="gramStart"/>
      <w:r w:rsidRPr="00C06A7A">
        <w:rPr>
          <w:rFonts w:cs="Arial"/>
        </w:rPr>
        <w:t>in the course of</w:t>
      </w:r>
      <w:proofErr w:type="gramEnd"/>
      <w:r w:rsidRPr="00C06A7A">
        <w:rPr>
          <w:rFonts w:cs="Arial"/>
        </w:rPr>
        <w:t xml:space="preserve"> the </w:t>
      </w:r>
      <w:r w:rsidRPr="00C06A7A">
        <w:rPr>
          <w:rFonts w:cs="Arial"/>
          <w:b/>
          <w:bCs/>
        </w:rPr>
        <w:t>reform of the AIFM Directive (AIFMD II) and the UCITS Directive</w:t>
      </w:r>
      <w:r w:rsidRPr="00C06A7A">
        <w:rPr>
          <w:rFonts w:cs="Arial"/>
        </w:rPr>
        <w:t>. The current compromise proposal of the European Parliament (as of January 2023) could serve as a gateway for sustainable fund naming if criteria for misleading names are developed. It must therefore be ensured that the negotiations on the AIFMD II/UCITS Directive are not conducted in isolation from the ESMA consultation. This would lead to considerable uncertainty and additional burdens for the industry, especially since the fund names also affect the investment strategy and the fund documentation. This is accompanied not least by uncertainty on the part of investors.</w:t>
      </w:r>
    </w:p>
    <w:p w14:paraId="4E65A05F" w14:textId="77777777" w:rsidR="008D4792" w:rsidRPr="00C06A7A" w:rsidRDefault="008D4792" w:rsidP="008D4792">
      <w:pPr>
        <w:jc w:val="both"/>
        <w:rPr>
          <w:rFonts w:cs="Arial"/>
        </w:rPr>
      </w:pPr>
    </w:p>
    <w:p w14:paraId="0BE1B11E" w14:textId="74C7A421" w:rsidR="009B57D9" w:rsidRPr="00C06A7A" w:rsidRDefault="009B57D9" w:rsidP="00FB5086">
      <w:pPr>
        <w:pStyle w:val="ListParagraph"/>
        <w:numPr>
          <w:ilvl w:val="0"/>
          <w:numId w:val="40"/>
        </w:numPr>
        <w:spacing w:line="276" w:lineRule="auto"/>
        <w:jc w:val="both"/>
        <w:rPr>
          <w:rFonts w:cs="Arial"/>
        </w:rPr>
      </w:pPr>
      <w:r w:rsidRPr="00C06A7A">
        <w:rPr>
          <w:rFonts w:cs="Arial"/>
          <w:b/>
          <w:i/>
          <w:iCs/>
          <w:color w:val="002060"/>
          <w:sz w:val="22"/>
          <w:szCs w:val="22"/>
          <w:lang w:val="en-US"/>
        </w:rPr>
        <w:t>Unintended consequences of the proposed thresholds</w:t>
      </w:r>
    </w:p>
    <w:p w14:paraId="7460FA06" w14:textId="77777777" w:rsidR="008D4792" w:rsidRPr="00C06A7A" w:rsidRDefault="009B57D9" w:rsidP="008D4792">
      <w:pPr>
        <w:jc w:val="both"/>
        <w:rPr>
          <w:rFonts w:cs="Arial"/>
        </w:rPr>
      </w:pPr>
      <w:r w:rsidRPr="00C06A7A">
        <w:rPr>
          <w:rFonts w:cs="Arial"/>
        </w:rPr>
        <w:t xml:space="preserve">Applying thresholds to fund names may present practical difficulties. Certain funds may routinely float near the barrier or fall below the threshold due to passive breaches. If there are frequent but temporary breaches, it would be infeasible to follow the trajectory of changing names. Changes in fund names may have to be processed in other fund documentation than the prospectus such as fact sheets, PRIIPs KIDs, in operational systems and applicable distribution channels. Furthermore, </w:t>
      </w:r>
      <w:proofErr w:type="gramStart"/>
      <w:r w:rsidRPr="00C06A7A">
        <w:rPr>
          <w:rFonts w:cs="Arial"/>
        </w:rPr>
        <w:t>frequent</w:t>
      </w:r>
      <w:proofErr w:type="gramEnd"/>
      <w:r w:rsidRPr="00C06A7A">
        <w:rPr>
          <w:rFonts w:cs="Arial"/>
        </w:rPr>
        <w:t xml:space="preserve"> and short-term changes to fund names could increase investor confusion.</w:t>
      </w:r>
    </w:p>
    <w:p w14:paraId="79E928A0" w14:textId="77777777" w:rsidR="008D4792" w:rsidRPr="00C06A7A" w:rsidRDefault="008D4792" w:rsidP="008D4792">
      <w:pPr>
        <w:jc w:val="both"/>
        <w:rPr>
          <w:rFonts w:cs="Arial"/>
        </w:rPr>
      </w:pPr>
    </w:p>
    <w:p w14:paraId="69187847" w14:textId="6FFA0042" w:rsidR="005617AC" w:rsidRPr="00C06A7A" w:rsidRDefault="005617AC" w:rsidP="00FB5086">
      <w:pPr>
        <w:pStyle w:val="ListParagraph"/>
        <w:numPr>
          <w:ilvl w:val="0"/>
          <w:numId w:val="40"/>
        </w:numPr>
        <w:spacing w:line="276" w:lineRule="auto"/>
        <w:jc w:val="both"/>
        <w:rPr>
          <w:rFonts w:cs="Arial"/>
        </w:rPr>
      </w:pPr>
      <w:r w:rsidRPr="00C06A7A">
        <w:rPr>
          <w:rFonts w:cs="Arial"/>
          <w:b/>
          <w:i/>
          <w:iCs/>
          <w:color w:val="002060"/>
          <w:sz w:val="22"/>
          <w:szCs w:val="22"/>
          <w:lang w:val="en-US"/>
        </w:rPr>
        <w:t xml:space="preserve">Lack of clarity </w:t>
      </w:r>
    </w:p>
    <w:p w14:paraId="6ACB35C6" w14:textId="77777777" w:rsidR="005617AC" w:rsidRPr="00C06A7A" w:rsidRDefault="005617AC" w:rsidP="005617AC">
      <w:pPr>
        <w:pStyle w:val="Default"/>
        <w:spacing w:after="175" w:line="276" w:lineRule="auto"/>
        <w:jc w:val="both"/>
        <w:rPr>
          <w:rFonts w:ascii="Arial" w:hAnsi="Arial" w:cs="Arial"/>
          <w:b/>
          <w:bCs/>
          <w:i/>
          <w:iCs/>
          <w:color w:val="4F81BD" w:themeColor="accent1"/>
          <w:sz w:val="22"/>
          <w:szCs w:val="22"/>
          <w:lang w:val="en-GB"/>
        </w:rPr>
      </w:pPr>
      <w:r w:rsidRPr="00C06A7A">
        <w:rPr>
          <w:rFonts w:ascii="Arial" w:hAnsi="Arial" w:cs="Arial"/>
          <w:b/>
          <w:bCs/>
          <w:i/>
          <w:iCs/>
          <w:color w:val="4F81BD" w:themeColor="accent1"/>
          <w:sz w:val="22"/>
          <w:szCs w:val="22"/>
          <w:lang w:val="en-GB"/>
        </w:rPr>
        <w:t xml:space="preserve">Different thresholds for “ESG” and “sustainability” related terms </w:t>
      </w:r>
    </w:p>
    <w:p w14:paraId="77CE2DD7" w14:textId="65F8E0C5" w:rsidR="000C677C" w:rsidRPr="00B34E8F" w:rsidRDefault="000C677C" w:rsidP="000C677C">
      <w:pPr>
        <w:pStyle w:val="Default"/>
        <w:spacing w:after="175"/>
        <w:jc w:val="both"/>
        <w:rPr>
          <w:rFonts w:ascii="Arial" w:hAnsi="Arial" w:cs="Arial"/>
          <w:bCs/>
          <w:color w:val="auto"/>
          <w:sz w:val="20"/>
          <w:szCs w:val="20"/>
          <w:lang w:val="en-US"/>
        </w:rPr>
      </w:pPr>
      <w:r w:rsidRPr="00B34E8F">
        <w:rPr>
          <w:rFonts w:ascii="Arial" w:hAnsi="Arial" w:cs="Arial"/>
          <w:bCs/>
          <w:color w:val="auto"/>
          <w:sz w:val="20"/>
          <w:szCs w:val="20"/>
          <w:lang w:val="en-US"/>
        </w:rPr>
        <w:t>W</w:t>
      </w:r>
      <w:r w:rsidRPr="00B34E8F">
        <w:rPr>
          <w:rFonts w:ascii="Arial" w:hAnsi="Arial" w:cs="Arial"/>
          <w:bCs/>
          <w:color w:val="auto"/>
          <w:sz w:val="20"/>
          <w:szCs w:val="20"/>
          <w:lang w:val="en-US"/>
        </w:rPr>
        <w:t>e believe that introducing two different thresholds for the use of “ESG” and “sustainable” may bring more confusion and complexity of understanding for retail investors. In addition, there is no reason to treat “sustainable” differently than other “ESG” terms, investors do not perceive a strong difference between these two terms. In other jurisdictions, like UK or USA, the use of “sustainable” does not have a special treatment. This is not the case for “impact”, a word that investors do perceive differently compared to other ESG/sustainable terms.</w:t>
      </w:r>
    </w:p>
    <w:p w14:paraId="7B6089D8" w14:textId="77777777" w:rsidR="007B73FA" w:rsidRPr="00E6513E" w:rsidRDefault="007B73FA" w:rsidP="007B73FA">
      <w:pPr>
        <w:pStyle w:val="Default"/>
        <w:spacing w:after="175" w:line="276" w:lineRule="auto"/>
        <w:jc w:val="both"/>
        <w:rPr>
          <w:rFonts w:ascii="Arial" w:hAnsi="Arial" w:cs="Arial"/>
          <w:b/>
          <w:bCs/>
          <w:i/>
          <w:iCs/>
          <w:color w:val="4F81BD" w:themeColor="accent1"/>
          <w:sz w:val="22"/>
          <w:szCs w:val="22"/>
          <w:lang w:val="en-GB"/>
        </w:rPr>
      </w:pPr>
      <w:r w:rsidRPr="00E6513E">
        <w:rPr>
          <w:rFonts w:ascii="Arial" w:hAnsi="Arial" w:cs="Arial"/>
          <w:b/>
          <w:bCs/>
          <w:i/>
          <w:iCs/>
          <w:color w:val="4F81BD" w:themeColor="accent1"/>
          <w:sz w:val="22"/>
          <w:szCs w:val="22"/>
          <w:lang w:val="en-GB"/>
        </w:rPr>
        <w:t>Threshold calculation</w:t>
      </w:r>
    </w:p>
    <w:p w14:paraId="41952851" w14:textId="77777777" w:rsidR="007B73FA" w:rsidRPr="002869CA" w:rsidRDefault="007B73FA" w:rsidP="007B73FA">
      <w:pPr>
        <w:pStyle w:val="Default"/>
        <w:spacing w:after="175" w:line="276" w:lineRule="auto"/>
        <w:jc w:val="both"/>
        <w:rPr>
          <w:rFonts w:ascii="Arial" w:hAnsi="Arial" w:cs="Arial"/>
          <w:color w:val="auto"/>
          <w:sz w:val="20"/>
          <w:szCs w:val="20"/>
          <w:lang w:val="en-GB"/>
        </w:rPr>
      </w:pPr>
      <w:r w:rsidRPr="002869CA">
        <w:rPr>
          <w:rFonts w:ascii="Arial" w:hAnsi="Arial" w:cs="Arial"/>
          <w:color w:val="auto"/>
          <w:sz w:val="20"/>
          <w:szCs w:val="20"/>
          <w:lang w:val="en-GB"/>
        </w:rPr>
        <w:t xml:space="preserve">In addition to the overarching issue of thresholds being inappropriate as a criterion for fund names, the proposed Guidelines lack </w:t>
      </w:r>
      <w:r w:rsidRPr="002869CA">
        <w:rPr>
          <w:rFonts w:ascii="Arial" w:hAnsi="Arial" w:cs="Arial"/>
          <w:b/>
          <w:bCs/>
          <w:color w:val="auto"/>
          <w:sz w:val="20"/>
          <w:szCs w:val="20"/>
          <w:lang w:val="en-GB"/>
        </w:rPr>
        <w:t>clarity on the threshold calculation methodology</w:t>
      </w:r>
      <w:r w:rsidRPr="002869CA">
        <w:rPr>
          <w:rFonts w:ascii="Arial" w:hAnsi="Arial" w:cs="Arial"/>
          <w:color w:val="auto"/>
          <w:sz w:val="20"/>
          <w:szCs w:val="20"/>
          <w:lang w:val="en-GB"/>
        </w:rPr>
        <w:t xml:space="preserve"> (numerator, denominator), and that goes prior to determining the level of the thresholds. As already mentioned above, the level of the SI proportion threshold (50%) cannot be set “in </w:t>
      </w:r>
      <w:proofErr w:type="spellStart"/>
      <w:r w:rsidRPr="002869CA">
        <w:rPr>
          <w:rFonts w:ascii="Arial" w:hAnsi="Arial" w:cs="Arial"/>
          <w:color w:val="auto"/>
          <w:sz w:val="20"/>
          <w:szCs w:val="20"/>
          <w:lang w:val="en-GB"/>
        </w:rPr>
        <w:t>abstracto</w:t>
      </w:r>
      <w:proofErr w:type="spellEnd"/>
      <w:r w:rsidRPr="002869CA">
        <w:rPr>
          <w:rFonts w:ascii="Arial" w:hAnsi="Arial" w:cs="Arial"/>
          <w:color w:val="auto"/>
          <w:sz w:val="20"/>
          <w:szCs w:val="20"/>
          <w:lang w:val="en-GB"/>
        </w:rPr>
        <w:t xml:space="preserve">” in the absence of a common definition of a SI. It should be aligned with the real economy stance, and relative to a single common definition. The same applies to the 80% threshold for an ESG name, which is also dependent upon a clear definition and calculation methodology of such threshold. </w:t>
      </w:r>
    </w:p>
    <w:p w14:paraId="12388737" w14:textId="77777777" w:rsidR="007B73FA" w:rsidRPr="002869CA" w:rsidRDefault="007B73FA" w:rsidP="007B73FA">
      <w:pPr>
        <w:spacing w:line="276" w:lineRule="auto"/>
        <w:jc w:val="both"/>
        <w:rPr>
          <w:rFonts w:cs="Arial"/>
          <w:szCs w:val="20"/>
        </w:rPr>
      </w:pPr>
      <w:r w:rsidRPr="002869CA">
        <w:rPr>
          <w:rFonts w:cs="Arial"/>
          <w:szCs w:val="20"/>
        </w:rPr>
        <w:t xml:space="preserve">In addition, the thresholds could prove challenging for </w:t>
      </w:r>
      <w:r w:rsidRPr="002869CA">
        <w:rPr>
          <w:rFonts w:cs="Arial"/>
          <w:b/>
          <w:bCs/>
          <w:szCs w:val="20"/>
        </w:rPr>
        <w:t>passive products</w:t>
      </w:r>
      <w:r w:rsidRPr="002869CA">
        <w:rPr>
          <w:rFonts w:cs="Arial"/>
          <w:szCs w:val="20"/>
        </w:rPr>
        <w:t xml:space="preserve"> that are reliant on benchmark providers, which are out of the scope of these rules.</w:t>
      </w:r>
    </w:p>
    <w:p w14:paraId="1914F9E5" w14:textId="77777777" w:rsidR="00567B18" w:rsidRPr="001B4ADB" w:rsidRDefault="00567B18" w:rsidP="00FB5086">
      <w:pPr>
        <w:pStyle w:val="ListParagraph"/>
        <w:widowControl w:val="0"/>
        <w:numPr>
          <w:ilvl w:val="0"/>
          <w:numId w:val="41"/>
        </w:numPr>
        <w:autoSpaceDE w:val="0"/>
        <w:autoSpaceDN w:val="0"/>
        <w:spacing w:line="276" w:lineRule="auto"/>
        <w:jc w:val="both"/>
        <w:rPr>
          <w:rFonts w:cstheme="minorHAnsi"/>
          <w:b/>
          <w:i/>
          <w:iCs/>
          <w:color w:val="002060"/>
        </w:rPr>
      </w:pPr>
      <w:r w:rsidRPr="001B4ADB">
        <w:rPr>
          <w:rFonts w:cstheme="minorHAnsi"/>
          <w:b/>
          <w:i/>
          <w:iCs/>
          <w:color w:val="002060"/>
        </w:rPr>
        <w:t xml:space="preserve">Level playing </w:t>
      </w:r>
      <w:proofErr w:type="gramStart"/>
      <w:r w:rsidRPr="001B4ADB">
        <w:rPr>
          <w:rFonts w:cstheme="minorHAnsi"/>
          <w:b/>
          <w:i/>
          <w:iCs/>
          <w:color w:val="002060"/>
        </w:rPr>
        <w:t>field</w:t>
      </w:r>
      <w:proofErr w:type="gramEnd"/>
    </w:p>
    <w:p w14:paraId="54C38009" w14:textId="77777777" w:rsidR="00567B18" w:rsidRDefault="00567B18" w:rsidP="00567B18">
      <w:pPr>
        <w:pStyle w:val="ListParagraph"/>
        <w:spacing w:line="276" w:lineRule="auto"/>
        <w:ind w:left="0"/>
        <w:jc w:val="both"/>
        <w:rPr>
          <w:rFonts w:cstheme="minorHAnsi"/>
        </w:rPr>
      </w:pPr>
    </w:p>
    <w:p w14:paraId="6B13BBCC" w14:textId="77777777" w:rsidR="00567B18" w:rsidRDefault="00567B18" w:rsidP="00567B18">
      <w:pPr>
        <w:pStyle w:val="ListParagraph"/>
        <w:spacing w:line="276" w:lineRule="auto"/>
        <w:ind w:left="0"/>
        <w:jc w:val="both"/>
        <w:rPr>
          <w:rFonts w:cstheme="minorHAnsi"/>
        </w:rPr>
      </w:pPr>
      <w:proofErr w:type="gramStart"/>
      <w:r>
        <w:rPr>
          <w:rFonts w:cstheme="minorHAnsi"/>
        </w:rPr>
        <w:t>Last but not least</w:t>
      </w:r>
      <w:proofErr w:type="gramEnd"/>
      <w:r>
        <w:rPr>
          <w:rFonts w:cstheme="minorHAnsi"/>
        </w:rPr>
        <w:t xml:space="preserve">, these guidelines raise </w:t>
      </w:r>
      <w:r w:rsidRPr="00022B91">
        <w:rPr>
          <w:rFonts w:cstheme="minorHAnsi"/>
          <w:b/>
        </w:rPr>
        <w:t xml:space="preserve">very important </w:t>
      </w:r>
      <w:r>
        <w:rPr>
          <w:rFonts w:cstheme="minorHAnsi"/>
          <w:b/>
        </w:rPr>
        <w:t>level-playing</w:t>
      </w:r>
      <w:r w:rsidRPr="00022B91">
        <w:rPr>
          <w:rFonts w:cstheme="minorHAnsi"/>
          <w:b/>
        </w:rPr>
        <w:t xml:space="preserve"> field issues in the EU distribution market</w:t>
      </w:r>
      <w:r>
        <w:rPr>
          <w:rFonts w:cstheme="minorHAnsi"/>
        </w:rPr>
        <w:t xml:space="preserve">. Naming guidelines should not apply solely to funds but to all financial products and instruments which would use ESG/sustainable/impact-related terms in their name (funds, </w:t>
      </w:r>
      <w:proofErr w:type="gramStart"/>
      <w:r>
        <w:rPr>
          <w:rFonts w:cstheme="minorHAnsi"/>
        </w:rPr>
        <w:t>SFDR,…</w:t>
      </w:r>
      <w:proofErr w:type="gramEnd"/>
      <w:r>
        <w:rPr>
          <w:rFonts w:cstheme="minorHAnsi"/>
        </w:rPr>
        <w:t xml:space="preserve">) and be marketed to retail. They should also apply to indexes so that fund managers (or other users) can align the name of the retail financial products referencing the index to the guidelines. </w:t>
      </w:r>
    </w:p>
    <w:p w14:paraId="6F187BD7" w14:textId="77777777" w:rsidR="00567B18" w:rsidRDefault="00567B18" w:rsidP="00567B18">
      <w:pPr>
        <w:pStyle w:val="ListParagraph"/>
        <w:spacing w:line="276" w:lineRule="auto"/>
        <w:ind w:left="0"/>
        <w:jc w:val="both"/>
        <w:rPr>
          <w:rFonts w:cstheme="minorHAnsi"/>
        </w:rPr>
      </w:pPr>
      <w:r>
        <w:rPr>
          <w:rFonts w:cstheme="minorHAnsi"/>
        </w:rPr>
        <w:t>We therefore urge ESMA to liaise with EBA and EIOPA, and to extend its guidelines to benchmark administrators (currently subject to BMR).</w:t>
      </w:r>
    </w:p>
    <w:p w14:paraId="1953D554" w14:textId="77777777" w:rsidR="00567B18" w:rsidRDefault="00567B18" w:rsidP="00567B18">
      <w:pPr>
        <w:pStyle w:val="ListParagraph"/>
        <w:spacing w:line="276" w:lineRule="auto"/>
        <w:ind w:left="0"/>
        <w:jc w:val="both"/>
        <w:rPr>
          <w:rFonts w:cstheme="minorHAnsi"/>
        </w:rPr>
      </w:pPr>
      <w:r>
        <w:rPr>
          <w:rFonts w:cstheme="minorHAnsi"/>
        </w:rPr>
        <w:t xml:space="preserve"> </w:t>
      </w:r>
    </w:p>
    <w:p w14:paraId="402BB27C" w14:textId="77777777" w:rsidR="00567B18" w:rsidRPr="00EA5559" w:rsidRDefault="00567B18" w:rsidP="00567B18">
      <w:pPr>
        <w:pStyle w:val="ListParagraph"/>
        <w:spacing w:line="276" w:lineRule="auto"/>
        <w:ind w:left="0"/>
        <w:jc w:val="both"/>
        <w:rPr>
          <w:rFonts w:cstheme="minorHAnsi"/>
        </w:rPr>
      </w:pPr>
      <w:r>
        <w:rPr>
          <w:rFonts w:cstheme="minorHAnsi"/>
        </w:rPr>
        <w:lastRenderedPageBreak/>
        <w:t xml:space="preserve">In addition, and </w:t>
      </w:r>
      <w:proofErr w:type="gramStart"/>
      <w:r>
        <w:rPr>
          <w:rFonts w:cstheme="minorHAnsi"/>
        </w:rPr>
        <w:t>as long as</w:t>
      </w:r>
      <w:proofErr w:type="gramEnd"/>
      <w:r>
        <w:rPr>
          <w:rFonts w:cstheme="minorHAnsi"/>
        </w:rPr>
        <w:t xml:space="preserve"> SFDR assessment is not completed and more clarity and consistency provided at EU level, these guidelines may not supersede local regimes, creating an additional layer of requirements for local funds and not solving the issue for cross border distribution.</w:t>
      </w:r>
    </w:p>
    <w:p w14:paraId="3FB2D67D" w14:textId="7B5FD1F1" w:rsidR="00DF4C89" w:rsidRPr="007B73FA" w:rsidRDefault="00DF4C89" w:rsidP="00CD0DF1">
      <w:pPr>
        <w:rPr>
          <w:rFonts w:cs="Arial"/>
        </w:rPr>
      </w:pPr>
    </w:p>
    <w:permEnd w:id="1596738700"/>
    <w:p w14:paraId="088B5A4D" w14:textId="77777777" w:rsidR="00B92885" w:rsidRDefault="00B92885" w:rsidP="00B92885">
      <w:r>
        <w:t>&lt;ESMA_QUESTION_FUNA_1&gt;</w:t>
      </w:r>
    </w:p>
    <w:p w14:paraId="651402EE" w14:textId="77777777" w:rsidR="00B92885" w:rsidRDefault="00B92885" w:rsidP="00B92885"/>
    <w:p w14:paraId="4BC13ED3" w14:textId="77777777" w:rsidR="00B92885" w:rsidRPr="00AA6F4F" w:rsidRDefault="00B92885" w:rsidP="00FB5086">
      <w:pPr>
        <w:pStyle w:val="Questionstyle"/>
        <w:numPr>
          <w:ilvl w:val="0"/>
          <w:numId w:val="37"/>
        </w:numPr>
      </w:pPr>
      <w:r>
        <w:t xml:space="preserve">: </w:t>
      </w:r>
      <w:bookmarkStart w:id="3" w:name="_Hlk119596330"/>
      <w:r w:rsidRPr="00AA6F4F">
        <w:t>Do you agree with the proposed threshold of 80% of the minimum proportion of investments for the use of any ESG-, or impact-related words in the name of a fund? If not, please explain why and provide an alternative proposal.</w:t>
      </w:r>
    </w:p>
    <w:bookmarkEnd w:id="3"/>
    <w:p w14:paraId="4F9400BD" w14:textId="77777777" w:rsidR="00B92885" w:rsidRDefault="00B92885" w:rsidP="00B92885">
      <w:r>
        <w:t>&lt;ESMA_QUESTION_FUNA_2&gt;</w:t>
      </w:r>
    </w:p>
    <w:p w14:paraId="36C4B7B9" w14:textId="665A5173" w:rsidR="00224B9D" w:rsidRPr="00E46A15" w:rsidRDefault="000F0056" w:rsidP="00224B9D">
      <w:pPr>
        <w:pStyle w:val="Default"/>
        <w:spacing w:after="175"/>
        <w:jc w:val="both"/>
        <w:rPr>
          <w:rFonts w:ascii="Arial" w:hAnsi="Arial" w:cs="Arial"/>
          <w:bCs/>
          <w:color w:val="auto"/>
          <w:sz w:val="20"/>
          <w:szCs w:val="20"/>
          <w:lang w:val="en-US"/>
        </w:rPr>
      </w:pPr>
      <w:permStart w:id="1305634831" w:edGrp="everyone"/>
      <w:r w:rsidRPr="00E46A15">
        <w:rPr>
          <w:rFonts w:ascii="Arial" w:hAnsi="Arial" w:cs="Arial"/>
          <w:bCs/>
          <w:color w:val="auto"/>
          <w:sz w:val="20"/>
          <w:szCs w:val="20"/>
          <w:lang w:val="en-US"/>
        </w:rPr>
        <w:t xml:space="preserve">Candriam </w:t>
      </w:r>
      <w:r w:rsidR="00224B9D" w:rsidRPr="00E46A15">
        <w:rPr>
          <w:rFonts w:ascii="Arial" w:hAnsi="Arial" w:cs="Arial"/>
          <w:bCs/>
          <w:color w:val="auto"/>
          <w:sz w:val="20"/>
          <w:szCs w:val="20"/>
          <w:lang w:val="en-US"/>
        </w:rPr>
        <w:t xml:space="preserve">believes the draft guideline relating to the 80% minimum proportion of investments used to meet the E/S characteristics of the product should bring more clarity to assess whether the 80% is appropriate. </w:t>
      </w:r>
    </w:p>
    <w:p w14:paraId="33C8F432" w14:textId="77777777" w:rsidR="00224B9D" w:rsidRPr="00E46A15" w:rsidRDefault="00224B9D" w:rsidP="00224B9D">
      <w:pPr>
        <w:pStyle w:val="Default"/>
        <w:spacing w:after="175"/>
        <w:jc w:val="both"/>
        <w:rPr>
          <w:rFonts w:ascii="Arial" w:hAnsi="Arial" w:cs="Arial"/>
          <w:bCs/>
          <w:color w:val="auto"/>
          <w:sz w:val="20"/>
          <w:szCs w:val="20"/>
          <w:lang w:val="en-US"/>
        </w:rPr>
      </w:pPr>
      <w:r w:rsidRPr="00E46A15">
        <w:rPr>
          <w:rFonts w:ascii="Arial" w:hAnsi="Arial" w:cs="Arial"/>
          <w:bCs/>
          <w:color w:val="auto"/>
          <w:sz w:val="20"/>
          <w:szCs w:val="20"/>
          <w:lang w:val="en-US"/>
        </w:rPr>
        <w:t>We understand the objective of ESMA to set ambitious thresholds to limit greenwashing allegations risks and avoid misleading information for investors. Nevertheless, we believe that requirements should be further clarified.</w:t>
      </w:r>
    </w:p>
    <w:p w14:paraId="3F4D00A6" w14:textId="31F38E28" w:rsidR="00224B9D" w:rsidRPr="00E46A15" w:rsidRDefault="00224B9D" w:rsidP="00FB5086">
      <w:pPr>
        <w:pStyle w:val="Default"/>
        <w:numPr>
          <w:ilvl w:val="0"/>
          <w:numId w:val="43"/>
        </w:numPr>
        <w:spacing w:after="175"/>
        <w:jc w:val="both"/>
        <w:rPr>
          <w:rFonts w:ascii="Arial" w:hAnsi="Arial" w:cs="Arial"/>
          <w:bCs/>
          <w:color w:val="auto"/>
          <w:sz w:val="20"/>
          <w:szCs w:val="20"/>
          <w:lang w:val="en-US"/>
        </w:rPr>
      </w:pPr>
      <w:r w:rsidRPr="00E46A15">
        <w:rPr>
          <w:rFonts w:ascii="Arial" w:hAnsi="Arial" w:cs="Arial"/>
          <w:bCs/>
          <w:color w:val="auto"/>
          <w:sz w:val="20"/>
          <w:szCs w:val="20"/>
          <w:lang w:val="en-US"/>
        </w:rPr>
        <w:t>there could be an inconsistency between the proposed level of the threshold (</w:t>
      </w:r>
      <w:proofErr w:type="gramStart"/>
      <w:r w:rsidRPr="00E46A15">
        <w:rPr>
          <w:rFonts w:ascii="Arial" w:hAnsi="Arial" w:cs="Arial"/>
          <w:bCs/>
          <w:color w:val="auto"/>
          <w:sz w:val="20"/>
          <w:szCs w:val="20"/>
          <w:lang w:val="en-US"/>
        </w:rPr>
        <w:t>i.e.</w:t>
      </w:r>
      <w:proofErr w:type="gramEnd"/>
      <w:r w:rsidRPr="00E46A15">
        <w:rPr>
          <w:rFonts w:ascii="Arial" w:hAnsi="Arial" w:cs="Arial"/>
          <w:bCs/>
          <w:color w:val="auto"/>
          <w:sz w:val="20"/>
          <w:szCs w:val="20"/>
          <w:lang w:val="en-US"/>
        </w:rPr>
        <w:t xml:space="preserve"> 80%) and the methodology</w:t>
      </w:r>
    </w:p>
    <w:p w14:paraId="081EBC05" w14:textId="77777777" w:rsidR="00224B9D" w:rsidRPr="00E46A15" w:rsidRDefault="00224B9D" w:rsidP="00224B9D">
      <w:pPr>
        <w:pStyle w:val="Default"/>
        <w:spacing w:after="175"/>
        <w:jc w:val="both"/>
        <w:rPr>
          <w:rFonts w:ascii="Arial" w:hAnsi="Arial" w:cs="Arial"/>
          <w:bCs/>
          <w:color w:val="auto"/>
          <w:sz w:val="20"/>
          <w:szCs w:val="20"/>
          <w:lang w:val="en-US"/>
        </w:rPr>
      </w:pPr>
      <w:r w:rsidRPr="00E46A15">
        <w:rPr>
          <w:rFonts w:ascii="Arial" w:hAnsi="Arial" w:cs="Arial"/>
          <w:bCs/>
          <w:color w:val="auto"/>
          <w:sz w:val="20"/>
          <w:szCs w:val="20"/>
          <w:lang w:val="en-US"/>
        </w:rPr>
        <w:t xml:space="preserve">If ESMA was to keep the level of the threshold at 80%, it should be clarified that cash and derivatives should be excluded from the ratio calculation. Indeed, in France, UCITS funds can hold up to 20% of cash (the maximum ancillary cash a UCITS funds may have in France), in that sense the 80% ESG characteristic is already out of reach. This threshold would also be incompatible with asset classes that cannot be compliant with ESG characteristics (portfolio diversification as well as multi-asset portfolios). In addition, this level can depend upon the category of assets (OECD vs </w:t>
      </w:r>
      <w:proofErr w:type="gramStart"/>
      <w:r w:rsidRPr="00E46A15">
        <w:rPr>
          <w:rFonts w:ascii="Arial" w:hAnsi="Arial" w:cs="Arial"/>
          <w:bCs/>
          <w:color w:val="auto"/>
          <w:sz w:val="20"/>
          <w:szCs w:val="20"/>
          <w:lang w:val="en-US"/>
        </w:rPr>
        <w:t>emerging,…</w:t>
      </w:r>
      <w:proofErr w:type="gramEnd"/>
      <w:r w:rsidRPr="00E46A15">
        <w:rPr>
          <w:rFonts w:ascii="Arial" w:hAnsi="Arial" w:cs="Arial"/>
          <w:bCs/>
          <w:color w:val="auto"/>
          <w:sz w:val="20"/>
          <w:szCs w:val="20"/>
          <w:lang w:val="en-US"/>
        </w:rPr>
        <w:t>).</w:t>
      </w:r>
    </w:p>
    <w:p w14:paraId="1E1FCBE2" w14:textId="71CC1A20" w:rsidR="00224B9D" w:rsidRPr="00E46A15" w:rsidRDefault="00224B9D" w:rsidP="00224B9D">
      <w:pPr>
        <w:pStyle w:val="Default"/>
        <w:spacing w:after="175"/>
        <w:jc w:val="both"/>
        <w:rPr>
          <w:rFonts w:ascii="Arial" w:hAnsi="Arial" w:cs="Arial"/>
          <w:bCs/>
          <w:color w:val="auto"/>
          <w:sz w:val="20"/>
          <w:szCs w:val="20"/>
          <w:lang w:val="en-US"/>
        </w:rPr>
      </w:pPr>
      <w:r w:rsidRPr="00E46A15">
        <w:rPr>
          <w:rFonts w:ascii="Arial" w:hAnsi="Arial" w:cs="Arial"/>
          <w:bCs/>
          <w:color w:val="auto"/>
          <w:sz w:val="20"/>
          <w:szCs w:val="20"/>
          <w:lang w:val="en-US"/>
        </w:rPr>
        <w:t xml:space="preserve">Therefore, </w:t>
      </w:r>
      <w:r w:rsidR="005B089A" w:rsidRPr="00E46A15">
        <w:rPr>
          <w:rFonts w:ascii="Arial" w:hAnsi="Arial" w:cs="Arial"/>
          <w:bCs/>
          <w:color w:val="auto"/>
          <w:sz w:val="20"/>
          <w:szCs w:val="20"/>
          <w:lang w:val="en-US"/>
        </w:rPr>
        <w:t xml:space="preserve">we support the </w:t>
      </w:r>
      <w:r w:rsidRPr="00E46A15">
        <w:rPr>
          <w:rFonts w:ascii="Arial" w:hAnsi="Arial" w:cs="Arial"/>
          <w:bCs/>
          <w:color w:val="auto"/>
          <w:sz w:val="20"/>
          <w:szCs w:val="20"/>
          <w:lang w:val="en-US"/>
        </w:rPr>
        <w:t>following</w:t>
      </w:r>
      <w:r w:rsidR="00773805" w:rsidRPr="00E46A15">
        <w:rPr>
          <w:rFonts w:ascii="Arial" w:hAnsi="Arial" w:cs="Arial"/>
          <w:bCs/>
          <w:color w:val="auto"/>
          <w:sz w:val="20"/>
          <w:szCs w:val="20"/>
          <w:lang w:val="en-US"/>
        </w:rPr>
        <w:t xml:space="preserve"> considerations proposed by </w:t>
      </w:r>
      <w:proofErr w:type="gramStart"/>
      <w:r w:rsidR="00773805" w:rsidRPr="00E46A15">
        <w:rPr>
          <w:rFonts w:ascii="Arial" w:hAnsi="Arial" w:cs="Arial"/>
          <w:bCs/>
          <w:color w:val="auto"/>
          <w:sz w:val="20"/>
          <w:szCs w:val="20"/>
          <w:lang w:val="en-US"/>
        </w:rPr>
        <w:t xml:space="preserve">AFG </w:t>
      </w:r>
      <w:r w:rsidRPr="00E46A15">
        <w:rPr>
          <w:rFonts w:ascii="Arial" w:hAnsi="Arial" w:cs="Arial"/>
          <w:bCs/>
          <w:color w:val="auto"/>
          <w:sz w:val="20"/>
          <w:szCs w:val="20"/>
          <w:lang w:val="en-US"/>
        </w:rPr>
        <w:t>:</w:t>
      </w:r>
      <w:proofErr w:type="gramEnd"/>
      <w:r w:rsidRPr="00E46A15">
        <w:rPr>
          <w:rFonts w:ascii="Arial" w:hAnsi="Arial" w:cs="Arial"/>
          <w:bCs/>
          <w:color w:val="auto"/>
          <w:sz w:val="20"/>
          <w:szCs w:val="20"/>
          <w:lang w:val="en-US"/>
        </w:rPr>
        <w:t xml:space="preserve"> </w:t>
      </w:r>
    </w:p>
    <w:p w14:paraId="44DD5C31" w14:textId="77777777" w:rsidR="00224B9D" w:rsidRPr="00E46A15" w:rsidRDefault="00224B9D" w:rsidP="00FB5086">
      <w:pPr>
        <w:pStyle w:val="Default"/>
        <w:numPr>
          <w:ilvl w:val="0"/>
          <w:numId w:val="42"/>
        </w:numPr>
        <w:spacing w:after="175"/>
        <w:jc w:val="both"/>
        <w:rPr>
          <w:rFonts w:ascii="Arial" w:hAnsi="Arial" w:cs="Arial"/>
          <w:b/>
          <w:color w:val="auto"/>
          <w:sz w:val="20"/>
          <w:szCs w:val="20"/>
          <w:lang w:val="en-US"/>
        </w:rPr>
      </w:pPr>
      <w:r w:rsidRPr="00E46A15">
        <w:rPr>
          <w:rFonts w:ascii="Arial" w:hAnsi="Arial" w:cs="Arial"/>
          <w:b/>
          <w:color w:val="auto"/>
          <w:sz w:val="20"/>
          <w:szCs w:val="20"/>
          <w:lang w:val="en-US"/>
        </w:rPr>
        <w:t xml:space="preserve">The denominator </w:t>
      </w:r>
      <w:r w:rsidRPr="00E46A15">
        <w:rPr>
          <w:rFonts w:ascii="Arial" w:hAnsi="Arial" w:cs="Arial"/>
          <w:bCs/>
          <w:color w:val="auto"/>
          <w:sz w:val="20"/>
          <w:szCs w:val="20"/>
          <w:lang w:val="en-US"/>
        </w:rPr>
        <w:t>would be the exposure without cash and derivatives (</w:t>
      </w:r>
      <w:proofErr w:type="spellStart"/>
      <w:r w:rsidRPr="00E46A15">
        <w:rPr>
          <w:rFonts w:ascii="Arial" w:hAnsi="Arial" w:cs="Arial"/>
          <w:bCs/>
          <w:color w:val="auto"/>
          <w:sz w:val="20"/>
          <w:szCs w:val="20"/>
          <w:lang w:val="en-US"/>
        </w:rPr>
        <w:t>e.g</w:t>
      </w:r>
      <w:proofErr w:type="spellEnd"/>
      <w:r w:rsidRPr="00E46A15">
        <w:rPr>
          <w:rFonts w:ascii="Arial" w:hAnsi="Arial" w:cs="Arial"/>
          <w:bCs/>
          <w:color w:val="auto"/>
          <w:sz w:val="20"/>
          <w:szCs w:val="20"/>
          <w:lang w:val="en-US"/>
        </w:rPr>
        <w:t xml:space="preserve"> FX or market risk hedging).</w:t>
      </w:r>
    </w:p>
    <w:p w14:paraId="7B269B63" w14:textId="77777777" w:rsidR="00224B9D" w:rsidRPr="00E46A15" w:rsidRDefault="00224B9D" w:rsidP="00FB5086">
      <w:pPr>
        <w:pStyle w:val="Default"/>
        <w:numPr>
          <w:ilvl w:val="0"/>
          <w:numId w:val="42"/>
        </w:numPr>
        <w:spacing w:after="175"/>
        <w:jc w:val="both"/>
        <w:rPr>
          <w:rFonts w:ascii="Arial" w:hAnsi="Arial" w:cs="Arial"/>
          <w:bCs/>
          <w:color w:val="auto"/>
          <w:sz w:val="20"/>
          <w:szCs w:val="20"/>
          <w:lang w:val="en-US"/>
        </w:rPr>
      </w:pPr>
      <w:r w:rsidRPr="00E46A15">
        <w:rPr>
          <w:rFonts w:ascii="Arial" w:hAnsi="Arial" w:cs="Arial"/>
          <w:b/>
          <w:color w:val="auto"/>
          <w:sz w:val="20"/>
          <w:szCs w:val="20"/>
          <w:lang w:val="en-US"/>
        </w:rPr>
        <w:t xml:space="preserve">The numerator </w:t>
      </w:r>
      <w:r w:rsidRPr="00E46A15">
        <w:rPr>
          <w:rFonts w:ascii="Arial" w:hAnsi="Arial" w:cs="Arial"/>
          <w:bCs/>
          <w:color w:val="auto"/>
          <w:sz w:val="20"/>
          <w:szCs w:val="20"/>
          <w:lang w:val="en-US"/>
        </w:rPr>
        <w:t xml:space="preserve">would be the </w:t>
      </w:r>
      <w:r w:rsidRPr="00E46A15">
        <w:rPr>
          <w:rFonts w:ascii="Arial" w:hAnsi="Arial" w:cs="Arial"/>
          <w:b/>
          <w:color w:val="auto"/>
          <w:sz w:val="20"/>
          <w:szCs w:val="20"/>
          <w:lang w:val="en-US"/>
        </w:rPr>
        <w:t>exposure that contributes to meet the ESG characteristics of the fund</w:t>
      </w:r>
      <w:r w:rsidRPr="00E46A15">
        <w:rPr>
          <w:rFonts w:ascii="Arial" w:hAnsi="Arial" w:cs="Arial"/>
          <w:bCs/>
          <w:color w:val="auto"/>
          <w:sz w:val="20"/>
          <w:szCs w:val="20"/>
          <w:lang w:val="en-US"/>
        </w:rPr>
        <w:t xml:space="preserve">. For instance, depending on the ESG objective/strategy, this could mean all assets and </w:t>
      </w:r>
      <w:proofErr w:type="spellStart"/>
      <w:r w:rsidRPr="00E46A15">
        <w:rPr>
          <w:rFonts w:ascii="Arial" w:hAnsi="Arial" w:cs="Arial"/>
          <w:bCs/>
          <w:color w:val="auto"/>
          <w:sz w:val="20"/>
          <w:szCs w:val="20"/>
          <w:lang w:val="en-US"/>
        </w:rPr>
        <w:t>underlyings</w:t>
      </w:r>
      <w:proofErr w:type="spellEnd"/>
      <w:r w:rsidRPr="00E46A15">
        <w:rPr>
          <w:rFonts w:ascii="Arial" w:hAnsi="Arial" w:cs="Arial"/>
          <w:bCs/>
          <w:color w:val="auto"/>
          <w:sz w:val="20"/>
          <w:szCs w:val="20"/>
          <w:lang w:val="en-US"/>
        </w:rPr>
        <w:t xml:space="preserve"> that are subject to the assessment of a non-financial analysis or rating or ESG indicator in line with the strategy of the fund.</w:t>
      </w:r>
    </w:p>
    <w:p w14:paraId="13243222" w14:textId="77777777" w:rsidR="00224B9D" w:rsidRPr="00E46A15" w:rsidRDefault="00224B9D" w:rsidP="00FB5086">
      <w:pPr>
        <w:pStyle w:val="Default"/>
        <w:numPr>
          <w:ilvl w:val="0"/>
          <w:numId w:val="42"/>
        </w:numPr>
        <w:spacing w:after="175"/>
        <w:jc w:val="both"/>
        <w:rPr>
          <w:rFonts w:ascii="Arial" w:hAnsi="Arial" w:cs="Arial"/>
          <w:bCs/>
          <w:color w:val="auto"/>
          <w:sz w:val="20"/>
          <w:szCs w:val="20"/>
          <w:lang w:val="en-US"/>
        </w:rPr>
      </w:pPr>
      <w:bookmarkStart w:id="4" w:name="_Hlk126920330"/>
      <w:r w:rsidRPr="00E46A15">
        <w:rPr>
          <w:rFonts w:ascii="Arial" w:hAnsi="Arial" w:cs="Arial"/>
          <w:color w:val="auto"/>
          <w:sz w:val="20"/>
          <w:szCs w:val="20"/>
          <w:lang w:val="en-US"/>
        </w:rPr>
        <w:t>This ratio requirement should be</w:t>
      </w:r>
      <w:r w:rsidRPr="00E46A15">
        <w:rPr>
          <w:rFonts w:ascii="Arial" w:hAnsi="Arial" w:cs="Arial"/>
          <w:b/>
          <w:color w:val="auto"/>
          <w:sz w:val="20"/>
          <w:szCs w:val="20"/>
          <w:lang w:val="en-US"/>
        </w:rPr>
        <w:t xml:space="preserve"> coupled with an explicit ESG binding and measurable objective of the fund</w:t>
      </w:r>
      <w:r w:rsidRPr="00E46A15">
        <w:rPr>
          <w:rFonts w:ascii="Arial" w:hAnsi="Arial" w:cs="Arial"/>
          <w:bCs/>
          <w:color w:val="auto"/>
          <w:sz w:val="20"/>
          <w:szCs w:val="20"/>
          <w:lang w:val="en-US"/>
        </w:rPr>
        <w:t>. For example, the asset manager could be able to demonstrate that the fund has a better ESG profile than its investment universe / benchmark (</w:t>
      </w:r>
      <w:proofErr w:type="gramStart"/>
      <w:r w:rsidRPr="00E46A15">
        <w:rPr>
          <w:rFonts w:ascii="Arial" w:hAnsi="Arial" w:cs="Arial"/>
          <w:bCs/>
          <w:color w:val="auto"/>
          <w:sz w:val="20"/>
          <w:szCs w:val="20"/>
          <w:lang w:val="en-US"/>
        </w:rPr>
        <w:t>e.g.</w:t>
      </w:r>
      <w:proofErr w:type="gramEnd"/>
      <w:r w:rsidRPr="00E46A15">
        <w:rPr>
          <w:rFonts w:ascii="Arial" w:hAnsi="Arial" w:cs="Arial"/>
          <w:bCs/>
          <w:color w:val="auto"/>
          <w:sz w:val="20"/>
          <w:szCs w:val="20"/>
          <w:lang w:val="en-US"/>
        </w:rPr>
        <w:t xml:space="preserve"> ESG score of the fund versus benchmark, carbon footprint of the fund versus benchmark, or any other ESG KPI relevant for this strategy). In case the fund uses exclusion strategy, the asset manager could be able to demonstrate that the exclusions are relevant to this strategy and material compared to the investment universe.</w:t>
      </w:r>
    </w:p>
    <w:p w14:paraId="6EA3FDEB" w14:textId="77777777" w:rsidR="00224B9D" w:rsidRPr="00E46A15" w:rsidRDefault="00224B9D" w:rsidP="00224B9D">
      <w:pPr>
        <w:pStyle w:val="Default"/>
        <w:spacing w:after="175"/>
        <w:jc w:val="both"/>
        <w:rPr>
          <w:rFonts w:ascii="Arial" w:hAnsi="Arial" w:cs="Arial"/>
          <w:bCs/>
          <w:color w:val="auto"/>
          <w:sz w:val="20"/>
          <w:szCs w:val="20"/>
          <w:lang w:val="en-US"/>
        </w:rPr>
      </w:pPr>
      <w:r w:rsidRPr="00E46A15">
        <w:rPr>
          <w:rFonts w:ascii="Arial" w:hAnsi="Arial" w:cs="Arial"/>
          <w:b/>
          <w:color w:val="auto"/>
          <w:sz w:val="20"/>
          <w:szCs w:val="20"/>
          <w:lang w:val="en-US"/>
        </w:rPr>
        <w:t>This approach would be in line with ESMA interpretation of SFDR</w:t>
      </w:r>
      <w:r w:rsidRPr="00E46A15">
        <w:rPr>
          <w:rFonts w:ascii="Arial" w:hAnsi="Arial" w:cs="Arial"/>
          <w:bCs/>
          <w:color w:val="auto"/>
          <w:sz w:val="20"/>
          <w:szCs w:val="20"/>
          <w:lang w:val="en-US"/>
        </w:rPr>
        <w:t>. Indeed, during the hearing held by ESMA on 23</w:t>
      </w:r>
      <w:r w:rsidRPr="00E46A15">
        <w:rPr>
          <w:rFonts w:ascii="Arial" w:hAnsi="Arial" w:cs="Arial"/>
          <w:bCs/>
          <w:color w:val="auto"/>
          <w:sz w:val="20"/>
          <w:szCs w:val="20"/>
          <w:vertAlign w:val="superscript"/>
          <w:lang w:val="en-US"/>
        </w:rPr>
        <w:t>rd</w:t>
      </w:r>
      <w:r w:rsidRPr="00E46A15">
        <w:rPr>
          <w:rFonts w:ascii="Arial" w:hAnsi="Arial" w:cs="Arial"/>
          <w:bCs/>
          <w:color w:val="auto"/>
          <w:sz w:val="20"/>
          <w:szCs w:val="20"/>
          <w:lang w:val="en-US"/>
        </w:rPr>
        <w:t xml:space="preserve"> January, ESMA indicated that E/S characteristics can refer to the underlying investments (</w:t>
      </w:r>
      <w:proofErr w:type="spellStart"/>
      <w:r w:rsidRPr="00E46A15">
        <w:rPr>
          <w:rFonts w:ascii="Arial" w:hAnsi="Arial" w:cs="Arial"/>
          <w:bCs/>
          <w:color w:val="auto"/>
          <w:sz w:val="20"/>
          <w:szCs w:val="20"/>
          <w:lang w:val="en-US"/>
        </w:rPr>
        <w:t>eg.</w:t>
      </w:r>
      <w:proofErr w:type="spellEnd"/>
      <w:r w:rsidRPr="00E46A15">
        <w:rPr>
          <w:rFonts w:ascii="Arial" w:hAnsi="Arial" w:cs="Arial"/>
          <w:bCs/>
          <w:color w:val="auto"/>
          <w:sz w:val="20"/>
          <w:szCs w:val="20"/>
          <w:lang w:val="en-US"/>
        </w:rPr>
        <w:t xml:space="preserve"> investee companies have a net zero target) and/or the characteristics of the investment process. </w:t>
      </w:r>
    </w:p>
    <w:p w14:paraId="245109B9" w14:textId="77777777" w:rsidR="00224B9D" w:rsidRPr="00E46A15" w:rsidRDefault="00224B9D" w:rsidP="00224B9D">
      <w:pPr>
        <w:pStyle w:val="Default"/>
        <w:spacing w:after="175"/>
        <w:jc w:val="both"/>
        <w:rPr>
          <w:rFonts w:ascii="Arial" w:hAnsi="Arial" w:cs="Arial"/>
          <w:b/>
          <w:color w:val="auto"/>
          <w:sz w:val="20"/>
          <w:szCs w:val="20"/>
          <w:lang w:val="en-US"/>
        </w:rPr>
      </w:pPr>
      <w:r w:rsidRPr="00E46A15">
        <w:rPr>
          <w:rFonts w:ascii="Arial" w:hAnsi="Arial" w:cs="Arial"/>
          <w:bCs/>
          <w:color w:val="auto"/>
          <w:sz w:val="20"/>
          <w:szCs w:val="20"/>
          <w:lang w:val="en-US"/>
        </w:rPr>
        <w:t xml:space="preserve">Moreover, </w:t>
      </w:r>
      <w:r w:rsidRPr="00E46A15">
        <w:rPr>
          <w:rFonts w:ascii="Arial" w:hAnsi="Arial" w:cs="Arial"/>
          <w:b/>
          <w:color w:val="auto"/>
          <w:sz w:val="20"/>
          <w:szCs w:val="20"/>
          <w:lang w:val="en-US"/>
        </w:rPr>
        <w:t>the inclusion of a “binding and measurable objective” will tackle criticisms made towards the SFDR definition of “promotion of ESG characteristics” that is very wide.</w:t>
      </w:r>
    </w:p>
    <w:p w14:paraId="53EEC0AB" w14:textId="77777777" w:rsidR="00224B9D" w:rsidRPr="00E46A15" w:rsidRDefault="00224B9D" w:rsidP="00224B9D">
      <w:pPr>
        <w:pStyle w:val="Default"/>
        <w:spacing w:after="175"/>
        <w:jc w:val="both"/>
        <w:rPr>
          <w:rFonts w:ascii="Arial" w:hAnsi="Arial" w:cs="Arial"/>
          <w:bCs/>
          <w:color w:val="auto"/>
          <w:sz w:val="20"/>
          <w:szCs w:val="20"/>
          <w:lang w:val="en-US"/>
        </w:rPr>
      </w:pPr>
      <w:r w:rsidRPr="00E46A15">
        <w:rPr>
          <w:rFonts w:ascii="Arial" w:hAnsi="Arial" w:cs="Arial"/>
          <w:bCs/>
          <w:color w:val="auto"/>
          <w:sz w:val="20"/>
          <w:szCs w:val="20"/>
          <w:lang w:val="en-US"/>
        </w:rPr>
        <w:t>Would this approach not be retained by ESMA, a relative approach could also be considered instead of an absolute ratio (</w:t>
      </w:r>
      <w:proofErr w:type="gramStart"/>
      <w:r w:rsidRPr="00E46A15">
        <w:rPr>
          <w:rFonts w:ascii="Arial" w:hAnsi="Arial" w:cs="Arial"/>
          <w:bCs/>
          <w:color w:val="auto"/>
          <w:sz w:val="20"/>
          <w:szCs w:val="20"/>
          <w:lang w:val="en-US"/>
        </w:rPr>
        <w:t>e.g.</w:t>
      </w:r>
      <w:proofErr w:type="gramEnd"/>
      <w:r w:rsidRPr="00E46A15">
        <w:rPr>
          <w:rFonts w:ascii="Arial" w:hAnsi="Arial" w:cs="Arial"/>
          <w:bCs/>
          <w:color w:val="auto"/>
          <w:sz w:val="20"/>
          <w:szCs w:val="20"/>
          <w:lang w:val="en-US"/>
        </w:rPr>
        <w:t xml:space="preserve"> ensure that the ESG score of the fund is above its benchmark or its investment universe).</w:t>
      </w:r>
    </w:p>
    <w:p w14:paraId="09623E62" w14:textId="77777777" w:rsidR="00224B9D" w:rsidRPr="00E46A15" w:rsidRDefault="00224B9D" w:rsidP="00224B9D">
      <w:pPr>
        <w:pStyle w:val="Default"/>
        <w:spacing w:after="175"/>
        <w:jc w:val="both"/>
        <w:rPr>
          <w:rFonts w:ascii="Arial" w:hAnsi="Arial" w:cs="Arial"/>
          <w:bCs/>
          <w:color w:val="auto"/>
          <w:sz w:val="20"/>
          <w:szCs w:val="20"/>
          <w:lang w:val="en-US"/>
        </w:rPr>
      </w:pPr>
      <w:bookmarkStart w:id="5" w:name="_Hlk125559448"/>
      <w:bookmarkEnd w:id="4"/>
      <w:r w:rsidRPr="00E46A15">
        <w:rPr>
          <w:rFonts w:ascii="Arial" w:hAnsi="Arial" w:cs="Arial"/>
          <w:bCs/>
          <w:color w:val="auto"/>
          <w:sz w:val="20"/>
          <w:szCs w:val="20"/>
          <w:lang w:val="en-US"/>
        </w:rPr>
        <w:t>The following points should also be taken into consideration:</w:t>
      </w:r>
    </w:p>
    <w:bookmarkEnd w:id="5"/>
    <w:p w14:paraId="18FFFC69" w14:textId="77777777" w:rsidR="00224B9D" w:rsidRPr="00E46A15" w:rsidRDefault="00224B9D" w:rsidP="00FB5086">
      <w:pPr>
        <w:pStyle w:val="Default"/>
        <w:numPr>
          <w:ilvl w:val="0"/>
          <w:numId w:val="42"/>
        </w:numPr>
        <w:spacing w:after="60"/>
        <w:ind w:hanging="219"/>
        <w:jc w:val="both"/>
        <w:rPr>
          <w:rFonts w:ascii="Arial" w:hAnsi="Arial" w:cs="Arial"/>
          <w:bCs/>
          <w:color w:val="auto"/>
          <w:sz w:val="20"/>
          <w:szCs w:val="20"/>
          <w:lang w:val="en-US"/>
        </w:rPr>
      </w:pPr>
      <w:r w:rsidRPr="00E46A15">
        <w:rPr>
          <w:rFonts w:ascii="Arial" w:hAnsi="Arial" w:cs="Arial"/>
          <w:bCs/>
          <w:color w:val="auto"/>
          <w:sz w:val="20"/>
          <w:szCs w:val="20"/>
          <w:lang w:val="en-US"/>
        </w:rPr>
        <w:lastRenderedPageBreak/>
        <w:t xml:space="preserve">When it comes to </w:t>
      </w:r>
      <w:r w:rsidRPr="00E46A15">
        <w:rPr>
          <w:rFonts w:ascii="Arial" w:hAnsi="Arial" w:cs="Arial"/>
          <w:b/>
          <w:bCs/>
          <w:color w:val="auto"/>
          <w:sz w:val="20"/>
          <w:szCs w:val="20"/>
          <w:lang w:val="en-US"/>
        </w:rPr>
        <w:t>debt funds and private equity funds</w:t>
      </w:r>
      <w:r w:rsidRPr="00E46A15">
        <w:rPr>
          <w:rFonts w:ascii="Arial" w:hAnsi="Arial" w:cs="Arial"/>
          <w:bCs/>
          <w:color w:val="auto"/>
          <w:sz w:val="20"/>
          <w:szCs w:val="20"/>
          <w:lang w:val="en-US"/>
        </w:rPr>
        <w:t xml:space="preserve">, it should be made clear that the ratio to be considered for the name is the committed ratio at the end of the “investment period”. </w:t>
      </w:r>
    </w:p>
    <w:p w14:paraId="2F831493" w14:textId="77777777" w:rsidR="00224B9D" w:rsidRPr="00E46A15" w:rsidRDefault="00224B9D" w:rsidP="00224B9D">
      <w:pPr>
        <w:pStyle w:val="Default"/>
        <w:spacing w:after="60"/>
        <w:jc w:val="both"/>
        <w:rPr>
          <w:rFonts w:ascii="Arial" w:hAnsi="Arial" w:cs="Arial"/>
          <w:bCs/>
          <w:color w:val="auto"/>
          <w:sz w:val="20"/>
          <w:szCs w:val="20"/>
          <w:lang w:val="en-GB"/>
        </w:rPr>
      </w:pPr>
    </w:p>
    <w:p w14:paraId="52B9095E" w14:textId="77777777" w:rsidR="00224B9D" w:rsidRPr="00E46A15" w:rsidRDefault="00224B9D" w:rsidP="00FB5086">
      <w:pPr>
        <w:pStyle w:val="Default"/>
        <w:numPr>
          <w:ilvl w:val="0"/>
          <w:numId w:val="42"/>
        </w:numPr>
        <w:spacing w:after="60"/>
        <w:ind w:hanging="219"/>
        <w:jc w:val="both"/>
        <w:rPr>
          <w:rFonts w:ascii="Arial" w:hAnsi="Arial" w:cs="Arial"/>
          <w:bCs/>
          <w:color w:val="auto"/>
          <w:sz w:val="20"/>
          <w:szCs w:val="20"/>
          <w:lang w:val="en-US"/>
        </w:rPr>
      </w:pPr>
      <w:r w:rsidRPr="00E46A15">
        <w:rPr>
          <w:rFonts w:ascii="Arial" w:hAnsi="Arial" w:cs="Arial"/>
          <w:bCs/>
          <w:color w:val="auto"/>
          <w:sz w:val="20"/>
          <w:szCs w:val="20"/>
          <w:lang w:val="en-US"/>
        </w:rPr>
        <w:t xml:space="preserve">It should be made clear that </w:t>
      </w:r>
      <w:r w:rsidRPr="00E46A15">
        <w:rPr>
          <w:rFonts w:ascii="Arial" w:hAnsi="Arial" w:cs="Arial"/>
          <w:b/>
          <w:bCs/>
          <w:color w:val="auto"/>
          <w:sz w:val="20"/>
          <w:szCs w:val="20"/>
          <w:lang w:val="en-US"/>
        </w:rPr>
        <w:t xml:space="preserve">indicators </w:t>
      </w:r>
      <w:proofErr w:type="gramStart"/>
      <w:r w:rsidRPr="00E46A15">
        <w:rPr>
          <w:rFonts w:ascii="Arial" w:hAnsi="Arial" w:cs="Arial"/>
          <w:bCs/>
          <w:color w:val="auto"/>
          <w:sz w:val="20"/>
          <w:szCs w:val="20"/>
          <w:lang w:val="en-US"/>
        </w:rPr>
        <w:t>on the basis of</w:t>
      </w:r>
      <w:proofErr w:type="gramEnd"/>
      <w:r w:rsidRPr="00E46A15">
        <w:rPr>
          <w:rFonts w:ascii="Arial" w:hAnsi="Arial" w:cs="Arial"/>
          <w:bCs/>
          <w:color w:val="auto"/>
          <w:sz w:val="20"/>
          <w:szCs w:val="20"/>
          <w:lang w:val="en-US"/>
        </w:rPr>
        <w:t xml:space="preserve"> which the investments have been selected to meet the E/S requirements of the fund can be </w:t>
      </w:r>
      <w:r w:rsidRPr="00E46A15">
        <w:rPr>
          <w:rFonts w:ascii="Arial" w:hAnsi="Arial" w:cs="Arial"/>
          <w:b/>
          <w:bCs/>
          <w:color w:val="auto"/>
          <w:sz w:val="20"/>
          <w:szCs w:val="20"/>
          <w:lang w:val="en-US"/>
        </w:rPr>
        <w:t>reasonably estimated</w:t>
      </w:r>
      <w:r w:rsidRPr="00E46A15">
        <w:rPr>
          <w:rFonts w:ascii="Arial" w:hAnsi="Arial" w:cs="Arial"/>
          <w:bCs/>
          <w:color w:val="auto"/>
          <w:sz w:val="20"/>
          <w:szCs w:val="20"/>
          <w:lang w:val="en-US"/>
        </w:rPr>
        <w:t xml:space="preserve"> data, or based on estimated data (such as ratings)</w:t>
      </w:r>
    </w:p>
    <w:p w14:paraId="1FA93D4F" w14:textId="77777777" w:rsidR="00224B9D" w:rsidRPr="00E46A15" w:rsidRDefault="00224B9D" w:rsidP="00224B9D">
      <w:pPr>
        <w:pStyle w:val="Default"/>
        <w:spacing w:after="60"/>
        <w:ind w:left="786"/>
        <w:jc w:val="both"/>
        <w:rPr>
          <w:rFonts w:ascii="Arial" w:hAnsi="Arial" w:cs="Arial"/>
          <w:bCs/>
          <w:color w:val="auto"/>
          <w:sz w:val="20"/>
          <w:szCs w:val="20"/>
          <w:lang w:val="en-US"/>
        </w:rPr>
      </w:pPr>
    </w:p>
    <w:p w14:paraId="3AA1B13A" w14:textId="77777777" w:rsidR="00224B9D" w:rsidRPr="00E46A15" w:rsidRDefault="00224B9D" w:rsidP="00224B9D">
      <w:pPr>
        <w:pStyle w:val="Default"/>
        <w:spacing w:after="175"/>
        <w:ind w:left="786"/>
        <w:jc w:val="both"/>
        <w:rPr>
          <w:rFonts w:ascii="Arial" w:hAnsi="Arial" w:cs="Arial"/>
          <w:bCs/>
          <w:color w:val="auto"/>
          <w:sz w:val="20"/>
          <w:szCs w:val="20"/>
          <w:lang w:val="en-US"/>
        </w:rPr>
      </w:pPr>
      <w:r w:rsidRPr="00E46A15">
        <w:rPr>
          <w:rFonts w:ascii="Arial" w:hAnsi="Arial" w:cs="Arial"/>
          <w:bCs/>
          <w:color w:val="auto"/>
          <w:sz w:val="20"/>
          <w:szCs w:val="20"/>
          <w:lang w:val="en-US"/>
        </w:rPr>
        <w:t>As per guideline § 21, it is important to clarify that the threshold would apply in “normal circumstances” and thus a “passive breach” process would be applicable otherwise. This is in line with any other regulatory ratio applicable to UCITS and AIFs.</w:t>
      </w:r>
    </w:p>
    <w:p w14:paraId="6818DA61" w14:textId="77777777" w:rsidR="00224B9D" w:rsidRPr="00E46A15" w:rsidRDefault="00224B9D" w:rsidP="00FB5086">
      <w:pPr>
        <w:pStyle w:val="Default"/>
        <w:numPr>
          <w:ilvl w:val="0"/>
          <w:numId w:val="43"/>
        </w:numPr>
        <w:spacing w:after="175"/>
        <w:jc w:val="both"/>
        <w:rPr>
          <w:rFonts w:ascii="Arial" w:hAnsi="Arial" w:cs="Arial"/>
          <w:bCs/>
          <w:color w:val="auto"/>
          <w:sz w:val="20"/>
          <w:szCs w:val="20"/>
          <w:lang w:val="en-US"/>
        </w:rPr>
      </w:pPr>
      <w:r w:rsidRPr="00E46A15">
        <w:rPr>
          <w:rFonts w:ascii="Arial" w:hAnsi="Arial" w:cs="Arial"/>
          <w:bCs/>
          <w:color w:val="auto"/>
          <w:sz w:val="20"/>
          <w:szCs w:val="20"/>
          <w:lang w:val="en-US"/>
        </w:rPr>
        <w:t>In addition, guidelines</w:t>
      </w:r>
      <w:r w:rsidRPr="00E46A15">
        <w:rPr>
          <w:rFonts w:ascii="Arial" w:hAnsi="Arial" w:cs="Arial"/>
          <w:bCs/>
          <w:color w:val="auto"/>
          <w:sz w:val="20"/>
          <w:szCs w:val="20"/>
          <w:u w:val="single"/>
          <w:lang w:val="en-US"/>
        </w:rPr>
        <w:t xml:space="preserve"> </w:t>
      </w:r>
      <w:r w:rsidRPr="00E46A15">
        <w:rPr>
          <w:rFonts w:ascii="Arial" w:hAnsi="Arial" w:cs="Arial"/>
          <w:bCs/>
          <w:color w:val="auto"/>
          <w:sz w:val="20"/>
          <w:szCs w:val="20"/>
          <w:lang w:val="en-US"/>
        </w:rPr>
        <w:t xml:space="preserve">should define </w:t>
      </w:r>
      <w:r w:rsidRPr="00E46A15">
        <w:rPr>
          <w:rFonts w:ascii="Arial" w:hAnsi="Arial" w:cs="Arial"/>
          <w:b/>
          <w:bCs/>
          <w:color w:val="auto"/>
          <w:sz w:val="20"/>
          <w:szCs w:val="20"/>
          <w:lang w:val="en-US"/>
        </w:rPr>
        <w:t>what an “ESG-related” name means</w:t>
      </w:r>
      <w:r w:rsidRPr="00E46A15">
        <w:rPr>
          <w:rFonts w:ascii="Arial" w:hAnsi="Arial" w:cs="Arial"/>
          <w:bCs/>
          <w:color w:val="auto"/>
          <w:sz w:val="20"/>
          <w:szCs w:val="20"/>
          <w:lang w:val="en-US"/>
        </w:rPr>
        <w:t xml:space="preserve">. To this extent we propose the </w:t>
      </w:r>
      <w:proofErr w:type="gramStart"/>
      <w:r w:rsidRPr="00E46A15">
        <w:rPr>
          <w:rFonts w:ascii="Arial" w:hAnsi="Arial" w:cs="Arial"/>
          <w:bCs/>
          <w:color w:val="auto"/>
          <w:sz w:val="20"/>
          <w:szCs w:val="20"/>
          <w:lang w:val="en-US"/>
        </w:rPr>
        <w:t>following :</w:t>
      </w:r>
      <w:proofErr w:type="gramEnd"/>
      <w:r w:rsidRPr="00E46A15">
        <w:rPr>
          <w:rFonts w:ascii="Arial" w:hAnsi="Arial" w:cs="Arial"/>
          <w:bCs/>
          <w:color w:val="auto"/>
          <w:sz w:val="20"/>
          <w:szCs w:val="20"/>
          <w:lang w:val="en-US"/>
        </w:rPr>
        <w:t xml:space="preserve"> </w:t>
      </w:r>
    </w:p>
    <w:p w14:paraId="1C7EB30D" w14:textId="77777777" w:rsidR="00224B9D" w:rsidRPr="00E46A15" w:rsidRDefault="00224B9D" w:rsidP="00FB5086">
      <w:pPr>
        <w:pStyle w:val="Default"/>
        <w:numPr>
          <w:ilvl w:val="0"/>
          <w:numId w:val="42"/>
        </w:numPr>
        <w:spacing w:after="175"/>
        <w:ind w:hanging="219"/>
        <w:jc w:val="both"/>
        <w:rPr>
          <w:rFonts w:ascii="Arial" w:hAnsi="Arial" w:cs="Arial"/>
          <w:bCs/>
          <w:color w:val="auto"/>
          <w:sz w:val="20"/>
          <w:szCs w:val="20"/>
          <w:lang w:val="en-US"/>
        </w:rPr>
      </w:pPr>
      <w:r w:rsidRPr="00E46A15">
        <w:rPr>
          <w:rFonts w:ascii="Arial" w:hAnsi="Arial" w:cs="Arial"/>
          <w:bCs/>
          <w:color w:val="auto"/>
          <w:sz w:val="20"/>
          <w:szCs w:val="20"/>
          <w:lang w:val="en-US"/>
        </w:rPr>
        <w:t xml:space="preserve">By </w:t>
      </w:r>
      <w:proofErr w:type="gramStart"/>
      <w:r w:rsidRPr="00E46A15">
        <w:rPr>
          <w:rFonts w:ascii="Arial" w:hAnsi="Arial" w:cs="Arial"/>
          <w:bCs/>
          <w:color w:val="auto"/>
          <w:sz w:val="20"/>
          <w:szCs w:val="20"/>
          <w:lang w:val="en-US"/>
        </w:rPr>
        <w:t>default</w:t>
      </w:r>
      <w:proofErr w:type="gramEnd"/>
      <w:r w:rsidRPr="00E46A15">
        <w:rPr>
          <w:rFonts w:ascii="Arial" w:hAnsi="Arial" w:cs="Arial"/>
          <w:bCs/>
          <w:color w:val="auto"/>
          <w:sz w:val="20"/>
          <w:szCs w:val="20"/>
          <w:lang w:val="en-US"/>
        </w:rPr>
        <w:t xml:space="preserve"> an “ESG-related” word would allude to any environmental and/or social and/or governance theme in the name other than “sustainable” [translations in MS’ language to be agreed upon] or “impact”. </w:t>
      </w:r>
    </w:p>
    <w:p w14:paraId="7BED3590" w14:textId="2FDEB44F" w:rsidR="00B92885" w:rsidRDefault="00224B9D" w:rsidP="00224B9D">
      <w:r w:rsidRPr="00E46A15">
        <w:rPr>
          <w:rFonts w:cs="Arial"/>
          <w:bCs/>
          <w:szCs w:val="20"/>
          <w:lang w:val="en-US"/>
        </w:rPr>
        <w:t xml:space="preserve">Moreover, </w:t>
      </w:r>
      <w:proofErr w:type="gramStart"/>
      <w:r w:rsidRPr="00E46A15">
        <w:rPr>
          <w:rFonts w:cs="Arial"/>
          <w:bCs/>
          <w:szCs w:val="20"/>
          <w:lang w:val="en-US"/>
        </w:rPr>
        <w:t xml:space="preserve">in order </w:t>
      </w:r>
      <w:r w:rsidRPr="00E46A15">
        <w:rPr>
          <w:rFonts w:cs="Arial"/>
          <w:b/>
          <w:szCs w:val="20"/>
          <w:lang w:val="en-US"/>
        </w:rPr>
        <w:t>to</w:t>
      </w:r>
      <w:proofErr w:type="gramEnd"/>
      <w:r w:rsidRPr="00E46A15">
        <w:rPr>
          <w:rFonts w:cs="Arial"/>
          <w:b/>
          <w:szCs w:val="20"/>
          <w:lang w:val="en-US"/>
        </w:rPr>
        <w:t xml:space="preserve"> avoid discrepancies between NCAs’ interpretations and to allow a level playing field in cross-border distribution</w:t>
      </w:r>
      <w:r w:rsidRPr="00E46A15">
        <w:rPr>
          <w:rFonts w:cs="Arial"/>
          <w:bCs/>
          <w:szCs w:val="20"/>
          <w:lang w:val="en-US"/>
        </w:rPr>
        <w:t xml:space="preserve">, we believe </w:t>
      </w:r>
      <w:r w:rsidRPr="00E46A15">
        <w:rPr>
          <w:rFonts w:cs="Arial"/>
          <w:b/>
          <w:szCs w:val="20"/>
          <w:lang w:val="en-US"/>
        </w:rPr>
        <w:t xml:space="preserve">that ESMA should publish a list of “ESG related” terms, even if non-exhaustive. </w:t>
      </w:r>
    </w:p>
    <w:permEnd w:id="1305634831"/>
    <w:p w14:paraId="562CCC86" w14:textId="77777777" w:rsidR="00B92885" w:rsidRDefault="00B92885" w:rsidP="00B92885">
      <w:r>
        <w:t>&lt;ESMA_QUESTION_FUNA_2&gt;</w:t>
      </w:r>
    </w:p>
    <w:p w14:paraId="0FAF0A39" w14:textId="77777777" w:rsidR="00B92885" w:rsidRDefault="00B92885" w:rsidP="00B92885"/>
    <w:p w14:paraId="4927E281" w14:textId="77777777" w:rsidR="00B92885" w:rsidRDefault="00B92885" w:rsidP="00FB5086">
      <w:pPr>
        <w:pStyle w:val="Questionstyle"/>
        <w:numPr>
          <w:ilvl w:val="0"/>
          <w:numId w:val="37"/>
        </w:numPr>
      </w:pPr>
      <w:r>
        <w:t xml:space="preserve">: </w:t>
      </w:r>
      <w:r w:rsidRPr="00AA6F4F">
        <w:t>Do you agree to include an additional threshold of at least 50% of minimum proportion of sustainable investments for the use of the word “sustainable” or any other sustainability-related term in the name of the fund? If not, please explain why and provide an alternative proposal.</w:t>
      </w:r>
    </w:p>
    <w:p w14:paraId="1A2958BD" w14:textId="77777777" w:rsidR="00B92885" w:rsidRDefault="00B92885" w:rsidP="00B92885">
      <w:r>
        <w:t>&lt;ESMA_QUESTION_FUNA_3&gt;</w:t>
      </w:r>
    </w:p>
    <w:p w14:paraId="5000EADC" w14:textId="1A0580D7" w:rsidR="00451939" w:rsidRPr="00E46A15" w:rsidRDefault="00451939" w:rsidP="00451939">
      <w:pPr>
        <w:pStyle w:val="Default"/>
        <w:spacing w:after="175"/>
        <w:jc w:val="both"/>
        <w:rPr>
          <w:rFonts w:ascii="Arial" w:hAnsi="Arial" w:cs="Arial"/>
          <w:bCs/>
          <w:color w:val="auto"/>
          <w:sz w:val="20"/>
          <w:szCs w:val="20"/>
          <w:lang w:val="en-US"/>
        </w:rPr>
      </w:pPr>
      <w:permStart w:id="347949177" w:edGrp="everyone"/>
      <w:r w:rsidRPr="00E46A15">
        <w:rPr>
          <w:rFonts w:ascii="Arial" w:hAnsi="Arial" w:cs="Arial"/>
          <w:bCs/>
          <w:color w:val="auto"/>
          <w:sz w:val="20"/>
          <w:szCs w:val="20"/>
          <w:lang w:val="en-US"/>
        </w:rPr>
        <w:t xml:space="preserve">First, as a general comment, </w:t>
      </w:r>
      <w:r w:rsidRPr="00E46A15">
        <w:rPr>
          <w:rFonts w:ascii="Arial" w:hAnsi="Arial" w:cs="Arial"/>
          <w:b/>
          <w:color w:val="auto"/>
          <w:sz w:val="20"/>
          <w:szCs w:val="20"/>
          <w:lang w:val="en-US"/>
        </w:rPr>
        <w:t>we do not agree with the introduction of a minimum proportion of sustainable investment to be able to use “sustainable” related terms.</w:t>
      </w:r>
      <w:r w:rsidRPr="00E46A15">
        <w:rPr>
          <w:rFonts w:ascii="Arial" w:hAnsi="Arial" w:cs="Arial"/>
          <w:bCs/>
          <w:color w:val="auto"/>
          <w:sz w:val="20"/>
          <w:szCs w:val="20"/>
          <w:lang w:val="en-US"/>
        </w:rPr>
        <w:t xml:space="preserve"> Indeed, an ESG strategy is meant to be « sustainable ». In addition, MiFID deals with « sustainability preferences » which is another concept (based on taxonomy, SFDR SI and PAI). It might bring even more confusion to link the broad “sustainable” term to the SFDR fund applicable SI concept. Which is the level playing field with a sustainable EMTN? </w:t>
      </w:r>
    </w:p>
    <w:p w14:paraId="4E3EDE8D" w14:textId="77777777" w:rsidR="00451939" w:rsidRPr="00E46A15" w:rsidRDefault="00451939" w:rsidP="00451939">
      <w:pPr>
        <w:pStyle w:val="Default"/>
        <w:spacing w:after="175"/>
        <w:jc w:val="both"/>
        <w:rPr>
          <w:rFonts w:ascii="Arial" w:hAnsi="Arial" w:cs="Arial"/>
          <w:bCs/>
          <w:color w:val="auto"/>
          <w:sz w:val="20"/>
          <w:szCs w:val="20"/>
          <w:lang w:val="en-US"/>
        </w:rPr>
      </w:pPr>
      <w:r w:rsidRPr="00E46A15">
        <w:rPr>
          <w:rFonts w:ascii="Arial" w:hAnsi="Arial" w:cs="Arial"/>
          <w:bCs/>
          <w:color w:val="auto"/>
          <w:sz w:val="20"/>
          <w:szCs w:val="20"/>
          <w:lang w:val="en-US"/>
        </w:rPr>
        <w:t xml:space="preserve">Second, as already explained in our previous answers, </w:t>
      </w:r>
      <w:r w:rsidRPr="00E46A15">
        <w:rPr>
          <w:rFonts w:ascii="Arial" w:hAnsi="Arial" w:cs="Arial"/>
          <w:b/>
          <w:color w:val="auto"/>
          <w:sz w:val="20"/>
          <w:szCs w:val="20"/>
          <w:lang w:val="en-US"/>
        </w:rPr>
        <w:t>at this stage, the definition of SI is unclear and leads to quite different interpretations and methodologies in the market</w:t>
      </w:r>
      <w:r w:rsidRPr="00E46A15">
        <w:rPr>
          <w:rFonts w:ascii="Arial" w:hAnsi="Arial" w:cs="Arial"/>
          <w:bCs/>
          <w:color w:val="auto"/>
          <w:sz w:val="20"/>
          <w:szCs w:val="20"/>
          <w:lang w:val="en-US"/>
        </w:rPr>
        <w:t xml:space="preserve">. We hence believe that </w:t>
      </w:r>
      <w:proofErr w:type="gramStart"/>
      <w:r w:rsidRPr="00E46A15">
        <w:rPr>
          <w:rFonts w:ascii="Arial" w:hAnsi="Arial" w:cs="Arial"/>
          <w:b/>
          <w:color w:val="auto"/>
          <w:sz w:val="20"/>
          <w:szCs w:val="20"/>
          <w:lang w:val="en-US"/>
        </w:rPr>
        <w:t>as long as</w:t>
      </w:r>
      <w:proofErr w:type="gramEnd"/>
      <w:r w:rsidRPr="00E46A15">
        <w:rPr>
          <w:rFonts w:ascii="Arial" w:hAnsi="Arial" w:cs="Arial"/>
          <w:b/>
          <w:color w:val="auto"/>
          <w:sz w:val="20"/>
          <w:szCs w:val="20"/>
          <w:lang w:val="en-US"/>
        </w:rPr>
        <w:t xml:space="preserve"> the regulator has not </w:t>
      </w:r>
      <w:r w:rsidRPr="00E46A15">
        <w:rPr>
          <w:rFonts w:ascii="Arial" w:hAnsi="Arial" w:cs="Arial"/>
          <w:b/>
          <w:i/>
          <w:color w:val="auto"/>
          <w:sz w:val="20"/>
          <w:szCs w:val="20"/>
          <w:lang w:val="en-US"/>
        </w:rPr>
        <w:t>precisely</w:t>
      </w:r>
      <w:r w:rsidRPr="00E46A15">
        <w:rPr>
          <w:rFonts w:ascii="Arial" w:hAnsi="Arial" w:cs="Arial"/>
          <w:b/>
          <w:color w:val="auto"/>
          <w:sz w:val="20"/>
          <w:szCs w:val="20"/>
          <w:lang w:val="en-US"/>
        </w:rPr>
        <w:t xml:space="preserve"> clarified the assessment of a sustainable investment, we strongly disagree to include such a threshold based on a concept subject to many interpretations</w:t>
      </w:r>
      <w:r w:rsidRPr="00E46A15">
        <w:rPr>
          <w:rFonts w:ascii="Arial" w:hAnsi="Arial" w:cs="Arial"/>
          <w:bCs/>
          <w:color w:val="auto"/>
          <w:sz w:val="20"/>
          <w:szCs w:val="20"/>
          <w:lang w:val="en-US"/>
        </w:rPr>
        <w:t>. Neither do we agree with a level (50%) that it may be seen as “arbitrary” in the absence of comparison due to the lack of a common definition. Including such a threshold would amplify market fragmentation, end investors’ confusion and possibly the risk of greenwashing.</w:t>
      </w:r>
    </w:p>
    <w:p w14:paraId="5CEC9EE3" w14:textId="4F33DB6D" w:rsidR="00451939" w:rsidRPr="00E46A15" w:rsidRDefault="00451939" w:rsidP="00451939">
      <w:pPr>
        <w:pStyle w:val="Default"/>
        <w:spacing w:after="175"/>
        <w:jc w:val="both"/>
        <w:rPr>
          <w:rFonts w:ascii="Arial" w:hAnsi="Arial" w:cs="Arial"/>
          <w:bCs/>
          <w:color w:val="auto"/>
          <w:sz w:val="20"/>
          <w:szCs w:val="20"/>
          <w:lang w:val="en-US"/>
        </w:rPr>
      </w:pPr>
      <w:r w:rsidRPr="00E46A15">
        <w:rPr>
          <w:rFonts w:ascii="Arial" w:hAnsi="Arial" w:cs="Arial"/>
          <w:bCs/>
          <w:color w:val="auto"/>
          <w:sz w:val="20"/>
          <w:szCs w:val="20"/>
          <w:lang w:val="en-US"/>
        </w:rPr>
        <w:t xml:space="preserve">If ESMA still wants to proceed, an alternative that may solve the definition problem: measure the SI proportion of the fund </w:t>
      </w:r>
      <w:r w:rsidRPr="00E46A15">
        <w:rPr>
          <w:rFonts w:ascii="Arial" w:hAnsi="Arial" w:cs="Arial"/>
          <w:b/>
          <w:bCs/>
          <w:color w:val="auto"/>
          <w:sz w:val="20"/>
          <w:szCs w:val="20"/>
          <w:lang w:val="en-US"/>
        </w:rPr>
        <w:t>relative to</w:t>
      </w:r>
      <w:r w:rsidRPr="00E46A15">
        <w:rPr>
          <w:rFonts w:ascii="Arial" w:hAnsi="Arial" w:cs="Arial"/>
          <w:bCs/>
          <w:color w:val="auto"/>
          <w:sz w:val="20"/>
          <w:szCs w:val="20"/>
          <w:lang w:val="en-US"/>
        </w:rPr>
        <w:t xml:space="preserve"> the SI proportion of </w:t>
      </w:r>
      <w:r w:rsidRPr="00E46A15">
        <w:rPr>
          <w:rFonts w:ascii="Arial" w:hAnsi="Arial" w:cs="Arial"/>
          <w:b/>
          <w:bCs/>
          <w:color w:val="auto"/>
          <w:sz w:val="20"/>
          <w:szCs w:val="20"/>
          <w:lang w:val="en-US"/>
        </w:rPr>
        <w:t>its benchmark or its investment universe</w:t>
      </w:r>
      <w:r w:rsidRPr="00E46A15">
        <w:rPr>
          <w:rFonts w:ascii="Arial" w:hAnsi="Arial" w:cs="Arial"/>
          <w:bCs/>
          <w:color w:val="auto"/>
          <w:sz w:val="20"/>
          <w:szCs w:val="20"/>
          <w:lang w:val="en-US"/>
        </w:rPr>
        <w:t xml:space="preserve">, using the same assessment methodology. In such a case, the word “sustainable” could be used provided that the fund commits to have a % SI </w:t>
      </w:r>
      <w:proofErr w:type="gramStart"/>
      <w:r w:rsidRPr="00E46A15">
        <w:rPr>
          <w:rFonts w:ascii="Arial" w:hAnsi="Arial" w:cs="Arial"/>
          <w:bCs/>
          <w:color w:val="auto"/>
          <w:sz w:val="20"/>
          <w:szCs w:val="20"/>
          <w:lang w:val="en-US"/>
        </w:rPr>
        <w:t>exceeding</w:t>
      </w:r>
      <w:proofErr w:type="gramEnd"/>
      <w:r w:rsidRPr="00E46A15">
        <w:rPr>
          <w:rFonts w:ascii="Arial" w:hAnsi="Arial" w:cs="Arial"/>
          <w:bCs/>
          <w:color w:val="auto"/>
          <w:sz w:val="20"/>
          <w:szCs w:val="20"/>
          <w:lang w:val="en-US"/>
        </w:rPr>
        <w:t xml:space="preserve"> significantly the % SI of its investment universe (but in no case as high as 50%).</w:t>
      </w:r>
    </w:p>
    <w:p w14:paraId="7C98583B" w14:textId="77777777" w:rsidR="00451939" w:rsidRPr="00E46A15" w:rsidRDefault="00451939" w:rsidP="00451939">
      <w:pPr>
        <w:pStyle w:val="Default"/>
        <w:spacing w:after="175"/>
        <w:jc w:val="both"/>
        <w:rPr>
          <w:rFonts w:ascii="Arial" w:hAnsi="Arial" w:cs="Arial"/>
          <w:bCs/>
          <w:color w:val="auto"/>
          <w:sz w:val="20"/>
          <w:szCs w:val="20"/>
          <w:lang w:val="en-US"/>
        </w:rPr>
      </w:pPr>
      <w:r w:rsidRPr="00E46A15">
        <w:rPr>
          <w:rFonts w:ascii="Arial" w:hAnsi="Arial" w:cs="Arial"/>
          <w:bCs/>
          <w:color w:val="auto"/>
          <w:sz w:val="20"/>
          <w:szCs w:val="20"/>
          <w:lang w:val="en-US"/>
        </w:rPr>
        <w:t xml:space="preserve">For funds without a reference benchmark or investment universe, the fund could identify a proxy reference to be in line with this requirement. It should be made clear that such option would apply </w:t>
      </w:r>
      <w:proofErr w:type="gramStart"/>
      <w:r w:rsidRPr="00E46A15">
        <w:rPr>
          <w:rFonts w:ascii="Arial" w:hAnsi="Arial" w:cs="Arial"/>
          <w:bCs/>
          <w:color w:val="auto"/>
          <w:sz w:val="20"/>
          <w:szCs w:val="20"/>
          <w:lang w:val="en-US"/>
        </w:rPr>
        <w:t>as long as</w:t>
      </w:r>
      <w:proofErr w:type="gramEnd"/>
      <w:r w:rsidRPr="00E46A15">
        <w:rPr>
          <w:rFonts w:ascii="Arial" w:hAnsi="Arial" w:cs="Arial"/>
          <w:bCs/>
          <w:color w:val="auto"/>
          <w:sz w:val="20"/>
          <w:szCs w:val="20"/>
          <w:lang w:val="en-US"/>
        </w:rPr>
        <w:t xml:space="preserve"> the European Commission has not </w:t>
      </w:r>
      <w:r w:rsidRPr="00E46A15">
        <w:rPr>
          <w:rFonts w:ascii="Arial" w:hAnsi="Arial" w:cs="Arial"/>
          <w:bCs/>
          <w:i/>
          <w:color w:val="auto"/>
          <w:sz w:val="20"/>
          <w:szCs w:val="20"/>
          <w:lang w:val="en-US"/>
        </w:rPr>
        <w:t xml:space="preserve">precisely </w:t>
      </w:r>
      <w:r w:rsidRPr="00E46A15">
        <w:rPr>
          <w:rFonts w:ascii="Arial" w:hAnsi="Arial" w:cs="Arial"/>
          <w:bCs/>
          <w:color w:val="auto"/>
          <w:sz w:val="20"/>
          <w:szCs w:val="20"/>
          <w:lang w:val="en-US"/>
        </w:rPr>
        <w:t>clarified the definition of “SI”.</w:t>
      </w:r>
    </w:p>
    <w:p w14:paraId="7B7DD39B" w14:textId="77777777" w:rsidR="00451939" w:rsidRPr="00E46A15" w:rsidRDefault="00451939" w:rsidP="00451939">
      <w:pPr>
        <w:pStyle w:val="Default"/>
        <w:spacing w:after="175"/>
        <w:jc w:val="both"/>
        <w:rPr>
          <w:rFonts w:ascii="Arial" w:hAnsi="Arial" w:cs="Arial"/>
          <w:bCs/>
          <w:color w:val="auto"/>
          <w:sz w:val="20"/>
          <w:szCs w:val="20"/>
          <w:lang w:val="en-US"/>
        </w:rPr>
      </w:pPr>
      <w:r w:rsidRPr="00E46A15">
        <w:rPr>
          <w:rFonts w:ascii="Arial" w:hAnsi="Arial" w:cs="Arial"/>
          <w:bCs/>
          <w:color w:val="auto"/>
          <w:sz w:val="20"/>
          <w:szCs w:val="20"/>
          <w:lang w:val="en-US"/>
        </w:rPr>
        <w:t>For the avoidance of any doubts, the investment universe should be clearly defined in the fund’s prospectus.</w:t>
      </w:r>
    </w:p>
    <w:p w14:paraId="252BCB09" w14:textId="77777777" w:rsidR="00451939" w:rsidRPr="00E46A15" w:rsidRDefault="00451939" w:rsidP="00451939">
      <w:pPr>
        <w:pStyle w:val="Default"/>
        <w:spacing w:after="175"/>
        <w:jc w:val="both"/>
        <w:rPr>
          <w:rFonts w:ascii="Arial" w:hAnsi="Arial" w:cs="Arial"/>
          <w:bCs/>
          <w:color w:val="auto"/>
          <w:sz w:val="20"/>
          <w:szCs w:val="20"/>
          <w:lang w:val="en-US"/>
        </w:rPr>
      </w:pPr>
      <w:r w:rsidRPr="00E46A15">
        <w:rPr>
          <w:rFonts w:ascii="Arial" w:hAnsi="Arial" w:cs="Arial"/>
          <w:bCs/>
          <w:color w:val="auto"/>
          <w:sz w:val="20"/>
          <w:szCs w:val="20"/>
          <w:lang w:val="en-US"/>
        </w:rPr>
        <w:t>In any case, should a SI threshold be set (in absolute after a common SI definition is determined by the EC, or in relative terms), the same provisions as in our response in Q2 would apply:</w:t>
      </w:r>
    </w:p>
    <w:p w14:paraId="1C18D723" w14:textId="77777777" w:rsidR="00451939" w:rsidRPr="00E46A15" w:rsidRDefault="00451939" w:rsidP="00FB5086">
      <w:pPr>
        <w:pStyle w:val="Default"/>
        <w:numPr>
          <w:ilvl w:val="0"/>
          <w:numId w:val="44"/>
        </w:numPr>
        <w:spacing w:after="175"/>
        <w:ind w:left="426" w:hanging="426"/>
        <w:jc w:val="both"/>
        <w:rPr>
          <w:rFonts w:ascii="Arial" w:hAnsi="Arial" w:cs="Arial"/>
          <w:bCs/>
          <w:color w:val="auto"/>
          <w:sz w:val="20"/>
          <w:szCs w:val="20"/>
          <w:lang w:val="en-GB"/>
        </w:rPr>
      </w:pPr>
      <w:r w:rsidRPr="00E46A15">
        <w:rPr>
          <w:rFonts w:ascii="Arial" w:hAnsi="Arial" w:cs="Arial"/>
          <w:bCs/>
          <w:color w:val="auto"/>
          <w:sz w:val="20"/>
          <w:szCs w:val="20"/>
          <w:lang w:val="en-GB"/>
        </w:rPr>
        <w:lastRenderedPageBreak/>
        <w:t>clarity is needed on the calculation of the ratio (in line with comments provided in Q2 with regards cash and derivatives).</w:t>
      </w:r>
      <w:r w:rsidRPr="00E46A15" w:rsidDel="000328FA">
        <w:rPr>
          <w:rFonts w:ascii="Arial" w:hAnsi="Arial" w:cs="Arial"/>
          <w:bCs/>
          <w:color w:val="auto"/>
          <w:sz w:val="20"/>
          <w:szCs w:val="20"/>
          <w:lang w:val="en-GB"/>
        </w:rPr>
        <w:t xml:space="preserve"> </w:t>
      </w:r>
    </w:p>
    <w:p w14:paraId="00021C68" w14:textId="77777777" w:rsidR="00451939" w:rsidRPr="00E46A15" w:rsidRDefault="00451939" w:rsidP="00FB5086">
      <w:pPr>
        <w:pStyle w:val="Default"/>
        <w:numPr>
          <w:ilvl w:val="0"/>
          <w:numId w:val="44"/>
        </w:numPr>
        <w:spacing w:after="175"/>
        <w:ind w:left="426" w:hanging="426"/>
        <w:jc w:val="both"/>
        <w:rPr>
          <w:rFonts w:ascii="Arial" w:hAnsi="Arial" w:cs="Arial"/>
          <w:bCs/>
          <w:color w:val="auto"/>
          <w:sz w:val="20"/>
          <w:szCs w:val="20"/>
          <w:lang w:val="en-US"/>
        </w:rPr>
      </w:pPr>
      <w:r w:rsidRPr="00E46A15">
        <w:rPr>
          <w:rFonts w:ascii="Arial" w:hAnsi="Arial" w:cs="Arial"/>
          <w:bCs/>
          <w:color w:val="auto"/>
          <w:sz w:val="20"/>
          <w:szCs w:val="20"/>
          <w:lang w:val="en-US"/>
        </w:rPr>
        <w:t>the level of the threshold would need to be assessed based upon a common SI definition and the “sustainability” of the real economy.</w:t>
      </w:r>
    </w:p>
    <w:p w14:paraId="6C086838" w14:textId="77777777" w:rsidR="00451939" w:rsidRPr="00E46A15" w:rsidRDefault="00451939" w:rsidP="00451939">
      <w:pPr>
        <w:pStyle w:val="Default"/>
        <w:spacing w:after="175"/>
        <w:jc w:val="both"/>
        <w:rPr>
          <w:rFonts w:ascii="Arial" w:hAnsi="Arial" w:cs="Arial"/>
          <w:b/>
          <w:color w:val="auto"/>
          <w:sz w:val="20"/>
          <w:szCs w:val="20"/>
          <w:lang w:val="en-US"/>
        </w:rPr>
      </w:pPr>
      <w:r w:rsidRPr="00E46A15">
        <w:rPr>
          <w:rFonts w:ascii="Arial" w:hAnsi="Arial" w:cs="Arial"/>
          <w:b/>
          <w:color w:val="auto"/>
          <w:sz w:val="20"/>
          <w:szCs w:val="20"/>
          <w:lang w:val="en-US"/>
        </w:rPr>
        <w:t>As a conclusion, we would like to reiterate our concerns about setting a threshold on a notion that is not clearly defined by the regulation.</w:t>
      </w:r>
    </w:p>
    <w:permEnd w:id="347949177"/>
    <w:p w14:paraId="4C140ACE" w14:textId="77777777" w:rsidR="00B92885" w:rsidRDefault="00B92885" w:rsidP="00B92885">
      <w:r>
        <w:t>&lt;ESMA_QUESTION_FUNA_3&gt;</w:t>
      </w:r>
    </w:p>
    <w:p w14:paraId="37EF5282" w14:textId="77777777" w:rsidR="00B92885" w:rsidRDefault="00B92885" w:rsidP="00B92885"/>
    <w:p w14:paraId="733D1E9D" w14:textId="77777777" w:rsidR="00B92885" w:rsidRDefault="00B92885" w:rsidP="00FB5086">
      <w:pPr>
        <w:pStyle w:val="Questionstyle"/>
        <w:numPr>
          <w:ilvl w:val="0"/>
          <w:numId w:val="37"/>
        </w:numPr>
      </w:pPr>
      <w:r>
        <w:t xml:space="preserve">: </w:t>
      </w:r>
      <w:r w:rsidRPr="00AA6F4F">
        <w:t>Do you think that there are alternative ways to construct the threshold mechanism? If yes, please explain your alternative proposal.</w:t>
      </w:r>
    </w:p>
    <w:p w14:paraId="0ACC61A1" w14:textId="77777777" w:rsidR="00B92885" w:rsidRDefault="00B92885" w:rsidP="00B92885">
      <w:r>
        <w:t>&lt;ESMA_QUESTION_FUNA_4&gt;</w:t>
      </w:r>
    </w:p>
    <w:p w14:paraId="6D6001BD" w14:textId="77777777" w:rsidR="006332D3" w:rsidRPr="008D490F" w:rsidRDefault="006332D3" w:rsidP="006332D3">
      <w:pPr>
        <w:pStyle w:val="Default"/>
        <w:spacing w:after="175"/>
        <w:jc w:val="both"/>
        <w:rPr>
          <w:rFonts w:ascii="Arial" w:hAnsi="Arial" w:cs="Arial"/>
          <w:bCs/>
          <w:color w:val="auto"/>
          <w:sz w:val="20"/>
          <w:szCs w:val="20"/>
          <w:lang w:val="en-US"/>
        </w:rPr>
      </w:pPr>
      <w:permStart w:id="351877901" w:edGrp="everyone"/>
      <w:r w:rsidRPr="008D490F">
        <w:rPr>
          <w:rFonts w:ascii="Arial" w:hAnsi="Arial" w:cs="Arial"/>
          <w:bCs/>
          <w:color w:val="auto"/>
          <w:sz w:val="20"/>
          <w:szCs w:val="20"/>
          <w:lang w:val="en-US"/>
        </w:rPr>
        <w:t>Please refer to our answer to Q2 for the “ESG” threshold and alternative proposals of clarification</w:t>
      </w:r>
    </w:p>
    <w:p w14:paraId="172F9D22" w14:textId="77777777" w:rsidR="006332D3" w:rsidRPr="008D490F" w:rsidRDefault="006332D3" w:rsidP="006332D3">
      <w:pPr>
        <w:pStyle w:val="Default"/>
        <w:spacing w:after="175"/>
        <w:jc w:val="both"/>
        <w:rPr>
          <w:rFonts w:ascii="Arial" w:hAnsi="Arial" w:cs="Arial"/>
          <w:bCs/>
          <w:color w:val="auto"/>
          <w:sz w:val="20"/>
          <w:szCs w:val="20"/>
          <w:lang w:val="en-US"/>
        </w:rPr>
      </w:pPr>
      <w:r w:rsidRPr="008D490F">
        <w:rPr>
          <w:rFonts w:ascii="Arial" w:hAnsi="Arial" w:cs="Arial"/>
          <w:bCs/>
          <w:color w:val="auto"/>
          <w:sz w:val="20"/>
          <w:szCs w:val="20"/>
          <w:lang w:val="en-US"/>
        </w:rPr>
        <w:t>Please refer to our answer to Q3 for the “SI” threshold alternative approach (relative ratio instead of absolute ratio, with the investment universe).</w:t>
      </w:r>
    </w:p>
    <w:p w14:paraId="5DCA02E0" w14:textId="5F419AE3" w:rsidR="00B92885" w:rsidRDefault="00B92885" w:rsidP="00B92885"/>
    <w:permEnd w:id="351877901"/>
    <w:p w14:paraId="29DD3DB8" w14:textId="77777777" w:rsidR="00B92885" w:rsidRDefault="00B92885" w:rsidP="00B92885">
      <w:r>
        <w:t>&lt;ESMA_QUESTION_FUNA_4&gt;</w:t>
      </w:r>
    </w:p>
    <w:p w14:paraId="2795765D" w14:textId="77777777" w:rsidR="00B92885" w:rsidRDefault="00B92885" w:rsidP="00B92885"/>
    <w:p w14:paraId="2BEAA24E" w14:textId="77777777" w:rsidR="00B92885" w:rsidRDefault="00B92885" w:rsidP="00FB5086">
      <w:pPr>
        <w:pStyle w:val="Questionstyle"/>
        <w:numPr>
          <w:ilvl w:val="0"/>
          <w:numId w:val="37"/>
        </w:numPr>
      </w:pPr>
      <w:r>
        <w:t xml:space="preserve">: </w:t>
      </w:r>
      <w:r w:rsidRPr="000B78F5">
        <w:t>Do you think that there are other ways than the proposed thresholds to achieve the supervisory aim of ensuring that ESG or sustainability-related names of funds are aligned with their investment characteristics and objectives? If yes, please explain your alternative proposal. If yes, please explain your alternative proposal.</w:t>
      </w:r>
      <w:r w:rsidRPr="00391CB0">
        <w:t xml:space="preserve"> </w:t>
      </w:r>
    </w:p>
    <w:p w14:paraId="63615FFA" w14:textId="2D4FA919" w:rsidR="00B92885" w:rsidRDefault="00B92885" w:rsidP="00B92885">
      <w:r>
        <w:t>&lt;ESMA_QUESTION_FUNA_5&gt;</w:t>
      </w:r>
    </w:p>
    <w:p w14:paraId="5FDA46E3" w14:textId="77777777" w:rsidR="006E1D0D" w:rsidRPr="008D490F" w:rsidRDefault="006E1D0D" w:rsidP="006E1D0D">
      <w:pPr>
        <w:pStyle w:val="Default"/>
        <w:spacing w:after="175"/>
        <w:jc w:val="both"/>
        <w:rPr>
          <w:rFonts w:ascii="Arial" w:hAnsi="Arial" w:cs="Arial"/>
          <w:bCs/>
          <w:color w:val="auto"/>
          <w:sz w:val="20"/>
          <w:szCs w:val="20"/>
          <w:lang w:val="en-US"/>
        </w:rPr>
      </w:pPr>
      <w:permStart w:id="1539323392" w:edGrp="everyone"/>
      <w:r w:rsidRPr="008D490F">
        <w:rPr>
          <w:rFonts w:ascii="Arial" w:hAnsi="Arial" w:cs="Arial"/>
          <w:bCs/>
          <w:color w:val="auto"/>
          <w:sz w:val="20"/>
          <w:szCs w:val="20"/>
          <w:lang w:val="en-GB"/>
        </w:rPr>
        <w:t xml:space="preserve">We believe that </w:t>
      </w:r>
      <w:r w:rsidRPr="008D490F">
        <w:rPr>
          <w:rFonts w:ascii="Arial" w:hAnsi="Arial" w:cs="Arial"/>
          <w:bCs/>
          <w:color w:val="auto"/>
          <w:sz w:val="20"/>
          <w:szCs w:val="20"/>
          <w:lang w:val="en-US"/>
        </w:rPr>
        <w:t xml:space="preserve">taking into account the assets covered by a non-financial analysis, </w:t>
      </w:r>
      <w:proofErr w:type="gramStart"/>
      <w:r w:rsidRPr="008D490F">
        <w:rPr>
          <w:rFonts w:ascii="Arial" w:hAnsi="Arial" w:cs="Arial"/>
          <w:bCs/>
          <w:color w:val="auto"/>
          <w:sz w:val="20"/>
          <w:szCs w:val="20"/>
          <w:lang w:val="en-US"/>
        </w:rPr>
        <w:t>rating ,</w:t>
      </w:r>
      <w:proofErr w:type="gramEnd"/>
      <w:r w:rsidRPr="008D490F">
        <w:rPr>
          <w:rFonts w:ascii="Arial" w:hAnsi="Arial" w:cs="Arial"/>
          <w:bCs/>
          <w:color w:val="auto"/>
          <w:sz w:val="20"/>
          <w:szCs w:val="20"/>
          <w:lang w:val="en-US"/>
        </w:rPr>
        <w:t xml:space="preserve"> indicator, and adding a requirement by which the fund should have an explicit measurable (KPI) and binding ESG objective is a solid alternative (see our response in Q2). </w:t>
      </w:r>
    </w:p>
    <w:p w14:paraId="53DE59DD" w14:textId="77777777" w:rsidR="006E1D0D" w:rsidRPr="008D490F" w:rsidRDefault="006E1D0D" w:rsidP="006E1D0D">
      <w:pPr>
        <w:pStyle w:val="Default"/>
        <w:spacing w:after="175"/>
        <w:jc w:val="both"/>
        <w:rPr>
          <w:rFonts w:ascii="Arial" w:hAnsi="Arial" w:cs="Arial"/>
          <w:bCs/>
          <w:color w:val="auto"/>
          <w:sz w:val="20"/>
          <w:szCs w:val="20"/>
          <w:lang w:val="en-US"/>
        </w:rPr>
      </w:pPr>
      <w:r w:rsidRPr="008D490F">
        <w:rPr>
          <w:rFonts w:ascii="Arial" w:hAnsi="Arial" w:cs="Arial"/>
          <w:bCs/>
          <w:color w:val="auto"/>
          <w:sz w:val="20"/>
          <w:szCs w:val="20"/>
          <w:lang w:val="en-US"/>
        </w:rPr>
        <w:t xml:space="preserve">For instance, strategies that are compliant with the approaches proposed by the French Market Authorities (AMF) in its doctrine could be considered as alternative to the threshold mechanisms. “Selectivity” </w:t>
      </w:r>
      <w:proofErr w:type="gramStart"/>
      <w:r w:rsidRPr="008D490F">
        <w:rPr>
          <w:rFonts w:ascii="Arial" w:hAnsi="Arial" w:cs="Arial"/>
          <w:bCs/>
          <w:color w:val="auto"/>
          <w:sz w:val="20"/>
          <w:szCs w:val="20"/>
          <w:lang w:val="en-US"/>
        </w:rPr>
        <w:t>i.e.</w:t>
      </w:r>
      <w:proofErr w:type="gramEnd"/>
      <w:r w:rsidRPr="008D490F">
        <w:rPr>
          <w:rFonts w:ascii="Arial" w:hAnsi="Arial" w:cs="Arial"/>
          <w:bCs/>
          <w:color w:val="auto"/>
          <w:sz w:val="20"/>
          <w:szCs w:val="20"/>
          <w:lang w:val="en-US"/>
        </w:rPr>
        <w:t xml:space="preserve"> exclusion of at least 20% of the worst ESG performers in a universe definition, or “rating upgrade” approach, after eliminating at least 20% of the worst ESG performers in a universe definition could be used. The same with a ESG KPI minimum level strategy. </w:t>
      </w:r>
    </w:p>
    <w:p w14:paraId="142A669A" w14:textId="77777777" w:rsidR="006E1D0D" w:rsidRPr="008D490F" w:rsidRDefault="006E1D0D" w:rsidP="006E1D0D">
      <w:pPr>
        <w:pStyle w:val="Default"/>
        <w:spacing w:after="175"/>
        <w:jc w:val="both"/>
        <w:rPr>
          <w:rFonts w:ascii="Arial" w:hAnsi="Arial" w:cs="Arial"/>
          <w:bCs/>
          <w:color w:val="auto"/>
          <w:sz w:val="20"/>
          <w:szCs w:val="20"/>
          <w:lang w:val="en-US"/>
        </w:rPr>
      </w:pPr>
      <w:r w:rsidRPr="008D490F">
        <w:rPr>
          <w:rFonts w:ascii="Arial" w:hAnsi="Arial" w:cs="Arial"/>
          <w:bCs/>
          <w:color w:val="auto"/>
          <w:sz w:val="20"/>
          <w:szCs w:val="20"/>
          <w:lang w:val="en-US"/>
        </w:rPr>
        <w:t>It is important that any alternative approach should (</w:t>
      </w:r>
      <w:proofErr w:type="spellStart"/>
      <w:r w:rsidRPr="008D490F">
        <w:rPr>
          <w:rFonts w:ascii="Arial" w:hAnsi="Arial" w:cs="Arial"/>
          <w:bCs/>
          <w:color w:val="auto"/>
          <w:sz w:val="20"/>
          <w:szCs w:val="20"/>
          <w:lang w:val="en-US"/>
        </w:rPr>
        <w:t>i</w:t>
      </w:r>
      <w:proofErr w:type="spellEnd"/>
      <w:r w:rsidRPr="008D490F">
        <w:rPr>
          <w:rFonts w:ascii="Arial" w:hAnsi="Arial" w:cs="Arial"/>
          <w:bCs/>
          <w:color w:val="auto"/>
          <w:sz w:val="20"/>
          <w:szCs w:val="20"/>
          <w:lang w:val="en-US"/>
        </w:rPr>
        <w:t xml:space="preserve">) apply proportionality (the name being granted only if there is a sufficiently significant commitment) (ii) be measurable and, (iii) fit with many types of strategies </w:t>
      </w:r>
      <w:proofErr w:type="gramStart"/>
      <w:r w:rsidRPr="008D490F">
        <w:rPr>
          <w:rFonts w:ascii="Arial" w:hAnsi="Arial" w:cs="Arial"/>
          <w:bCs/>
          <w:color w:val="auto"/>
          <w:sz w:val="20"/>
          <w:szCs w:val="20"/>
          <w:lang w:val="en-US"/>
        </w:rPr>
        <w:t>as long as</w:t>
      </w:r>
      <w:proofErr w:type="gramEnd"/>
      <w:r w:rsidRPr="008D490F">
        <w:rPr>
          <w:rFonts w:ascii="Arial" w:hAnsi="Arial" w:cs="Arial"/>
          <w:bCs/>
          <w:color w:val="auto"/>
          <w:sz w:val="20"/>
          <w:szCs w:val="20"/>
          <w:lang w:val="en-US"/>
        </w:rPr>
        <w:t xml:space="preserve"> there is a clear “ESG objective”.</w:t>
      </w:r>
    </w:p>
    <w:permEnd w:id="1539323392"/>
    <w:p w14:paraId="436D4354" w14:textId="77777777" w:rsidR="00B92885" w:rsidRDefault="00B92885" w:rsidP="00B92885">
      <w:r>
        <w:t>&lt;ESMA_QUESTION_FUNA_5&gt;</w:t>
      </w:r>
    </w:p>
    <w:p w14:paraId="51BCCD20" w14:textId="77777777" w:rsidR="00B92885" w:rsidRDefault="00B92885" w:rsidP="00B92885"/>
    <w:p w14:paraId="531615C6" w14:textId="77777777" w:rsidR="00B92885" w:rsidRDefault="00B92885" w:rsidP="00FB5086">
      <w:pPr>
        <w:pStyle w:val="Questionstyle"/>
        <w:numPr>
          <w:ilvl w:val="0"/>
          <w:numId w:val="37"/>
        </w:numPr>
      </w:pPr>
      <w:r>
        <w:t xml:space="preserve">: </w:t>
      </w:r>
      <w:r w:rsidRPr="000B78F5">
        <w:t>Do you agree with the need for minimum safeguards for investment funds with an ESG- or sustainability-related term in their name? Should such safeguards be based on the exclusion criteria such as Commission Delegated Regulation (EU) 2020/1818 Article 12(1)-(2)? If not, explain why and provide an alternative proposal.</w:t>
      </w:r>
    </w:p>
    <w:p w14:paraId="114E1BE8" w14:textId="77777777" w:rsidR="00B92885" w:rsidRDefault="00B92885" w:rsidP="00B92885">
      <w:r>
        <w:t>&lt;ESMA_QUESTION_FUNA_6&gt;</w:t>
      </w:r>
    </w:p>
    <w:p w14:paraId="211CE741" w14:textId="77777777" w:rsidR="00CF353C" w:rsidRPr="008D490F" w:rsidRDefault="00CF353C" w:rsidP="00CF353C">
      <w:pPr>
        <w:pStyle w:val="Default"/>
        <w:spacing w:after="175"/>
        <w:jc w:val="both"/>
        <w:rPr>
          <w:rFonts w:ascii="Arial" w:hAnsi="Arial" w:cs="Arial"/>
          <w:bCs/>
          <w:color w:val="auto"/>
          <w:sz w:val="20"/>
          <w:szCs w:val="20"/>
          <w:lang w:val="en-US"/>
        </w:rPr>
      </w:pPr>
      <w:permStart w:id="175976681" w:edGrp="everyone"/>
      <w:r w:rsidRPr="008D490F">
        <w:rPr>
          <w:rFonts w:ascii="Arial" w:hAnsi="Arial" w:cs="Arial"/>
          <w:bCs/>
          <w:color w:val="auto"/>
          <w:sz w:val="20"/>
          <w:szCs w:val="20"/>
          <w:lang w:val="en-US"/>
        </w:rPr>
        <w:t>As a general comment, we believe that exclusions are not appropriate as minimum safeguards for investment funds.</w:t>
      </w:r>
    </w:p>
    <w:p w14:paraId="6CE076FC" w14:textId="45B79613" w:rsidR="00CF353C" w:rsidRPr="008D490F" w:rsidRDefault="00005B5A" w:rsidP="00CF353C">
      <w:pPr>
        <w:pStyle w:val="Default"/>
        <w:spacing w:after="175"/>
        <w:jc w:val="both"/>
        <w:rPr>
          <w:rFonts w:ascii="Arial" w:hAnsi="Arial" w:cs="Arial"/>
          <w:bCs/>
          <w:color w:val="auto"/>
          <w:sz w:val="20"/>
          <w:szCs w:val="20"/>
          <w:lang w:val="en-US"/>
        </w:rPr>
      </w:pPr>
      <w:r w:rsidRPr="008D490F">
        <w:rPr>
          <w:rFonts w:ascii="Arial" w:hAnsi="Arial" w:cs="Arial"/>
          <w:bCs/>
          <w:color w:val="auto"/>
          <w:sz w:val="20"/>
          <w:szCs w:val="20"/>
          <w:lang w:val="en-US"/>
        </w:rPr>
        <w:t>Additionally, we str</w:t>
      </w:r>
      <w:r w:rsidR="00CF353C" w:rsidRPr="008D490F">
        <w:rPr>
          <w:rFonts w:ascii="Arial" w:hAnsi="Arial" w:cs="Arial"/>
          <w:bCs/>
          <w:color w:val="auto"/>
          <w:sz w:val="20"/>
          <w:szCs w:val="20"/>
          <w:lang w:val="en-US"/>
        </w:rPr>
        <w:t xml:space="preserve">ongly disagrees with using Paris Aligned Benchmark (PAB)’s exclusions listed in art 12(1) and 12(2) of the BMR delegated regulation 2020/1818 for the following </w:t>
      </w:r>
      <w:proofErr w:type="gramStart"/>
      <w:r w:rsidR="00CF353C" w:rsidRPr="008D490F">
        <w:rPr>
          <w:rFonts w:ascii="Arial" w:hAnsi="Arial" w:cs="Arial"/>
          <w:bCs/>
          <w:color w:val="auto"/>
          <w:sz w:val="20"/>
          <w:szCs w:val="20"/>
          <w:lang w:val="en-US"/>
        </w:rPr>
        <w:t>reasons :</w:t>
      </w:r>
      <w:proofErr w:type="gramEnd"/>
    </w:p>
    <w:p w14:paraId="7A41A199" w14:textId="77777777" w:rsidR="00CF353C" w:rsidRPr="008D490F" w:rsidRDefault="00CF353C" w:rsidP="00FB5086">
      <w:pPr>
        <w:pStyle w:val="Default"/>
        <w:numPr>
          <w:ilvl w:val="0"/>
          <w:numId w:val="45"/>
        </w:numPr>
        <w:spacing w:after="175"/>
        <w:jc w:val="both"/>
        <w:rPr>
          <w:rFonts w:ascii="Arial" w:hAnsi="Arial" w:cs="Arial"/>
          <w:bCs/>
          <w:color w:val="auto"/>
          <w:sz w:val="20"/>
          <w:szCs w:val="20"/>
          <w:lang w:val="en-US"/>
        </w:rPr>
      </w:pPr>
      <w:r w:rsidRPr="008D490F">
        <w:rPr>
          <w:rFonts w:ascii="Arial" w:hAnsi="Arial" w:cs="Arial"/>
          <w:bCs/>
          <w:color w:val="auto"/>
          <w:sz w:val="20"/>
          <w:szCs w:val="20"/>
          <w:lang w:val="en-US"/>
        </w:rPr>
        <w:lastRenderedPageBreak/>
        <w:t>SFDR art. 8 funds already have some “good governance practices” safeguards as a minimum standard. In addition, if they hold SI, then investments are subject to SFDR’s DNSH</w:t>
      </w:r>
      <w:r w:rsidRPr="008D490F">
        <w:rPr>
          <w:rFonts w:ascii="Arial" w:hAnsi="Arial" w:cs="Arial"/>
          <w:color w:val="auto"/>
          <w:sz w:val="20"/>
          <w:szCs w:val="20"/>
          <w:lang w:val="en-GB"/>
        </w:rPr>
        <w:t xml:space="preserve"> </w:t>
      </w:r>
      <w:r w:rsidRPr="008D490F">
        <w:rPr>
          <w:rFonts w:ascii="Arial" w:hAnsi="Arial" w:cs="Arial"/>
          <w:bCs/>
          <w:color w:val="auto"/>
          <w:sz w:val="20"/>
          <w:szCs w:val="20"/>
          <w:lang w:val="en-US"/>
        </w:rPr>
        <w:t>and those are related to PAI which don’t only cover Environmental criteria.</w:t>
      </w:r>
    </w:p>
    <w:p w14:paraId="42E154C1" w14:textId="569EBD9B" w:rsidR="00CF353C" w:rsidRPr="008D490F" w:rsidRDefault="00CF353C" w:rsidP="00FB5086">
      <w:pPr>
        <w:pStyle w:val="Default"/>
        <w:numPr>
          <w:ilvl w:val="0"/>
          <w:numId w:val="45"/>
        </w:numPr>
        <w:spacing w:after="175"/>
        <w:rPr>
          <w:rFonts w:ascii="Arial" w:hAnsi="Arial" w:cs="Arial"/>
          <w:b/>
          <w:bCs/>
          <w:color w:val="auto"/>
          <w:sz w:val="20"/>
          <w:szCs w:val="20"/>
          <w:lang w:val="en-US" w:bidi="en-US"/>
        </w:rPr>
      </w:pPr>
      <w:r w:rsidRPr="008D490F">
        <w:rPr>
          <w:rFonts w:ascii="Arial" w:hAnsi="Arial" w:cs="Arial"/>
          <w:b/>
          <w:bCs/>
          <w:color w:val="auto"/>
          <w:sz w:val="20"/>
          <w:szCs w:val="20"/>
          <w:lang w:val="en-US"/>
        </w:rPr>
        <w:t>The PAB is a label dedicated to Paris aligned targets</w:t>
      </w:r>
      <w:proofErr w:type="gramStart"/>
      <w:r w:rsidRPr="008D490F">
        <w:rPr>
          <w:rFonts w:ascii="Arial" w:hAnsi="Arial" w:cs="Arial"/>
          <w:bCs/>
          <w:color w:val="auto"/>
          <w:sz w:val="20"/>
          <w:szCs w:val="20"/>
          <w:lang w:val="en-US"/>
        </w:rPr>
        <w:t>-  Exclusion</w:t>
      </w:r>
      <w:proofErr w:type="gramEnd"/>
      <w:r w:rsidRPr="008D490F">
        <w:rPr>
          <w:rFonts w:ascii="Arial" w:hAnsi="Arial" w:cs="Arial"/>
          <w:bCs/>
          <w:color w:val="auto"/>
          <w:sz w:val="20"/>
          <w:szCs w:val="20"/>
          <w:lang w:val="en-US"/>
        </w:rPr>
        <w:t xml:space="preserve"> criteria in art 12(1) are mainly </w:t>
      </w:r>
      <w:r w:rsidRPr="008D490F">
        <w:rPr>
          <w:rFonts w:ascii="Arial" w:hAnsi="Arial" w:cs="Arial"/>
          <w:b/>
          <w:bCs/>
          <w:color w:val="auto"/>
          <w:sz w:val="20"/>
          <w:szCs w:val="20"/>
          <w:lang w:val="en-US"/>
        </w:rPr>
        <w:t>climate focused</w:t>
      </w:r>
      <w:r w:rsidRPr="008D490F">
        <w:rPr>
          <w:rFonts w:ascii="Arial" w:hAnsi="Arial" w:cs="Arial"/>
          <w:bCs/>
          <w:color w:val="auto"/>
          <w:sz w:val="20"/>
          <w:szCs w:val="20"/>
          <w:lang w:val="en-US"/>
        </w:rPr>
        <w:t xml:space="preserve"> and the high level of exclusions is specifically fitting this label and the PAB objective; it is neither suitable for other labels nor for strategies which are not fully climate oriented</w:t>
      </w:r>
      <w:r w:rsidR="00AC191D" w:rsidRPr="008D490F">
        <w:rPr>
          <w:rFonts w:ascii="Arial" w:hAnsi="Arial" w:cs="Arial"/>
          <w:bCs/>
          <w:color w:val="auto"/>
          <w:sz w:val="20"/>
          <w:szCs w:val="20"/>
          <w:lang w:val="en-US"/>
        </w:rPr>
        <w:t xml:space="preserve"> (</w:t>
      </w:r>
      <w:r w:rsidR="00155EC4" w:rsidRPr="008D490F">
        <w:rPr>
          <w:rFonts w:ascii="Arial" w:hAnsi="Arial" w:cs="Arial"/>
          <w:bCs/>
          <w:color w:val="auto"/>
          <w:sz w:val="20"/>
          <w:szCs w:val="20"/>
          <w:lang w:val="en-US"/>
        </w:rPr>
        <w:t>e.g.</w:t>
      </w:r>
      <w:r w:rsidR="00AC191D" w:rsidRPr="008D490F">
        <w:rPr>
          <w:rFonts w:ascii="Arial" w:hAnsi="Arial" w:cs="Arial"/>
          <w:b/>
          <w:bCs/>
          <w:color w:val="auto"/>
          <w:sz w:val="20"/>
          <w:szCs w:val="20"/>
          <w:lang w:val="en-US" w:bidi="en-US"/>
        </w:rPr>
        <w:t xml:space="preserve"> </w:t>
      </w:r>
      <w:r w:rsidR="00AC191D" w:rsidRPr="008D490F">
        <w:rPr>
          <w:rFonts w:ascii="Arial" w:hAnsi="Arial" w:cs="Arial"/>
          <w:color w:val="auto"/>
          <w:sz w:val="20"/>
          <w:szCs w:val="20"/>
          <w:lang w:val="en-US" w:bidi="en-US"/>
        </w:rPr>
        <w:t>Funds with social objectives or promoting social characteristics</w:t>
      </w:r>
      <w:r w:rsidR="00AC191D" w:rsidRPr="008D490F">
        <w:rPr>
          <w:rFonts w:ascii="Arial" w:hAnsi="Arial" w:cs="Arial"/>
          <w:color w:val="auto"/>
          <w:sz w:val="20"/>
          <w:szCs w:val="20"/>
          <w:lang w:val="en-US" w:bidi="en-US"/>
        </w:rPr>
        <w:t>)</w:t>
      </w:r>
      <w:r w:rsidR="00AC191D" w:rsidRPr="008D490F">
        <w:rPr>
          <w:rFonts w:ascii="Arial" w:hAnsi="Arial" w:cs="Arial"/>
          <w:b/>
          <w:bCs/>
          <w:color w:val="auto"/>
          <w:sz w:val="20"/>
          <w:szCs w:val="20"/>
          <w:lang w:val="en-US" w:bidi="en-US"/>
        </w:rPr>
        <w:t xml:space="preserve"> </w:t>
      </w:r>
      <w:r w:rsidR="00AC191D" w:rsidRPr="008D490F">
        <w:rPr>
          <w:rFonts w:ascii="Arial" w:hAnsi="Arial" w:cs="Arial"/>
          <w:bCs/>
          <w:color w:val="auto"/>
          <w:sz w:val="20"/>
          <w:szCs w:val="20"/>
          <w:lang w:val="en-US"/>
        </w:rPr>
        <w:t xml:space="preserve"> </w:t>
      </w:r>
      <w:r w:rsidRPr="008D490F">
        <w:rPr>
          <w:rFonts w:ascii="Arial" w:hAnsi="Arial" w:cs="Arial"/>
          <w:bCs/>
          <w:color w:val="auto"/>
          <w:sz w:val="20"/>
          <w:szCs w:val="20"/>
          <w:lang w:val="en-US"/>
        </w:rPr>
        <w:t xml:space="preserve">. </w:t>
      </w:r>
      <w:r w:rsidRPr="008D490F">
        <w:rPr>
          <w:rFonts w:ascii="Arial" w:hAnsi="Arial" w:cs="Arial"/>
          <w:b/>
          <w:color w:val="auto"/>
          <w:sz w:val="20"/>
          <w:szCs w:val="20"/>
          <w:lang w:val="en-US"/>
        </w:rPr>
        <w:t>The approach should not only focus on climate</w:t>
      </w:r>
      <w:r w:rsidR="00155EC4" w:rsidRPr="008D490F">
        <w:rPr>
          <w:rFonts w:ascii="Arial" w:hAnsi="Arial" w:cs="Arial"/>
          <w:b/>
          <w:color w:val="auto"/>
          <w:sz w:val="20"/>
          <w:szCs w:val="20"/>
          <w:lang w:val="en-US"/>
        </w:rPr>
        <w:t xml:space="preserve"> and should be design to be apply to other </w:t>
      </w:r>
      <w:r w:rsidR="00E94761" w:rsidRPr="008D490F">
        <w:rPr>
          <w:rFonts w:ascii="Arial" w:hAnsi="Arial" w:cs="Arial"/>
          <w:b/>
          <w:bCs/>
          <w:color w:val="auto"/>
          <w:sz w:val="20"/>
          <w:szCs w:val="20"/>
          <w:lang w:val="en-GB"/>
        </w:rPr>
        <w:t xml:space="preserve">asset classes </w:t>
      </w:r>
      <w:r w:rsidR="00155EC4" w:rsidRPr="008D490F">
        <w:rPr>
          <w:rFonts w:ascii="Arial" w:hAnsi="Arial" w:cs="Arial"/>
          <w:b/>
          <w:bCs/>
          <w:color w:val="auto"/>
          <w:sz w:val="20"/>
          <w:szCs w:val="20"/>
          <w:lang w:val="en-GB"/>
        </w:rPr>
        <w:t xml:space="preserve">as well </w:t>
      </w:r>
      <w:r w:rsidR="00E94761" w:rsidRPr="008D490F">
        <w:rPr>
          <w:rFonts w:ascii="Arial" w:hAnsi="Arial" w:cs="Arial"/>
          <w:b/>
          <w:bCs/>
          <w:color w:val="auto"/>
          <w:sz w:val="20"/>
          <w:szCs w:val="20"/>
          <w:lang w:val="en-GB"/>
        </w:rPr>
        <w:t>(e.g. sovereigns, real estate)</w:t>
      </w:r>
      <w:proofErr w:type="gramStart"/>
      <w:r w:rsidR="00E94761" w:rsidRPr="008D490F">
        <w:rPr>
          <w:rFonts w:ascii="Arial" w:hAnsi="Arial" w:cs="Arial"/>
          <w:b/>
          <w:bCs/>
          <w:color w:val="auto"/>
          <w:sz w:val="20"/>
          <w:szCs w:val="20"/>
          <w:lang w:val="en-US"/>
        </w:rPr>
        <w:t xml:space="preserve">. </w:t>
      </w:r>
      <w:r w:rsidRPr="008D490F">
        <w:rPr>
          <w:rFonts w:ascii="Arial" w:hAnsi="Arial" w:cs="Arial"/>
          <w:bCs/>
          <w:color w:val="auto"/>
          <w:sz w:val="20"/>
          <w:szCs w:val="20"/>
          <w:lang w:val="en-US"/>
        </w:rPr>
        <w:t>.</w:t>
      </w:r>
      <w:proofErr w:type="gramEnd"/>
      <w:r w:rsidRPr="008D490F">
        <w:rPr>
          <w:rFonts w:ascii="Arial" w:hAnsi="Arial" w:cs="Arial"/>
          <w:bCs/>
          <w:color w:val="auto"/>
          <w:sz w:val="20"/>
          <w:szCs w:val="20"/>
          <w:lang w:val="en-US"/>
        </w:rPr>
        <w:t xml:space="preserve"> </w:t>
      </w:r>
    </w:p>
    <w:p w14:paraId="597D58C9" w14:textId="77777777" w:rsidR="00CF353C" w:rsidRPr="008D490F" w:rsidRDefault="00CF353C" w:rsidP="00FB5086">
      <w:pPr>
        <w:pStyle w:val="Default"/>
        <w:numPr>
          <w:ilvl w:val="0"/>
          <w:numId w:val="45"/>
        </w:numPr>
        <w:spacing w:after="175"/>
        <w:jc w:val="both"/>
        <w:rPr>
          <w:rFonts w:ascii="Arial" w:hAnsi="Arial" w:cs="Arial"/>
          <w:bCs/>
          <w:color w:val="auto"/>
          <w:sz w:val="20"/>
          <w:szCs w:val="20"/>
          <w:lang w:val="en-US"/>
        </w:rPr>
      </w:pPr>
      <w:r w:rsidRPr="008D490F">
        <w:rPr>
          <w:rFonts w:ascii="Arial" w:hAnsi="Arial" w:cs="Arial"/>
          <w:bCs/>
          <w:color w:val="auto"/>
          <w:sz w:val="20"/>
          <w:szCs w:val="20"/>
          <w:lang w:val="en-US"/>
        </w:rPr>
        <w:t>Article 12(2) states that companies that “</w:t>
      </w:r>
      <w:r w:rsidRPr="008D490F">
        <w:rPr>
          <w:rFonts w:ascii="Arial" w:hAnsi="Arial" w:cs="Arial"/>
          <w:bCs/>
          <w:i/>
          <w:iCs/>
          <w:color w:val="auto"/>
          <w:sz w:val="20"/>
          <w:szCs w:val="20"/>
          <w:lang w:val="en-US"/>
        </w:rPr>
        <w:t>significantly harm one or more of the environmental objectives referred to in Article 9 of Regulation (EU) 2020/852</w:t>
      </w:r>
      <w:r w:rsidRPr="008D490F">
        <w:rPr>
          <w:rFonts w:ascii="Arial" w:hAnsi="Arial" w:cs="Arial"/>
          <w:bCs/>
          <w:color w:val="auto"/>
          <w:sz w:val="20"/>
          <w:szCs w:val="20"/>
          <w:lang w:val="en-US"/>
        </w:rPr>
        <w:t>” should be excluded. The notion of DNSH is not clearly defined and, in SFDR, such notion applies to “sustainable investments”.</w:t>
      </w:r>
    </w:p>
    <w:p w14:paraId="38C40DB5" w14:textId="77777777" w:rsidR="00CF353C" w:rsidRPr="008D490F" w:rsidRDefault="00CF353C" w:rsidP="00FB5086">
      <w:pPr>
        <w:pStyle w:val="Default"/>
        <w:numPr>
          <w:ilvl w:val="0"/>
          <w:numId w:val="45"/>
        </w:numPr>
        <w:spacing w:after="175"/>
        <w:jc w:val="both"/>
        <w:rPr>
          <w:rFonts w:ascii="Arial" w:hAnsi="Arial" w:cs="Arial"/>
          <w:bCs/>
          <w:color w:val="auto"/>
          <w:sz w:val="20"/>
          <w:szCs w:val="20"/>
          <w:lang w:val="en-US"/>
        </w:rPr>
      </w:pPr>
      <w:r w:rsidRPr="008D490F">
        <w:rPr>
          <w:rFonts w:ascii="Arial" w:hAnsi="Arial" w:cs="Arial"/>
          <w:bCs/>
          <w:color w:val="auto"/>
          <w:sz w:val="20"/>
          <w:szCs w:val="20"/>
          <w:lang w:val="en-US"/>
        </w:rPr>
        <w:t xml:space="preserve">It is impossible to apply these criteria to cash. </w:t>
      </w:r>
    </w:p>
    <w:p w14:paraId="544EA7CD" w14:textId="77777777" w:rsidR="00CF353C" w:rsidRPr="008D490F" w:rsidRDefault="00CF353C" w:rsidP="00CF353C">
      <w:pPr>
        <w:pStyle w:val="Default"/>
        <w:spacing w:after="175"/>
        <w:jc w:val="both"/>
        <w:rPr>
          <w:rFonts w:ascii="Arial" w:hAnsi="Arial" w:cs="Arial"/>
          <w:bCs/>
          <w:color w:val="auto"/>
          <w:sz w:val="20"/>
          <w:szCs w:val="20"/>
          <w:lang w:val="en-US"/>
        </w:rPr>
      </w:pPr>
      <w:r w:rsidRPr="008D490F">
        <w:rPr>
          <w:rFonts w:ascii="Arial" w:hAnsi="Arial" w:cs="Arial"/>
          <w:bCs/>
          <w:color w:val="auto"/>
          <w:sz w:val="20"/>
          <w:szCs w:val="20"/>
          <w:lang w:val="en-US"/>
        </w:rPr>
        <w:t xml:space="preserve">In the current transitioning state of the real economy, applying all the PAB min. standards of art 12(1) and 12(2) would disqualify many funds from an “ESG” related name and create major confusion with end investors. </w:t>
      </w:r>
    </w:p>
    <w:p w14:paraId="68885583" w14:textId="77777777" w:rsidR="00CF353C" w:rsidRPr="008D490F" w:rsidRDefault="00CF353C" w:rsidP="00CF353C">
      <w:pPr>
        <w:pStyle w:val="Default"/>
        <w:spacing w:after="175"/>
        <w:jc w:val="both"/>
        <w:rPr>
          <w:rFonts w:ascii="Arial" w:hAnsi="Arial" w:cs="Arial"/>
          <w:bCs/>
          <w:color w:val="auto"/>
          <w:sz w:val="20"/>
          <w:szCs w:val="20"/>
          <w:lang w:val="en-US"/>
        </w:rPr>
      </w:pPr>
      <w:proofErr w:type="gramStart"/>
      <w:r w:rsidRPr="008D490F">
        <w:rPr>
          <w:rFonts w:ascii="Arial" w:hAnsi="Arial" w:cs="Arial"/>
          <w:bCs/>
          <w:color w:val="auto"/>
          <w:sz w:val="20"/>
          <w:szCs w:val="20"/>
          <w:lang w:val="en-US"/>
        </w:rPr>
        <w:t>So as to</w:t>
      </w:r>
      <w:proofErr w:type="gramEnd"/>
      <w:r w:rsidRPr="008D490F">
        <w:rPr>
          <w:rFonts w:ascii="Arial" w:hAnsi="Arial" w:cs="Arial"/>
          <w:bCs/>
          <w:color w:val="auto"/>
          <w:sz w:val="20"/>
          <w:szCs w:val="20"/>
          <w:lang w:val="en-US"/>
        </w:rPr>
        <w:t xml:space="preserve"> enhance the minimum standards of art8 funds qualifying for an ESG-related name in a proportionate manner, an alternative </w:t>
      </w:r>
      <w:r w:rsidRPr="008D490F">
        <w:rPr>
          <w:rFonts w:ascii="Arial" w:hAnsi="Arial" w:cs="Arial"/>
          <w:bCs/>
          <w:color w:val="auto"/>
          <w:sz w:val="20"/>
          <w:szCs w:val="20"/>
          <w:u w:val="single"/>
          <w:lang w:val="en-US"/>
        </w:rPr>
        <w:t xml:space="preserve">proposal </w:t>
      </w:r>
      <w:r w:rsidRPr="008D490F">
        <w:rPr>
          <w:rFonts w:ascii="Arial" w:hAnsi="Arial" w:cs="Arial"/>
          <w:bCs/>
          <w:color w:val="auto"/>
          <w:sz w:val="20"/>
          <w:szCs w:val="20"/>
          <w:lang w:val="en-US"/>
        </w:rPr>
        <w:t>could be the following:</w:t>
      </w:r>
    </w:p>
    <w:p w14:paraId="51456DF6" w14:textId="7EA820AE" w:rsidR="00CF353C" w:rsidRPr="008D490F" w:rsidRDefault="00CF353C" w:rsidP="00FB5086">
      <w:pPr>
        <w:pStyle w:val="Default"/>
        <w:numPr>
          <w:ilvl w:val="0"/>
          <w:numId w:val="46"/>
        </w:numPr>
        <w:spacing w:after="175"/>
        <w:jc w:val="both"/>
        <w:rPr>
          <w:rFonts w:ascii="Arial" w:hAnsi="Arial" w:cs="Arial"/>
          <w:bCs/>
          <w:color w:val="auto"/>
          <w:sz w:val="20"/>
          <w:szCs w:val="20"/>
          <w:lang w:val="en-US"/>
        </w:rPr>
      </w:pPr>
      <w:r w:rsidRPr="008D490F">
        <w:rPr>
          <w:rFonts w:ascii="Arial" w:hAnsi="Arial" w:cs="Arial"/>
          <w:bCs/>
          <w:color w:val="auto"/>
          <w:sz w:val="20"/>
          <w:szCs w:val="20"/>
          <w:lang w:val="en-US"/>
        </w:rPr>
        <w:t>No investment can be made in the production of weapons prohibited by the Oslo Convention on Cluster Munitions and the Ottawa Treaty on Anti-Personnel Mines.</w:t>
      </w:r>
    </w:p>
    <w:p w14:paraId="12FAA255" w14:textId="2BD152F9" w:rsidR="00E5531B" w:rsidRPr="008D490F" w:rsidRDefault="00655DF6" w:rsidP="00FB5086">
      <w:pPr>
        <w:pStyle w:val="Default"/>
        <w:numPr>
          <w:ilvl w:val="0"/>
          <w:numId w:val="46"/>
        </w:numPr>
        <w:spacing w:after="175"/>
        <w:jc w:val="both"/>
        <w:rPr>
          <w:rFonts w:ascii="Arial" w:hAnsi="Arial" w:cs="Arial"/>
          <w:bCs/>
          <w:color w:val="auto"/>
          <w:sz w:val="20"/>
          <w:szCs w:val="20"/>
          <w:lang w:val="en-US"/>
        </w:rPr>
      </w:pPr>
      <w:r w:rsidRPr="008D490F">
        <w:rPr>
          <w:rFonts w:ascii="Arial" w:hAnsi="Arial" w:cs="Arial"/>
          <w:bCs/>
          <w:color w:val="auto"/>
          <w:sz w:val="20"/>
          <w:szCs w:val="20"/>
          <w:lang w:val="en-US"/>
        </w:rPr>
        <w:t>Include a</w:t>
      </w:r>
      <w:r w:rsidR="00F04C95" w:rsidRPr="008D490F">
        <w:rPr>
          <w:rFonts w:ascii="Arial" w:hAnsi="Arial" w:cs="Arial"/>
          <w:bCs/>
          <w:color w:val="auto"/>
          <w:sz w:val="20"/>
          <w:szCs w:val="20"/>
          <w:lang w:val="en-US"/>
        </w:rPr>
        <w:t xml:space="preserve">n additional </w:t>
      </w:r>
      <w:r w:rsidRPr="008D490F">
        <w:rPr>
          <w:rFonts w:ascii="Arial" w:hAnsi="Arial" w:cs="Arial"/>
          <w:bCs/>
          <w:color w:val="auto"/>
          <w:sz w:val="20"/>
          <w:szCs w:val="20"/>
          <w:lang w:val="en-US"/>
        </w:rPr>
        <w:t>set of exclusion</w:t>
      </w:r>
      <w:r w:rsidR="00D26394" w:rsidRPr="008D490F">
        <w:rPr>
          <w:rFonts w:ascii="Arial" w:hAnsi="Arial" w:cs="Arial"/>
          <w:bCs/>
          <w:color w:val="auto"/>
          <w:sz w:val="20"/>
          <w:szCs w:val="20"/>
          <w:lang w:val="en-US"/>
        </w:rPr>
        <w:t>s</w:t>
      </w:r>
      <w:r w:rsidRPr="008D490F">
        <w:rPr>
          <w:rFonts w:ascii="Arial" w:hAnsi="Arial" w:cs="Arial"/>
          <w:bCs/>
          <w:color w:val="auto"/>
          <w:sz w:val="20"/>
          <w:szCs w:val="20"/>
          <w:lang w:val="en-US"/>
        </w:rPr>
        <w:t xml:space="preserve"> for already well-recognized </w:t>
      </w:r>
      <w:r w:rsidR="00D26394" w:rsidRPr="008D490F">
        <w:rPr>
          <w:rFonts w:ascii="Arial" w:hAnsi="Arial" w:cs="Arial"/>
          <w:bCs/>
          <w:color w:val="auto"/>
          <w:sz w:val="20"/>
          <w:szCs w:val="20"/>
          <w:lang w:val="en-US"/>
        </w:rPr>
        <w:t xml:space="preserve">harmful activities like thermal coal, tobacco for </w:t>
      </w:r>
      <w:proofErr w:type="gramStart"/>
      <w:r w:rsidR="00D26394" w:rsidRPr="008D490F">
        <w:rPr>
          <w:rFonts w:ascii="Arial" w:hAnsi="Arial" w:cs="Arial"/>
          <w:bCs/>
          <w:color w:val="auto"/>
          <w:sz w:val="20"/>
          <w:szCs w:val="20"/>
          <w:lang w:val="en-US"/>
        </w:rPr>
        <w:t>example</w:t>
      </w:r>
      <w:proofErr w:type="gramEnd"/>
    </w:p>
    <w:p w14:paraId="6F985B5E" w14:textId="77777777" w:rsidR="00CF353C" w:rsidRPr="008D490F" w:rsidRDefault="00CF353C" w:rsidP="00FB5086">
      <w:pPr>
        <w:pStyle w:val="Default"/>
        <w:numPr>
          <w:ilvl w:val="0"/>
          <w:numId w:val="46"/>
        </w:numPr>
        <w:spacing w:after="175"/>
        <w:jc w:val="both"/>
        <w:rPr>
          <w:rFonts w:ascii="Arial" w:hAnsi="Arial" w:cs="Arial"/>
          <w:bCs/>
          <w:color w:val="auto"/>
          <w:sz w:val="20"/>
          <w:szCs w:val="20"/>
          <w:lang w:val="en-US"/>
        </w:rPr>
      </w:pPr>
      <w:r w:rsidRPr="008D490F">
        <w:rPr>
          <w:rFonts w:ascii="Arial" w:hAnsi="Arial" w:cs="Arial"/>
          <w:bCs/>
          <w:color w:val="auto"/>
          <w:sz w:val="20"/>
          <w:szCs w:val="20"/>
          <w:lang w:val="en-US"/>
        </w:rPr>
        <w:t xml:space="preserve">The product considers the SFDR mandatory PAI in a quantitative or qualitative manner. </w:t>
      </w:r>
    </w:p>
    <w:permEnd w:id="175976681"/>
    <w:p w14:paraId="6EE97467" w14:textId="77777777" w:rsidR="00B92885" w:rsidRDefault="00B92885" w:rsidP="00B92885">
      <w:r>
        <w:t>&lt;ESMA_QUESTION_FUNA_6&gt;</w:t>
      </w:r>
    </w:p>
    <w:p w14:paraId="0D23780D" w14:textId="77777777" w:rsidR="00B92885" w:rsidRDefault="00B92885" w:rsidP="00B92885"/>
    <w:p w14:paraId="24C13C1A" w14:textId="77777777" w:rsidR="00B92885" w:rsidRDefault="00B92885" w:rsidP="00FB5086">
      <w:pPr>
        <w:pStyle w:val="Questionstyle"/>
        <w:numPr>
          <w:ilvl w:val="0"/>
          <w:numId w:val="37"/>
        </w:numPr>
      </w:pPr>
      <w:r>
        <w:t xml:space="preserve">: </w:t>
      </w:r>
      <w:r w:rsidRPr="000B78F5">
        <w:t xml:space="preserve">Do you think that, for the purpose of these Guidelines, derivatives should be subject to specific provisions for calculating thresholds? </w:t>
      </w:r>
    </w:p>
    <w:p w14:paraId="242B7FD3" w14:textId="77777777" w:rsidR="00B92885" w:rsidRDefault="00B92885" w:rsidP="00B92885">
      <w:r>
        <w:t>&lt;ESMA_QUESTION_FUNA_7&gt;</w:t>
      </w:r>
    </w:p>
    <w:p w14:paraId="12A5D05F" w14:textId="77777777" w:rsidR="00D031F4" w:rsidRPr="008612BB" w:rsidRDefault="00D031F4" w:rsidP="00D031F4">
      <w:pPr>
        <w:jc w:val="both"/>
        <w:rPr>
          <w:rFonts w:cs="Arial"/>
        </w:rPr>
      </w:pPr>
      <w:permStart w:id="576722602" w:edGrp="everyone"/>
      <w:r w:rsidRPr="008612BB">
        <w:rPr>
          <w:rFonts w:cs="Arial"/>
          <w:lang w:val="en-US"/>
        </w:rPr>
        <w:t>Asset managers act in the best interest of the unitholders by fulfilling the fund’s investment promise, that includes the financial and non-financial objectives of the fund. Derivatives are essential tools to hedge fund’s risks, like market risks, raising interest rates, currency, inflationary, volatility risks etc. and therefore should continue to be allowed in any fund, having an ESG profile or not.</w:t>
      </w:r>
    </w:p>
    <w:p w14:paraId="7E377A97" w14:textId="77777777" w:rsidR="00D031F4" w:rsidRPr="008612BB" w:rsidRDefault="00D031F4" w:rsidP="00D031F4">
      <w:pPr>
        <w:jc w:val="both"/>
        <w:rPr>
          <w:rFonts w:cs="Arial"/>
        </w:rPr>
      </w:pPr>
    </w:p>
    <w:p w14:paraId="3166E7E5" w14:textId="56F7E734" w:rsidR="00D031F4" w:rsidRPr="008612BB" w:rsidRDefault="00BF18DB" w:rsidP="00D031F4">
      <w:pPr>
        <w:jc w:val="both"/>
        <w:rPr>
          <w:rFonts w:cs="Arial"/>
        </w:rPr>
      </w:pPr>
      <w:r w:rsidRPr="008612BB">
        <w:rPr>
          <w:rFonts w:cs="Arial"/>
          <w:lang w:val="en-US"/>
        </w:rPr>
        <w:t xml:space="preserve">We </w:t>
      </w:r>
      <w:r w:rsidR="00D031F4" w:rsidRPr="008612BB">
        <w:rPr>
          <w:rFonts w:cs="Arial"/>
          <w:lang w:val="en-US"/>
        </w:rPr>
        <w:t xml:space="preserve">believe that derivatives should be </w:t>
      </w:r>
      <w:proofErr w:type="gramStart"/>
      <w:r w:rsidR="00D031F4" w:rsidRPr="008612BB">
        <w:rPr>
          <w:rFonts w:cs="Arial"/>
          <w:lang w:val="en-US"/>
        </w:rPr>
        <w:t>taken into account</w:t>
      </w:r>
      <w:proofErr w:type="gramEnd"/>
      <w:r w:rsidR="00D031F4" w:rsidRPr="008612BB">
        <w:rPr>
          <w:rFonts w:cs="Arial"/>
          <w:lang w:val="en-US"/>
        </w:rPr>
        <w:t xml:space="preserve"> for the calculation of the minimum proportion of investments used to meet the environmental or social characteristics or sustainable investment objectives.</w:t>
      </w:r>
    </w:p>
    <w:p w14:paraId="53DB0B8A" w14:textId="28B0BBAE" w:rsidR="00D031F4" w:rsidRPr="008612BB" w:rsidRDefault="00D031F4" w:rsidP="00D031F4">
      <w:pPr>
        <w:jc w:val="both"/>
        <w:rPr>
          <w:rFonts w:cs="Arial"/>
          <w:lang w:val="en-US"/>
        </w:rPr>
      </w:pPr>
      <w:r w:rsidRPr="008612BB">
        <w:rPr>
          <w:rFonts w:cs="Arial"/>
          <w:lang w:val="en-US"/>
        </w:rPr>
        <w:t>As a reminder, the use of derivatives is regulated through the global risk exposure rules and limits as well as other pieces of regulation (EMIR, CCP Recovery and Resolution Regulations, SFTR…).</w:t>
      </w:r>
    </w:p>
    <w:p w14:paraId="155694B0" w14:textId="77777777" w:rsidR="00D031F4" w:rsidRPr="008612BB" w:rsidRDefault="00D031F4" w:rsidP="00D031F4">
      <w:pPr>
        <w:jc w:val="both"/>
        <w:rPr>
          <w:rFonts w:cs="Arial"/>
        </w:rPr>
      </w:pPr>
      <w:r w:rsidRPr="008612BB">
        <w:rPr>
          <w:rFonts w:cs="Arial"/>
          <w:b/>
          <w:bCs/>
          <w:lang w:val="en-US"/>
        </w:rPr>
        <w:t> </w:t>
      </w:r>
    </w:p>
    <w:p w14:paraId="3592D877" w14:textId="77777777" w:rsidR="00D031F4" w:rsidRPr="008612BB" w:rsidRDefault="00D031F4" w:rsidP="00D031F4">
      <w:pPr>
        <w:jc w:val="both"/>
        <w:rPr>
          <w:rFonts w:cs="Arial"/>
          <w:b/>
          <w:bCs/>
          <w:lang w:val="en-US"/>
        </w:rPr>
      </w:pPr>
      <w:r w:rsidRPr="008612BB">
        <w:rPr>
          <w:rFonts w:cs="Arial"/>
          <w:b/>
          <w:bCs/>
          <w:lang w:val="en-US"/>
        </w:rPr>
        <w:t xml:space="preserve">The founding principle is: </w:t>
      </w:r>
    </w:p>
    <w:p w14:paraId="5D870D5E" w14:textId="77777777" w:rsidR="00D031F4" w:rsidRPr="008612BB" w:rsidRDefault="00D031F4" w:rsidP="00FB5086">
      <w:pPr>
        <w:pStyle w:val="ListParagraph"/>
        <w:numPr>
          <w:ilvl w:val="0"/>
          <w:numId w:val="49"/>
        </w:numPr>
        <w:jc w:val="both"/>
        <w:rPr>
          <w:rFonts w:cs="Arial"/>
          <w:b/>
          <w:bCs/>
          <w:lang w:val="en-US"/>
        </w:rPr>
      </w:pPr>
      <w:r w:rsidRPr="008612BB">
        <w:rPr>
          <w:rFonts w:cs="Arial"/>
          <w:b/>
          <w:bCs/>
          <w:lang w:val="en-US"/>
        </w:rPr>
        <w:t>If the derivative is meant to help attain the ESG investment objective, it should be taken it into account as it is in other investment ratios (eligibility, diversification, concentration).</w:t>
      </w:r>
    </w:p>
    <w:p w14:paraId="2118BB92" w14:textId="77777777" w:rsidR="00D031F4" w:rsidRPr="008612BB" w:rsidRDefault="00D031F4" w:rsidP="00FB5086">
      <w:pPr>
        <w:pStyle w:val="ListParagraph"/>
        <w:numPr>
          <w:ilvl w:val="0"/>
          <w:numId w:val="49"/>
        </w:numPr>
        <w:jc w:val="both"/>
        <w:rPr>
          <w:rFonts w:cs="Arial"/>
          <w:b/>
          <w:bCs/>
          <w:lang w:val="en-US"/>
        </w:rPr>
      </w:pPr>
      <w:r w:rsidRPr="008612BB">
        <w:rPr>
          <w:rFonts w:cs="Arial"/>
          <w:b/>
          <w:bCs/>
          <w:lang w:val="en-US"/>
        </w:rPr>
        <w:t>The derivative should be disregarded if its use is not meant to attain the ESG objective as its use is purely financial (</w:t>
      </w:r>
      <w:proofErr w:type="gramStart"/>
      <w:r w:rsidRPr="008612BB">
        <w:rPr>
          <w:rFonts w:cs="Arial"/>
          <w:b/>
          <w:bCs/>
          <w:lang w:val="en-US"/>
        </w:rPr>
        <w:t>i.e.</w:t>
      </w:r>
      <w:proofErr w:type="gramEnd"/>
      <w:r w:rsidRPr="008612BB">
        <w:rPr>
          <w:rFonts w:cs="Arial"/>
          <w:b/>
          <w:bCs/>
          <w:lang w:val="en-US"/>
        </w:rPr>
        <w:t xml:space="preserve"> for example if it is used for instance as tactical derivative and/or temporary for market (beta) hedging/exposure [</w:t>
      </w:r>
      <w:r w:rsidRPr="008612BB">
        <w:rPr>
          <w:rFonts w:cs="Arial"/>
          <w:b/>
          <w:bCs/>
          <w:i/>
          <w:iCs/>
          <w:lang w:val="en-US"/>
        </w:rPr>
        <w:t>non ESG-related</w:t>
      </w:r>
      <w:r w:rsidRPr="008612BB">
        <w:rPr>
          <w:rFonts w:cs="Arial"/>
          <w:b/>
          <w:bCs/>
          <w:lang w:val="en-US"/>
        </w:rPr>
        <w:t>] purposes, or for FX or duration purposes, to manage subscriptions...).</w:t>
      </w:r>
    </w:p>
    <w:p w14:paraId="4CE0A382" w14:textId="77777777" w:rsidR="00D031F4" w:rsidRPr="008612BB" w:rsidRDefault="00D031F4" w:rsidP="00D031F4">
      <w:pPr>
        <w:jc w:val="both"/>
        <w:rPr>
          <w:rFonts w:cs="Arial"/>
        </w:rPr>
      </w:pPr>
      <w:r w:rsidRPr="008612BB">
        <w:rPr>
          <w:rFonts w:cs="Arial"/>
          <w:lang w:val="en-US"/>
        </w:rPr>
        <w:t> </w:t>
      </w:r>
    </w:p>
    <w:p w14:paraId="60ED9967" w14:textId="77777777" w:rsidR="00D031F4" w:rsidRPr="008612BB" w:rsidRDefault="00D031F4" w:rsidP="00D031F4">
      <w:pPr>
        <w:jc w:val="both"/>
        <w:rPr>
          <w:rFonts w:cs="Arial"/>
          <w:lang w:val="en-US"/>
        </w:rPr>
      </w:pPr>
      <w:r w:rsidRPr="008612BB">
        <w:rPr>
          <w:rFonts w:cs="Arial"/>
          <w:lang w:val="en-US"/>
        </w:rPr>
        <w:t xml:space="preserve">Importantly, the use of derivatives must not distort the ESG objective or the main ESG features of the fund, whether the derivative is taken into account or disregarded for the purpose of exposure </w:t>
      </w:r>
      <w:proofErr w:type="gramStart"/>
      <w:r w:rsidRPr="008612BB">
        <w:rPr>
          <w:rFonts w:cs="Arial"/>
          <w:lang w:val="en-US"/>
        </w:rPr>
        <w:t>ratios</w:t>
      </w:r>
      <w:proofErr w:type="gramEnd"/>
    </w:p>
    <w:p w14:paraId="1622E2D5" w14:textId="77777777" w:rsidR="00D031F4" w:rsidRPr="008612BB" w:rsidRDefault="00D031F4" w:rsidP="00D031F4">
      <w:pPr>
        <w:jc w:val="both"/>
        <w:rPr>
          <w:rFonts w:cs="Arial"/>
          <w:lang w:val="en-US"/>
        </w:rPr>
      </w:pPr>
    </w:p>
    <w:p w14:paraId="5364B3C2" w14:textId="77777777" w:rsidR="00D031F4" w:rsidRPr="008612BB" w:rsidRDefault="00D031F4" w:rsidP="00FB5086">
      <w:pPr>
        <w:pStyle w:val="ListParagraph"/>
        <w:numPr>
          <w:ilvl w:val="0"/>
          <w:numId w:val="50"/>
        </w:numPr>
        <w:jc w:val="both"/>
        <w:rPr>
          <w:rFonts w:cs="Arial"/>
          <w:lang w:val="en-US"/>
        </w:rPr>
      </w:pPr>
      <w:r w:rsidRPr="008612BB">
        <w:rPr>
          <w:rFonts w:cs="Arial"/>
          <w:lang w:val="en-US"/>
        </w:rPr>
        <w:t>When the derivative is taken into account by transparency of an index (or basket of assets) for instance, the prospectus should set strict limits on the indirect resulting proportion of assets that are contrary to the ESG characteristics of the fund, for instance in contradiction to the fossil fuels strategy, (it is intended to be strictly limited to a negligible proportion, in general no more than 1 or 2%).</w:t>
      </w:r>
    </w:p>
    <w:p w14:paraId="59510406" w14:textId="77777777" w:rsidR="00D031F4" w:rsidRPr="008612BB" w:rsidRDefault="00D031F4" w:rsidP="00D031F4">
      <w:pPr>
        <w:pStyle w:val="ListParagraph"/>
        <w:jc w:val="both"/>
        <w:rPr>
          <w:rFonts w:cs="Arial"/>
          <w:lang w:val="en-US"/>
        </w:rPr>
      </w:pPr>
    </w:p>
    <w:p w14:paraId="14143F43" w14:textId="77777777" w:rsidR="00D031F4" w:rsidRPr="008612BB" w:rsidRDefault="00D031F4" w:rsidP="00D031F4">
      <w:pPr>
        <w:jc w:val="both"/>
        <w:rPr>
          <w:rFonts w:cs="Arial"/>
          <w:lang w:val="en-US"/>
        </w:rPr>
      </w:pPr>
      <w:r w:rsidRPr="008612BB">
        <w:rPr>
          <w:rFonts w:cs="Arial"/>
          <w:lang w:val="en-US"/>
        </w:rPr>
        <w:t xml:space="preserve">When the derivative is not </w:t>
      </w:r>
      <w:proofErr w:type="gramStart"/>
      <w:r w:rsidRPr="008612BB">
        <w:rPr>
          <w:rFonts w:cs="Arial"/>
          <w:lang w:val="en-US"/>
        </w:rPr>
        <w:t>taken into account</w:t>
      </w:r>
      <w:proofErr w:type="gramEnd"/>
      <w:r w:rsidRPr="008612BB">
        <w:rPr>
          <w:rFonts w:cs="Arial"/>
          <w:lang w:val="en-US"/>
        </w:rPr>
        <w:t xml:space="preserve">, the asset manager has the responsibility to ensure that the derivative uses are not interfering with the ESG objective or strategy of the fund. </w:t>
      </w:r>
    </w:p>
    <w:p w14:paraId="67CBA216" w14:textId="77777777" w:rsidR="00D031F4" w:rsidRPr="008612BB" w:rsidRDefault="00D031F4" w:rsidP="00D031F4">
      <w:pPr>
        <w:jc w:val="both"/>
        <w:rPr>
          <w:rFonts w:cs="Arial"/>
          <w:lang w:val="en-US"/>
        </w:rPr>
      </w:pPr>
      <w:r w:rsidRPr="008612BB">
        <w:rPr>
          <w:rFonts w:cs="Arial"/>
          <w:lang w:val="en-US"/>
        </w:rPr>
        <w:t xml:space="preserve">In the fund’s ex ante implementing strategy disclosure, detailed transparency should be given by each fund on each type of derivatives it may have to use, what types of usages it may implement (market hedging, exposure, forex hedging, yield curve management, risk neutrality to benchmark setting, volatility target management, stop loss controls, CPPI management, monetization, </w:t>
      </w:r>
      <w:proofErr w:type="spellStart"/>
      <w:r w:rsidRPr="008612BB">
        <w:rPr>
          <w:rFonts w:cs="Arial"/>
          <w:lang w:val="en-US"/>
        </w:rPr>
        <w:t>etc</w:t>
      </w:r>
      <w:proofErr w:type="spellEnd"/>
      <w:r w:rsidRPr="008612BB">
        <w:rPr>
          <w:rFonts w:cs="Arial"/>
          <w:lang w:val="en-US"/>
        </w:rPr>
        <w:t xml:space="preserve">) and the conditions under which they are meant to contribute to attain the ESG strategy/characteristics or conversely, if they are not meant to contribute. </w:t>
      </w:r>
    </w:p>
    <w:p w14:paraId="0A162167" w14:textId="77777777" w:rsidR="00D031F4" w:rsidRPr="008612BB" w:rsidRDefault="00D031F4" w:rsidP="00D031F4">
      <w:pPr>
        <w:jc w:val="both"/>
        <w:rPr>
          <w:rFonts w:cs="Arial"/>
        </w:rPr>
      </w:pPr>
      <w:r w:rsidRPr="008612BB">
        <w:rPr>
          <w:rFonts w:cs="Arial"/>
          <w:lang w:val="en-US"/>
        </w:rPr>
        <w:t>The philosophy of the proposed approach is based on (1) a similar approach with cash investing when the use of derivatives is rather structural (targets single-underlying derivatives, ESG indices and the transparency of non-ESG indices or baskets) and (2) in addition the acknowledgment of a tactical use and or temporary use (temporary period to be further defined and less than one year in a any case), both types of use being useful for the effective management of the portfolio.</w:t>
      </w:r>
    </w:p>
    <w:p w14:paraId="0E0C261E" w14:textId="77777777" w:rsidR="00D031F4" w:rsidRPr="008612BB" w:rsidRDefault="00D031F4" w:rsidP="00D031F4">
      <w:pPr>
        <w:jc w:val="both"/>
        <w:rPr>
          <w:rFonts w:cs="Arial"/>
        </w:rPr>
      </w:pPr>
      <w:r w:rsidRPr="008612BB">
        <w:rPr>
          <w:rFonts w:cs="Arial"/>
          <w:lang w:val="en-US"/>
        </w:rPr>
        <w:t> </w:t>
      </w:r>
    </w:p>
    <w:p w14:paraId="031EFB22" w14:textId="5261ABF3" w:rsidR="00D031F4" w:rsidRPr="008612BB" w:rsidRDefault="00D031F4" w:rsidP="00D031F4">
      <w:pPr>
        <w:jc w:val="both"/>
        <w:rPr>
          <w:rFonts w:cs="Arial"/>
        </w:rPr>
      </w:pPr>
      <w:r w:rsidRPr="008612BB">
        <w:rPr>
          <w:rFonts w:cs="Arial"/>
          <w:lang w:val="en-US"/>
        </w:rPr>
        <w:t xml:space="preserve">Very simply, </w:t>
      </w:r>
      <w:r w:rsidR="007E2278" w:rsidRPr="008612BB">
        <w:rPr>
          <w:rFonts w:cs="Arial"/>
          <w:lang w:val="en-US"/>
        </w:rPr>
        <w:t xml:space="preserve">in line with the </w:t>
      </w:r>
      <w:r w:rsidRPr="008612BB">
        <w:rPr>
          <w:rFonts w:cs="Arial"/>
          <w:lang w:val="en-US"/>
        </w:rPr>
        <w:t>AFG suggest</w:t>
      </w:r>
      <w:r w:rsidR="007E2278" w:rsidRPr="008612BB">
        <w:rPr>
          <w:rFonts w:cs="Arial"/>
          <w:lang w:val="en-US"/>
        </w:rPr>
        <w:t xml:space="preserve">ion, </w:t>
      </w:r>
      <w:r w:rsidR="0038617B" w:rsidRPr="008612BB">
        <w:rPr>
          <w:rFonts w:cs="Arial"/>
          <w:lang w:val="en-US"/>
        </w:rPr>
        <w:t xml:space="preserve">the proposal is to </w:t>
      </w:r>
      <w:r w:rsidRPr="008612BB">
        <w:rPr>
          <w:rFonts w:cs="Arial"/>
          <w:lang w:val="en-US"/>
        </w:rPr>
        <w:t>divid</w:t>
      </w:r>
      <w:r w:rsidR="0038617B" w:rsidRPr="008612BB">
        <w:rPr>
          <w:rFonts w:cs="Arial"/>
          <w:lang w:val="en-US"/>
        </w:rPr>
        <w:t>e</w:t>
      </w:r>
      <w:r w:rsidRPr="008612BB">
        <w:rPr>
          <w:rFonts w:cs="Arial"/>
          <w:lang w:val="en-US"/>
        </w:rPr>
        <w:t xml:space="preserve"> derivatives into two categories: </w:t>
      </w:r>
    </w:p>
    <w:p w14:paraId="5694FD99" w14:textId="77777777" w:rsidR="00D031F4" w:rsidRPr="008612BB" w:rsidRDefault="00D031F4" w:rsidP="00FB5086">
      <w:pPr>
        <w:numPr>
          <w:ilvl w:val="0"/>
          <w:numId w:val="47"/>
        </w:numPr>
        <w:jc w:val="both"/>
        <w:rPr>
          <w:rFonts w:cs="Arial"/>
        </w:rPr>
      </w:pPr>
      <w:r w:rsidRPr="008612BB">
        <w:rPr>
          <w:rFonts w:cs="Arial"/>
          <w:lang w:val="en-US"/>
        </w:rPr>
        <w:t>Single-underlying derivatives</w:t>
      </w:r>
    </w:p>
    <w:p w14:paraId="2CD1C3E8" w14:textId="77777777" w:rsidR="00D031F4" w:rsidRPr="008612BB" w:rsidRDefault="00D031F4" w:rsidP="00FB5086">
      <w:pPr>
        <w:numPr>
          <w:ilvl w:val="0"/>
          <w:numId w:val="47"/>
        </w:numPr>
        <w:jc w:val="both"/>
        <w:rPr>
          <w:rFonts w:cs="Arial"/>
        </w:rPr>
      </w:pPr>
      <w:r w:rsidRPr="008612BB">
        <w:rPr>
          <w:rFonts w:cs="Arial"/>
          <w:lang w:val="en-US"/>
        </w:rPr>
        <w:t>versus index/basket derivatives</w:t>
      </w:r>
    </w:p>
    <w:p w14:paraId="0655664A" w14:textId="77777777" w:rsidR="00D031F4" w:rsidRPr="008612BB" w:rsidRDefault="00D031F4" w:rsidP="00D031F4">
      <w:pPr>
        <w:jc w:val="both"/>
        <w:rPr>
          <w:rFonts w:cs="Arial"/>
        </w:rPr>
      </w:pPr>
      <w:r w:rsidRPr="008612BB">
        <w:rPr>
          <w:rFonts w:cs="Arial"/>
          <w:lang w:val="en-US"/>
        </w:rPr>
        <w:t> </w:t>
      </w:r>
    </w:p>
    <w:p w14:paraId="1541D18B" w14:textId="77777777" w:rsidR="00D031F4" w:rsidRPr="008612BB" w:rsidRDefault="00D031F4" w:rsidP="00FB5086">
      <w:pPr>
        <w:numPr>
          <w:ilvl w:val="0"/>
          <w:numId w:val="48"/>
        </w:numPr>
        <w:contextualSpacing/>
        <w:jc w:val="both"/>
        <w:rPr>
          <w:rFonts w:cs="Arial"/>
        </w:rPr>
      </w:pPr>
      <w:r w:rsidRPr="008612BB">
        <w:rPr>
          <w:rFonts w:cs="Arial"/>
          <w:lang w:val="en-US"/>
        </w:rPr>
        <w:t xml:space="preserve">On a single-underlying derivative, the approach and use are the same as on the cash asset. </w:t>
      </w:r>
    </w:p>
    <w:p w14:paraId="19107EDD" w14:textId="77777777" w:rsidR="00D031F4" w:rsidRPr="008612BB" w:rsidRDefault="00D031F4" w:rsidP="00D031F4">
      <w:pPr>
        <w:jc w:val="both"/>
        <w:rPr>
          <w:rFonts w:cs="Arial"/>
        </w:rPr>
      </w:pPr>
      <w:r w:rsidRPr="008612BB">
        <w:rPr>
          <w:rFonts w:cs="Arial"/>
          <w:lang w:val="en-US"/>
        </w:rPr>
        <w:t> </w:t>
      </w:r>
    </w:p>
    <w:p w14:paraId="28DFB50F" w14:textId="77777777" w:rsidR="00D031F4" w:rsidRPr="008612BB" w:rsidRDefault="00D031F4" w:rsidP="00FB5086">
      <w:pPr>
        <w:numPr>
          <w:ilvl w:val="0"/>
          <w:numId w:val="48"/>
        </w:numPr>
        <w:contextualSpacing/>
        <w:jc w:val="both"/>
        <w:rPr>
          <w:rFonts w:cs="Arial"/>
        </w:rPr>
      </w:pPr>
      <w:r w:rsidRPr="008612BB">
        <w:rPr>
          <w:rFonts w:cs="Arial"/>
          <w:lang w:val="en-US"/>
        </w:rPr>
        <w:t xml:space="preserve">On index/basket derivatives, there are 2 situations: </w:t>
      </w:r>
    </w:p>
    <w:p w14:paraId="2931D2F2" w14:textId="77777777" w:rsidR="00D031F4" w:rsidRPr="008612BB" w:rsidRDefault="00D031F4" w:rsidP="00D031F4">
      <w:pPr>
        <w:pStyle w:val="ListParagraph"/>
        <w:jc w:val="both"/>
        <w:rPr>
          <w:rFonts w:cs="Arial"/>
        </w:rPr>
      </w:pPr>
      <w:r w:rsidRPr="008612BB">
        <w:rPr>
          <w:rFonts w:cs="Arial"/>
          <w:lang w:val="en-US"/>
        </w:rPr>
        <w:t> </w:t>
      </w:r>
    </w:p>
    <w:p w14:paraId="7776673A" w14:textId="77777777" w:rsidR="00D031F4" w:rsidRPr="008612BB" w:rsidRDefault="00D031F4" w:rsidP="00FB5086">
      <w:pPr>
        <w:pStyle w:val="ListParagraph"/>
        <w:numPr>
          <w:ilvl w:val="1"/>
          <w:numId w:val="48"/>
        </w:numPr>
        <w:jc w:val="both"/>
        <w:rPr>
          <w:rFonts w:cs="Arial"/>
        </w:rPr>
      </w:pPr>
      <w:r w:rsidRPr="008612BB">
        <w:rPr>
          <w:rFonts w:cs="Arial"/>
          <w:lang w:val="en-US"/>
        </w:rPr>
        <w:t xml:space="preserve">when used for market hedging/market exposure tactical purposes or when the impact on real economy (real investment flows) of the exposure through derivatives is negligible, the exposure is not </w:t>
      </w:r>
      <w:proofErr w:type="gramStart"/>
      <w:r w:rsidRPr="008612BB">
        <w:rPr>
          <w:rFonts w:cs="Arial"/>
          <w:lang w:val="en-US"/>
        </w:rPr>
        <w:t>taken into account</w:t>
      </w:r>
      <w:proofErr w:type="gramEnd"/>
      <w:r w:rsidRPr="008612BB">
        <w:rPr>
          <w:rFonts w:cs="Arial"/>
          <w:lang w:val="en-US"/>
        </w:rPr>
        <w:t xml:space="preserve">. </w:t>
      </w:r>
    </w:p>
    <w:p w14:paraId="146309B2" w14:textId="77777777" w:rsidR="00D031F4" w:rsidRPr="008612BB" w:rsidRDefault="00D031F4" w:rsidP="00FB5086">
      <w:pPr>
        <w:pStyle w:val="ListParagraph"/>
        <w:numPr>
          <w:ilvl w:val="1"/>
          <w:numId w:val="48"/>
        </w:numPr>
        <w:jc w:val="both"/>
        <w:rPr>
          <w:rFonts w:cs="Arial"/>
        </w:rPr>
      </w:pPr>
      <w:r w:rsidRPr="008612BB">
        <w:rPr>
          <w:rFonts w:cs="Arial"/>
          <w:lang w:val="en-US"/>
        </w:rPr>
        <w:t xml:space="preserve">Otherwise, and unless they are already based on an ESG index* (or basket of ESG assets), then the index is </w:t>
      </w:r>
      <w:proofErr w:type="spellStart"/>
      <w:r w:rsidRPr="008612BB">
        <w:rPr>
          <w:rFonts w:cs="Arial"/>
          <w:lang w:val="en-US"/>
        </w:rPr>
        <w:t>transparised</w:t>
      </w:r>
      <w:proofErr w:type="spellEnd"/>
      <w:r w:rsidRPr="008612BB">
        <w:rPr>
          <w:rFonts w:cs="Arial"/>
          <w:lang w:val="en-US"/>
        </w:rPr>
        <w:t xml:space="preserve">, underlying by underlying. It should be mentioned that transparency requires a sufficient </w:t>
      </w:r>
      <w:proofErr w:type="gramStart"/>
      <w:r w:rsidRPr="008612BB">
        <w:rPr>
          <w:rFonts w:cs="Arial"/>
          <w:lang w:val="en-US"/>
        </w:rPr>
        <w:t>period of time</w:t>
      </w:r>
      <w:proofErr w:type="gramEnd"/>
      <w:r w:rsidRPr="008612BB">
        <w:rPr>
          <w:rFonts w:cs="Arial"/>
          <w:lang w:val="en-US"/>
        </w:rPr>
        <w:t xml:space="preserve"> for proper implementation**.</w:t>
      </w:r>
    </w:p>
    <w:p w14:paraId="36779B40" w14:textId="77777777" w:rsidR="00D031F4" w:rsidRPr="008612BB" w:rsidRDefault="00D031F4" w:rsidP="00D031F4">
      <w:pPr>
        <w:jc w:val="both"/>
        <w:rPr>
          <w:rFonts w:cs="Arial"/>
          <w:lang w:val="en-US"/>
        </w:rPr>
      </w:pPr>
    </w:p>
    <w:p w14:paraId="258BB8D3" w14:textId="77777777" w:rsidR="00D031F4" w:rsidRPr="008612BB" w:rsidRDefault="00D031F4" w:rsidP="00D031F4">
      <w:pPr>
        <w:jc w:val="both"/>
        <w:rPr>
          <w:rFonts w:cs="Arial"/>
          <w:lang w:val="en-US"/>
        </w:rPr>
      </w:pPr>
      <w:r w:rsidRPr="008612BB">
        <w:rPr>
          <w:rFonts w:cs="Arial"/>
          <w:lang w:val="en-US"/>
        </w:rPr>
        <w:t>*It should be clarified that the ESG index market is not yet mature and liquid enough to switch from current index derivative market to an ESG derivative market. This market continues to be in progress for several years from now on.</w:t>
      </w:r>
    </w:p>
    <w:p w14:paraId="7C3E3092" w14:textId="77777777" w:rsidR="00D031F4" w:rsidRPr="008612BB" w:rsidRDefault="00D031F4" w:rsidP="00D031F4">
      <w:pPr>
        <w:jc w:val="both"/>
        <w:rPr>
          <w:rFonts w:cs="Arial"/>
          <w:lang w:val="en-US"/>
        </w:rPr>
      </w:pPr>
    </w:p>
    <w:p w14:paraId="78DA3A89" w14:textId="77777777" w:rsidR="00D031F4" w:rsidRPr="008612BB" w:rsidRDefault="00D031F4" w:rsidP="00D031F4">
      <w:pPr>
        <w:jc w:val="both"/>
        <w:rPr>
          <w:rFonts w:cs="Arial"/>
        </w:rPr>
      </w:pPr>
      <w:r w:rsidRPr="008612BB">
        <w:rPr>
          <w:rFonts w:cs="Arial"/>
          <w:lang w:val="en-US"/>
        </w:rPr>
        <w:t xml:space="preserve">**It should be clarified that transparency proposal is </w:t>
      </w:r>
      <w:proofErr w:type="gramStart"/>
      <w:r w:rsidRPr="008612BB">
        <w:rPr>
          <w:rFonts w:cs="Arial"/>
          <w:lang w:val="en-US"/>
        </w:rPr>
        <w:t>right</w:t>
      </w:r>
      <w:proofErr w:type="gramEnd"/>
      <w:r w:rsidRPr="008612BB">
        <w:rPr>
          <w:rFonts w:cs="Arial"/>
          <w:lang w:val="en-US"/>
        </w:rPr>
        <w:t xml:space="preserve"> but authorities should be aware that is not going to be easy and achievable every time because for instance access to granular data is limited and/or very expensive and would require specific management and IT tools to manage exclusions in particular. This is even more applicable on non-European exposure indices, owners of local stock exchanges on which asset managers do not have access to the exact composition. Therefore, in some limited cases and on a temporary stance, funds could apply ex-ante cautious ESG rules/limitations to </w:t>
      </w:r>
      <w:proofErr w:type="gramStart"/>
      <w:r w:rsidRPr="008612BB">
        <w:rPr>
          <w:rFonts w:cs="Arial"/>
          <w:lang w:val="en-US"/>
        </w:rPr>
        <w:t>take into account</w:t>
      </w:r>
      <w:proofErr w:type="gramEnd"/>
      <w:r w:rsidRPr="008612BB">
        <w:rPr>
          <w:rFonts w:cs="Arial"/>
          <w:lang w:val="en-US"/>
        </w:rPr>
        <w:t xml:space="preserve"> the derivative index underlying positions on ESG without having to perform the transparency line by line.</w:t>
      </w:r>
    </w:p>
    <w:p w14:paraId="67049061" w14:textId="77777777" w:rsidR="00D031F4" w:rsidRPr="008612BB" w:rsidRDefault="00D031F4" w:rsidP="00D031F4">
      <w:pPr>
        <w:jc w:val="both"/>
        <w:rPr>
          <w:rFonts w:cs="Arial"/>
        </w:rPr>
      </w:pPr>
      <w:r w:rsidRPr="008612BB">
        <w:rPr>
          <w:rFonts w:cs="Arial"/>
          <w:lang w:val="en-US"/>
        </w:rPr>
        <w:t> </w:t>
      </w:r>
    </w:p>
    <w:p w14:paraId="3523C7C2" w14:textId="77777777" w:rsidR="00D031F4" w:rsidRPr="008612BB" w:rsidRDefault="00D031F4" w:rsidP="00D031F4">
      <w:pPr>
        <w:jc w:val="both"/>
        <w:rPr>
          <w:rFonts w:cs="Arial"/>
        </w:rPr>
      </w:pPr>
      <w:r w:rsidRPr="008612BB">
        <w:rPr>
          <w:rFonts w:cs="Arial"/>
          <w:lang w:val="en-US"/>
        </w:rPr>
        <w:t>It is important to remind that investors should continue to benefit from both effective portfolio and risk management (Efficient Portfolio Management techniques - EPM) and ESG management in a same investment. Investors both financial and non-financial needs and preferences must be considered in this derivative and ESG discussion.</w:t>
      </w:r>
    </w:p>
    <w:permEnd w:id="576722602"/>
    <w:p w14:paraId="523B84EB" w14:textId="77777777" w:rsidR="00B92885" w:rsidRDefault="00B92885" w:rsidP="00B92885">
      <w:r>
        <w:t>&lt;ESMA_QUESTION_FUNA_7&gt;</w:t>
      </w:r>
    </w:p>
    <w:p w14:paraId="50670D01" w14:textId="77777777" w:rsidR="00B92885" w:rsidRDefault="00B92885" w:rsidP="00B92885"/>
    <w:p w14:paraId="1C6AACD7" w14:textId="77777777" w:rsidR="00B92885" w:rsidRDefault="00B92885" w:rsidP="00FB5086">
      <w:pPr>
        <w:pStyle w:val="Questionstyle"/>
        <w:numPr>
          <w:ilvl w:val="0"/>
          <w:numId w:val="38"/>
        </w:numPr>
      </w:pPr>
      <w:r>
        <w:t>Would you suggest the use of the notional value or the market value for the purpose of the calculation of the minimum proportion of investment?</w:t>
      </w:r>
    </w:p>
    <w:p w14:paraId="437586E7" w14:textId="77777777" w:rsidR="00B92885" w:rsidRDefault="00B92885" w:rsidP="00B92885">
      <w:r>
        <w:lastRenderedPageBreak/>
        <w:t>&lt;ESMA_QUESTION_FUNA_1&gt;</w:t>
      </w:r>
    </w:p>
    <w:p w14:paraId="0EC51ABF" w14:textId="744C04C9" w:rsidR="00B92885" w:rsidRDefault="006009F1" w:rsidP="00B92885">
      <w:permStart w:id="1071974531" w:edGrp="everyone"/>
      <w:r w:rsidRPr="008612BB">
        <w:rPr>
          <w:rFonts w:cs="Arial"/>
          <w:lang w:val="en-US"/>
        </w:rPr>
        <w:t xml:space="preserve">We </w:t>
      </w:r>
      <w:r w:rsidRPr="008612BB">
        <w:rPr>
          <w:rFonts w:cs="Arial"/>
          <w:lang w:val="en-US"/>
        </w:rPr>
        <w:t xml:space="preserve">suggest the use of the exposure value, </w:t>
      </w:r>
      <w:proofErr w:type="gramStart"/>
      <w:r w:rsidRPr="008612BB">
        <w:rPr>
          <w:rFonts w:cs="Arial"/>
          <w:lang w:val="en-US"/>
        </w:rPr>
        <w:t>i.e.</w:t>
      </w:r>
      <w:proofErr w:type="gramEnd"/>
      <w:r w:rsidRPr="008612BB">
        <w:rPr>
          <w:rFonts w:cs="Arial"/>
          <w:lang w:val="en-US"/>
        </w:rPr>
        <w:t xml:space="preserve"> the one referring to the delta approach which reflects the economic exposure that the derivative provides to the underlying asset(s) / companies. We propose to refer to the CESR 10-788 conversion methodologies</w:t>
      </w:r>
      <w:r w:rsidRPr="0051572B">
        <w:rPr>
          <w:rFonts w:cs="Arial"/>
          <w:color w:val="002060"/>
          <w:lang w:val="en-US"/>
        </w:rPr>
        <w:t>.</w:t>
      </w:r>
    </w:p>
    <w:permEnd w:id="1071974531"/>
    <w:p w14:paraId="3A9FC829" w14:textId="77777777" w:rsidR="00B92885" w:rsidRDefault="00B92885" w:rsidP="00B92885">
      <w:r>
        <w:t>&lt;ESMA_QUESTION_FUNA_1&gt;</w:t>
      </w:r>
    </w:p>
    <w:p w14:paraId="1ECE9E45" w14:textId="77777777" w:rsidR="00B92885" w:rsidRDefault="00B92885" w:rsidP="00B92885"/>
    <w:p w14:paraId="779A7A94" w14:textId="77777777" w:rsidR="00B92885" w:rsidRDefault="00B92885" w:rsidP="00FB5086">
      <w:pPr>
        <w:pStyle w:val="Questionstyle"/>
        <w:numPr>
          <w:ilvl w:val="0"/>
          <w:numId w:val="38"/>
        </w:numPr>
      </w:pPr>
      <w:r>
        <w:t>Are there any other measures you would recommend for derivatives for the calculation of the minimum proportion of investments?</w:t>
      </w:r>
    </w:p>
    <w:p w14:paraId="7C5D84D6" w14:textId="77777777" w:rsidR="00B92885" w:rsidRDefault="00B92885" w:rsidP="00B92885">
      <w:r>
        <w:t>&lt;ESMA_QUESTION_FUNA_2&gt;</w:t>
      </w:r>
    </w:p>
    <w:p w14:paraId="1D5CCAB0" w14:textId="5F81B325" w:rsidR="00AF303E" w:rsidRPr="008612BB" w:rsidRDefault="00AF303E" w:rsidP="00AF303E">
      <w:pPr>
        <w:pStyle w:val="Default"/>
        <w:jc w:val="both"/>
        <w:rPr>
          <w:rFonts w:ascii="Arial" w:hAnsi="Arial" w:cs="Arial"/>
          <w:color w:val="auto"/>
          <w:sz w:val="20"/>
          <w:szCs w:val="20"/>
          <w:lang w:val="en-GB"/>
        </w:rPr>
      </w:pPr>
      <w:permStart w:id="1162834929" w:edGrp="everyone"/>
      <w:r w:rsidRPr="008612BB">
        <w:rPr>
          <w:rFonts w:ascii="Arial" w:hAnsi="Arial" w:cs="Arial"/>
          <w:color w:val="auto"/>
          <w:sz w:val="20"/>
          <w:szCs w:val="20"/>
          <w:lang w:val="en-US"/>
        </w:rPr>
        <w:t>D</w:t>
      </w:r>
      <w:r w:rsidRPr="008612BB">
        <w:rPr>
          <w:rFonts w:ascii="Arial" w:hAnsi="Arial" w:cs="Arial"/>
          <w:color w:val="auto"/>
          <w:sz w:val="20"/>
          <w:szCs w:val="20"/>
          <w:lang w:val="en-US"/>
        </w:rPr>
        <w:t xml:space="preserve">erivatives should not be used in contradiction with the ESG objective or the main ESG features of the fund. </w:t>
      </w:r>
    </w:p>
    <w:p w14:paraId="0BD87558" w14:textId="77777777" w:rsidR="00AF303E" w:rsidRPr="0051572B" w:rsidRDefault="00AF303E" w:rsidP="00AF303E">
      <w:pPr>
        <w:pStyle w:val="Default"/>
        <w:rPr>
          <w:color w:val="002060"/>
          <w:lang w:val="en-GB"/>
        </w:rPr>
      </w:pPr>
      <w:r w:rsidRPr="0051572B">
        <w:rPr>
          <w:color w:val="002060"/>
          <w:sz w:val="22"/>
          <w:szCs w:val="22"/>
          <w:lang w:val="en-GB"/>
        </w:rPr>
        <w:t> </w:t>
      </w:r>
    </w:p>
    <w:p w14:paraId="2ABDF65C" w14:textId="1E440F42" w:rsidR="00B92885" w:rsidRDefault="00B92885" w:rsidP="00B92885"/>
    <w:permEnd w:id="1162834929"/>
    <w:p w14:paraId="54A1018F" w14:textId="77777777" w:rsidR="00B92885" w:rsidRDefault="00B92885" w:rsidP="00B92885">
      <w:r>
        <w:t>&lt;ESMA_QUESTION_FUNA_2&gt;</w:t>
      </w:r>
    </w:p>
    <w:p w14:paraId="3FC5B87F" w14:textId="77777777" w:rsidR="00B92885" w:rsidRDefault="00B92885" w:rsidP="00B92885"/>
    <w:p w14:paraId="1F43A90B" w14:textId="77777777" w:rsidR="00B92885" w:rsidRDefault="00B92885" w:rsidP="00FB5086">
      <w:pPr>
        <w:pStyle w:val="Questionstyle"/>
        <w:numPr>
          <w:ilvl w:val="0"/>
          <w:numId w:val="37"/>
        </w:numPr>
      </w:pPr>
      <w:r>
        <w:t xml:space="preserve">: </w:t>
      </w:r>
      <w:r w:rsidRPr="000B78F5">
        <w:t>Do you agree that funds designating an index as a reference benchmark should also consider the same requirements for funds’ names as any other fund? If not, explain why and provide an alternative proposal.</w:t>
      </w:r>
    </w:p>
    <w:p w14:paraId="01B8DAB9" w14:textId="77777777" w:rsidR="00B92885" w:rsidRDefault="00B92885" w:rsidP="00B92885">
      <w:r>
        <w:t>&lt;ESMA_QUESTION_FUNA_8&gt;</w:t>
      </w:r>
    </w:p>
    <w:p w14:paraId="42F8F50E" w14:textId="52391C93" w:rsidR="00DC7844" w:rsidRPr="0051572B" w:rsidRDefault="00DC7844" w:rsidP="00DC7844">
      <w:pPr>
        <w:jc w:val="both"/>
        <w:rPr>
          <w:rFonts w:cs="Arial"/>
          <w:color w:val="002060"/>
        </w:rPr>
      </w:pPr>
      <w:permStart w:id="650455330" w:edGrp="everyone"/>
      <w:r w:rsidRPr="0051572B">
        <w:rPr>
          <w:rFonts w:cs="Arial"/>
          <w:color w:val="002060"/>
          <w:lang w:val="en-US"/>
        </w:rPr>
        <w:t>I</w:t>
      </w:r>
      <w:r>
        <w:rPr>
          <w:rFonts w:cs="Arial"/>
          <w:color w:val="002060"/>
          <w:lang w:val="en-US"/>
        </w:rPr>
        <w:t xml:space="preserve">f </w:t>
      </w:r>
      <w:r w:rsidRPr="0051572B">
        <w:rPr>
          <w:rFonts w:cs="Arial"/>
          <w:color w:val="002060"/>
          <w:lang w:val="en-US"/>
        </w:rPr>
        <w:t xml:space="preserve">this question </w:t>
      </w:r>
      <w:r>
        <w:rPr>
          <w:rFonts w:cs="Arial"/>
          <w:color w:val="002060"/>
          <w:lang w:val="en-US"/>
        </w:rPr>
        <w:t xml:space="preserve">is </w:t>
      </w:r>
      <w:r w:rsidRPr="0051572B">
        <w:rPr>
          <w:rFonts w:cs="Arial"/>
          <w:color w:val="002060"/>
          <w:lang w:val="en-US"/>
        </w:rPr>
        <w:t>related to index</w:t>
      </w:r>
      <w:r>
        <w:rPr>
          <w:rFonts w:cs="Arial"/>
          <w:color w:val="002060"/>
          <w:lang w:val="en-US"/>
        </w:rPr>
        <w:t>ed</w:t>
      </w:r>
      <w:r w:rsidRPr="0051572B">
        <w:rPr>
          <w:rFonts w:cs="Arial"/>
          <w:color w:val="002060"/>
          <w:lang w:val="en-US"/>
        </w:rPr>
        <w:t xml:space="preserve"> funds</w:t>
      </w:r>
      <w:r>
        <w:rPr>
          <w:rFonts w:cs="Arial"/>
          <w:color w:val="002060"/>
          <w:lang w:val="en-US"/>
        </w:rPr>
        <w:t xml:space="preserve">, </w:t>
      </w:r>
      <w:r w:rsidRPr="0051572B">
        <w:rPr>
          <w:rFonts w:cs="Arial"/>
          <w:color w:val="002060"/>
          <w:lang w:val="en-US"/>
        </w:rPr>
        <w:t xml:space="preserve">the question is very relevant indeed. </w:t>
      </w:r>
    </w:p>
    <w:p w14:paraId="47CD0591" w14:textId="77777777" w:rsidR="00297DD5" w:rsidRDefault="00DC7844" w:rsidP="00DC7844">
      <w:pPr>
        <w:jc w:val="both"/>
        <w:rPr>
          <w:rFonts w:cs="Arial"/>
          <w:color w:val="002060"/>
          <w:lang w:val="en-US"/>
        </w:rPr>
      </w:pPr>
      <w:r w:rsidRPr="0051572B">
        <w:rPr>
          <w:rFonts w:cs="Arial"/>
          <w:color w:val="002060"/>
          <w:lang w:val="en-US"/>
        </w:rPr>
        <w:t>It should be noted that index providers are not in the SFDR’s scope and that BMR only gives criteria for CTB and PAB indices with only some transparency asked for other ESG benchmarks. Asset managers agree that the same requirements should apply as soon as index providers are in the scope too. For the time being, they are not in the SFDR’s scope and not in these Guidelines’ scope.</w:t>
      </w:r>
    </w:p>
    <w:p w14:paraId="1337E943" w14:textId="77777777" w:rsidR="00297DD5" w:rsidRDefault="00297DD5" w:rsidP="00DC7844">
      <w:pPr>
        <w:jc w:val="both"/>
        <w:rPr>
          <w:rFonts w:cs="Arial"/>
          <w:color w:val="002060"/>
          <w:lang w:val="en-US"/>
        </w:rPr>
      </w:pPr>
    </w:p>
    <w:p w14:paraId="63DDFBC9" w14:textId="1F5B78D9" w:rsidR="00DC7844" w:rsidRPr="0051572B" w:rsidRDefault="00DC7844" w:rsidP="00DC7844">
      <w:pPr>
        <w:jc w:val="both"/>
        <w:rPr>
          <w:rFonts w:cs="Arial"/>
          <w:color w:val="002060"/>
          <w:lang w:val="en-US"/>
        </w:rPr>
      </w:pPr>
      <w:r w:rsidRPr="0051572B">
        <w:rPr>
          <w:rFonts w:cs="Arial"/>
          <w:color w:val="002060"/>
          <w:lang w:val="en-US"/>
        </w:rPr>
        <w:t xml:space="preserve">From an ecosystem point of view, there is thus a regulatory mismatch between index funds and their indices’ regulations in terms of ESG rules. The same applies for other products than funds marketed to retail clients, like structured notes for instance, which are not subject to the same rules. Regulators have a global responsibility of bringing forward a coherent ESG approach towards retail, whatever the investment product they are proposed. </w:t>
      </w:r>
    </w:p>
    <w:p w14:paraId="5611412F" w14:textId="2A7B94B5" w:rsidR="00DC7844" w:rsidRPr="0051572B" w:rsidRDefault="00DC7844" w:rsidP="00DC7844">
      <w:pPr>
        <w:jc w:val="both"/>
        <w:rPr>
          <w:rFonts w:cs="Arial"/>
          <w:color w:val="002060"/>
          <w:lang w:val="en-US"/>
        </w:rPr>
      </w:pPr>
      <w:r w:rsidRPr="0051572B">
        <w:rPr>
          <w:rFonts w:cs="Arial"/>
          <w:color w:val="002060"/>
          <w:lang w:val="en-US"/>
        </w:rPr>
        <w:t xml:space="preserve">Thus, </w:t>
      </w:r>
      <w:proofErr w:type="gramStart"/>
      <w:r w:rsidRPr="0051572B">
        <w:rPr>
          <w:rFonts w:cs="Arial"/>
          <w:color w:val="002060"/>
          <w:lang w:val="en-US"/>
        </w:rPr>
        <w:t>taking into account</w:t>
      </w:r>
      <w:proofErr w:type="gramEnd"/>
      <w:r w:rsidRPr="0051572B">
        <w:rPr>
          <w:rFonts w:cs="Arial"/>
          <w:color w:val="002060"/>
          <w:lang w:val="en-US"/>
        </w:rPr>
        <w:t xml:space="preserve"> the current context is of </w:t>
      </w:r>
      <w:r w:rsidRPr="009D7305">
        <w:rPr>
          <w:rFonts w:cs="Arial"/>
          <w:color w:val="002060"/>
          <w:lang w:val="en-US"/>
        </w:rPr>
        <w:t xml:space="preserve">utmost importance. </w:t>
      </w:r>
      <w:r w:rsidR="00C10672">
        <w:rPr>
          <w:rFonts w:cs="Arial"/>
          <w:color w:val="002060"/>
          <w:lang w:val="en-US"/>
        </w:rPr>
        <w:t xml:space="preserve">We believe that </w:t>
      </w:r>
      <w:proofErr w:type="gramStart"/>
      <w:r w:rsidRPr="009D7305">
        <w:rPr>
          <w:rFonts w:cs="Arial"/>
          <w:color w:val="002060"/>
          <w:lang w:val="en-US"/>
        </w:rPr>
        <w:t>as long as</w:t>
      </w:r>
      <w:proofErr w:type="gramEnd"/>
      <w:r w:rsidRPr="009D7305">
        <w:rPr>
          <w:rFonts w:cs="Arial"/>
          <w:color w:val="002060"/>
          <w:lang w:val="en-US"/>
        </w:rPr>
        <w:t xml:space="preserve"> the Sustainable Investment (SI) definition is not </w:t>
      </w:r>
      <w:proofErr w:type="spellStart"/>
      <w:r w:rsidRPr="009D7305">
        <w:rPr>
          <w:rFonts w:cs="Arial"/>
          <w:color w:val="002060"/>
          <w:lang w:val="en-US"/>
        </w:rPr>
        <w:t>harmonised</w:t>
      </w:r>
      <w:proofErr w:type="spellEnd"/>
      <w:r w:rsidRPr="009D7305">
        <w:rPr>
          <w:rFonts w:cs="Arial"/>
          <w:color w:val="002060"/>
          <w:lang w:val="en-US"/>
        </w:rPr>
        <w:t>, asset managers (that have both active and index products) must have the choice, for the index products, between using their own SI metrics or using the index provider’s ones. In the same vein, until benchmark producers</w:t>
      </w:r>
      <w:r w:rsidRPr="0051572B">
        <w:rPr>
          <w:rFonts w:cs="Arial"/>
          <w:color w:val="002060"/>
          <w:lang w:val="en-US"/>
        </w:rPr>
        <w:t xml:space="preserve"> are not in the scope of SFRD and all linked guidelines, it is unconceivable that they will apply strictly on their own initiative the naming conventions on their products. It is thus very uncomfortable in terms of end investors coherent information to track an index (or offer exposure to) and not be able to use the index name. The resulting transparency owed to the investors would be flawed. </w:t>
      </w:r>
    </w:p>
    <w:p w14:paraId="6EFE88E1" w14:textId="77777777" w:rsidR="00DC7844" w:rsidRPr="0051572B" w:rsidRDefault="00DC7844" w:rsidP="00DC7844">
      <w:pPr>
        <w:jc w:val="both"/>
        <w:rPr>
          <w:rFonts w:cs="Arial"/>
          <w:color w:val="002060"/>
          <w:lang w:val="en-US"/>
        </w:rPr>
      </w:pPr>
    </w:p>
    <w:p w14:paraId="35D613A7" w14:textId="77777777" w:rsidR="00DC7844" w:rsidRPr="0051572B" w:rsidRDefault="00DC7844" w:rsidP="00DC7844">
      <w:pPr>
        <w:jc w:val="both"/>
        <w:rPr>
          <w:rFonts w:cs="Arial"/>
          <w:i/>
          <w:iCs/>
          <w:color w:val="002060"/>
          <w:lang w:val="en-US"/>
        </w:rPr>
      </w:pPr>
      <w:r w:rsidRPr="0051572B">
        <w:rPr>
          <w:rFonts w:cs="Arial"/>
          <w:i/>
          <w:iCs/>
          <w:color w:val="002060"/>
          <w:lang w:val="en-US"/>
        </w:rPr>
        <w:t>Index funds</w:t>
      </w:r>
    </w:p>
    <w:p w14:paraId="70BCC781" w14:textId="77777777" w:rsidR="00DC7844" w:rsidRPr="0051572B" w:rsidRDefault="00DC7844" w:rsidP="00DC7844">
      <w:pPr>
        <w:jc w:val="both"/>
        <w:rPr>
          <w:rFonts w:cs="Arial"/>
          <w:color w:val="002060"/>
          <w:lang w:val="en-US"/>
        </w:rPr>
      </w:pPr>
      <w:r w:rsidRPr="0051572B">
        <w:rPr>
          <w:rFonts w:cs="Arial"/>
          <w:color w:val="002060"/>
          <w:lang w:val="en-US"/>
        </w:rPr>
        <w:t xml:space="preserve">It should also be reminded contractual obligations upon the asset manager to use the index name (that they pay). In index funds, the use of indices is managed according to the license agreement signed by the asset manager with the index provider. This contract defines do’s and </w:t>
      </w:r>
      <w:proofErr w:type="spellStart"/>
      <w:r w:rsidRPr="0051572B">
        <w:rPr>
          <w:rFonts w:cs="Arial"/>
          <w:color w:val="002060"/>
          <w:lang w:val="en-US"/>
        </w:rPr>
        <w:t>don’t</w:t>
      </w:r>
      <w:proofErr w:type="spellEnd"/>
      <w:r w:rsidRPr="0051572B">
        <w:rPr>
          <w:rFonts w:cs="Arial"/>
          <w:color w:val="002060"/>
          <w:lang w:val="en-US"/>
        </w:rPr>
        <w:t xml:space="preserve"> asset managers have to comply with:</w:t>
      </w:r>
    </w:p>
    <w:p w14:paraId="153E97E7" w14:textId="77777777" w:rsidR="00DC7844" w:rsidRPr="00CD4E72" w:rsidRDefault="00DC7844" w:rsidP="00FB5086">
      <w:pPr>
        <w:pStyle w:val="CommentText"/>
        <w:numPr>
          <w:ilvl w:val="0"/>
          <w:numId w:val="51"/>
        </w:numPr>
        <w:jc w:val="both"/>
        <w:rPr>
          <w:rFonts w:cs="Arial"/>
          <w:color w:val="002060"/>
          <w:lang w:val="en-US"/>
        </w:rPr>
      </w:pPr>
      <w:r w:rsidRPr="0051572B">
        <w:rPr>
          <w:rFonts w:cs="Arial"/>
          <w:color w:val="002060"/>
          <w:sz w:val="22"/>
          <w:szCs w:val="22"/>
          <w:lang w:val="en-US"/>
        </w:rPr>
        <w:t xml:space="preserve"> </w:t>
      </w:r>
      <w:r w:rsidRPr="00CD4E72">
        <w:rPr>
          <w:rFonts w:cs="Arial"/>
          <w:color w:val="002060"/>
          <w:lang w:val="en-US"/>
        </w:rPr>
        <w:t xml:space="preserve">Use the index name in the fund’s </w:t>
      </w:r>
      <w:proofErr w:type="gramStart"/>
      <w:r w:rsidRPr="00CD4E72">
        <w:rPr>
          <w:rFonts w:cs="Arial"/>
          <w:color w:val="002060"/>
          <w:lang w:val="en-US"/>
        </w:rPr>
        <w:t>name</w:t>
      </w:r>
      <w:proofErr w:type="gramEnd"/>
    </w:p>
    <w:p w14:paraId="1D562C19" w14:textId="77777777" w:rsidR="00DC7844" w:rsidRPr="00CD4E72" w:rsidRDefault="00DC7844" w:rsidP="00FB5086">
      <w:pPr>
        <w:pStyle w:val="CommentText"/>
        <w:numPr>
          <w:ilvl w:val="0"/>
          <w:numId w:val="51"/>
        </w:numPr>
        <w:jc w:val="both"/>
        <w:rPr>
          <w:rFonts w:cs="Arial"/>
          <w:color w:val="002060"/>
          <w:lang w:val="en-US"/>
        </w:rPr>
      </w:pPr>
      <w:r w:rsidRPr="00CD4E72">
        <w:rPr>
          <w:rFonts w:cs="Arial"/>
          <w:color w:val="002060"/>
          <w:lang w:val="en-US"/>
        </w:rPr>
        <w:t xml:space="preserve"> Constraints in terms of fund’s disclosures and portfolio transparency </w:t>
      </w:r>
    </w:p>
    <w:p w14:paraId="0DE670E2" w14:textId="77777777" w:rsidR="00DC7844" w:rsidRPr="00CD4E72" w:rsidRDefault="00DC7844" w:rsidP="00DC7844">
      <w:pPr>
        <w:pStyle w:val="CommentText"/>
        <w:jc w:val="both"/>
        <w:rPr>
          <w:rFonts w:cs="Arial"/>
          <w:color w:val="002060"/>
          <w:lang w:val="en-US"/>
        </w:rPr>
      </w:pPr>
      <w:r w:rsidRPr="00CD4E72">
        <w:rPr>
          <w:rFonts w:cs="Arial"/>
          <w:color w:val="002060"/>
          <w:lang w:val="en-US"/>
        </w:rPr>
        <w:t xml:space="preserve">It is not always easy (from an asset manager’s perspective) to change the name of a product… especially if the index is managed by a non-European entity or an index provider (for ex a stock exchange) for which delta-one products are not considered as strategic products. In other words, index providers (being a global entity or not) are not bound (nor always interested from a business point a view) to comply with European regulations and there is little incentive to change the index name according to European constraints. In </w:t>
      </w:r>
      <w:proofErr w:type="gramStart"/>
      <w:r w:rsidRPr="00CD4E72">
        <w:rPr>
          <w:rFonts w:cs="Arial"/>
          <w:color w:val="002060"/>
          <w:lang w:val="en-US"/>
        </w:rPr>
        <w:t>addition</w:t>
      </w:r>
      <w:proofErr w:type="gramEnd"/>
      <w:r w:rsidRPr="00CD4E72">
        <w:rPr>
          <w:rFonts w:cs="Arial"/>
          <w:color w:val="002060"/>
          <w:lang w:val="en-US"/>
        </w:rPr>
        <w:t xml:space="preserve"> CTB and PAB indices should still be named as they are today. </w:t>
      </w:r>
    </w:p>
    <w:p w14:paraId="5C85519C" w14:textId="77777777" w:rsidR="00DC7844" w:rsidRPr="0051572B" w:rsidRDefault="00DC7844" w:rsidP="00DC7844">
      <w:pPr>
        <w:pStyle w:val="CommentText"/>
        <w:jc w:val="both"/>
        <w:rPr>
          <w:rFonts w:cs="Arial"/>
          <w:color w:val="002060"/>
          <w:sz w:val="22"/>
          <w:szCs w:val="22"/>
          <w:lang w:val="en-US"/>
        </w:rPr>
      </w:pPr>
    </w:p>
    <w:p w14:paraId="0198C0C4" w14:textId="77777777" w:rsidR="00DC7844" w:rsidRPr="0051572B" w:rsidRDefault="00DC7844" w:rsidP="00DC7844">
      <w:pPr>
        <w:pStyle w:val="CommentText"/>
        <w:jc w:val="both"/>
        <w:rPr>
          <w:rFonts w:cs="Arial"/>
          <w:i/>
          <w:iCs/>
          <w:color w:val="002060"/>
          <w:sz w:val="22"/>
          <w:szCs w:val="22"/>
          <w:lang w:val="en-US"/>
        </w:rPr>
      </w:pPr>
      <w:r w:rsidRPr="0051572B">
        <w:rPr>
          <w:rFonts w:cs="Arial"/>
          <w:i/>
          <w:iCs/>
          <w:color w:val="002060"/>
          <w:sz w:val="22"/>
          <w:szCs w:val="22"/>
          <w:lang w:val="en-US"/>
        </w:rPr>
        <w:t>Structured funds</w:t>
      </w:r>
    </w:p>
    <w:p w14:paraId="5C27D2AD" w14:textId="77777777" w:rsidR="00DC7844" w:rsidRPr="003D17D8" w:rsidRDefault="00DC7844" w:rsidP="00DC7844">
      <w:pPr>
        <w:pStyle w:val="CommentText"/>
        <w:jc w:val="both"/>
        <w:rPr>
          <w:rFonts w:cs="Arial"/>
          <w:color w:val="002060"/>
          <w:lang w:val="en-US"/>
        </w:rPr>
      </w:pPr>
      <w:r w:rsidRPr="003D17D8">
        <w:rPr>
          <w:rFonts w:cs="Arial"/>
          <w:color w:val="002060"/>
          <w:lang w:val="en-US"/>
        </w:rPr>
        <w:lastRenderedPageBreak/>
        <w:t xml:space="preserve">Regarding structured funds (like formula funds), some members think they should also be excluded at this stage to allow these rules to be adapted to the required management techniques. Indeed, when a formula fund offers indexation to an underlying index, the name of the fund must be able to reflect the reality and the theme of this exposure, otherwise the investor may be misled as to the economic exposure to which the fund is committed. </w:t>
      </w:r>
    </w:p>
    <w:p w14:paraId="7ECA2EE1" w14:textId="77777777" w:rsidR="00DC7844" w:rsidRPr="003D17D8" w:rsidRDefault="00DC7844" w:rsidP="00DC7844">
      <w:pPr>
        <w:pStyle w:val="CommentText"/>
        <w:jc w:val="both"/>
        <w:rPr>
          <w:rFonts w:cs="Arial"/>
          <w:color w:val="002060"/>
          <w:lang w:val="en-US"/>
        </w:rPr>
      </w:pPr>
    </w:p>
    <w:p w14:paraId="2D7578F5" w14:textId="77777777" w:rsidR="00DC7844" w:rsidRPr="003D17D8" w:rsidRDefault="00DC7844" w:rsidP="00DC7844">
      <w:pPr>
        <w:pStyle w:val="CommentText"/>
        <w:jc w:val="both"/>
        <w:rPr>
          <w:rFonts w:cs="Arial"/>
          <w:color w:val="002060"/>
          <w:lang w:val="en-US"/>
        </w:rPr>
      </w:pPr>
      <w:r w:rsidRPr="003D17D8">
        <w:rPr>
          <w:rFonts w:cs="Arial"/>
          <w:color w:val="002060"/>
          <w:lang w:val="en-US"/>
        </w:rPr>
        <w:t xml:space="preserve">At the very least, (1) it is essential that existing structured funds (and </w:t>
      </w:r>
      <w:proofErr w:type="gramStart"/>
      <w:r w:rsidRPr="003D17D8">
        <w:rPr>
          <w:rFonts w:cs="Arial"/>
          <w:color w:val="002060"/>
          <w:lang w:val="en-US"/>
        </w:rPr>
        <w:t>in particular formula</w:t>
      </w:r>
      <w:proofErr w:type="gramEnd"/>
      <w:r w:rsidRPr="003D17D8">
        <w:rPr>
          <w:rFonts w:cs="Arial"/>
          <w:color w:val="002060"/>
          <w:lang w:val="en-US"/>
        </w:rPr>
        <w:t xml:space="preserve"> funds) benefit from a grandfather clause until their maturity, because:</w:t>
      </w:r>
    </w:p>
    <w:p w14:paraId="0EAE155D" w14:textId="77777777" w:rsidR="00DC7844" w:rsidRPr="003D17D8" w:rsidRDefault="00DC7844" w:rsidP="00FB5086">
      <w:pPr>
        <w:pStyle w:val="CommentText"/>
        <w:numPr>
          <w:ilvl w:val="0"/>
          <w:numId w:val="51"/>
        </w:numPr>
        <w:jc w:val="both"/>
        <w:rPr>
          <w:rFonts w:cs="Arial"/>
          <w:color w:val="002060"/>
          <w:lang w:val="en-US"/>
        </w:rPr>
      </w:pPr>
      <w:r w:rsidRPr="003D17D8">
        <w:rPr>
          <w:rFonts w:cs="Arial"/>
          <w:color w:val="002060"/>
          <w:lang w:val="en-US"/>
        </w:rPr>
        <w:t>These funds are closed to marketing: they are therefore no longer subject to new investments,</w:t>
      </w:r>
    </w:p>
    <w:p w14:paraId="477659C4" w14:textId="77777777" w:rsidR="00DC7844" w:rsidRPr="003D17D8" w:rsidRDefault="00DC7844" w:rsidP="00FB5086">
      <w:pPr>
        <w:pStyle w:val="CommentText"/>
        <w:numPr>
          <w:ilvl w:val="0"/>
          <w:numId w:val="51"/>
        </w:numPr>
        <w:jc w:val="both"/>
        <w:rPr>
          <w:rFonts w:cs="Arial"/>
          <w:color w:val="002060"/>
          <w:lang w:val="en-US"/>
        </w:rPr>
      </w:pPr>
      <w:r w:rsidRPr="003D17D8">
        <w:rPr>
          <w:rFonts w:cs="Arial"/>
          <w:color w:val="002060"/>
          <w:lang w:val="en-US"/>
        </w:rPr>
        <w:t>The financial conditions have been set for the entire life of the fund on the basis of the regulations applicable at their launch: changing the terms of structuring is therefore impossible without calling into question the terms of the fund,- A change of name would risk casting illegitimate suspicion on the world of management and reliability of offers, and generating confusion of requests for redemptions before maturity which, given market conditions, could be made to the detriment of investors, at levels significantly below the protection level.</w:t>
      </w:r>
    </w:p>
    <w:p w14:paraId="225E8AE6" w14:textId="77777777" w:rsidR="00DC7844" w:rsidRPr="003D17D8" w:rsidRDefault="00DC7844" w:rsidP="00DC7844">
      <w:pPr>
        <w:jc w:val="both"/>
        <w:rPr>
          <w:rFonts w:cs="Arial"/>
          <w:color w:val="002060"/>
          <w:szCs w:val="20"/>
          <w:lang w:val="en-US"/>
        </w:rPr>
      </w:pPr>
      <w:r w:rsidRPr="003D17D8">
        <w:rPr>
          <w:rFonts w:cs="Arial"/>
          <w:color w:val="002060"/>
          <w:szCs w:val="20"/>
          <w:lang w:val="en-US"/>
        </w:rPr>
        <w:t>And that (2) only the risky part at inception could follow the same rules as mutual funds.</w:t>
      </w:r>
    </w:p>
    <w:p w14:paraId="2003531A" w14:textId="77777777" w:rsidR="00DC7844" w:rsidRPr="0051572B" w:rsidRDefault="00DC7844" w:rsidP="00DC7844">
      <w:pPr>
        <w:jc w:val="both"/>
        <w:rPr>
          <w:rFonts w:cs="Arial"/>
          <w:color w:val="002060"/>
          <w:lang w:val="en-US"/>
        </w:rPr>
      </w:pPr>
      <w:proofErr w:type="gramStart"/>
      <w:r w:rsidRPr="003D17D8">
        <w:rPr>
          <w:rFonts w:cs="Arial"/>
          <w:color w:val="002060"/>
          <w:szCs w:val="20"/>
          <w:lang w:val="en-US"/>
        </w:rPr>
        <w:t>Last but not least</w:t>
      </w:r>
      <w:proofErr w:type="gramEnd"/>
      <w:r w:rsidRPr="003D17D8">
        <w:rPr>
          <w:rFonts w:cs="Arial"/>
          <w:color w:val="002060"/>
          <w:szCs w:val="20"/>
          <w:lang w:val="en-US"/>
        </w:rPr>
        <w:t xml:space="preserve">, ESMA should ensure with the other ESAs that there is level playing field with other index or formula-based products that are not funds and that also target retail like notes, EMTNs, </w:t>
      </w:r>
      <w:proofErr w:type="spellStart"/>
      <w:r w:rsidRPr="003D17D8">
        <w:rPr>
          <w:rFonts w:cs="Arial"/>
          <w:color w:val="002060"/>
          <w:szCs w:val="20"/>
          <w:lang w:val="en-US"/>
        </w:rPr>
        <w:t>etc</w:t>
      </w:r>
      <w:proofErr w:type="spellEnd"/>
      <w:r w:rsidRPr="003D17D8">
        <w:rPr>
          <w:rFonts w:cs="Arial"/>
          <w:color w:val="002060"/>
          <w:szCs w:val="20"/>
          <w:lang w:val="en-US"/>
        </w:rPr>
        <w:t xml:space="preserve"> for instance.</w:t>
      </w:r>
    </w:p>
    <w:permEnd w:id="650455330"/>
    <w:p w14:paraId="737A5FA8" w14:textId="77777777" w:rsidR="00B92885" w:rsidRDefault="00B92885" w:rsidP="00B92885">
      <w:r>
        <w:t>&lt;ESMA_QUESTION_FUNA_8&gt;</w:t>
      </w:r>
    </w:p>
    <w:p w14:paraId="38B4AF69" w14:textId="77777777" w:rsidR="00B92885" w:rsidRDefault="00B92885" w:rsidP="00B92885"/>
    <w:p w14:paraId="06BA20E5" w14:textId="77777777" w:rsidR="00B92885" w:rsidRDefault="00B92885" w:rsidP="00FB5086">
      <w:pPr>
        <w:pStyle w:val="Questionstyle"/>
        <w:numPr>
          <w:ilvl w:val="0"/>
          <w:numId w:val="37"/>
        </w:numPr>
      </w:pPr>
      <w:r>
        <w:t xml:space="preserve">: </w:t>
      </w:r>
      <w:r w:rsidRPr="000B78F5">
        <w:t>Would you make a distinction between physical and synthetic replication, for example in relation to the collateral held, of an index?</w:t>
      </w:r>
    </w:p>
    <w:p w14:paraId="2D8CAB30" w14:textId="77777777" w:rsidR="00B92885" w:rsidRDefault="00B92885" w:rsidP="00B92885">
      <w:r>
        <w:t>&lt;ESMA_QUESTION_FUNA_9&gt;</w:t>
      </w:r>
    </w:p>
    <w:p w14:paraId="624642D4" w14:textId="77777777" w:rsidR="006B3A87" w:rsidRPr="00C0569D" w:rsidRDefault="006B3A87" w:rsidP="006B3A87">
      <w:pPr>
        <w:jc w:val="both"/>
        <w:rPr>
          <w:rFonts w:cs="Arial"/>
          <w:lang w:val="en-US"/>
        </w:rPr>
      </w:pPr>
      <w:permStart w:id="1876589445" w:edGrp="everyone"/>
      <w:r w:rsidRPr="00C0569D">
        <w:rPr>
          <w:rFonts w:cs="Arial"/>
          <w:lang w:val="en-US"/>
        </w:rPr>
        <w:t xml:space="preserve">No. For funds replicating “ESG” index/ reference benchmark with derivatives instruments, we consider that Indirect (TRS) based replication has in terms of exposure the same effects as the direct replication of the index. The portfolio held by the fund is swapped against the exposure of the portfolio held by the counterparty and unitholders bears the risk and opportunities linked to the exposure portfolio, not the portfolio held by the fund. </w:t>
      </w:r>
    </w:p>
    <w:p w14:paraId="08901A8C" w14:textId="4EE8C8C5" w:rsidR="00B92885" w:rsidRPr="00C0569D" w:rsidRDefault="006B3A87" w:rsidP="006B3A87">
      <w:r w:rsidRPr="00C0569D">
        <w:rPr>
          <w:rFonts w:cs="Arial"/>
          <w:lang w:val="en-US"/>
        </w:rPr>
        <w:t>Nevertheless, the portfolio held by the fund (which is improperly called “collateral”, as these assets are held by the fund,</w:t>
      </w:r>
      <w:r w:rsidRPr="00C0569D">
        <w:t xml:space="preserve"> </w:t>
      </w:r>
      <w:r w:rsidRPr="00C0569D">
        <w:rPr>
          <w:rFonts w:cs="Arial"/>
          <w:lang w:val="en-US"/>
        </w:rPr>
        <w:t>the fund is the direct owner of the fund’s assets, so there is no notion of collateral applicable in this case) follows the asset managers’ Responsible Investment policy (the policy may include different elements as legal exclusions, constraints on coal and fossil fuels linked to the asset manager’s policy, sometimes minimal ESG ratings).</w:t>
      </w:r>
    </w:p>
    <w:permEnd w:id="1876589445"/>
    <w:p w14:paraId="1B5712A0" w14:textId="77777777" w:rsidR="00B92885" w:rsidRDefault="00B92885" w:rsidP="00B92885">
      <w:r>
        <w:t>&lt;ESMA_QUESTION_FUNA_9&gt;</w:t>
      </w:r>
    </w:p>
    <w:p w14:paraId="76724C94" w14:textId="77777777" w:rsidR="00B92885" w:rsidRDefault="00B92885" w:rsidP="00B92885"/>
    <w:p w14:paraId="19F0BC69" w14:textId="77777777" w:rsidR="00B92885" w:rsidRDefault="00B92885" w:rsidP="00FB5086">
      <w:pPr>
        <w:pStyle w:val="Questionstyle"/>
        <w:numPr>
          <w:ilvl w:val="0"/>
          <w:numId w:val="37"/>
        </w:numPr>
      </w:pPr>
      <w:r>
        <w:t xml:space="preserve">: </w:t>
      </w:r>
      <w:r w:rsidRPr="000B78F5">
        <w:t>Do you agree of having specific provisions for “impact” or impact-related names in these Guidelines</w:t>
      </w:r>
      <w:r w:rsidRPr="00391CB0">
        <w:t>?</w:t>
      </w:r>
      <w:r>
        <w:t xml:space="preserve"> </w:t>
      </w:r>
    </w:p>
    <w:p w14:paraId="4378B853" w14:textId="77777777" w:rsidR="00B92885" w:rsidRDefault="00B92885" w:rsidP="00B92885">
      <w:r>
        <w:t>&lt;ESMA_QUESTION_FUNA_10&gt;</w:t>
      </w:r>
    </w:p>
    <w:p w14:paraId="178F88E2" w14:textId="77777777" w:rsidR="00B470B3" w:rsidRPr="00087EE4" w:rsidRDefault="00B470B3" w:rsidP="00B470B3">
      <w:pPr>
        <w:pStyle w:val="Default"/>
        <w:spacing w:after="175"/>
        <w:jc w:val="both"/>
        <w:rPr>
          <w:rFonts w:ascii="Arial" w:hAnsi="Arial" w:cs="Arial"/>
          <w:bCs/>
          <w:color w:val="auto"/>
          <w:sz w:val="20"/>
          <w:szCs w:val="20"/>
          <w:lang w:val="en-US"/>
        </w:rPr>
      </w:pPr>
      <w:permStart w:id="1992309739" w:edGrp="everyone"/>
      <w:r w:rsidRPr="00087EE4">
        <w:rPr>
          <w:rFonts w:ascii="Arial" w:hAnsi="Arial" w:cs="Arial"/>
          <w:bCs/>
          <w:color w:val="auto"/>
          <w:sz w:val="20"/>
          <w:szCs w:val="20"/>
          <w:lang w:val="en-US"/>
        </w:rPr>
        <w:t xml:space="preserve">As a general comment, we would like to remind that, a large proportion of “impact funds” are categorized as “article 9” products. </w:t>
      </w:r>
    </w:p>
    <w:p w14:paraId="7883160C" w14:textId="77777777" w:rsidR="00B470B3" w:rsidRPr="00087EE4" w:rsidRDefault="00B470B3" w:rsidP="00B470B3">
      <w:pPr>
        <w:pStyle w:val="Default"/>
        <w:spacing w:after="175"/>
        <w:jc w:val="both"/>
        <w:rPr>
          <w:rFonts w:ascii="Arial" w:hAnsi="Arial" w:cs="Arial"/>
          <w:bCs/>
          <w:color w:val="auto"/>
          <w:sz w:val="20"/>
          <w:szCs w:val="20"/>
          <w:lang w:val="en-US"/>
        </w:rPr>
      </w:pPr>
      <w:r w:rsidRPr="00087EE4">
        <w:rPr>
          <w:rFonts w:ascii="Arial" w:hAnsi="Arial" w:cs="Arial"/>
          <w:bCs/>
          <w:color w:val="auto"/>
          <w:sz w:val="20"/>
          <w:szCs w:val="20"/>
          <w:lang w:val="en-US"/>
        </w:rPr>
        <w:t xml:space="preserve">Yes, as investors, notably retail, are sensitive to “impact” terms. To protect them, the use of this </w:t>
      </w:r>
      <w:proofErr w:type="gramStart"/>
      <w:r w:rsidRPr="00087EE4">
        <w:rPr>
          <w:rFonts w:ascii="Arial" w:hAnsi="Arial" w:cs="Arial"/>
          <w:bCs/>
          <w:color w:val="auto"/>
          <w:sz w:val="20"/>
          <w:szCs w:val="20"/>
          <w:lang w:val="en-US"/>
        </w:rPr>
        <w:t>particular term</w:t>
      </w:r>
      <w:proofErr w:type="gramEnd"/>
      <w:r w:rsidRPr="00087EE4">
        <w:rPr>
          <w:rFonts w:ascii="Arial" w:hAnsi="Arial" w:cs="Arial"/>
          <w:bCs/>
          <w:color w:val="auto"/>
          <w:sz w:val="20"/>
          <w:szCs w:val="20"/>
          <w:lang w:val="en-US"/>
        </w:rPr>
        <w:t xml:space="preserve"> should be linked to reality in the fund’s strategy. A level playing field is necessary with all retail products, not only funds and mandates in the SFDR’s scope.</w:t>
      </w:r>
    </w:p>
    <w:p w14:paraId="0716DA36" w14:textId="58A1BDF4" w:rsidR="00DC5BC5" w:rsidRPr="00087EE4" w:rsidRDefault="00DC5BC5" w:rsidP="00DC5BC5">
      <w:pPr>
        <w:spacing w:line="276" w:lineRule="auto"/>
        <w:jc w:val="both"/>
        <w:rPr>
          <w:rFonts w:cs="Arial"/>
        </w:rPr>
      </w:pPr>
      <w:r w:rsidRPr="00087EE4">
        <w:rPr>
          <w:rFonts w:cs="Arial"/>
        </w:rPr>
        <w:t>W</w:t>
      </w:r>
      <w:r w:rsidRPr="00087EE4">
        <w:rPr>
          <w:rFonts w:cs="Arial"/>
        </w:rPr>
        <w:t>e would caution against setting quantities thresholds for ESG, sustainable investments, or Taxonomy for impact products given the nature of many impact investments and the lack of reliable data. Today there is no common and unique definition of what ‘impact’ is and the GIIN principles and the Operating Principles for Impact Management do not refer to any “thresholds” that could match with the thresholds as proposed in paragraphs 16 and 17. Current work is conducted around three main pillars (intentionality, additionality, and measurability) that mainly relate to qualitative concepts.</w:t>
      </w:r>
    </w:p>
    <w:permEnd w:id="1992309739"/>
    <w:p w14:paraId="14AB0C87" w14:textId="77777777" w:rsidR="00B92885" w:rsidRDefault="00B92885" w:rsidP="00B92885">
      <w:r>
        <w:t>&lt;ESMA_QUESTION_FUNA_10&gt;</w:t>
      </w:r>
    </w:p>
    <w:p w14:paraId="010C54CA" w14:textId="77777777" w:rsidR="00B92885" w:rsidRDefault="00B92885" w:rsidP="00B92885"/>
    <w:p w14:paraId="511D7045" w14:textId="77777777" w:rsidR="00B92885" w:rsidRDefault="00B92885" w:rsidP="00FB5086">
      <w:pPr>
        <w:pStyle w:val="Questionstyle"/>
        <w:numPr>
          <w:ilvl w:val="0"/>
          <w:numId w:val="37"/>
        </w:numPr>
      </w:pPr>
      <w:r>
        <w:lastRenderedPageBreak/>
        <w:t xml:space="preserve">: </w:t>
      </w:r>
      <w:r w:rsidRPr="00EA2F1C">
        <w:t>Should there be specific provisions for “transition” or transition-related names in these Guidelines? If yes, what should they be?</w:t>
      </w:r>
    </w:p>
    <w:p w14:paraId="7168EB52" w14:textId="77777777" w:rsidR="00B92885" w:rsidRDefault="00B92885" w:rsidP="00B92885">
      <w:r>
        <w:t>&lt;ESMA_QUESTION_FUNA_11&gt;</w:t>
      </w:r>
    </w:p>
    <w:p w14:paraId="6CED138C" w14:textId="1403B453" w:rsidR="00837FC0" w:rsidRPr="00C0569D" w:rsidRDefault="00837FC0" w:rsidP="00837FC0">
      <w:pPr>
        <w:autoSpaceDE w:val="0"/>
        <w:autoSpaceDN w:val="0"/>
        <w:adjustRightInd w:val="0"/>
        <w:rPr>
          <w:rFonts w:cs="Arial"/>
          <w:bCs/>
          <w:lang w:val="en-US"/>
        </w:rPr>
      </w:pPr>
      <w:permStart w:id="1423966990" w:edGrp="everyone"/>
      <w:r w:rsidRPr="00C0569D">
        <w:rPr>
          <w:rFonts w:cs="Arial"/>
          <w:bCs/>
          <w:lang w:val="en-US"/>
        </w:rPr>
        <w:t xml:space="preserve">We </w:t>
      </w:r>
      <w:r w:rsidRPr="00C0569D">
        <w:rPr>
          <w:rFonts w:cs="Arial"/>
          <w:bCs/>
          <w:lang w:val="en-US"/>
        </w:rPr>
        <w:t xml:space="preserve">believe that “transition-related” names are covered by “ESG-related” names, and that the latter should be defined as proposed in Q2. </w:t>
      </w:r>
    </w:p>
    <w:p w14:paraId="5E13D1BA" w14:textId="2C3D2F71" w:rsidR="00837FC0" w:rsidRPr="003A5104" w:rsidRDefault="00837FC0" w:rsidP="00837FC0">
      <w:pPr>
        <w:autoSpaceDE w:val="0"/>
        <w:autoSpaceDN w:val="0"/>
        <w:adjustRightInd w:val="0"/>
        <w:rPr>
          <w:rFonts w:cs="Arial"/>
          <w:bCs/>
          <w:color w:val="002060"/>
          <w:lang w:val="en-US"/>
        </w:rPr>
      </w:pPr>
      <w:r w:rsidRPr="00C0569D">
        <w:rPr>
          <w:rFonts w:cs="Arial"/>
          <w:bCs/>
          <w:lang w:val="en-US"/>
        </w:rPr>
        <w:t>T</w:t>
      </w:r>
      <w:r w:rsidRPr="00C0569D">
        <w:rPr>
          <w:rFonts w:cs="Arial"/>
          <w:bCs/>
          <w:lang w:val="en-US"/>
        </w:rPr>
        <w:t>he transition should be part of the SI definition and calibration</w:t>
      </w:r>
      <w:r w:rsidRPr="003A5104">
        <w:rPr>
          <w:rFonts w:cs="Arial"/>
          <w:bCs/>
          <w:color w:val="002060"/>
          <w:lang w:val="en-US"/>
        </w:rPr>
        <w:t>.</w:t>
      </w:r>
    </w:p>
    <w:permEnd w:id="1423966990"/>
    <w:p w14:paraId="0643B633" w14:textId="77777777" w:rsidR="00B92885" w:rsidRDefault="00B92885" w:rsidP="00B92885">
      <w:r>
        <w:t>&lt;ESMA_QUESTION_FUNA_11&gt;</w:t>
      </w:r>
    </w:p>
    <w:p w14:paraId="6EB17554" w14:textId="77777777" w:rsidR="00B92885" w:rsidRDefault="00B92885" w:rsidP="00B92885"/>
    <w:p w14:paraId="28EEF733" w14:textId="77777777" w:rsidR="00B92885" w:rsidRDefault="00B92885" w:rsidP="00FB5086">
      <w:pPr>
        <w:pStyle w:val="Questionstyle"/>
        <w:numPr>
          <w:ilvl w:val="0"/>
          <w:numId w:val="37"/>
        </w:numPr>
      </w:pPr>
      <w:r>
        <w:t>:</w:t>
      </w:r>
      <w:r w:rsidRPr="00EA2F1C">
        <w:t xml:space="preserve"> The proposals in this consultation paper relates to investment funds’ names in light of specific sectoral concerns. However, considering the SFDR disclosures apply also to other sectors, do you think that these proposals may have implications for other sectors and, if so, would you see merit in </w:t>
      </w:r>
      <w:r>
        <w:t>hav</w:t>
      </w:r>
      <w:r w:rsidRPr="00EA2F1C">
        <w:t>ing similar guidance for other financial products?</w:t>
      </w:r>
      <w:r>
        <w:t xml:space="preserve">   </w:t>
      </w:r>
    </w:p>
    <w:p w14:paraId="728E37B7" w14:textId="77777777" w:rsidR="00B92885" w:rsidRDefault="00B92885" w:rsidP="00B92885">
      <w:r>
        <w:t>&lt;ESMA_QUESTION_FUNA_12&gt;</w:t>
      </w:r>
    </w:p>
    <w:p w14:paraId="3D4B286D" w14:textId="77777777" w:rsidR="00D44716" w:rsidRPr="00C0569D" w:rsidRDefault="00D44716" w:rsidP="00D44716">
      <w:pPr>
        <w:pStyle w:val="Default"/>
        <w:spacing w:after="173"/>
        <w:jc w:val="both"/>
        <w:rPr>
          <w:rFonts w:ascii="Arial" w:hAnsi="Arial" w:cs="Arial"/>
          <w:bCs/>
          <w:color w:val="auto"/>
          <w:sz w:val="20"/>
          <w:szCs w:val="20"/>
          <w:lang w:val="en-US"/>
        </w:rPr>
      </w:pPr>
      <w:permStart w:id="1434478937" w:edGrp="everyone"/>
      <w:r w:rsidRPr="00C0569D">
        <w:rPr>
          <w:rFonts w:ascii="Arial" w:hAnsi="Arial" w:cs="Arial"/>
          <w:bCs/>
          <w:color w:val="auto"/>
          <w:sz w:val="20"/>
          <w:szCs w:val="20"/>
          <w:lang w:val="en-US"/>
        </w:rPr>
        <w:t>Yes, most importantly, for level playing field and fair competition reasons, same guidance and consideration should apply:</w:t>
      </w:r>
    </w:p>
    <w:p w14:paraId="075AB7E4" w14:textId="77777777" w:rsidR="00D44716" w:rsidRPr="00C0569D" w:rsidRDefault="00D44716" w:rsidP="00FB5086">
      <w:pPr>
        <w:pStyle w:val="Default"/>
        <w:numPr>
          <w:ilvl w:val="0"/>
          <w:numId w:val="52"/>
        </w:numPr>
        <w:spacing w:after="173"/>
        <w:jc w:val="both"/>
        <w:rPr>
          <w:rFonts w:ascii="Arial" w:hAnsi="Arial" w:cs="Arial"/>
          <w:bCs/>
          <w:color w:val="auto"/>
          <w:sz w:val="20"/>
          <w:szCs w:val="20"/>
          <w:lang w:val="en-US"/>
        </w:rPr>
      </w:pPr>
      <w:bookmarkStart w:id="6" w:name="_Hlk126573383"/>
      <w:r w:rsidRPr="00C0569D">
        <w:rPr>
          <w:rFonts w:ascii="Arial" w:hAnsi="Arial" w:cs="Arial"/>
          <w:bCs/>
          <w:color w:val="auto"/>
          <w:sz w:val="20"/>
          <w:szCs w:val="20"/>
          <w:lang w:val="en-US"/>
        </w:rPr>
        <w:t>to other financial products subject to SFDR,</w:t>
      </w:r>
    </w:p>
    <w:p w14:paraId="3E4D5495" w14:textId="77777777" w:rsidR="00D44716" w:rsidRPr="00C0569D" w:rsidRDefault="00D44716" w:rsidP="00FB5086">
      <w:pPr>
        <w:pStyle w:val="Default"/>
        <w:numPr>
          <w:ilvl w:val="0"/>
          <w:numId w:val="52"/>
        </w:numPr>
        <w:spacing w:after="173"/>
        <w:jc w:val="both"/>
        <w:rPr>
          <w:rFonts w:ascii="Arial" w:hAnsi="Arial" w:cs="Arial"/>
          <w:bCs/>
          <w:color w:val="auto"/>
          <w:sz w:val="20"/>
          <w:szCs w:val="20"/>
          <w:lang w:val="en-US"/>
        </w:rPr>
      </w:pPr>
      <w:r w:rsidRPr="00C0569D">
        <w:rPr>
          <w:rFonts w:ascii="Arial" w:hAnsi="Arial" w:cs="Arial"/>
          <w:bCs/>
          <w:color w:val="auto"/>
          <w:sz w:val="20"/>
          <w:szCs w:val="20"/>
          <w:lang w:val="en-US"/>
        </w:rPr>
        <w:t>to financial instruments as defined in MIF and IDD (as they will be distributed through MIF/IDD sustainability preferences),</w:t>
      </w:r>
    </w:p>
    <w:p w14:paraId="37B2BF28" w14:textId="77777777" w:rsidR="00D44716" w:rsidRPr="00C0569D" w:rsidRDefault="00D44716" w:rsidP="00FB5086">
      <w:pPr>
        <w:pStyle w:val="Default"/>
        <w:numPr>
          <w:ilvl w:val="0"/>
          <w:numId w:val="52"/>
        </w:numPr>
        <w:spacing w:after="173"/>
        <w:jc w:val="both"/>
        <w:rPr>
          <w:rFonts w:ascii="Arial" w:hAnsi="Arial" w:cs="Arial"/>
          <w:bCs/>
          <w:color w:val="auto"/>
          <w:sz w:val="20"/>
          <w:szCs w:val="20"/>
          <w:lang w:val="en-US"/>
        </w:rPr>
      </w:pPr>
      <w:r w:rsidRPr="00C0569D">
        <w:rPr>
          <w:rFonts w:ascii="Arial" w:hAnsi="Arial" w:cs="Arial"/>
          <w:bCs/>
          <w:color w:val="auto"/>
          <w:sz w:val="20"/>
          <w:szCs w:val="20"/>
          <w:lang w:val="en-US"/>
        </w:rPr>
        <w:t xml:space="preserve">but also to financial instruments not subject to SFDR but claiming ESG or sustainability or impact features in their name (green bonds, notes, </w:t>
      </w:r>
      <w:proofErr w:type="gramStart"/>
      <w:r w:rsidRPr="00C0569D">
        <w:rPr>
          <w:rFonts w:ascii="Arial" w:hAnsi="Arial" w:cs="Arial"/>
          <w:bCs/>
          <w:color w:val="auto"/>
          <w:sz w:val="20"/>
          <w:szCs w:val="20"/>
          <w:lang w:val="en-US"/>
        </w:rPr>
        <w:t>derivatives,…</w:t>
      </w:r>
      <w:proofErr w:type="gramEnd"/>
      <w:r w:rsidRPr="00C0569D">
        <w:rPr>
          <w:rFonts w:ascii="Arial" w:hAnsi="Arial" w:cs="Arial"/>
          <w:bCs/>
          <w:color w:val="auto"/>
          <w:sz w:val="20"/>
          <w:szCs w:val="20"/>
          <w:lang w:val="en-US"/>
        </w:rPr>
        <w:t>). For the latter instruments, guidelines should be adapted as far as references to SFDR definitions and binding information are concerned.</w:t>
      </w:r>
    </w:p>
    <w:bookmarkEnd w:id="6"/>
    <w:p w14:paraId="5F5C3201" w14:textId="69F8A964" w:rsidR="00D44716" w:rsidRPr="00C0569D" w:rsidRDefault="00D44716" w:rsidP="00D44716">
      <w:pPr>
        <w:pStyle w:val="Default"/>
        <w:spacing w:after="173"/>
        <w:jc w:val="both"/>
        <w:rPr>
          <w:rFonts w:ascii="Arial" w:hAnsi="Arial" w:cs="Arial"/>
          <w:bCs/>
          <w:color w:val="auto"/>
          <w:sz w:val="20"/>
          <w:szCs w:val="20"/>
          <w:lang w:val="en-US"/>
        </w:rPr>
      </w:pPr>
      <w:r w:rsidRPr="00C0569D">
        <w:rPr>
          <w:rFonts w:ascii="Arial" w:hAnsi="Arial" w:cs="Arial"/>
          <w:bCs/>
          <w:color w:val="auto"/>
          <w:sz w:val="20"/>
          <w:szCs w:val="20"/>
          <w:lang w:val="en-US"/>
        </w:rPr>
        <w:t xml:space="preserve">ESMA </w:t>
      </w:r>
      <w:r w:rsidR="00974978" w:rsidRPr="00C0569D">
        <w:rPr>
          <w:rFonts w:ascii="Arial" w:hAnsi="Arial" w:cs="Arial"/>
          <w:bCs/>
          <w:color w:val="auto"/>
          <w:sz w:val="20"/>
          <w:szCs w:val="20"/>
          <w:lang w:val="en-US"/>
        </w:rPr>
        <w:t xml:space="preserve">should </w:t>
      </w:r>
      <w:r w:rsidRPr="00C0569D">
        <w:rPr>
          <w:rFonts w:ascii="Arial" w:hAnsi="Arial" w:cs="Arial"/>
          <w:bCs/>
          <w:color w:val="auto"/>
          <w:sz w:val="20"/>
          <w:szCs w:val="20"/>
          <w:lang w:val="en-US"/>
        </w:rPr>
        <w:t>work closely on the subject with EBA and EIOPA to ensure a level playing field across the financial sector.</w:t>
      </w:r>
    </w:p>
    <w:permEnd w:id="1434478937"/>
    <w:p w14:paraId="70EEE415" w14:textId="77777777" w:rsidR="00B92885" w:rsidRDefault="00B92885" w:rsidP="00B92885">
      <w:r>
        <w:t>&lt;ESMA_QUESTION_FUNA_12&gt;</w:t>
      </w:r>
    </w:p>
    <w:p w14:paraId="17B0E5FA" w14:textId="77777777" w:rsidR="00B92885" w:rsidRDefault="00B92885" w:rsidP="00B92885"/>
    <w:p w14:paraId="78737478" w14:textId="77777777" w:rsidR="00B92885" w:rsidRDefault="00B92885" w:rsidP="00FB5086">
      <w:pPr>
        <w:pStyle w:val="Questionstyle"/>
        <w:numPr>
          <w:ilvl w:val="0"/>
          <w:numId w:val="37"/>
        </w:numPr>
      </w:pPr>
      <w:r>
        <w:t xml:space="preserve">: </w:t>
      </w:r>
      <w:r w:rsidRPr="00EA2F1C">
        <w:t>Do you agree with having a transitional period of 6 months from the date of the application of the Guidelines for existing funds? If not, please explain why and provide an alternative proposal.</w:t>
      </w:r>
    </w:p>
    <w:p w14:paraId="004818D5" w14:textId="77777777" w:rsidR="00B92885" w:rsidRDefault="00B92885" w:rsidP="00B92885">
      <w:r>
        <w:t>&lt;ESMA_QUESTION_FUNA_13&gt;</w:t>
      </w:r>
    </w:p>
    <w:p w14:paraId="5C8A41BF" w14:textId="77777777" w:rsidR="00E92199" w:rsidRPr="00E92199" w:rsidRDefault="00E92199" w:rsidP="00E92199">
      <w:pPr>
        <w:pStyle w:val="Default"/>
        <w:spacing w:after="173" w:line="276" w:lineRule="auto"/>
        <w:jc w:val="both"/>
        <w:rPr>
          <w:rFonts w:ascii="Arial" w:hAnsi="Arial" w:cs="Arial"/>
          <w:color w:val="auto"/>
          <w:sz w:val="20"/>
          <w:szCs w:val="20"/>
          <w:lang w:val="en-GB"/>
        </w:rPr>
      </w:pPr>
      <w:permStart w:id="489244833" w:edGrp="everyone"/>
      <w:r w:rsidRPr="00E92199">
        <w:rPr>
          <w:rFonts w:ascii="Arial" w:hAnsi="Arial" w:cs="Arial"/>
          <w:color w:val="auto"/>
          <w:sz w:val="20"/>
          <w:szCs w:val="20"/>
          <w:lang w:val="en-GB"/>
        </w:rPr>
        <w:t xml:space="preserve">We would like to emphasize the importance of reasonable and realistic timeframes for any changes to the sustainable finance regime, allowing sufficient time for the industry to adequately prepare and adapt to the new rules. We would suggest a </w:t>
      </w:r>
      <w:r w:rsidRPr="00E92199">
        <w:rPr>
          <w:rFonts w:ascii="Arial" w:hAnsi="Arial" w:cs="Arial"/>
          <w:b/>
          <w:bCs/>
          <w:color w:val="auto"/>
          <w:sz w:val="20"/>
          <w:szCs w:val="20"/>
          <w:u w:val="single"/>
          <w:lang w:val="en-GB"/>
        </w:rPr>
        <w:t xml:space="preserve">transitional period of at least 12 months </w:t>
      </w:r>
      <w:r w:rsidRPr="00E92199">
        <w:rPr>
          <w:rFonts w:ascii="Arial" w:hAnsi="Arial" w:cs="Arial"/>
          <w:color w:val="auto"/>
          <w:sz w:val="20"/>
          <w:szCs w:val="20"/>
          <w:lang w:val="en-GB"/>
        </w:rPr>
        <w:t xml:space="preserve">whereby the implementation coincides with the first more general prospectus update. Combining multiple prospectus updates will reduce investor </w:t>
      </w:r>
      <w:proofErr w:type="gramStart"/>
      <w:r w:rsidRPr="00E92199">
        <w:rPr>
          <w:rFonts w:ascii="Arial" w:hAnsi="Arial" w:cs="Arial"/>
          <w:color w:val="auto"/>
          <w:sz w:val="20"/>
          <w:szCs w:val="20"/>
          <w:lang w:val="en-GB"/>
        </w:rPr>
        <w:t>costs  and</w:t>
      </w:r>
      <w:proofErr w:type="gramEnd"/>
      <w:r w:rsidRPr="00E92199">
        <w:rPr>
          <w:rFonts w:ascii="Arial" w:hAnsi="Arial" w:cs="Arial"/>
          <w:color w:val="auto"/>
          <w:sz w:val="20"/>
          <w:szCs w:val="20"/>
          <w:lang w:val="en-GB"/>
        </w:rPr>
        <w:t xml:space="preserve"> the supervisory burden of any fund name changes </w:t>
      </w:r>
    </w:p>
    <w:permEnd w:id="489244833"/>
    <w:p w14:paraId="739467F4" w14:textId="77777777" w:rsidR="00B92885" w:rsidRDefault="00B92885" w:rsidP="00B92885">
      <w:r>
        <w:t>&lt;ESMA_QUESTION_FUNA_13&gt;</w:t>
      </w:r>
    </w:p>
    <w:p w14:paraId="1F64F9E6" w14:textId="77777777" w:rsidR="00B92885" w:rsidRDefault="00B92885" w:rsidP="00B92885"/>
    <w:p w14:paraId="7FD3A293" w14:textId="77777777" w:rsidR="00B92885" w:rsidRDefault="00B92885" w:rsidP="00FB5086">
      <w:pPr>
        <w:pStyle w:val="Questionstyle"/>
        <w:numPr>
          <w:ilvl w:val="0"/>
          <w:numId w:val="37"/>
        </w:numPr>
      </w:pPr>
      <w:r>
        <w:t xml:space="preserve">: </w:t>
      </w:r>
      <w:r w:rsidRPr="00EA2F1C">
        <w:t>Should the naming-related provisions be extended to closed-ended funds which have terminated their subscription period before the application date of the Guidelines? If not, please explain your answer.</w:t>
      </w:r>
    </w:p>
    <w:p w14:paraId="7510E02E" w14:textId="77777777" w:rsidR="00B92885" w:rsidRDefault="00B92885" w:rsidP="00B92885">
      <w:r>
        <w:t>&lt;ESMA_QUESTION_FUNA_14&gt;</w:t>
      </w:r>
    </w:p>
    <w:p w14:paraId="6882F57E" w14:textId="77777777" w:rsidR="00673F23" w:rsidRPr="00673F23" w:rsidRDefault="00673F23" w:rsidP="00673F23">
      <w:pPr>
        <w:pStyle w:val="Default"/>
        <w:spacing w:after="173"/>
        <w:jc w:val="both"/>
        <w:rPr>
          <w:rFonts w:ascii="Arial" w:hAnsi="Arial" w:cs="Arial"/>
          <w:bCs/>
          <w:color w:val="002060"/>
          <w:sz w:val="20"/>
          <w:szCs w:val="20"/>
          <w:lang w:val="en-US"/>
        </w:rPr>
      </w:pPr>
      <w:permStart w:id="1766353355" w:edGrp="everyone"/>
      <w:r w:rsidRPr="00673F23">
        <w:rPr>
          <w:rFonts w:ascii="Arial" w:hAnsi="Arial" w:cs="Arial"/>
          <w:bCs/>
          <w:color w:val="002060"/>
          <w:sz w:val="20"/>
          <w:szCs w:val="20"/>
          <w:lang w:val="en-US"/>
        </w:rPr>
        <w:t>We understand from the hearing held on January 23rd that the question is relative to funds closed for subscriptions.</w:t>
      </w:r>
    </w:p>
    <w:p w14:paraId="0310D2A5" w14:textId="77777777" w:rsidR="00673F23" w:rsidRPr="00673F23" w:rsidRDefault="00673F23" w:rsidP="00673F23">
      <w:pPr>
        <w:pStyle w:val="Default"/>
        <w:spacing w:after="173"/>
        <w:jc w:val="both"/>
        <w:rPr>
          <w:rFonts w:ascii="Arial" w:hAnsi="Arial" w:cs="Arial"/>
          <w:color w:val="002060"/>
          <w:sz w:val="20"/>
          <w:szCs w:val="20"/>
          <w:lang w:val="en-GB"/>
        </w:rPr>
      </w:pPr>
      <w:r w:rsidRPr="00673F23">
        <w:rPr>
          <w:rFonts w:ascii="Arial" w:hAnsi="Arial" w:cs="Arial"/>
          <w:bCs/>
          <w:color w:val="002060"/>
          <w:sz w:val="20"/>
          <w:szCs w:val="20"/>
          <w:lang w:val="en-US"/>
        </w:rPr>
        <w:lastRenderedPageBreak/>
        <w:t>For funds which have terminated their subscription period it is not necessary to extend these naming-related provisions as there will be no</w:t>
      </w:r>
      <w:r w:rsidRPr="00673F23">
        <w:rPr>
          <w:rFonts w:ascii="Arial" w:hAnsi="Arial" w:cs="Arial"/>
          <w:color w:val="002060"/>
          <w:sz w:val="20"/>
          <w:szCs w:val="20"/>
          <w:lang w:val="en-GB"/>
        </w:rPr>
        <w:t xml:space="preserve"> new subscriptions. The name of the fund won’t act as a “marketing tool” anymore.</w:t>
      </w:r>
    </w:p>
    <w:p w14:paraId="376DBEB0" w14:textId="77777777" w:rsidR="00673F23" w:rsidRPr="00673F23" w:rsidRDefault="00673F23" w:rsidP="00673F23">
      <w:pPr>
        <w:pStyle w:val="Default"/>
        <w:spacing w:after="173"/>
        <w:jc w:val="both"/>
        <w:rPr>
          <w:rFonts w:ascii="Arial" w:hAnsi="Arial" w:cs="Arial"/>
          <w:color w:val="002060"/>
          <w:sz w:val="20"/>
          <w:szCs w:val="20"/>
          <w:lang w:val="en-GB"/>
        </w:rPr>
      </w:pPr>
      <w:r w:rsidRPr="00673F23">
        <w:rPr>
          <w:rFonts w:ascii="Arial" w:hAnsi="Arial" w:cs="Arial"/>
          <w:color w:val="002060"/>
          <w:sz w:val="20"/>
          <w:szCs w:val="20"/>
          <w:lang w:val="en-GB"/>
        </w:rPr>
        <w:t xml:space="preserve">Moreover, this would be in line with the May 2022 SFDR Q&amp;A from the European Commission that indicates that “where a financial product is no longer made available to end investors”, such products must comply with requirements regarding “periodic report” and “websites disclosure” but not with precontractual requirements. </w:t>
      </w:r>
    </w:p>
    <w:permEnd w:id="1766353355"/>
    <w:p w14:paraId="611042B9" w14:textId="77777777" w:rsidR="00B92885" w:rsidRDefault="00B92885" w:rsidP="00B92885">
      <w:r>
        <w:t>&lt;ESMA_QUESTION_FUNA_14&gt;</w:t>
      </w:r>
    </w:p>
    <w:p w14:paraId="47DCA7A5" w14:textId="77777777" w:rsidR="00B92885" w:rsidRDefault="00B92885" w:rsidP="00B92885"/>
    <w:p w14:paraId="7718491E" w14:textId="77777777" w:rsidR="00B92885" w:rsidRDefault="00B92885" w:rsidP="00FB5086">
      <w:pPr>
        <w:pStyle w:val="Questionstyle"/>
        <w:numPr>
          <w:ilvl w:val="0"/>
          <w:numId w:val="37"/>
        </w:numPr>
      </w:pPr>
      <w:r>
        <w:t xml:space="preserve">: </w:t>
      </w:r>
      <w:r w:rsidRPr="00D5777E">
        <w:t>What is the anticipated impact from the introduction of the proposed Guidelines?</w:t>
      </w:r>
    </w:p>
    <w:p w14:paraId="79B9FE7A" w14:textId="77777777" w:rsidR="00B92885" w:rsidRDefault="00B92885" w:rsidP="00B92885">
      <w:r>
        <w:t>&lt;ESMA_QUESTION_FUNA_15&gt;</w:t>
      </w:r>
    </w:p>
    <w:p w14:paraId="3B837BC4" w14:textId="79345E64" w:rsidR="00AE40CE" w:rsidRDefault="00AE40CE" w:rsidP="00427873">
      <w:pPr>
        <w:jc w:val="both"/>
        <w:rPr>
          <w:rFonts w:cstheme="minorHAnsi"/>
        </w:rPr>
      </w:pPr>
      <w:permStart w:id="929254269" w:edGrp="everyone"/>
      <w:r w:rsidRPr="00EF7176">
        <w:rPr>
          <w:rFonts w:cstheme="minorHAnsi"/>
        </w:rPr>
        <w:t xml:space="preserve">If the proposed Guidelines are implemented without substantial changes, given the interoperability issues with SFDR, MIFID and jurisdictional specific sustainability requirements as well as the challenges we’ve outlined in our response in relation to adopting the definition of ‘Sustainable Investments’ we see the potential impact as creating further confusion for investors in Europe on which products deliver sustainable outcomes given the interoperability issues, without providing any further support with addressing greenwashing risk in Europe.  </w:t>
      </w:r>
    </w:p>
    <w:p w14:paraId="6916103F" w14:textId="77777777" w:rsidR="00AE40CE" w:rsidRDefault="00AE40CE" w:rsidP="00427873">
      <w:pPr>
        <w:jc w:val="both"/>
        <w:rPr>
          <w:rFonts w:cstheme="minorHAnsi"/>
        </w:rPr>
      </w:pPr>
    </w:p>
    <w:p w14:paraId="1D31BDE1" w14:textId="4E3820AC" w:rsidR="00427873" w:rsidRPr="00EF7176" w:rsidRDefault="00427873" w:rsidP="00427873">
      <w:pPr>
        <w:spacing w:line="276" w:lineRule="auto"/>
        <w:jc w:val="both"/>
        <w:rPr>
          <w:rFonts w:cstheme="minorHAnsi"/>
        </w:rPr>
      </w:pPr>
      <w:r>
        <w:rPr>
          <w:rFonts w:cstheme="minorHAnsi"/>
        </w:rPr>
        <w:t>I</w:t>
      </w:r>
      <w:r w:rsidRPr="00EF7176">
        <w:rPr>
          <w:rFonts w:cstheme="minorHAnsi"/>
        </w:rPr>
        <w:t>f the guidelines were to be adopted without any of the changes, it may have the following unintended consequence:</w:t>
      </w:r>
    </w:p>
    <w:p w14:paraId="184E241A" w14:textId="77777777" w:rsidR="00427873" w:rsidRPr="00EF7176" w:rsidRDefault="00427873" w:rsidP="00FB5086">
      <w:pPr>
        <w:pStyle w:val="ListParagraph"/>
        <w:numPr>
          <w:ilvl w:val="0"/>
          <w:numId w:val="53"/>
        </w:numPr>
        <w:spacing w:after="160" w:line="276" w:lineRule="auto"/>
        <w:jc w:val="both"/>
        <w:rPr>
          <w:rFonts w:cstheme="minorHAnsi"/>
        </w:rPr>
      </w:pPr>
      <w:r w:rsidRPr="00EF7176">
        <w:rPr>
          <w:rFonts w:cstheme="minorHAnsi"/>
          <w:b/>
          <w:bCs/>
        </w:rPr>
        <w:t>Increasing the risk of greenwashing</w:t>
      </w:r>
      <w:r w:rsidRPr="00EF7176">
        <w:rPr>
          <w:rFonts w:cstheme="minorHAnsi"/>
        </w:rPr>
        <w:t xml:space="preserve"> as the thresholds are based on</w:t>
      </w:r>
      <w:r>
        <w:rPr>
          <w:rFonts w:cstheme="minorHAnsi"/>
        </w:rPr>
        <w:t xml:space="preserve"> a</w:t>
      </w:r>
      <w:r w:rsidRPr="00EF7176">
        <w:rPr>
          <w:rFonts w:cstheme="minorHAnsi"/>
        </w:rPr>
        <w:t xml:space="preserve"> concept not clearly defined.</w:t>
      </w:r>
    </w:p>
    <w:p w14:paraId="08CBB83D" w14:textId="144E8BB6" w:rsidR="00427873" w:rsidRDefault="00427873" w:rsidP="00FB5086">
      <w:pPr>
        <w:pStyle w:val="ListParagraph"/>
        <w:numPr>
          <w:ilvl w:val="0"/>
          <w:numId w:val="53"/>
        </w:numPr>
        <w:spacing w:after="160"/>
        <w:jc w:val="both"/>
        <w:rPr>
          <w:rFonts w:cstheme="minorHAnsi"/>
        </w:rPr>
      </w:pPr>
      <w:r w:rsidRPr="00EF7176">
        <w:rPr>
          <w:rFonts w:cstheme="minorHAnsi"/>
          <w:b/>
          <w:bCs/>
        </w:rPr>
        <w:t>Increasing the risk of “</w:t>
      </w:r>
      <w:proofErr w:type="gramStart"/>
      <w:r w:rsidRPr="00EF7176">
        <w:rPr>
          <w:rFonts w:cstheme="minorHAnsi"/>
          <w:b/>
          <w:bCs/>
        </w:rPr>
        <w:t>green-bleaching</w:t>
      </w:r>
      <w:proofErr w:type="gramEnd"/>
      <w:r w:rsidRPr="00EF7176">
        <w:rPr>
          <w:rFonts w:cstheme="minorHAnsi"/>
          <w:b/>
          <w:bCs/>
        </w:rPr>
        <w:t>”</w:t>
      </w:r>
      <w:r w:rsidRPr="00EF7176">
        <w:rPr>
          <w:rFonts w:cstheme="minorHAnsi"/>
        </w:rPr>
        <w:t xml:space="preserve"> if the constraints imposed are too stringent and inadequate (PAB exclusions for example). Indeed, it may drive some asset managers to stay out of ESG strategies.</w:t>
      </w:r>
    </w:p>
    <w:p w14:paraId="03BF5BD1" w14:textId="77777777" w:rsidR="00CD37D3" w:rsidRPr="00CD37D3" w:rsidRDefault="00CD37D3" w:rsidP="00CD37D3">
      <w:pPr>
        <w:jc w:val="both"/>
        <w:rPr>
          <w:rFonts w:cs="Arial"/>
        </w:rPr>
      </w:pPr>
      <w:r w:rsidRPr="00CD37D3">
        <w:rPr>
          <w:rFonts w:cs="Arial"/>
        </w:rPr>
        <w:t>In addition, unlevel playing field among sectors and geographies might have effects on the competitiveness of the European industry and work to the detriment of the best interest of unitholders.</w:t>
      </w:r>
    </w:p>
    <w:p w14:paraId="24527BBE" w14:textId="77777777" w:rsidR="00CD37D3" w:rsidRPr="00CD37D3" w:rsidRDefault="00CD37D3" w:rsidP="00CD37D3">
      <w:pPr>
        <w:pStyle w:val="ListParagraph"/>
        <w:spacing w:after="160" w:line="276" w:lineRule="auto"/>
        <w:jc w:val="both"/>
        <w:rPr>
          <w:rFonts w:cstheme="minorHAnsi"/>
        </w:rPr>
      </w:pPr>
    </w:p>
    <w:permEnd w:id="929254269"/>
    <w:p w14:paraId="00ADF191" w14:textId="77777777" w:rsidR="00B92885" w:rsidRDefault="00B92885" w:rsidP="00B92885">
      <w:r>
        <w:t>&lt;ESMA_QUESTION_FUNA_15&gt;</w:t>
      </w:r>
    </w:p>
    <w:p w14:paraId="2C1900D9" w14:textId="77777777" w:rsidR="00B92885" w:rsidRDefault="00B92885" w:rsidP="00B92885"/>
    <w:p w14:paraId="56424F03" w14:textId="77777777" w:rsidR="00B92885" w:rsidRPr="00C24402" w:rsidRDefault="00B92885" w:rsidP="00FB5086">
      <w:pPr>
        <w:pStyle w:val="Questionstyle"/>
        <w:numPr>
          <w:ilvl w:val="0"/>
          <w:numId w:val="37"/>
        </w:numPr>
      </w:pPr>
      <w:r>
        <w:t xml:space="preserve">: </w:t>
      </w:r>
      <w:r w:rsidRPr="00D5777E">
        <w:t>What additional costs and benefits would compliance with the proposed Guidelines bring to the stakeholder(s) you represent? Please provide quantitative figures, where available.</w:t>
      </w:r>
      <w:r w:rsidRPr="00C24402">
        <w:t xml:space="preserve"> </w:t>
      </w:r>
    </w:p>
    <w:p w14:paraId="48DE04B0" w14:textId="77777777" w:rsidR="00B92885" w:rsidRDefault="00B92885" w:rsidP="00B92885">
      <w:r>
        <w:t>&lt;ESMA_QUESTION_FUNA_16&gt;</w:t>
      </w:r>
    </w:p>
    <w:p w14:paraId="42907DF3" w14:textId="2E892E20" w:rsidR="00B27696" w:rsidRPr="00BE45DE" w:rsidRDefault="00B27696" w:rsidP="00B27696">
      <w:pPr>
        <w:rPr>
          <w:rFonts w:cs="Arial"/>
        </w:rPr>
      </w:pPr>
      <w:permStart w:id="878708964" w:edGrp="everyone"/>
      <w:r w:rsidRPr="00BE45DE">
        <w:rPr>
          <w:rFonts w:cs="Arial"/>
        </w:rPr>
        <w:t xml:space="preserve">We </w:t>
      </w:r>
      <w:r w:rsidRPr="00BE45DE">
        <w:rPr>
          <w:rFonts w:cs="Arial"/>
        </w:rPr>
        <w:t xml:space="preserve">anticipate significant additional costs first for the compliance of prospectus. It means human resources dedicated for some time. In addition, front office tools will have to be adjusted and asset managers trained. It should be recalled that teams have </w:t>
      </w:r>
      <w:r w:rsidR="00BE45DE" w:rsidRPr="00BE45DE">
        <w:rPr>
          <w:rFonts w:cs="Arial"/>
        </w:rPr>
        <w:t xml:space="preserve">already </w:t>
      </w:r>
      <w:r w:rsidRPr="00BE45DE">
        <w:rPr>
          <w:rFonts w:cs="Arial"/>
        </w:rPr>
        <w:t>had an exhausting compliance exercise for the year end with the SFDR level 2 implementation.</w:t>
      </w:r>
    </w:p>
    <w:permEnd w:id="878708964"/>
    <w:p w14:paraId="651FE8BB" w14:textId="77777777" w:rsidR="00B92885" w:rsidRDefault="00B92885" w:rsidP="00B92885">
      <w:r>
        <w:t>&lt;ESMA_QUESTION_FUNA_16&gt;</w:t>
      </w:r>
    </w:p>
    <w:p w14:paraId="6D8E7793" w14:textId="14304513" w:rsidR="00F87897" w:rsidRDefault="00F87897" w:rsidP="00FB5086">
      <w:pPr>
        <w:pStyle w:val="Questionstyle"/>
        <w:numPr>
          <w:ilvl w:val="0"/>
          <w:numId w:val="37"/>
        </w:numPr>
        <w:rPr>
          <w:rFonts w:cstheme="minorBidi"/>
          <w:b w:val="0"/>
          <w:sz w:val="22"/>
          <w:lang w:eastAsia="en-US"/>
        </w:rPr>
      </w:pPr>
    </w:p>
    <w:sectPr w:rsidR="00F87897"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BCC69" w14:textId="77777777" w:rsidR="00027EEB" w:rsidRDefault="00027EEB">
      <w:r>
        <w:separator/>
      </w:r>
    </w:p>
    <w:p w14:paraId="5DDDA9E4" w14:textId="77777777" w:rsidR="00027EEB" w:rsidRDefault="00027EEB"/>
  </w:endnote>
  <w:endnote w:type="continuationSeparator" w:id="0">
    <w:p w14:paraId="669BAB8A" w14:textId="77777777" w:rsidR="00027EEB" w:rsidRDefault="00027EEB">
      <w:r>
        <w:continuationSeparator/>
      </w:r>
    </w:p>
    <w:p w14:paraId="7D10BF9F" w14:textId="77777777" w:rsidR="00027EEB" w:rsidRDefault="00027EEB"/>
  </w:endnote>
  <w:endnote w:type="continuationNotice" w:id="1">
    <w:p w14:paraId="7C72917A" w14:textId="77777777" w:rsidR="00027EEB" w:rsidRDefault="00027E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616B9B" w14:paraId="313FAE1A" w14:textId="77777777" w:rsidTr="00315E96">
      <w:trPr>
        <w:trHeight w:val="284"/>
      </w:trPr>
      <w:tc>
        <w:tcPr>
          <w:tcW w:w="8460" w:type="dxa"/>
        </w:tcPr>
        <w:p w14:paraId="0BEF8BC6" w14:textId="77777777" w:rsidR="00267551" w:rsidRPr="00315E96" w:rsidRDefault="00267551" w:rsidP="00315E96">
          <w:pPr>
            <w:pStyle w:val="00Footer"/>
            <w:rPr>
              <w:lang w:val="fr-FR"/>
            </w:rPr>
          </w:pPr>
        </w:p>
      </w:tc>
      <w:tc>
        <w:tcPr>
          <w:tcW w:w="952" w:type="dxa"/>
        </w:tcPr>
        <w:p w14:paraId="7FD1DE07" w14:textId="77777777" w:rsidR="00267551" w:rsidRPr="00616B9B" w:rsidRDefault="00267551"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306E326" w14:textId="77777777" w:rsidR="00267551" w:rsidRDefault="00267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5726" w14:textId="4CF051A6" w:rsidR="00267551" w:rsidRDefault="00267551" w:rsidP="00B92885">
    <w:pPr>
      <w:pStyle w:val="Footer"/>
      <w:tabs>
        <w:tab w:val="clear" w:pos="4536"/>
        <w:tab w:val="clear" w:pos="9072"/>
        <w:tab w:val="left" w:pos="8227"/>
        <w:tab w:val="right" w:pos="9412"/>
      </w:tabs>
    </w:pPr>
    <w:r>
      <w:tab/>
    </w:r>
    <w:r w:rsidR="00B92885">
      <w:tab/>
    </w:r>
  </w:p>
  <w:p w14:paraId="3A793707" w14:textId="084F8123" w:rsidR="00B92885" w:rsidRDefault="00B92885" w:rsidP="00B92885">
    <w:pPr>
      <w:pStyle w:val="Footer"/>
      <w:tabs>
        <w:tab w:val="clear" w:pos="4536"/>
        <w:tab w:val="clear" w:pos="9072"/>
        <w:tab w:val="left" w:pos="8227"/>
        <w:tab w:val="right" w:pos="9412"/>
      </w:tabs>
    </w:pPr>
    <w:r>
      <w:tab/>
    </w:r>
    <w:r>
      <w:tab/>
    </w:r>
    <w:r>
      <w:tab/>
    </w:r>
  </w:p>
  <w:p w14:paraId="6D19C66C" w14:textId="10DE0B9B" w:rsidR="00B92885" w:rsidRDefault="00B92885" w:rsidP="00B92885">
    <w:pPr>
      <w:pStyle w:val="Footer"/>
      <w:tabs>
        <w:tab w:val="clear" w:pos="4536"/>
        <w:tab w:val="clear" w:pos="9072"/>
        <w:tab w:val="left" w:pos="8227"/>
        <w:tab w:val="right" w:pos="9412"/>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22F5" w14:textId="77777777" w:rsidR="00267551" w:rsidRDefault="00267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4D776" w14:textId="77777777" w:rsidR="00027EEB" w:rsidRDefault="00027EEB">
      <w:r>
        <w:separator/>
      </w:r>
    </w:p>
    <w:p w14:paraId="4E8AA966" w14:textId="77777777" w:rsidR="00027EEB" w:rsidRDefault="00027EEB"/>
  </w:footnote>
  <w:footnote w:type="continuationSeparator" w:id="0">
    <w:p w14:paraId="457E26AD" w14:textId="77777777" w:rsidR="00027EEB" w:rsidRDefault="00027EEB">
      <w:r>
        <w:continuationSeparator/>
      </w:r>
    </w:p>
    <w:p w14:paraId="139EA58C" w14:textId="77777777" w:rsidR="00027EEB" w:rsidRDefault="00027EEB"/>
  </w:footnote>
  <w:footnote w:type="continuationNotice" w:id="1">
    <w:p w14:paraId="1C504C77" w14:textId="77777777" w:rsidR="00027EEB" w:rsidRDefault="00027E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7985" w14:textId="77777777" w:rsidR="00267551" w:rsidRDefault="00267551">
    <w:pPr>
      <w:pStyle w:val="Header"/>
    </w:pPr>
    <w:r>
      <w:rPr>
        <w:noProof/>
        <w:lang w:eastAsia="en-GB"/>
      </w:rPr>
      <w:drawing>
        <wp:anchor distT="0" distB="0" distL="114300" distR="114300" simplePos="0" relativeHeight="251658243"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5"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8241"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2D870" id="Line 16" o:spid="_x0000_s1026" style="position:absolute;z-index:251658241;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EEA6" w14:textId="77777777" w:rsidR="00267551" w:rsidRDefault="00267551" w:rsidP="00013CCE">
    <w:pPr>
      <w:pStyle w:val="Header"/>
      <w:jc w:val="right"/>
    </w:pPr>
    <w:r>
      <w:rPr>
        <w:noProof/>
        <w:lang w:eastAsia="en-GB"/>
      </w:rPr>
      <w:drawing>
        <wp:anchor distT="0" distB="0" distL="114300" distR="114300" simplePos="0" relativeHeight="251658242"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7"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8"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A3DA" w14:textId="77777777" w:rsidR="00267551" w:rsidRDefault="0026755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2F4496" w14:paraId="60C7474C" w14:textId="77777777" w:rsidTr="000C06C9">
      <w:trPr>
        <w:trHeight w:val="284"/>
      </w:trPr>
      <w:tc>
        <w:tcPr>
          <w:tcW w:w="8460" w:type="dxa"/>
        </w:tcPr>
        <w:p w14:paraId="54B7E7F0" w14:textId="77777777" w:rsidR="00267551" w:rsidRPr="000C3B6D" w:rsidRDefault="00267551" w:rsidP="000C06C9">
          <w:pPr>
            <w:pStyle w:val="00Footer"/>
            <w:rPr>
              <w:lang w:val="fr-FR"/>
            </w:rPr>
          </w:pPr>
        </w:p>
      </w:tc>
      <w:tc>
        <w:tcPr>
          <w:tcW w:w="952" w:type="dxa"/>
        </w:tcPr>
        <w:p w14:paraId="2E49D042" w14:textId="77777777" w:rsidR="00267551" w:rsidRPr="00146B34" w:rsidRDefault="00267551" w:rsidP="000C06C9">
          <w:pPr>
            <w:pStyle w:val="00aPagenumber"/>
            <w:rPr>
              <w:lang w:val="fr-FR"/>
            </w:rPr>
          </w:pPr>
        </w:p>
      </w:tc>
    </w:tr>
  </w:tbl>
  <w:p w14:paraId="580707D9" w14:textId="77777777" w:rsidR="00267551" w:rsidRPr="00DB46C3" w:rsidRDefault="00267551">
    <w:pPr>
      <w:rPr>
        <w:lang w:val="fr-FR"/>
      </w:rPr>
    </w:pPr>
  </w:p>
  <w:p w14:paraId="20C4F67C" w14:textId="77777777" w:rsidR="00267551" w:rsidRPr="002F4496" w:rsidRDefault="00267551">
    <w:pPr>
      <w:pStyle w:val="Header"/>
      <w:rPr>
        <w:lang w:val="fr-FR"/>
      </w:rPr>
    </w:pPr>
  </w:p>
  <w:p w14:paraId="3F30C70B" w14:textId="77777777" w:rsidR="00267551" w:rsidRPr="002F4496" w:rsidRDefault="00267551" w:rsidP="000C06C9">
    <w:pPr>
      <w:pStyle w:val="Header"/>
      <w:tabs>
        <w:tab w:val="clear" w:pos="4536"/>
        <w:tab w:val="clear" w:pos="9072"/>
        <w:tab w:val="left" w:pos="8227"/>
      </w:tabs>
      <w:rPr>
        <w:lang w:val="fr-FR"/>
      </w:rPr>
    </w:pPr>
  </w:p>
  <w:p w14:paraId="4D50BC39" w14:textId="77777777" w:rsidR="00267551" w:rsidRPr="002F4496" w:rsidRDefault="00267551" w:rsidP="00583885">
    <w:pPr>
      <w:pStyle w:val="Header"/>
      <w:jc w:val="right"/>
      <w:rPr>
        <w:lang w:val="fr-FR"/>
      </w:rPr>
    </w:pPr>
  </w:p>
  <w:p w14:paraId="2D51BEA2" w14:textId="77777777" w:rsidR="00267551" w:rsidRPr="002F4496" w:rsidRDefault="00267551">
    <w:pPr>
      <w:pStyle w:val="Header"/>
      <w:rPr>
        <w:lang w:val="fr-FR"/>
      </w:rPr>
    </w:pPr>
  </w:p>
  <w:p w14:paraId="340B2438" w14:textId="77777777" w:rsidR="00267551" w:rsidRPr="002F4496" w:rsidRDefault="00267551">
    <w:pPr>
      <w:pStyle w:val="Header"/>
      <w:rPr>
        <w:lang w:val="fr-FR"/>
      </w:rPr>
    </w:pPr>
  </w:p>
  <w:p w14:paraId="2A794A3E" w14:textId="77777777" w:rsidR="00267551" w:rsidRPr="002F4496" w:rsidRDefault="00267551">
    <w:pPr>
      <w:pStyle w:val="Header"/>
      <w:rPr>
        <w:lang w:val="fr-FR"/>
      </w:rPr>
    </w:pPr>
  </w:p>
  <w:p w14:paraId="0A21F475" w14:textId="77777777" w:rsidR="00267551" w:rsidRPr="002F4496" w:rsidRDefault="00267551">
    <w:pPr>
      <w:pStyle w:val="Header"/>
      <w:rPr>
        <w:highlight w:val="yellow"/>
        <w:lang w:val="fr-FR"/>
      </w:rPr>
    </w:pPr>
  </w:p>
  <w:p w14:paraId="53ABEE5D" w14:textId="77777777" w:rsidR="00267551" w:rsidRDefault="00267551">
    <w:pPr>
      <w:pStyle w:val="Header"/>
    </w:pPr>
    <w:r>
      <w:rPr>
        <w:noProof/>
        <w:lang w:eastAsia="en-GB"/>
      </w:rPr>
      <mc:AlternateContent>
        <mc:Choice Requires="wps">
          <w:drawing>
            <wp:anchor distT="0" distB="0" distL="114299" distR="114299" simplePos="0" relativeHeight="251658245"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C18BA" id="Straight Connector 138" o:spid="_x0000_s1026" style="position:absolute;z-index:251658245;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" strokecolor="#283583" strokeweight="1pt">
              <w10:wrap anchorx="page" anchory="page"/>
            </v:line>
          </w:pict>
        </mc:Fallback>
      </mc:AlternateContent>
    </w:r>
    <w:r>
      <w:rPr>
        <w:noProof/>
        <w:lang w:eastAsia="en-GB"/>
      </w:rPr>
      <w:drawing>
        <wp:anchor distT="0" distB="0" distL="114300" distR="114300" simplePos="0" relativeHeight="25165824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33A"/>
    <w:multiLevelType w:val="hybridMultilevel"/>
    <w:tmpl w:val="4CB8B5DE"/>
    <w:lvl w:ilvl="0" w:tplc="A67EDCE2">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2"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825AB5"/>
    <w:multiLevelType w:val="hybridMultilevel"/>
    <w:tmpl w:val="106AEF80"/>
    <w:lvl w:ilvl="0" w:tplc="D9ECCB4C">
      <w:start w:val="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81B2A86"/>
    <w:multiLevelType w:val="hybridMultilevel"/>
    <w:tmpl w:val="FD261F6C"/>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F0D056B"/>
    <w:multiLevelType w:val="hybridMultilevel"/>
    <w:tmpl w:val="966E88DC"/>
    <w:lvl w:ilvl="0" w:tplc="86FCD3B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0A7569"/>
    <w:multiLevelType w:val="hybridMultilevel"/>
    <w:tmpl w:val="7DE6867E"/>
    <w:lvl w:ilvl="0" w:tplc="20000013">
      <w:start w:val="1"/>
      <w:numFmt w:val="upperRoman"/>
      <w:lvlText w:val="%1."/>
      <w:lvlJc w:val="right"/>
      <w:pPr>
        <w:ind w:left="770" w:hanging="360"/>
      </w:pPr>
      <w:rPr>
        <w:rFonts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8" w15:restartNumberingAfterBreak="0">
    <w:nsid w:val="18A35A2C"/>
    <w:multiLevelType w:val="hybridMultilevel"/>
    <w:tmpl w:val="C5803F7E"/>
    <w:lvl w:ilvl="0" w:tplc="A3628D8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AF02C97"/>
    <w:multiLevelType w:val="hybridMultilevel"/>
    <w:tmpl w:val="A7E2FE18"/>
    <w:lvl w:ilvl="0" w:tplc="470627E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11"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9B0521"/>
    <w:multiLevelType w:val="hybridMultilevel"/>
    <w:tmpl w:val="F76CB20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21B1759"/>
    <w:multiLevelType w:val="hybridMultilevel"/>
    <w:tmpl w:val="632E45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22"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6" w15:restartNumberingAfterBreak="0">
    <w:nsid w:val="42557044"/>
    <w:multiLevelType w:val="hybridMultilevel"/>
    <w:tmpl w:val="0038D77C"/>
    <w:lvl w:ilvl="0" w:tplc="2ECC9D10">
      <w:start w:val="2"/>
      <w:numFmt w:val="bullet"/>
      <w:lvlText w:val="-"/>
      <w:lvlJc w:val="left"/>
      <w:pPr>
        <w:ind w:left="786" w:hanging="360"/>
      </w:pPr>
      <w:rPr>
        <w:rFonts w:ascii="Arial" w:eastAsiaTheme="minorHAnsi" w:hAnsi="Arial" w:cs="Arial" w:hint="default"/>
        <w:color w:val="002060"/>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4"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5D64202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9"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0"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42" w15:restartNumberingAfterBreak="0">
    <w:nsid w:val="63A15AD3"/>
    <w:multiLevelType w:val="hybridMultilevel"/>
    <w:tmpl w:val="37E816EA"/>
    <w:lvl w:ilvl="0" w:tplc="BDC0EDA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5B757C6"/>
    <w:multiLevelType w:val="hybridMultilevel"/>
    <w:tmpl w:val="F9C80E82"/>
    <w:lvl w:ilvl="0" w:tplc="2AE0172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15:restartNumberingAfterBreak="0">
    <w:nsid w:val="6B683BD9"/>
    <w:multiLevelType w:val="hybridMultilevel"/>
    <w:tmpl w:val="8ACA09A0"/>
    <w:lvl w:ilvl="0" w:tplc="BFA0E5D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7"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0" w15:restartNumberingAfterBreak="0">
    <w:nsid w:val="745062E0"/>
    <w:multiLevelType w:val="hybridMultilevel"/>
    <w:tmpl w:val="08481E08"/>
    <w:lvl w:ilvl="0" w:tplc="40C8B666">
      <w:start w:val="4"/>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1" w15:restartNumberingAfterBreak="0">
    <w:nsid w:val="764A4F39"/>
    <w:multiLevelType w:val="hybridMultilevel"/>
    <w:tmpl w:val="16566584"/>
    <w:lvl w:ilvl="0" w:tplc="2AE0172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53"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16cid:durableId="2015261498">
    <w:abstractNumId w:val="24"/>
  </w:num>
  <w:num w:numId="2" w16cid:durableId="1594776308">
    <w:abstractNumId w:val="27"/>
  </w:num>
  <w:num w:numId="3" w16cid:durableId="607277400">
    <w:abstractNumId w:val="19"/>
  </w:num>
  <w:num w:numId="4" w16cid:durableId="2009551721">
    <w:abstractNumId w:val="32"/>
  </w:num>
  <w:num w:numId="5" w16cid:durableId="860776875">
    <w:abstractNumId w:val="34"/>
  </w:num>
  <w:num w:numId="6" w16cid:durableId="1088036773">
    <w:abstractNumId w:val="1"/>
  </w:num>
  <w:num w:numId="7" w16cid:durableId="1025519186">
    <w:abstractNumId w:val="10"/>
  </w:num>
  <w:num w:numId="8" w16cid:durableId="8578894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27754254">
    <w:abstractNumId w:val="41"/>
  </w:num>
  <w:num w:numId="10" w16cid:durableId="2845580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98334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5559700">
    <w:abstractNumId w:val="36"/>
  </w:num>
  <w:num w:numId="13" w16cid:durableId="1508251676">
    <w:abstractNumId w:val="40"/>
  </w:num>
  <w:num w:numId="14" w16cid:durableId="903415327">
    <w:abstractNumId w:val="31"/>
  </w:num>
  <w:num w:numId="15" w16cid:durableId="1628393508">
    <w:abstractNumId w:val="18"/>
  </w:num>
  <w:num w:numId="16" w16cid:durableId="1640108613">
    <w:abstractNumId w:val="2"/>
  </w:num>
  <w:num w:numId="17" w16cid:durableId="1534879316">
    <w:abstractNumId w:val="22"/>
  </w:num>
  <w:num w:numId="18" w16cid:durableId="1266573942">
    <w:abstractNumId w:val="23"/>
  </w:num>
  <w:num w:numId="19" w16cid:durableId="667826718">
    <w:abstractNumId w:val="25"/>
  </w:num>
  <w:num w:numId="20" w16cid:durableId="1843624177">
    <w:abstractNumId w:val="35"/>
  </w:num>
  <w:num w:numId="21" w16cid:durableId="1792817468">
    <w:abstractNumId w:val="49"/>
  </w:num>
  <w:num w:numId="22" w16cid:durableId="694962789">
    <w:abstractNumId w:val="33"/>
  </w:num>
  <w:num w:numId="23" w16cid:durableId="1431005675">
    <w:abstractNumId w:val="17"/>
  </w:num>
  <w:num w:numId="24" w16cid:durableId="383987368">
    <w:abstractNumId w:val="39"/>
  </w:num>
  <w:num w:numId="25" w16cid:durableId="1994289999">
    <w:abstractNumId w:val="38"/>
  </w:num>
  <w:num w:numId="26" w16cid:durableId="1054767790">
    <w:abstractNumId w:val="28"/>
  </w:num>
  <w:num w:numId="27" w16cid:durableId="949894966">
    <w:abstractNumId w:val="44"/>
  </w:num>
  <w:num w:numId="28" w16cid:durableId="1831099692">
    <w:abstractNumId w:val="53"/>
  </w:num>
  <w:num w:numId="29" w16cid:durableId="1663656783">
    <w:abstractNumId w:val="15"/>
  </w:num>
  <w:num w:numId="30" w16cid:durableId="1958096713">
    <w:abstractNumId w:val="6"/>
  </w:num>
  <w:num w:numId="31" w16cid:durableId="180125578">
    <w:abstractNumId w:val="30"/>
  </w:num>
  <w:num w:numId="32" w16cid:durableId="1351377617">
    <w:abstractNumId w:val="29"/>
  </w:num>
  <w:num w:numId="33" w16cid:durableId="1486582879">
    <w:abstractNumId w:val="47"/>
  </w:num>
  <w:num w:numId="34" w16cid:durableId="1143615896">
    <w:abstractNumId w:val="46"/>
  </w:num>
  <w:num w:numId="35" w16cid:durableId="1661735312">
    <w:abstractNumId w:val="11"/>
  </w:num>
  <w:num w:numId="36" w16cid:durableId="1947151052">
    <w:abstractNumId w:val="48"/>
  </w:num>
  <w:num w:numId="37" w16cid:durableId="395012151">
    <w:abstractNumId w:val="20"/>
  </w:num>
  <w:num w:numId="38" w16cid:durableId="1938053327">
    <w:abstractNumId w:val="12"/>
  </w:num>
  <w:num w:numId="39" w16cid:durableId="952516220">
    <w:abstractNumId w:val="42"/>
  </w:num>
  <w:num w:numId="40" w16cid:durableId="1142431424">
    <w:abstractNumId w:val="7"/>
  </w:num>
  <w:num w:numId="41" w16cid:durableId="696658957">
    <w:abstractNumId w:val="50"/>
  </w:num>
  <w:num w:numId="42" w16cid:durableId="363017088">
    <w:abstractNumId w:val="26"/>
  </w:num>
  <w:num w:numId="43" w16cid:durableId="1870871116">
    <w:abstractNumId w:val="45"/>
  </w:num>
  <w:num w:numId="44" w16cid:durableId="391585623">
    <w:abstractNumId w:val="8"/>
  </w:num>
  <w:num w:numId="45" w16cid:durableId="772243370">
    <w:abstractNumId w:val="51"/>
  </w:num>
  <w:num w:numId="46" w16cid:durableId="59525050">
    <w:abstractNumId w:val="43"/>
  </w:num>
  <w:num w:numId="47" w16cid:durableId="1940138760">
    <w:abstractNumId w:val="4"/>
  </w:num>
  <w:num w:numId="48" w16cid:durableId="2857828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08484064">
    <w:abstractNumId w:val="14"/>
  </w:num>
  <w:num w:numId="50" w16cid:durableId="1346251614">
    <w:abstractNumId w:val="5"/>
  </w:num>
  <w:num w:numId="51" w16cid:durableId="1983197041">
    <w:abstractNumId w:val="0"/>
  </w:num>
  <w:num w:numId="52" w16cid:durableId="1344161606">
    <w:abstractNumId w:val="9"/>
  </w:num>
  <w:num w:numId="53" w16cid:durableId="2055344899">
    <w:abstractNumId w:val="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ql+FyrJRIpIZ+6Lmlf37vcyrEwxculZlAqor49Mb3vWDHtuyruwrq9FlOtk8ij2nk4hStJ5t1je+F2j/k7sqAw==" w:salt="XtxIJ4JTstjo6DkS7RFc8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5A"/>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27EEB"/>
    <w:rsid w:val="000303BE"/>
    <w:rsid w:val="000344D6"/>
    <w:rsid w:val="00034960"/>
    <w:rsid w:val="00036FAE"/>
    <w:rsid w:val="00041858"/>
    <w:rsid w:val="0004389E"/>
    <w:rsid w:val="00045CA6"/>
    <w:rsid w:val="000463A6"/>
    <w:rsid w:val="00046CC9"/>
    <w:rsid w:val="00046E91"/>
    <w:rsid w:val="00047350"/>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52D7"/>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87EE4"/>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395E"/>
    <w:rsid w:val="000A43CC"/>
    <w:rsid w:val="000A609F"/>
    <w:rsid w:val="000A7314"/>
    <w:rsid w:val="000A7B53"/>
    <w:rsid w:val="000A7B64"/>
    <w:rsid w:val="000B275C"/>
    <w:rsid w:val="000B2C3D"/>
    <w:rsid w:val="000B55C0"/>
    <w:rsid w:val="000B5DF2"/>
    <w:rsid w:val="000C06C9"/>
    <w:rsid w:val="000C1DCC"/>
    <w:rsid w:val="000C1FBC"/>
    <w:rsid w:val="000C2054"/>
    <w:rsid w:val="000C2B6A"/>
    <w:rsid w:val="000C2F88"/>
    <w:rsid w:val="000C55C8"/>
    <w:rsid w:val="000C57C4"/>
    <w:rsid w:val="000C5FD3"/>
    <w:rsid w:val="000C677C"/>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8C1"/>
    <w:rsid w:val="000E7C65"/>
    <w:rsid w:val="000F0056"/>
    <w:rsid w:val="000F04D2"/>
    <w:rsid w:val="000F55B7"/>
    <w:rsid w:val="000F604F"/>
    <w:rsid w:val="000F7399"/>
    <w:rsid w:val="00101BF1"/>
    <w:rsid w:val="001027F1"/>
    <w:rsid w:val="00104F2E"/>
    <w:rsid w:val="001072DD"/>
    <w:rsid w:val="00110D7A"/>
    <w:rsid w:val="00111464"/>
    <w:rsid w:val="0011167D"/>
    <w:rsid w:val="00112892"/>
    <w:rsid w:val="001129F9"/>
    <w:rsid w:val="00112E48"/>
    <w:rsid w:val="001130EA"/>
    <w:rsid w:val="001138E8"/>
    <w:rsid w:val="00114259"/>
    <w:rsid w:val="001168B2"/>
    <w:rsid w:val="00117C20"/>
    <w:rsid w:val="00120F0E"/>
    <w:rsid w:val="00121A5D"/>
    <w:rsid w:val="00121BED"/>
    <w:rsid w:val="00123D39"/>
    <w:rsid w:val="001244CD"/>
    <w:rsid w:val="0012566F"/>
    <w:rsid w:val="00125F2F"/>
    <w:rsid w:val="001262B1"/>
    <w:rsid w:val="00130F41"/>
    <w:rsid w:val="00130FAF"/>
    <w:rsid w:val="00135F2B"/>
    <w:rsid w:val="001372DD"/>
    <w:rsid w:val="001405BA"/>
    <w:rsid w:val="00141497"/>
    <w:rsid w:val="0014253A"/>
    <w:rsid w:val="001425C8"/>
    <w:rsid w:val="001431AE"/>
    <w:rsid w:val="00143B87"/>
    <w:rsid w:val="001459E3"/>
    <w:rsid w:val="00146685"/>
    <w:rsid w:val="00146A0B"/>
    <w:rsid w:val="0014761E"/>
    <w:rsid w:val="00151907"/>
    <w:rsid w:val="001544C8"/>
    <w:rsid w:val="00155EC4"/>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4E78"/>
    <w:rsid w:val="001A6A0D"/>
    <w:rsid w:val="001A6C51"/>
    <w:rsid w:val="001A6FAA"/>
    <w:rsid w:val="001A7D73"/>
    <w:rsid w:val="001B0363"/>
    <w:rsid w:val="001B1355"/>
    <w:rsid w:val="001B2FC9"/>
    <w:rsid w:val="001B3138"/>
    <w:rsid w:val="001B4E4B"/>
    <w:rsid w:val="001B50AC"/>
    <w:rsid w:val="001B5E05"/>
    <w:rsid w:val="001B6D68"/>
    <w:rsid w:val="001B6F2E"/>
    <w:rsid w:val="001B73D3"/>
    <w:rsid w:val="001C0344"/>
    <w:rsid w:val="001C0F2A"/>
    <w:rsid w:val="001C188E"/>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0609"/>
    <w:rsid w:val="00204CBC"/>
    <w:rsid w:val="002051F1"/>
    <w:rsid w:val="002067BA"/>
    <w:rsid w:val="002073F1"/>
    <w:rsid w:val="0021058D"/>
    <w:rsid w:val="00211E2F"/>
    <w:rsid w:val="00211E9E"/>
    <w:rsid w:val="00214FB4"/>
    <w:rsid w:val="00215940"/>
    <w:rsid w:val="00217C23"/>
    <w:rsid w:val="00220561"/>
    <w:rsid w:val="00220CE4"/>
    <w:rsid w:val="00222D9B"/>
    <w:rsid w:val="00223788"/>
    <w:rsid w:val="00223D11"/>
    <w:rsid w:val="002242D3"/>
    <w:rsid w:val="00224B9D"/>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0E70"/>
    <w:rsid w:val="00251EA9"/>
    <w:rsid w:val="00252843"/>
    <w:rsid w:val="002543F8"/>
    <w:rsid w:val="002551A4"/>
    <w:rsid w:val="002559F3"/>
    <w:rsid w:val="00256DFE"/>
    <w:rsid w:val="00261D56"/>
    <w:rsid w:val="00261FD3"/>
    <w:rsid w:val="00262412"/>
    <w:rsid w:val="00263505"/>
    <w:rsid w:val="00264077"/>
    <w:rsid w:val="00266B9A"/>
    <w:rsid w:val="00267551"/>
    <w:rsid w:val="00270E54"/>
    <w:rsid w:val="00273633"/>
    <w:rsid w:val="00273681"/>
    <w:rsid w:val="002754B5"/>
    <w:rsid w:val="002764C5"/>
    <w:rsid w:val="00276A5A"/>
    <w:rsid w:val="002772AE"/>
    <w:rsid w:val="00277943"/>
    <w:rsid w:val="00280613"/>
    <w:rsid w:val="002819C4"/>
    <w:rsid w:val="0028274D"/>
    <w:rsid w:val="00282B96"/>
    <w:rsid w:val="002833D6"/>
    <w:rsid w:val="00283F51"/>
    <w:rsid w:val="00286064"/>
    <w:rsid w:val="002867B1"/>
    <w:rsid w:val="002868FC"/>
    <w:rsid w:val="002869CA"/>
    <w:rsid w:val="00287BBB"/>
    <w:rsid w:val="00287E3B"/>
    <w:rsid w:val="00290638"/>
    <w:rsid w:val="00291763"/>
    <w:rsid w:val="00291D80"/>
    <w:rsid w:val="00292E82"/>
    <w:rsid w:val="00293156"/>
    <w:rsid w:val="00293BE7"/>
    <w:rsid w:val="00293D78"/>
    <w:rsid w:val="002946DC"/>
    <w:rsid w:val="00297DD5"/>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07D2F"/>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3083"/>
    <w:rsid w:val="00344496"/>
    <w:rsid w:val="00344626"/>
    <w:rsid w:val="00344953"/>
    <w:rsid w:val="00345968"/>
    <w:rsid w:val="00347667"/>
    <w:rsid w:val="00350485"/>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17B"/>
    <w:rsid w:val="003865E5"/>
    <w:rsid w:val="003926C1"/>
    <w:rsid w:val="00392900"/>
    <w:rsid w:val="00393357"/>
    <w:rsid w:val="00394B3D"/>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1F96"/>
    <w:rsid w:val="003C2760"/>
    <w:rsid w:val="003C40DA"/>
    <w:rsid w:val="003C42BA"/>
    <w:rsid w:val="003C462F"/>
    <w:rsid w:val="003C4A02"/>
    <w:rsid w:val="003C4F05"/>
    <w:rsid w:val="003C6191"/>
    <w:rsid w:val="003C6E49"/>
    <w:rsid w:val="003D0CBF"/>
    <w:rsid w:val="003D0DD6"/>
    <w:rsid w:val="003D17D8"/>
    <w:rsid w:val="003D4B73"/>
    <w:rsid w:val="003D503B"/>
    <w:rsid w:val="003D605E"/>
    <w:rsid w:val="003D61D1"/>
    <w:rsid w:val="003D6780"/>
    <w:rsid w:val="003D6FCB"/>
    <w:rsid w:val="003D76FF"/>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76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873"/>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1DDE"/>
    <w:rsid w:val="0044277A"/>
    <w:rsid w:val="004434EF"/>
    <w:rsid w:val="004456DC"/>
    <w:rsid w:val="00447FBE"/>
    <w:rsid w:val="004500FD"/>
    <w:rsid w:val="0045035E"/>
    <w:rsid w:val="0045175A"/>
    <w:rsid w:val="00451939"/>
    <w:rsid w:val="00451ED9"/>
    <w:rsid w:val="00452180"/>
    <w:rsid w:val="00453072"/>
    <w:rsid w:val="004539F8"/>
    <w:rsid w:val="00453F26"/>
    <w:rsid w:val="0045503F"/>
    <w:rsid w:val="00455273"/>
    <w:rsid w:val="0045658C"/>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3802"/>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E70"/>
    <w:rsid w:val="004F6F14"/>
    <w:rsid w:val="004F728D"/>
    <w:rsid w:val="004F757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7AC"/>
    <w:rsid w:val="00561AED"/>
    <w:rsid w:val="005648A8"/>
    <w:rsid w:val="00564DE3"/>
    <w:rsid w:val="00564E44"/>
    <w:rsid w:val="00566C6A"/>
    <w:rsid w:val="00566CE5"/>
    <w:rsid w:val="00566D36"/>
    <w:rsid w:val="00567B18"/>
    <w:rsid w:val="00573569"/>
    <w:rsid w:val="00573871"/>
    <w:rsid w:val="0057389E"/>
    <w:rsid w:val="0057452E"/>
    <w:rsid w:val="005765C0"/>
    <w:rsid w:val="005778DE"/>
    <w:rsid w:val="00580B3F"/>
    <w:rsid w:val="005825F2"/>
    <w:rsid w:val="00583885"/>
    <w:rsid w:val="005860AF"/>
    <w:rsid w:val="00587F1D"/>
    <w:rsid w:val="00590348"/>
    <w:rsid w:val="00591161"/>
    <w:rsid w:val="00591CDF"/>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89A"/>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9F1"/>
    <w:rsid w:val="00600F63"/>
    <w:rsid w:val="006012E1"/>
    <w:rsid w:val="0060161A"/>
    <w:rsid w:val="006021B8"/>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2D3"/>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55DF6"/>
    <w:rsid w:val="00660BF0"/>
    <w:rsid w:val="006614E8"/>
    <w:rsid w:val="0066189C"/>
    <w:rsid w:val="0066246A"/>
    <w:rsid w:val="006630CF"/>
    <w:rsid w:val="00663EFF"/>
    <w:rsid w:val="00664FFB"/>
    <w:rsid w:val="00666F74"/>
    <w:rsid w:val="00667FEA"/>
    <w:rsid w:val="006710D2"/>
    <w:rsid w:val="00671A8B"/>
    <w:rsid w:val="00671F53"/>
    <w:rsid w:val="006725A0"/>
    <w:rsid w:val="00673F23"/>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87"/>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1D0D"/>
    <w:rsid w:val="006E2A23"/>
    <w:rsid w:val="006E35E5"/>
    <w:rsid w:val="006E3C2A"/>
    <w:rsid w:val="006E3C72"/>
    <w:rsid w:val="006E4F20"/>
    <w:rsid w:val="006E649A"/>
    <w:rsid w:val="006F031C"/>
    <w:rsid w:val="006F08DC"/>
    <w:rsid w:val="006F3948"/>
    <w:rsid w:val="006F4403"/>
    <w:rsid w:val="006F45CA"/>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88E"/>
    <w:rsid w:val="00713940"/>
    <w:rsid w:val="007151A2"/>
    <w:rsid w:val="00716774"/>
    <w:rsid w:val="0071740A"/>
    <w:rsid w:val="007209DD"/>
    <w:rsid w:val="00722E49"/>
    <w:rsid w:val="00723A08"/>
    <w:rsid w:val="00723B5C"/>
    <w:rsid w:val="00724391"/>
    <w:rsid w:val="00724C18"/>
    <w:rsid w:val="007254DD"/>
    <w:rsid w:val="00725FB1"/>
    <w:rsid w:val="00726630"/>
    <w:rsid w:val="00727F73"/>
    <w:rsid w:val="00730705"/>
    <w:rsid w:val="00730944"/>
    <w:rsid w:val="0073248E"/>
    <w:rsid w:val="00733158"/>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350"/>
    <w:rsid w:val="007648A0"/>
    <w:rsid w:val="00766F4D"/>
    <w:rsid w:val="00770268"/>
    <w:rsid w:val="007706B9"/>
    <w:rsid w:val="007707ED"/>
    <w:rsid w:val="00771C3B"/>
    <w:rsid w:val="007726F9"/>
    <w:rsid w:val="00773805"/>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B73FA"/>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2278"/>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37FC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12B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4792"/>
    <w:rsid w:val="008D490F"/>
    <w:rsid w:val="008D611D"/>
    <w:rsid w:val="008E1B6A"/>
    <w:rsid w:val="008E3054"/>
    <w:rsid w:val="008E32FF"/>
    <w:rsid w:val="008E4E16"/>
    <w:rsid w:val="008E5625"/>
    <w:rsid w:val="008E5C5B"/>
    <w:rsid w:val="008E6A37"/>
    <w:rsid w:val="008F0354"/>
    <w:rsid w:val="008F085A"/>
    <w:rsid w:val="008F1462"/>
    <w:rsid w:val="008F2413"/>
    <w:rsid w:val="008F248D"/>
    <w:rsid w:val="008F3D19"/>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4FB"/>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316"/>
    <w:rsid w:val="00962CEF"/>
    <w:rsid w:val="00963766"/>
    <w:rsid w:val="00963FDF"/>
    <w:rsid w:val="00964C32"/>
    <w:rsid w:val="0096528F"/>
    <w:rsid w:val="009653F2"/>
    <w:rsid w:val="009661DF"/>
    <w:rsid w:val="009667BD"/>
    <w:rsid w:val="009670C9"/>
    <w:rsid w:val="00967CE2"/>
    <w:rsid w:val="00971DA3"/>
    <w:rsid w:val="00972161"/>
    <w:rsid w:val="0097261B"/>
    <w:rsid w:val="00974881"/>
    <w:rsid w:val="00974978"/>
    <w:rsid w:val="0097606C"/>
    <w:rsid w:val="009771D1"/>
    <w:rsid w:val="0098012D"/>
    <w:rsid w:val="00980845"/>
    <w:rsid w:val="00981BD9"/>
    <w:rsid w:val="0098225F"/>
    <w:rsid w:val="00983A3C"/>
    <w:rsid w:val="00983EFA"/>
    <w:rsid w:val="00984C15"/>
    <w:rsid w:val="00986AF7"/>
    <w:rsid w:val="00987829"/>
    <w:rsid w:val="00987F7A"/>
    <w:rsid w:val="00991276"/>
    <w:rsid w:val="009923E7"/>
    <w:rsid w:val="00992697"/>
    <w:rsid w:val="00992ADB"/>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57D9"/>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D6B1F"/>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785"/>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3623"/>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4C16"/>
    <w:rsid w:val="00AB60CE"/>
    <w:rsid w:val="00AB6B5E"/>
    <w:rsid w:val="00AC047F"/>
    <w:rsid w:val="00AC191D"/>
    <w:rsid w:val="00AC3934"/>
    <w:rsid w:val="00AC4B91"/>
    <w:rsid w:val="00AC50C8"/>
    <w:rsid w:val="00AC5132"/>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0CE"/>
    <w:rsid w:val="00AE4D4F"/>
    <w:rsid w:val="00AE627C"/>
    <w:rsid w:val="00AE62B0"/>
    <w:rsid w:val="00AE68A2"/>
    <w:rsid w:val="00AF0029"/>
    <w:rsid w:val="00AF0354"/>
    <w:rsid w:val="00AF1236"/>
    <w:rsid w:val="00AF303E"/>
    <w:rsid w:val="00AF3C29"/>
    <w:rsid w:val="00AF4401"/>
    <w:rsid w:val="00AF4463"/>
    <w:rsid w:val="00AF53CB"/>
    <w:rsid w:val="00AF65C5"/>
    <w:rsid w:val="00AF74C2"/>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27460"/>
    <w:rsid w:val="00B27696"/>
    <w:rsid w:val="00B27E7B"/>
    <w:rsid w:val="00B306FC"/>
    <w:rsid w:val="00B309D2"/>
    <w:rsid w:val="00B30E4F"/>
    <w:rsid w:val="00B3124F"/>
    <w:rsid w:val="00B33294"/>
    <w:rsid w:val="00B33657"/>
    <w:rsid w:val="00B34885"/>
    <w:rsid w:val="00B34D68"/>
    <w:rsid w:val="00B34E8F"/>
    <w:rsid w:val="00B36117"/>
    <w:rsid w:val="00B362E3"/>
    <w:rsid w:val="00B37C73"/>
    <w:rsid w:val="00B4009B"/>
    <w:rsid w:val="00B400A1"/>
    <w:rsid w:val="00B40A2B"/>
    <w:rsid w:val="00B420CB"/>
    <w:rsid w:val="00B4401C"/>
    <w:rsid w:val="00B44802"/>
    <w:rsid w:val="00B44A96"/>
    <w:rsid w:val="00B455D1"/>
    <w:rsid w:val="00B46135"/>
    <w:rsid w:val="00B470B3"/>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1B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85"/>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45DE"/>
    <w:rsid w:val="00BE4CC0"/>
    <w:rsid w:val="00BE51BB"/>
    <w:rsid w:val="00BE7595"/>
    <w:rsid w:val="00BE77D3"/>
    <w:rsid w:val="00BF0138"/>
    <w:rsid w:val="00BF114B"/>
    <w:rsid w:val="00BF1620"/>
    <w:rsid w:val="00BF18DB"/>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69D"/>
    <w:rsid w:val="00C05A5D"/>
    <w:rsid w:val="00C0654A"/>
    <w:rsid w:val="00C068C2"/>
    <w:rsid w:val="00C06A7A"/>
    <w:rsid w:val="00C06DE3"/>
    <w:rsid w:val="00C06F97"/>
    <w:rsid w:val="00C10672"/>
    <w:rsid w:val="00C10BE6"/>
    <w:rsid w:val="00C11296"/>
    <w:rsid w:val="00C11687"/>
    <w:rsid w:val="00C11905"/>
    <w:rsid w:val="00C11917"/>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0DF1"/>
    <w:rsid w:val="00CD1FAE"/>
    <w:rsid w:val="00CD232F"/>
    <w:rsid w:val="00CD279E"/>
    <w:rsid w:val="00CD2F92"/>
    <w:rsid w:val="00CD37D3"/>
    <w:rsid w:val="00CD4E72"/>
    <w:rsid w:val="00CD4EB0"/>
    <w:rsid w:val="00CD512D"/>
    <w:rsid w:val="00CD5831"/>
    <w:rsid w:val="00CD6F6E"/>
    <w:rsid w:val="00CE157F"/>
    <w:rsid w:val="00CE1966"/>
    <w:rsid w:val="00CE1ED4"/>
    <w:rsid w:val="00CE2216"/>
    <w:rsid w:val="00CE3014"/>
    <w:rsid w:val="00CE30E5"/>
    <w:rsid w:val="00CE6FC6"/>
    <w:rsid w:val="00CF2056"/>
    <w:rsid w:val="00CF353C"/>
    <w:rsid w:val="00CF4471"/>
    <w:rsid w:val="00CF51C0"/>
    <w:rsid w:val="00CF5B2A"/>
    <w:rsid w:val="00CF5F57"/>
    <w:rsid w:val="00CF64A7"/>
    <w:rsid w:val="00CF6730"/>
    <w:rsid w:val="00CF70E5"/>
    <w:rsid w:val="00CF7CEC"/>
    <w:rsid w:val="00D00B0F"/>
    <w:rsid w:val="00D01BF4"/>
    <w:rsid w:val="00D0272C"/>
    <w:rsid w:val="00D031F4"/>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26394"/>
    <w:rsid w:val="00D305F6"/>
    <w:rsid w:val="00D30B25"/>
    <w:rsid w:val="00D3175A"/>
    <w:rsid w:val="00D31A00"/>
    <w:rsid w:val="00D320F7"/>
    <w:rsid w:val="00D323E4"/>
    <w:rsid w:val="00D32871"/>
    <w:rsid w:val="00D329F6"/>
    <w:rsid w:val="00D32D17"/>
    <w:rsid w:val="00D33881"/>
    <w:rsid w:val="00D34282"/>
    <w:rsid w:val="00D366B1"/>
    <w:rsid w:val="00D37AE0"/>
    <w:rsid w:val="00D4017D"/>
    <w:rsid w:val="00D416A8"/>
    <w:rsid w:val="00D4217D"/>
    <w:rsid w:val="00D4257C"/>
    <w:rsid w:val="00D425AC"/>
    <w:rsid w:val="00D42823"/>
    <w:rsid w:val="00D42D5E"/>
    <w:rsid w:val="00D43F14"/>
    <w:rsid w:val="00D44009"/>
    <w:rsid w:val="00D44716"/>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67162"/>
    <w:rsid w:val="00D71B45"/>
    <w:rsid w:val="00D71F8A"/>
    <w:rsid w:val="00D75603"/>
    <w:rsid w:val="00D75FEE"/>
    <w:rsid w:val="00D76933"/>
    <w:rsid w:val="00D76D88"/>
    <w:rsid w:val="00D77CC9"/>
    <w:rsid w:val="00D83D4B"/>
    <w:rsid w:val="00D83F31"/>
    <w:rsid w:val="00D871C6"/>
    <w:rsid w:val="00D87AE9"/>
    <w:rsid w:val="00D91010"/>
    <w:rsid w:val="00D9143D"/>
    <w:rsid w:val="00D920D1"/>
    <w:rsid w:val="00DA0FA7"/>
    <w:rsid w:val="00DA12B0"/>
    <w:rsid w:val="00DA2BA0"/>
    <w:rsid w:val="00DA39AD"/>
    <w:rsid w:val="00DA5B13"/>
    <w:rsid w:val="00DA666C"/>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4D68"/>
    <w:rsid w:val="00DC5BC5"/>
    <w:rsid w:val="00DC6463"/>
    <w:rsid w:val="00DC7822"/>
    <w:rsid w:val="00DC7844"/>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4C89"/>
    <w:rsid w:val="00DF595C"/>
    <w:rsid w:val="00DF7EA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0775"/>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6A15"/>
    <w:rsid w:val="00E47430"/>
    <w:rsid w:val="00E50FB7"/>
    <w:rsid w:val="00E5199F"/>
    <w:rsid w:val="00E526DF"/>
    <w:rsid w:val="00E53C15"/>
    <w:rsid w:val="00E54EE6"/>
    <w:rsid w:val="00E5531B"/>
    <w:rsid w:val="00E56715"/>
    <w:rsid w:val="00E56C2C"/>
    <w:rsid w:val="00E57F8E"/>
    <w:rsid w:val="00E611C8"/>
    <w:rsid w:val="00E6344A"/>
    <w:rsid w:val="00E64E69"/>
    <w:rsid w:val="00E64FB7"/>
    <w:rsid w:val="00E6513E"/>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199"/>
    <w:rsid w:val="00E92A82"/>
    <w:rsid w:val="00E92AA8"/>
    <w:rsid w:val="00E9344E"/>
    <w:rsid w:val="00E93E39"/>
    <w:rsid w:val="00E94391"/>
    <w:rsid w:val="00E9476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4C95"/>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5972"/>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2BED"/>
    <w:rsid w:val="00FB3DD1"/>
    <w:rsid w:val="00FB5086"/>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35B"/>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iPriority="99"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iPriority="99"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uiPriority w:val="99"/>
    <w:locked/>
    <w:rsid w:val="004B1E61"/>
    <w:rPr>
      <w:sz w:val="16"/>
      <w:szCs w:val="16"/>
    </w:rPr>
  </w:style>
  <w:style w:type="paragraph" w:styleId="CommentText">
    <w:name w:val="annotation text"/>
    <w:basedOn w:val="Normal"/>
    <w:link w:val="CommentTextChar"/>
    <w:uiPriority w:val="99"/>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123 List Paragraph,Numbered Paragraph,Main numbered paragraph,References,Numbered List Paragraph,Bullets,List Paragraph (numbered (a)),List Paragraph nowy,Liste 1,List_Paragraph,3"/>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uiPriority w:val="99"/>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123 List Paragraph Char,Numbered Paragraph Char,Main numbered paragraph Char,References Char,Numbered List Paragraph Char,Bullets Char,Liste 1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character" w:customStyle="1" w:styleId="QuestionstyleChar">
    <w:name w:val="Question style Char"/>
    <w:basedOn w:val="DefaultParagraphFont"/>
    <w:link w:val="Questionstyle"/>
    <w:locked/>
    <w:rsid w:val="000A609F"/>
    <w:rPr>
      <w:rFonts w:ascii="Arial" w:eastAsiaTheme="minorEastAsia" w:hAnsi="Arial" w:cs="Arial"/>
      <w:b/>
      <w:lang w:val="en-US"/>
    </w:rPr>
  </w:style>
  <w:style w:type="paragraph" w:customStyle="1" w:styleId="Questionstyle">
    <w:name w:val="Question style"/>
    <w:basedOn w:val="Normal"/>
    <w:next w:val="Normal"/>
    <w:link w:val="QuestionstyleChar"/>
    <w:autoRedefine/>
    <w:qFormat/>
    <w:rsid w:val="000A609F"/>
    <w:pPr>
      <w:spacing w:after="250" w:line="276" w:lineRule="auto"/>
      <w:contextualSpacing/>
      <w:jc w:val="both"/>
    </w:pPr>
    <w:rPr>
      <w:rFonts w:eastAsiaTheme="minorEastAsia" w:cs="Arial"/>
      <w:b/>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25463588">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09818697">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Sustainable Finance Document" ma:contentTypeID="0x010100DD70E92362DEE14191597B20A60D97FF0500970CD517293225479483743EE25FFF6B" ma:contentTypeVersion="6" ma:contentTypeDescription="" ma:contentTypeScope="" ma:versionID="fc5a918ed19341902796e5920a7d490b">
  <xsd:schema xmlns:xsd="http://www.w3.org/2001/XMLSchema" xmlns:xs="http://www.w3.org/2001/XMLSchema" xmlns:p="http://schemas.microsoft.com/office/2006/metadata/properties" xmlns:ns2="35c8e399-07b8-49e4-91bf-01a20105d4df" targetNamespace="http://schemas.microsoft.com/office/2006/metadata/properties" ma:root="true" ma:fieldsID="a7a2222f662d2cbeb6ad9aa76c34296d" ns2:_="">
    <xsd:import namespace="35c8e399-07b8-49e4-91bf-01a20105d4df"/>
    <xsd:element name="properties">
      <xsd:complexType>
        <xsd:sequence>
          <xsd:element name="documentManagement">
            <xsd:complexType>
              <xsd:all>
                <xsd:element ref="ns2:Year"/>
                <xsd:element ref="ns2:MeetingDate" minOccurs="0"/>
                <xsd:element ref="ns2:k9db3a09612944c49e649e0ff38a506b" minOccurs="0"/>
                <xsd:element ref="ns2:kdd529b9a5cb416096d62dbd0e6e5583" minOccurs="0"/>
                <xsd:element ref="ns2:_dlc_DocIdPersistId" minOccurs="0"/>
                <xsd:element ref="ns2:oa4fe03ffd8943c1880fe290404e8de7" minOccurs="0"/>
                <xsd:element ref="ns2:o129a376828d47fdaef4d5f5d93fd079" minOccurs="0"/>
                <xsd:element ref="ns2:_dlc_DocId" minOccurs="0"/>
                <xsd:element ref="ns2:_dlc_DocIdUrl" minOccurs="0"/>
                <xsd:element ref="ns2:TaxCatchAll" minOccurs="0"/>
                <xsd:element ref="ns2:i273e4c9de95495b82bee898e1d119e4" minOccurs="0"/>
                <xsd:element ref="ns2:pe003f6b23174764860dd10a5d2d3e7f"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xsd:simpleType>
        <xsd:restriction base="dms:DateTime"/>
      </xsd:simpleType>
    </xsd:element>
    <xsd:element name="k9db3a09612944c49e649e0ff38a506b" ma:index="10" nillable="true" ma:taxonomy="true" ma:internalName="k9db3a09612944c49e649e0ff38a506b" ma:taxonomyFieldName="EsmaAudience" ma:displayName="Audience" ma:readOnly="fals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kdd529b9a5cb416096d62dbd0e6e5583" ma:index="14" nillable="true"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oa4fe03ffd8943c1880fe290404e8de7" ma:index="16" nillable="true"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3" nillable="true" ma:taxonomy="true" ma:internalName="i273e4c9de95495b82bee898e1d119e4" ma:taxonomyFieldName="Topic" ma:displayName="Topic" ma:fieldId="{2273e4c9-de95-495b-82be-e898e1d119e4}" ma:sspId="0ac1876e-32bf-4158-94e7-cdbcd053a335" ma:termSetId="dce471d3-59d8-4d80-8316-7dd10dc94245" ma:anchorId="00000000-0000-0000-0000-000000000000" ma:open="false" ma:isKeyword="false">
      <xsd:complexType>
        <xsd:sequence>
          <xsd:element ref="pc:Terms" minOccurs="0" maxOccurs="1"/>
        </xsd:sequence>
      </xsd:complexType>
    </xsd:element>
    <xsd:element name="pe003f6b23174764860dd10a5d2d3e7f" ma:index="25" nillable="true" ma:taxonomy="true" ma:internalName="pe003f6b23174764860dd10a5d2d3e7f" ma:taxonomyFieldName="SubTopic" ma:displayName="Sub Topic" ma:fieldId="{9e003f6b-2317-4764-860d-d10a5d2d3e7f}" ma:sspId="0ac1876e-32bf-4158-94e7-cdbcd053a335" ma:termSetId="0a6922ba-4b5d-4066-b81e-7cc61c85a71b" ma:anchorId="00000000-0000-0000-0000-000000000000" ma:open="false" ma:isKeyword="false">
      <xsd:complexType>
        <xsd:sequence>
          <xsd:element ref="pc:Terms" minOccurs="0" maxOccurs="1"/>
        </xsd:sequence>
      </xsd:complexType>
    </xsd:element>
    <xsd:element name="TaxCatchAllLabel" ma:index="26"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eetingDate xmlns="35c8e399-07b8-49e4-91bf-01a20105d4df" xsi:nil="true"/>
    <Year xmlns="35c8e399-07b8-49e4-91bf-01a20105d4df">2022</Year>
    <TaxCatchAll xmlns="35c8e399-07b8-49e4-91bf-01a20105d4df">
      <Value>15</Value>
      <Value>46</Value>
      <Value>385</Value>
      <Value>194</Value>
      <Value>379</Value>
      <Value>38</Value>
    </TaxCatchAll>
    <_dlc_DocId xmlns="35c8e399-07b8-49e4-91bf-01a20105d4df">ESMA34-472-383</_dlc_DocId>
    <_dlc_DocIdUrl xmlns="35c8e399-07b8-49e4-91bf-01a20105d4df">
      <Url>https://sherpa.esma.europa.eu/sites/INIIVM/_layouts/15/DocIdRedir.aspx?ID=ESMA34-472-383</Url>
      <Description>ESMA34-472-383</Description>
    </_dlc_DocIdUrl>
    <k9db3a09612944c49e649e0ff38a506b xmlns="35c8e399-07b8-49e4-91bf-01a20105d4d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902c1e7c-3957-48c1-abbe-acf26525b3f2</TermId>
        </TermInfo>
      </Terms>
    </k9db3a09612944c49e649e0ff38a506b>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pe003f6b23174764860dd10a5d2d3e7f xmlns="35c8e399-07b8-49e4-91bf-01a20105d4df">
      <Terms xmlns="http://schemas.microsoft.com/office/infopath/2007/PartnerControls">
        <TermInfo xmlns="http://schemas.microsoft.com/office/infopath/2007/PartnerControls">
          <TermName xmlns="http://schemas.microsoft.com/office/infopath/2007/PartnerControls">Supervisory briefing</TermName>
          <TermId xmlns="http://schemas.microsoft.com/office/infopath/2007/PartnerControls">bf46ff00-e6bf-4d5e-8642-e9ec713c4e98</TermId>
        </TermInfo>
      </Terms>
    </pe003f6b23174764860dd10a5d2d3e7f>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TermInfo xmlns="http://schemas.microsoft.com/office/infopath/2007/PartnerControls">
          <TermName xmlns="http://schemas.microsoft.com/office/infopath/2007/PartnerControls">IMSC and OWG work on sustainable finance</TermName>
          <TermId xmlns="http://schemas.microsoft.com/office/infopath/2007/PartnerControls">f6ed5092-971f-4cd6-863c-09ec339003ff</TermId>
        </TermInfo>
      </Term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oa4fe03ffd8943c1880fe290404e8de7>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E65A7-3D2D-4CA9-A73E-6F9C241F28E9}">
  <ds:schemaRefs>
    <ds:schemaRef ds:uri="http://schemas.openxmlformats.org/officeDocument/2006/bibliography"/>
  </ds:schemaRefs>
</ds:datastoreItem>
</file>

<file path=customXml/itemProps2.xml><?xml version="1.0" encoding="utf-8"?>
<ds:datastoreItem xmlns:ds="http://schemas.openxmlformats.org/officeDocument/2006/customXml" ds:itemID="{30B5F0D0-E3B5-4691-8DB3-653E429C4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4.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5.xml><?xml version="1.0" encoding="utf-8"?>
<ds:datastoreItem xmlns:ds="http://schemas.openxmlformats.org/officeDocument/2006/customXml" ds:itemID="{3F37C169-B082-42D7-95A8-39DCDC7C43D3}">
  <ds:schemaRefs>
    <ds:schemaRef ds:uri="http://purl.org/dc/terms/"/>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35c8e399-07b8-49e4-91bf-01a20105d4df"/>
    <ds:schemaRef ds:uri="http://purl.org/dc/elements/1.1/"/>
  </ds:schemaRefs>
</ds:datastoreItem>
</file>

<file path=customXml/itemProps6.xml><?xml version="1.0" encoding="utf-8"?>
<ds:datastoreItem xmlns:ds="http://schemas.openxmlformats.org/officeDocument/2006/customXml" ds:itemID="{C2BBE542-2ED8-4F04-B2FF-D6B68D465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16</Pages>
  <Words>7188</Words>
  <Characters>38993</Characters>
  <Application>Microsoft Office Word</Application>
  <DocSecurity>8</DocSecurity>
  <Lines>324</Lines>
  <Paragraphs>92</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46089</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 CP on Guidelines on funds’ names using ESG or sustainability-related terms</dc:title>
  <dc:creator>ESMA</dc:creator>
  <cp:lastModifiedBy>Cabie Isabelle (CANDRIAM)</cp:lastModifiedBy>
  <cp:revision>89</cp:revision>
  <cp:lastPrinted>2015-02-18T11:01:00Z</cp:lastPrinted>
  <dcterms:created xsi:type="dcterms:W3CDTF">2023-02-20T18:52:00Z</dcterms:created>
  <dcterms:modified xsi:type="dcterms:W3CDTF">2023-02-20T20:30:00Z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0x010100DD70E92362DEE14191597B20A60D97FF0500970CD517293225479483743EE25FFF6B</vt:lpwstr>
  </property>
  <property fmtid="{D5CDD505-2E9C-101B-9397-08002B2CF9AE}" pid="3" name="_dlc_DocIdItemGuid">
    <vt:lpwstr>75d40206-4f20-46b1-8861-374bc561b2bb</vt:lpwstr>
  </property>
  <property fmtid="{D5CDD505-2E9C-101B-9397-08002B2CF9AE}" pid="4" name="EsmaAudience">
    <vt:lpwstr>194;#Public|902c1e7c-3957-48c1-abbe-acf26525b3f2</vt:lpwstr>
  </property>
  <property fmtid="{D5CDD505-2E9C-101B-9397-08002B2CF9AE}" pid="5" name="TeamName">
    <vt:lpwstr>38;#Investment Management|9630b78b-e81c-4ffd-baef-5f8b4aeb7ac5</vt:lpwstr>
  </property>
  <property fmtid="{D5CDD505-2E9C-101B-9397-08002B2CF9AE}" pid="6" name="Topic">
    <vt:lpwstr>379;#IMSC and OWG work on sustainable finance|f6ed5092-971f-4cd6-863c-09ec339003ff</vt:lpwstr>
  </property>
  <property fmtid="{D5CDD505-2E9C-101B-9397-08002B2CF9AE}" pid="7" name="ConfidentialityLevel">
    <vt:lpwstr>15;#Regular|07f1e362-856b-423d-bea6-a14079762141</vt:lpwstr>
  </property>
  <property fmtid="{D5CDD505-2E9C-101B-9397-08002B2CF9AE}" pid="8" name="DocumentType">
    <vt:lpwstr>46;#Note|b9e1c92e-303a-4555-86f0-5c711c65937e</vt:lpwstr>
  </property>
  <property fmtid="{D5CDD505-2E9C-101B-9397-08002B2CF9AE}" pid="9" name="SubTopic">
    <vt:lpwstr>385;#Supervisory briefing|bf46ff00-e6bf-4d5e-8642-e9ec713c4e98</vt:lpwstr>
  </property>
</Properties>
</file>