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7CB9A990" w:rsidR="00C2682A" w:rsidRPr="00AB6D88" w:rsidRDefault="002B3BD4" w:rsidP="00FA5524">
                <w:pPr>
                  <w:rPr>
                    <w:rStyle w:val="PlaceholderText"/>
                    <w:rFonts w:cs="Arial"/>
                  </w:rPr>
                </w:pPr>
                <w:r>
                  <w:rPr>
                    <w:rStyle w:val="PlaceholderText"/>
                    <w:rFonts w:cs="Arial"/>
                  </w:rPr>
                  <w:t>EPRA – European Public Real Estate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B85015B"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819D7">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687A2408" w:rsidR="00C2682A" w:rsidRPr="00AB6D88" w:rsidRDefault="00396431"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18018E18" w:rsidR="00C2682A" w:rsidRPr="00AB6D88" w:rsidRDefault="00396431"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6CFB6AE1" w14:textId="382FA891" w:rsidR="0032071D" w:rsidRPr="0032071D" w:rsidRDefault="0032071D" w:rsidP="00B92885">
      <w:pPr>
        <w:spacing w:after="160" w:line="259" w:lineRule="auto"/>
        <w:rPr>
          <w:rFonts w:ascii="Calibri" w:eastAsia="Calibri" w:hAnsi="Calibri"/>
          <w:b/>
          <w:bCs/>
          <w:sz w:val="22"/>
          <w:szCs w:val="22"/>
          <w:lang w:eastAsia="en-US"/>
        </w:rPr>
      </w:pPr>
      <w:permStart w:id="1100430741" w:edGrp="everyone"/>
      <w:r w:rsidRPr="0032071D">
        <w:rPr>
          <w:rFonts w:ascii="Calibri" w:eastAsia="Calibri" w:hAnsi="Calibri"/>
          <w:b/>
          <w:bCs/>
          <w:sz w:val="22"/>
          <w:szCs w:val="22"/>
          <w:lang w:eastAsia="en-US"/>
        </w:rPr>
        <w:t>Introduction</w:t>
      </w:r>
    </w:p>
    <w:p w14:paraId="08C6541E" w14:textId="629799FD" w:rsidR="00B92885" w:rsidRDefault="0091074F"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EPRA*, representing listed real estate in Europe, welcomes the opportunity to provide feedback on ESMA's Consultation on Guidelines on funds’ names using ESG or sustainability-related terms. EPRA’s feedback is focused on the listed real estate sector due to the Association’s sector specific knowledge and experience. </w:t>
      </w:r>
    </w:p>
    <w:p w14:paraId="40C5E2EA" w14:textId="55C55F49" w:rsidR="007C7D77" w:rsidRPr="007C7D77" w:rsidRDefault="0091074F" w:rsidP="00B92885">
      <w:pPr>
        <w:spacing w:after="160" w:line="259" w:lineRule="auto"/>
        <w:rPr>
          <w:rFonts w:ascii="Calibri" w:eastAsia="Calibri" w:hAnsi="Calibri"/>
          <w:sz w:val="22"/>
          <w:szCs w:val="22"/>
          <w:lang w:eastAsia="en-US"/>
        </w:rPr>
      </w:pPr>
      <w:r w:rsidRPr="0091074F">
        <w:rPr>
          <w:rFonts w:ascii="Calibri" w:eastAsia="Calibri" w:hAnsi="Calibri"/>
          <w:sz w:val="22"/>
          <w:szCs w:val="22"/>
          <w:lang w:eastAsia="en-US"/>
        </w:rPr>
        <w:t>The European Public Real Estate Association (EPRA) represents a broad spectrum of the European listed real estate industry, ranging from the major listed property investment companies</w:t>
      </w:r>
      <w:r>
        <w:rPr>
          <w:rFonts w:ascii="Calibri" w:eastAsia="Calibri" w:hAnsi="Calibri"/>
          <w:sz w:val="22"/>
          <w:szCs w:val="22"/>
          <w:lang w:eastAsia="en-US"/>
        </w:rPr>
        <w:t xml:space="preserve"> (i.e. </w:t>
      </w:r>
      <w:r w:rsidRPr="0091074F">
        <w:rPr>
          <w:rFonts w:ascii="Calibri" w:eastAsia="Calibri" w:hAnsi="Calibri"/>
          <w:sz w:val="22"/>
          <w:szCs w:val="22"/>
          <w:lang w:eastAsia="en-US"/>
        </w:rPr>
        <w:t>companies that own, develop and trade investment property</w:t>
      </w:r>
      <w:r>
        <w:rPr>
          <w:rFonts w:ascii="Calibri" w:eastAsia="Calibri" w:hAnsi="Calibri"/>
          <w:sz w:val="22"/>
          <w:szCs w:val="22"/>
          <w:lang w:eastAsia="en-US"/>
        </w:rPr>
        <w:t>)</w:t>
      </w:r>
      <w:r w:rsidRPr="0091074F">
        <w:rPr>
          <w:rFonts w:ascii="Calibri" w:eastAsia="Calibri" w:hAnsi="Calibri"/>
          <w:sz w:val="22"/>
          <w:szCs w:val="22"/>
          <w:lang w:eastAsia="en-US"/>
        </w:rPr>
        <w:t>, to investors and property professionals. Our members</w:t>
      </w:r>
      <w:r>
        <w:rPr>
          <w:rFonts w:ascii="Calibri" w:eastAsia="Calibri" w:hAnsi="Calibri"/>
          <w:sz w:val="22"/>
          <w:szCs w:val="22"/>
          <w:lang w:eastAsia="en-US"/>
        </w:rPr>
        <w:t xml:space="preserve"> </w:t>
      </w:r>
      <w:r w:rsidRPr="0091074F">
        <w:rPr>
          <w:rFonts w:ascii="Calibri" w:eastAsia="Calibri" w:hAnsi="Calibri"/>
          <w:sz w:val="22"/>
          <w:szCs w:val="22"/>
          <w:lang w:eastAsia="en-US"/>
        </w:rPr>
        <w:t>stand strongly behind the</w:t>
      </w:r>
      <w:r>
        <w:rPr>
          <w:rFonts w:ascii="Calibri" w:eastAsia="Calibri" w:hAnsi="Calibri"/>
          <w:sz w:val="22"/>
          <w:szCs w:val="22"/>
          <w:lang w:eastAsia="en-US"/>
        </w:rPr>
        <w:t xml:space="preserve"> EU </w:t>
      </w:r>
      <w:r w:rsidR="0032071D">
        <w:rPr>
          <w:rFonts w:ascii="Calibri" w:eastAsia="Calibri" w:hAnsi="Calibri"/>
          <w:sz w:val="22"/>
          <w:szCs w:val="22"/>
          <w:lang w:eastAsia="en-US"/>
        </w:rPr>
        <w:t xml:space="preserve">sustainable finance </w:t>
      </w:r>
      <w:r>
        <w:rPr>
          <w:rFonts w:ascii="Calibri" w:eastAsia="Calibri" w:hAnsi="Calibri"/>
          <w:sz w:val="22"/>
          <w:szCs w:val="22"/>
          <w:lang w:eastAsia="en-US"/>
        </w:rPr>
        <w:t>policy enabling the European listed real estate sector’s ability to advance rapidly on the climate driven objectives.</w:t>
      </w:r>
      <w:r w:rsidR="007C7D77">
        <w:rPr>
          <w:rFonts w:ascii="Calibri" w:eastAsia="Calibri" w:hAnsi="Calibri"/>
          <w:sz w:val="22"/>
          <w:szCs w:val="22"/>
          <w:lang w:eastAsia="en-US"/>
        </w:rPr>
        <w:t xml:space="preserve"> </w:t>
      </w:r>
      <w:r w:rsidR="007C7D77" w:rsidRPr="007C7D77">
        <w:rPr>
          <w:rFonts w:ascii="Calibri" w:eastAsia="Calibri" w:hAnsi="Calibri"/>
          <w:sz w:val="22"/>
          <w:szCs w:val="22"/>
          <w:lang w:eastAsia="en-US"/>
        </w:rPr>
        <w:t xml:space="preserve">We are more than convinced that a core responsibility in the 21st century is to make substantial and meaningful efforts to re-direct the investment in economic activities which have a true positive impact on the planet. This is a responsibility we share with: </w:t>
      </w:r>
    </w:p>
    <w:p w14:paraId="5100D31E" w14:textId="77777777" w:rsidR="007C7D77" w:rsidRDefault="007C7D77" w:rsidP="007C7D77">
      <w:pPr>
        <w:pStyle w:val="ListParagraph"/>
        <w:numPr>
          <w:ilvl w:val="0"/>
          <w:numId w:val="42"/>
        </w:numPr>
        <w:spacing w:after="160" w:line="259" w:lineRule="auto"/>
        <w:rPr>
          <w:rFonts w:ascii="Calibri" w:eastAsia="Calibri" w:hAnsi="Calibri"/>
          <w:sz w:val="22"/>
          <w:szCs w:val="22"/>
          <w:lang w:eastAsia="en-US"/>
        </w:rPr>
      </w:pPr>
      <w:r w:rsidRPr="007C7D77">
        <w:rPr>
          <w:rFonts w:ascii="Calibri" w:eastAsia="Calibri" w:hAnsi="Calibri"/>
          <w:sz w:val="22"/>
          <w:szCs w:val="22"/>
          <w:lang w:eastAsia="en-US"/>
        </w:rPr>
        <w:t xml:space="preserve">the policy makers who have the responsibility to draw overall policies that will allow us to reach a common goal, </w:t>
      </w:r>
    </w:p>
    <w:p w14:paraId="0C4E91B0" w14:textId="77777777" w:rsidR="007C7D77" w:rsidRDefault="007C7D77" w:rsidP="007C7D77">
      <w:pPr>
        <w:pStyle w:val="ListParagraph"/>
        <w:numPr>
          <w:ilvl w:val="0"/>
          <w:numId w:val="42"/>
        </w:numPr>
        <w:spacing w:after="160" w:line="259" w:lineRule="auto"/>
        <w:rPr>
          <w:rFonts w:ascii="Calibri" w:eastAsia="Calibri" w:hAnsi="Calibri"/>
          <w:sz w:val="22"/>
          <w:szCs w:val="22"/>
          <w:lang w:eastAsia="en-US"/>
        </w:rPr>
      </w:pPr>
      <w:r w:rsidRPr="007C7D77">
        <w:rPr>
          <w:rFonts w:ascii="Calibri" w:eastAsia="Calibri" w:hAnsi="Calibri"/>
          <w:sz w:val="22"/>
          <w:szCs w:val="22"/>
          <w:lang w:eastAsia="en-US"/>
        </w:rPr>
        <w:t xml:space="preserve">the business and investment communities in implementing the necessary actions that will transform these policies into real results, and </w:t>
      </w:r>
    </w:p>
    <w:p w14:paraId="308FB037" w14:textId="7733764E" w:rsidR="0091074F" w:rsidRPr="007C7D77" w:rsidRDefault="007C7D77" w:rsidP="007C7D77">
      <w:pPr>
        <w:pStyle w:val="ListParagraph"/>
        <w:numPr>
          <w:ilvl w:val="0"/>
          <w:numId w:val="42"/>
        </w:numPr>
        <w:spacing w:after="160" w:line="259" w:lineRule="auto"/>
        <w:rPr>
          <w:rFonts w:ascii="Calibri" w:eastAsia="Calibri" w:hAnsi="Calibri"/>
          <w:sz w:val="22"/>
          <w:szCs w:val="22"/>
          <w:lang w:eastAsia="en-US"/>
        </w:rPr>
      </w:pPr>
      <w:r w:rsidRPr="007C7D77">
        <w:rPr>
          <w:rFonts w:ascii="Calibri" w:eastAsia="Calibri" w:hAnsi="Calibri"/>
          <w:sz w:val="22"/>
          <w:szCs w:val="22"/>
          <w:lang w:eastAsia="en-US"/>
        </w:rPr>
        <w:t xml:space="preserve">the regulators who have the responsibility to ensure a sound supervision. </w:t>
      </w:r>
      <w:r w:rsidR="0091074F" w:rsidRPr="007C7D77">
        <w:rPr>
          <w:rFonts w:ascii="Calibri" w:eastAsia="Calibri" w:hAnsi="Calibri"/>
          <w:sz w:val="22"/>
          <w:szCs w:val="22"/>
          <w:lang w:eastAsia="en-US"/>
        </w:rPr>
        <w:t xml:space="preserve"> </w:t>
      </w:r>
    </w:p>
    <w:p w14:paraId="4A8C6B79" w14:textId="29920A08" w:rsidR="00310CF3" w:rsidRDefault="007C7D77"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The Sustainable Finance Disclosure Regulation (SFDR) is one of the </w:t>
      </w:r>
      <w:r w:rsidR="0032071D">
        <w:rPr>
          <w:rFonts w:ascii="Calibri" w:eastAsia="Calibri" w:hAnsi="Calibri"/>
          <w:sz w:val="22"/>
          <w:szCs w:val="22"/>
          <w:lang w:eastAsia="en-US"/>
        </w:rPr>
        <w:t xml:space="preserve">very </w:t>
      </w:r>
      <w:r>
        <w:rPr>
          <w:rFonts w:ascii="Calibri" w:eastAsia="Calibri" w:hAnsi="Calibri"/>
          <w:sz w:val="22"/>
          <w:szCs w:val="22"/>
          <w:lang w:eastAsia="en-US"/>
        </w:rPr>
        <w:t>first building block</w:t>
      </w:r>
      <w:r w:rsidR="0032071D">
        <w:rPr>
          <w:rFonts w:ascii="Calibri" w:eastAsia="Calibri" w:hAnsi="Calibri"/>
          <w:sz w:val="22"/>
          <w:szCs w:val="22"/>
          <w:lang w:eastAsia="en-US"/>
        </w:rPr>
        <w:t>s</w:t>
      </w:r>
      <w:r>
        <w:rPr>
          <w:rFonts w:ascii="Calibri" w:eastAsia="Calibri" w:hAnsi="Calibri"/>
          <w:sz w:val="22"/>
          <w:szCs w:val="22"/>
          <w:lang w:eastAsia="en-US"/>
        </w:rPr>
        <w:t xml:space="preserve"> of the EU </w:t>
      </w:r>
      <w:r w:rsidR="0032071D">
        <w:rPr>
          <w:rFonts w:ascii="Calibri" w:eastAsia="Calibri" w:hAnsi="Calibri"/>
          <w:sz w:val="22"/>
          <w:szCs w:val="22"/>
          <w:lang w:eastAsia="en-US"/>
        </w:rPr>
        <w:t>s</w:t>
      </w:r>
      <w:r>
        <w:rPr>
          <w:rFonts w:ascii="Calibri" w:eastAsia="Calibri" w:hAnsi="Calibri"/>
          <w:sz w:val="22"/>
          <w:szCs w:val="22"/>
          <w:lang w:eastAsia="en-US"/>
        </w:rPr>
        <w:t xml:space="preserve">ustainable </w:t>
      </w:r>
      <w:r w:rsidR="0032071D">
        <w:rPr>
          <w:rFonts w:ascii="Calibri" w:eastAsia="Calibri" w:hAnsi="Calibri"/>
          <w:sz w:val="22"/>
          <w:szCs w:val="22"/>
          <w:lang w:eastAsia="en-US"/>
        </w:rPr>
        <w:t>f</w:t>
      </w:r>
      <w:r>
        <w:rPr>
          <w:rFonts w:ascii="Calibri" w:eastAsia="Calibri" w:hAnsi="Calibri"/>
          <w:sz w:val="22"/>
          <w:szCs w:val="22"/>
          <w:lang w:eastAsia="en-US"/>
        </w:rPr>
        <w:t xml:space="preserve">inance </w:t>
      </w:r>
      <w:r w:rsidR="0032071D">
        <w:rPr>
          <w:rFonts w:ascii="Calibri" w:eastAsia="Calibri" w:hAnsi="Calibri"/>
          <w:sz w:val="22"/>
          <w:szCs w:val="22"/>
          <w:lang w:eastAsia="en-US"/>
        </w:rPr>
        <w:t>policy package</w:t>
      </w:r>
      <w:r>
        <w:rPr>
          <w:rFonts w:ascii="Calibri" w:eastAsia="Calibri" w:hAnsi="Calibri"/>
          <w:sz w:val="22"/>
          <w:szCs w:val="22"/>
          <w:lang w:eastAsia="en-US"/>
        </w:rPr>
        <w:t xml:space="preserve">. It was adopted in 2019, before the </w:t>
      </w:r>
      <w:r w:rsidR="0091074F" w:rsidRPr="0091074F">
        <w:rPr>
          <w:rFonts w:ascii="Calibri" w:eastAsia="Calibri" w:hAnsi="Calibri"/>
          <w:sz w:val="22"/>
          <w:szCs w:val="22"/>
          <w:lang w:eastAsia="en-US"/>
        </w:rPr>
        <w:t>EU Taxonomy</w:t>
      </w:r>
      <w:r>
        <w:rPr>
          <w:rFonts w:ascii="Calibri" w:eastAsia="Calibri" w:hAnsi="Calibri"/>
          <w:sz w:val="22"/>
          <w:szCs w:val="22"/>
          <w:lang w:eastAsia="en-US"/>
        </w:rPr>
        <w:t xml:space="preserve"> was put in place defin</w:t>
      </w:r>
      <w:r w:rsidR="0032071D">
        <w:rPr>
          <w:rFonts w:ascii="Calibri" w:eastAsia="Calibri" w:hAnsi="Calibri"/>
          <w:sz w:val="22"/>
          <w:szCs w:val="22"/>
          <w:lang w:eastAsia="en-US"/>
        </w:rPr>
        <w:t xml:space="preserve">ing </w:t>
      </w:r>
      <w:r>
        <w:rPr>
          <w:rFonts w:ascii="Calibri" w:eastAsia="Calibri" w:hAnsi="Calibri"/>
          <w:sz w:val="22"/>
          <w:szCs w:val="22"/>
          <w:lang w:eastAsia="en-US"/>
        </w:rPr>
        <w:t>environmentally sustainable investments</w:t>
      </w:r>
      <w:r w:rsidR="0032071D">
        <w:rPr>
          <w:rFonts w:ascii="Calibri" w:eastAsia="Calibri" w:hAnsi="Calibri"/>
          <w:sz w:val="22"/>
          <w:szCs w:val="22"/>
          <w:lang w:eastAsia="en-US"/>
        </w:rPr>
        <w:t xml:space="preserve"> (at least partially)</w:t>
      </w:r>
      <w:r w:rsidR="0091074F" w:rsidRPr="0091074F">
        <w:rPr>
          <w:rFonts w:ascii="Calibri" w:eastAsia="Calibri" w:hAnsi="Calibri"/>
          <w:sz w:val="22"/>
          <w:szCs w:val="22"/>
          <w:lang w:eastAsia="en-US"/>
        </w:rPr>
        <w:t>.</w:t>
      </w:r>
      <w:r>
        <w:rPr>
          <w:rFonts w:ascii="Calibri" w:eastAsia="Calibri" w:hAnsi="Calibri"/>
          <w:sz w:val="22"/>
          <w:szCs w:val="22"/>
          <w:lang w:eastAsia="en-US"/>
        </w:rPr>
        <w:t xml:space="preserve"> The Corporate Sustainability Reporting Disclosure </w:t>
      </w:r>
      <w:r w:rsidR="0032071D">
        <w:rPr>
          <w:rFonts w:ascii="Calibri" w:eastAsia="Calibri" w:hAnsi="Calibri"/>
          <w:sz w:val="22"/>
          <w:szCs w:val="22"/>
          <w:lang w:eastAsia="en-US"/>
        </w:rPr>
        <w:t xml:space="preserve">(CSRD) </w:t>
      </w:r>
      <w:r>
        <w:rPr>
          <w:rFonts w:ascii="Calibri" w:eastAsia="Calibri" w:hAnsi="Calibri"/>
          <w:sz w:val="22"/>
          <w:szCs w:val="22"/>
          <w:lang w:eastAsia="en-US"/>
        </w:rPr>
        <w:t>is only about to bring first – advanced - sustainability reports</w:t>
      </w:r>
      <w:r w:rsidR="0091074F" w:rsidRPr="0091074F">
        <w:rPr>
          <w:rFonts w:ascii="Calibri" w:eastAsia="Calibri" w:hAnsi="Calibri"/>
          <w:sz w:val="22"/>
          <w:szCs w:val="22"/>
          <w:lang w:eastAsia="en-US"/>
        </w:rPr>
        <w:t xml:space="preserve"> </w:t>
      </w:r>
      <w:r w:rsidR="00310CF3">
        <w:rPr>
          <w:rFonts w:ascii="Calibri" w:eastAsia="Calibri" w:hAnsi="Calibri"/>
          <w:sz w:val="22"/>
          <w:szCs w:val="22"/>
          <w:lang w:eastAsia="en-US"/>
        </w:rPr>
        <w:t>for</w:t>
      </w:r>
      <w:r>
        <w:rPr>
          <w:rFonts w:ascii="Calibri" w:eastAsia="Calibri" w:hAnsi="Calibri"/>
          <w:sz w:val="22"/>
          <w:szCs w:val="22"/>
          <w:lang w:eastAsia="en-US"/>
        </w:rPr>
        <w:t xml:space="preserve"> financial year</w:t>
      </w:r>
      <w:r w:rsidR="00310CF3">
        <w:rPr>
          <w:rFonts w:ascii="Calibri" w:eastAsia="Calibri" w:hAnsi="Calibri"/>
          <w:sz w:val="22"/>
          <w:szCs w:val="22"/>
          <w:lang w:eastAsia="en-US"/>
        </w:rPr>
        <w:t>s starting on or after 1 January</w:t>
      </w:r>
      <w:r>
        <w:rPr>
          <w:rFonts w:ascii="Calibri" w:eastAsia="Calibri" w:hAnsi="Calibri"/>
          <w:sz w:val="22"/>
          <w:szCs w:val="22"/>
          <w:lang w:eastAsia="en-US"/>
        </w:rPr>
        <w:t xml:space="preserve"> 20</w:t>
      </w:r>
      <w:r w:rsidR="00310CF3">
        <w:rPr>
          <w:rFonts w:ascii="Calibri" w:eastAsia="Calibri" w:hAnsi="Calibri"/>
          <w:sz w:val="22"/>
          <w:szCs w:val="22"/>
          <w:lang w:eastAsia="en-US"/>
        </w:rPr>
        <w:t>2</w:t>
      </w:r>
      <w:r>
        <w:rPr>
          <w:rFonts w:ascii="Calibri" w:eastAsia="Calibri" w:hAnsi="Calibri"/>
          <w:sz w:val="22"/>
          <w:szCs w:val="22"/>
          <w:lang w:eastAsia="en-US"/>
        </w:rPr>
        <w:t xml:space="preserve">4. </w:t>
      </w:r>
      <w:r w:rsidR="00310CF3">
        <w:rPr>
          <w:rFonts w:ascii="Calibri" w:eastAsia="Calibri" w:hAnsi="Calibri"/>
          <w:sz w:val="22"/>
          <w:szCs w:val="22"/>
          <w:lang w:eastAsia="en-US"/>
        </w:rPr>
        <w:t>As a result, t</w:t>
      </w:r>
      <w:r w:rsidR="0091074F" w:rsidRPr="0091074F">
        <w:rPr>
          <w:rFonts w:ascii="Calibri" w:eastAsia="Calibri" w:hAnsi="Calibri"/>
          <w:sz w:val="22"/>
          <w:szCs w:val="22"/>
          <w:lang w:eastAsia="en-US"/>
        </w:rPr>
        <w:t>here has been</w:t>
      </w:r>
      <w:r w:rsidR="00310CF3">
        <w:rPr>
          <w:rFonts w:ascii="Calibri" w:eastAsia="Calibri" w:hAnsi="Calibri"/>
          <w:sz w:val="22"/>
          <w:szCs w:val="22"/>
          <w:lang w:eastAsia="en-US"/>
        </w:rPr>
        <w:t xml:space="preserve"> a number of real challenges in the financial market participants’ efforts to apply SFDR rules due to a significant lack of required data on the market</w:t>
      </w:r>
      <w:r w:rsidR="0032071D">
        <w:rPr>
          <w:rFonts w:ascii="Calibri" w:eastAsia="Calibri" w:hAnsi="Calibri"/>
          <w:sz w:val="22"/>
          <w:szCs w:val="22"/>
          <w:lang w:eastAsia="en-US"/>
        </w:rPr>
        <w:t>, due to persisting confusions</w:t>
      </w:r>
      <w:r w:rsidR="00310CF3">
        <w:rPr>
          <w:rFonts w:ascii="Calibri" w:eastAsia="Calibri" w:hAnsi="Calibri"/>
          <w:sz w:val="22"/>
          <w:szCs w:val="22"/>
          <w:lang w:eastAsia="en-US"/>
        </w:rPr>
        <w:t xml:space="preserve"> </w:t>
      </w:r>
      <w:r w:rsidR="0032071D">
        <w:rPr>
          <w:rFonts w:ascii="Calibri" w:eastAsia="Calibri" w:hAnsi="Calibri"/>
          <w:sz w:val="22"/>
          <w:szCs w:val="22"/>
          <w:lang w:eastAsia="en-US"/>
        </w:rPr>
        <w:t xml:space="preserve">of sustainable investment’s definition </w:t>
      </w:r>
      <w:r w:rsidR="00310CF3">
        <w:rPr>
          <w:rFonts w:ascii="Calibri" w:eastAsia="Calibri" w:hAnsi="Calibri"/>
          <w:sz w:val="22"/>
          <w:szCs w:val="22"/>
          <w:lang w:eastAsia="en-US"/>
        </w:rPr>
        <w:t xml:space="preserve">and also due to limited and delayed convergence between relevant regulations which form part of the EU </w:t>
      </w:r>
      <w:r w:rsidR="0032071D">
        <w:rPr>
          <w:rFonts w:ascii="Calibri" w:eastAsia="Calibri" w:hAnsi="Calibri"/>
          <w:sz w:val="22"/>
          <w:szCs w:val="22"/>
          <w:lang w:eastAsia="en-US"/>
        </w:rPr>
        <w:t>s</w:t>
      </w:r>
      <w:r w:rsidR="00310CF3">
        <w:rPr>
          <w:rFonts w:ascii="Calibri" w:eastAsia="Calibri" w:hAnsi="Calibri"/>
          <w:sz w:val="22"/>
          <w:szCs w:val="22"/>
          <w:lang w:eastAsia="en-US"/>
        </w:rPr>
        <w:t xml:space="preserve">ustainable </w:t>
      </w:r>
      <w:r w:rsidR="0032071D">
        <w:rPr>
          <w:rFonts w:ascii="Calibri" w:eastAsia="Calibri" w:hAnsi="Calibri"/>
          <w:sz w:val="22"/>
          <w:szCs w:val="22"/>
          <w:lang w:eastAsia="en-US"/>
        </w:rPr>
        <w:t>f</w:t>
      </w:r>
      <w:r w:rsidR="00310CF3">
        <w:rPr>
          <w:rFonts w:ascii="Calibri" w:eastAsia="Calibri" w:hAnsi="Calibri"/>
          <w:sz w:val="22"/>
          <w:szCs w:val="22"/>
          <w:lang w:eastAsia="en-US"/>
        </w:rPr>
        <w:t>inance package (e.g. EU Taxonomy, CSRD).</w:t>
      </w:r>
    </w:p>
    <w:p w14:paraId="68592742" w14:textId="5047596A" w:rsidR="00157449" w:rsidRDefault="00310CF3"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also highlight that the SFDR was designed by the European </w:t>
      </w:r>
      <w:r w:rsidR="0032071D">
        <w:rPr>
          <w:rFonts w:ascii="Calibri" w:eastAsia="Calibri" w:hAnsi="Calibri"/>
          <w:sz w:val="22"/>
          <w:szCs w:val="22"/>
          <w:lang w:eastAsia="en-US"/>
        </w:rPr>
        <w:t>policy makers</w:t>
      </w:r>
      <w:r>
        <w:rPr>
          <w:rFonts w:ascii="Calibri" w:eastAsia="Calibri" w:hAnsi="Calibri"/>
          <w:sz w:val="22"/>
          <w:szCs w:val="22"/>
          <w:lang w:eastAsia="en-US"/>
        </w:rPr>
        <w:t xml:space="preserve"> as an ESG transparency regime which applies to financial market participants and </w:t>
      </w:r>
      <w:r w:rsidR="0032071D">
        <w:rPr>
          <w:rFonts w:ascii="Calibri" w:eastAsia="Calibri" w:hAnsi="Calibri"/>
          <w:sz w:val="22"/>
          <w:szCs w:val="22"/>
          <w:lang w:eastAsia="en-US"/>
        </w:rPr>
        <w:t xml:space="preserve">to </w:t>
      </w:r>
      <w:r>
        <w:rPr>
          <w:rFonts w:ascii="Calibri" w:eastAsia="Calibri" w:hAnsi="Calibri"/>
          <w:sz w:val="22"/>
          <w:szCs w:val="22"/>
          <w:lang w:eastAsia="en-US"/>
        </w:rPr>
        <w:t xml:space="preserve">their products. The SFDR was not intended to create a labelling mechanism, although having a different classification introduced by Articles 6, 8 and 9 </w:t>
      </w:r>
      <w:r>
        <w:rPr>
          <w:rFonts w:ascii="Calibri" w:eastAsia="Calibri" w:hAnsi="Calibri"/>
          <w:sz w:val="22"/>
          <w:szCs w:val="22"/>
          <w:lang w:eastAsia="en-US"/>
        </w:rPr>
        <w:lastRenderedPageBreak/>
        <w:t>have fuelled the market to apply such difference</w:t>
      </w:r>
      <w:r w:rsidR="0032071D">
        <w:rPr>
          <w:rFonts w:ascii="Calibri" w:eastAsia="Calibri" w:hAnsi="Calibri"/>
          <w:sz w:val="22"/>
          <w:szCs w:val="22"/>
          <w:lang w:eastAsia="en-US"/>
        </w:rPr>
        <w:t>s</w:t>
      </w:r>
      <w:r>
        <w:rPr>
          <w:rFonts w:ascii="Calibri" w:eastAsia="Calibri" w:hAnsi="Calibri"/>
          <w:sz w:val="22"/>
          <w:szCs w:val="22"/>
          <w:lang w:eastAsia="en-US"/>
        </w:rPr>
        <w:t xml:space="preserve"> in disclosure categories </w:t>
      </w:r>
      <w:r w:rsidR="0032071D">
        <w:rPr>
          <w:rFonts w:ascii="Calibri" w:eastAsia="Calibri" w:hAnsi="Calibri"/>
          <w:sz w:val="22"/>
          <w:szCs w:val="22"/>
          <w:lang w:eastAsia="en-US"/>
        </w:rPr>
        <w:t xml:space="preserve">also </w:t>
      </w:r>
      <w:r>
        <w:rPr>
          <w:rFonts w:ascii="Calibri" w:eastAsia="Calibri" w:hAnsi="Calibri"/>
          <w:sz w:val="22"/>
          <w:szCs w:val="22"/>
          <w:lang w:eastAsia="en-US"/>
        </w:rPr>
        <w:t>as a foundation to market their products alongside.</w:t>
      </w:r>
      <w:r w:rsidR="0032071D">
        <w:rPr>
          <w:rFonts w:ascii="Calibri" w:eastAsia="Calibri" w:hAnsi="Calibri"/>
          <w:sz w:val="22"/>
          <w:szCs w:val="22"/>
          <w:lang w:eastAsia="en-US"/>
        </w:rPr>
        <w:t xml:space="preserve"> ESMA itself has been vocal against the use of SFDR and its Articles 8 and 9 as labels. It seems that the current proposal for the ‘Guidance on the funds’ names using ESG or sustainability-related terms’ would lead the market to the opposite direction as it works specifically with the two classification categories of 1) ESG-related [Article 8] and 2) Sustainability</w:t>
      </w:r>
      <w:r w:rsidR="00157449">
        <w:rPr>
          <w:rFonts w:ascii="Calibri" w:eastAsia="Calibri" w:hAnsi="Calibri"/>
          <w:sz w:val="22"/>
          <w:szCs w:val="22"/>
          <w:lang w:eastAsia="en-US"/>
        </w:rPr>
        <w:t>-</w:t>
      </w:r>
      <w:r w:rsidR="0032071D">
        <w:rPr>
          <w:rFonts w:ascii="Calibri" w:eastAsia="Calibri" w:hAnsi="Calibri"/>
          <w:sz w:val="22"/>
          <w:szCs w:val="22"/>
          <w:lang w:eastAsia="en-US"/>
        </w:rPr>
        <w:t>related</w:t>
      </w:r>
      <w:r w:rsidR="00157449">
        <w:rPr>
          <w:rFonts w:ascii="Calibri" w:eastAsia="Calibri" w:hAnsi="Calibri"/>
          <w:sz w:val="22"/>
          <w:szCs w:val="22"/>
          <w:lang w:eastAsia="en-US"/>
        </w:rPr>
        <w:t xml:space="preserve"> [Article 9]</w:t>
      </w:r>
      <w:r w:rsidR="0032071D">
        <w:rPr>
          <w:rFonts w:ascii="Calibri" w:eastAsia="Calibri" w:hAnsi="Calibri"/>
          <w:sz w:val="22"/>
          <w:szCs w:val="22"/>
          <w:lang w:eastAsia="en-US"/>
        </w:rPr>
        <w:t>.</w:t>
      </w:r>
    </w:p>
    <w:p w14:paraId="48D3CD2C" w14:textId="6C9170D5" w:rsidR="00310CF3" w:rsidRDefault="00157449"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To summarise the above, we wish to highlight that the SFDR, designed as a transparency regime, would not be an appropriate foundation for the quantitative thresholds criteria, at least not without further adjustment</w:t>
      </w:r>
      <w:r w:rsidR="0032071D">
        <w:rPr>
          <w:rFonts w:ascii="Calibri" w:eastAsia="Calibri" w:hAnsi="Calibri"/>
          <w:sz w:val="22"/>
          <w:szCs w:val="22"/>
          <w:lang w:eastAsia="en-US"/>
        </w:rPr>
        <w:t xml:space="preserve"> </w:t>
      </w:r>
      <w:r>
        <w:rPr>
          <w:rFonts w:ascii="Calibri" w:eastAsia="Calibri" w:hAnsi="Calibri"/>
          <w:sz w:val="22"/>
          <w:szCs w:val="22"/>
          <w:lang w:eastAsia="en-US"/>
        </w:rPr>
        <w:t xml:space="preserve">as part of the upcoming legislative review. </w:t>
      </w:r>
    </w:p>
    <w:p w14:paraId="22A29D62" w14:textId="537C71C5" w:rsidR="00157449" w:rsidRDefault="00157449" w:rsidP="00B92885">
      <w:pPr>
        <w:spacing w:after="160" w:line="259" w:lineRule="auto"/>
        <w:rPr>
          <w:rFonts w:ascii="Calibri" w:eastAsia="Calibri" w:hAnsi="Calibri"/>
          <w:sz w:val="22"/>
          <w:szCs w:val="22"/>
          <w:lang w:eastAsia="en-US"/>
        </w:rPr>
      </w:pPr>
    </w:p>
    <w:p w14:paraId="6825831B" w14:textId="2AD859B2" w:rsidR="00157449" w:rsidRPr="00157449" w:rsidRDefault="00157449" w:rsidP="00B92885">
      <w:pPr>
        <w:spacing w:after="160" w:line="259" w:lineRule="auto"/>
        <w:rPr>
          <w:rFonts w:ascii="Calibri" w:eastAsia="Calibri" w:hAnsi="Calibri"/>
          <w:b/>
          <w:bCs/>
          <w:sz w:val="22"/>
          <w:szCs w:val="22"/>
          <w:lang w:eastAsia="en-US"/>
        </w:rPr>
      </w:pPr>
      <w:r w:rsidRPr="00157449">
        <w:rPr>
          <w:rFonts w:ascii="Calibri" w:eastAsia="Calibri" w:hAnsi="Calibri"/>
          <w:b/>
          <w:bCs/>
          <w:sz w:val="22"/>
          <w:szCs w:val="22"/>
          <w:lang w:eastAsia="en-US"/>
        </w:rPr>
        <w:t>Addressing greenwashing</w:t>
      </w:r>
    </w:p>
    <w:p w14:paraId="3AFE30C5" w14:textId="063E7893" w:rsidR="00254CFD" w:rsidRDefault="00254CFD" w:rsidP="00254CFD">
      <w:pPr>
        <w:spacing w:after="160" w:line="259" w:lineRule="auto"/>
        <w:rPr>
          <w:rFonts w:ascii="Calibri" w:eastAsia="Calibri" w:hAnsi="Calibri"/>
          <w:sz w:val="22"/>
          <w:szCs w:val="22"/>
          <w:lang w:eastAsia="en-US"/>
        </w:rPr>
      </w:pPr>
      <w:r>
        <w:rPr>
          <w:rFonts w:ascii="Calibri" w:eastAsia="Calibri" w:hAnsi="Calibri"/>
          <w:sz w:val="22"/>
          <w:szCs w:val="22"/>
          <w:lang w:eastAsia="en-US"/>
        </w:rPr>
        <w:t>The EU Sustainable Finance initiative is highly important in helping the financial markets and real estate industry to advance on its ambition towards building a more sustainable built environment. At the same time, certain specific aspects of the SFDR brought to the market confusion in term</w:t>
      </w:r>
      <w:r w:rsidR="00351D93">
        <w:rPr>
          <w:rFonts w:ascii="Calibri" w:eastAsia="Calibri" w:hAnsi="Calibri"/>
          <w:sz w:val="22"/>
          <w:szCs w:val="22"/>
          <w:lang w:eastAsia="en-US"/>
        </w:rPr>
        <w:t>s</w:t>
      </w:r>
      <w:r>
        <w:rPr>
          <w:rFonts w:ascii="Calibri" w:eastAsia="Calibri" w:hAnsi="Calibri"/>
          <w:sz w:val="22"/>
          <w:szCs w:val="22"/>
          <w:lang w:eastAsia="en-US"/>
        </w:rPr>
        <w:t xml:space="preserve"> of its appropriate application. Such a confusion may have a significant impact on how the market responded in the SFDR’s application and may have very well stimulated the behaviour which we now observe and consider as potential greenwashing. </w:t>
      </w:r>
    </w:p>
    <w:p w14:paraId="5D193F7F" w14:textId="4541F629" w:rsidR="00157449" w:rsidRDefault="00157449"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understand the seriousness of the situation on the market and existing need to address </w:t>
      </w:r>
      <w:r w:rsidR="001819D7">
        <w:rPr>
          <w:rFonts w:ascii="Calibri" w:eastAsia="Calibri" w:hAnsi="Calibri"/>
          <w:sz w:val="22"/>
          <w:szCs w:val="22"/>
          <w:lang w:eastAsia="en-US"/>
        </w:rPr>
        <w:t xml:space="preserve">greenwashing. Therefore, we would like ESMA to consider the two aspects of SFDR which in our view may have stimulated the misapplication of the specific rules and a confusion around SFDR either by the financial market participants themselves or the end investors. </w:t>
      </w:r>
    </w:p>
    <w:p w14:paraId="68AA4D59" w14:textId="5C550247" w:rsidR="001819D7" w:rsidRPr="001819D7" w:rsidRDefault="001819D7" w:rsidP="001819D7">
      <w:pPr>
        <w:pStyle w:val="ListParagraph"/>
        <w:numPr>
          <w:ilvl w:val="0"/>
          <w:numId w:val="43"/>
        </w:numPr>
        <w:spacing w:after="160" w:line="259" w:lineRule="auto"/>
        <w:rPr>
          <w:rFonts w:ascii="Calibri" w:eastAsia="Calibri" w:hAnsi="Calibri"/>
          <w:sz w:val="22"/>
          <w:szCs w:val="22"/>
          <w:lang w:eastAsia="en-US"/>
        </w:rPr>
      </w:pPr>
      <w:r>
        <w:rPr>
          <w:rFonts w:ascii="Calibri" w:eastAsia="Calibri" w:hAnsi="Calibri"/>
          <w:sz w:val="22"/>
          <w:szCs w:val="22"/>
          <w:lang w:eastAsia="en-US"/>
        </w:rPr>
        <w:t>Definition of sustainable investments</w:t>
      </w:r>
    </w:p>
    <w:p w14:paraId="7EE9EFD3" w14:textId="58B2E78D" w:rsidR="00C76439" w:rsidRDefault="001819D7"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The SFDR definition of sustainable investments in Article 2(17) is neither sufficiently clear nor well aligned with the EU Taxonomy. Even if it was aligned, the</w:t>
      </w:r>
      <w:r w:rsidR="00310CF3">
        <w:rPr>
          <w:rFonts w:ascii="Calibri" w:eastAsia="Calibri" w:hAnsi="Calibri"/>
          <w:sz w:val="22"/>
          <w:szCs w:val="22"/>
          <w:lang w:eastAsia="en-US"/>
        </w:rPr>
        <w:t xml:space="preserve"> EU Taxonomy is not yet complete and therefore does not provide a sufficient guidance on what environmentally sustainable investments are. Even after the EU Taxonomy extends to cover all six environmental objectives, its scope remains limited to those activities which are eligible </w:t>
      </w:r>
      <w:r w:rsidR="00C76439">
        <w:rPr>
          <w:rFonts w:ascii="Calibri" w:eastAsia="Calibri" w:hAnsi="Calibri"/>
          <w:sz w:val="22"/>
          <w:szCs w:val="22"/>
          <w:lang w:eastAsia="en-US"/>
        </w:rPr>
        <w:t xml:space="preserve">as having a potential to contribute substantially to one of the six environmental objectives. In other words, the EU Taxonomy is not intended to address yet any of the activities which contribute to environmental objectives less substantially and also any of the activities which contribute to social objectives. Having said that, it is evident that the definition of sustainable investments in SFDR and the EU classification system of sustainable investments will not overlap even after the EU Taxonomy is fully in place. </w:t>
      </w:r>
    </w:p>
    <w:p w14:paraId="0F5D7AA5" w14:textId="10223670" w:rsidR="00636326" w:rsidRPr="00254CFD" w:rsidRDefault="00254CFD" w:rsidP="00254CFD">
      <w:pPr>
        <w:pStyle w:val="ListParagraph"/>
        <w:numPr>
          <w:ilvl w:val="0"/>
          <w:numId w:val="43"/>
        </w:numPr>
        <w:spacing w:after="160" w:line="259" w:lineRule="auto"/>
        <w:rPr>
          <w:rFonts w:ascii="Calibri" w:eastAsia="Calibri" w:hAnsi="Calibri"/>
          <w:sz w:val="22"/>
          <w:szCs w:val="22"/>
          <w:lang w:eastAsia="en-US"/>
        </w:rPr>
      </w:pPr>
      <w:r>
        <w:rPr>
          <w:rFonts w:ascii="Calibri" w:eastAsia="Calibri" w:hAnsi="Calibri"/>
          <w:sz w:val="22"/>
          <w:szCs w:val="22"/>
          <w:lang w:eastAsia="en-US"/>
        </w:rPr>
        <w:t>Differentiation between the Article 8 and Article 9 disclosure requirements</w:t>
      </w:r>
    </w:p>
    <w:p w14:paraId="79FCC82D" w14:textId="77777777" w:rsidR="00254CFD" w:rsidRDefault="00254CFD"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While the SFDR was designed as an ESG transparency regime, it also introduced a differentiation between Article 8 and Article 9 to enable financial market participants apply related disclosure requirements while taking into consideration their level of ambition. As a result, the financial market participants (FMPs) were required to choose their ‘level’ of disclosure requirements based on the level of ambition of their products. This was done without stating minimum criteria/threshold for the products which the FMPs would classify under either Article 8 or 9 and then consequently market (which was also not the intention of the legislation).  </w:t>
      </w:r>
    </w:p>
    <w:p w14:paraId="7939F623" w14:textId="191EA98A" w:rsidR="00636326" w:rsidRDefault="00254CFD"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lastRenderedPageBreak/>
        <w:t xml:space="preserve">It goes without saying that such a structure of the regulation is very confusing. </w:t>
      </w:r>
      <w:r w:rsidR="00636326">
        <w:rPr>
          <w:rFonts w:ascii="Calibri" w:eastAsia="Calibri" w:hAnsi="Calibri"/>
          <w:sz w:val="22"/>
          <w:szCs w:val="22"/>
          <w:lang w:eastAsia="en-US"/>
        </w:rPr>
        <w:t>We</w:t>
      </w:r>
      <w:r w:rsidR="005D2A6D">
        <w:rPr>
          <w:rFonts w:ascii="Calibri" w:eastAsia="Calibri" w:hAnsi="Calibri"/>
          <w:sz w:val="22"/>
          <w:szCs w:val="22"/>
          <w:lang w:eastAsia="en-US"/>
        </w:rPr>
        <w:t xml:space="preserve"> therefore</w:t>
      </w:r>
      <w:r w:rsidR="00636326">
        <w:rPr>
          <w:rFonts w:ascii="Calibri" w:eastAsia="Calibri" w:hAnsi="Calibri"/>
          <w:sz w:val="22"/>
          <w:szCs w:val="22"/>
          <w:lang w:eastAsia="en-US"/>
        </w:rPr>
        <w:t xml:space="preserve"> advise to consider</w:t>
      </w:r>
      <w:r w:rsidR="005D2A6D">
        <w:rPr>
          <w:rFonts w:ascii="Calibri" w:eastAsia="Calibri" w:hAnsi="Calibri"/>
          <w:sz w:val="22"/>
          <w:szCs w:val="22"/>
          <w:lang w:eastAsia="en-US"/>
        </w:rPr>
        <w:t xml:space="preserve"> </w:t>
      </w:r>
      <w:r w:rsidR="00636326">
        <w:rPr>
          <w:rFonts w:ascii="Calibri" w:eastAsia="Calibri" w:hAnsi="Calibri"/>
          <w:sz w:val="22"/>
          <w:szCs w:val="22"/>
          <w:lang w:eastAsia="en-US"/>
        </w:rPr>
        <w:t xml:space="preserve">to amend </w:t>
      </w:r>
      <w:r w:rsidR="005D2A6D">
        <w:rPr>
          <w:rFonts w:ascii="Calibri" w:eastAsia="Calibri" w:hAnsi="Calibri"/>
          <w:sz w:val="22"/>
          <w:szCs w:val="22"/>
          <w:lang w:eastAsia="en-US"/>
        </w:rPr>
        <w:t xml:space="preserve">relevant </w:t>
      </w:r>
      <w:r w:rsidR="00636326">
        <w:rPr>
          <w:rFonts w:ascii="Calibri" w:eastAsia="Calibri" w:hAnsi="Calibri"/>
          <w:sz w:val="22"/>
          <w:szCs w:val="22"/>
          <w:lang w:eastAsia="en-US"/>
        </w:rPr>
        <w:t>provisions in SFDR</w:t>
      </w:r>
      <w:r w:rsidR="005D2A6D">
        <w:rPr>
          <w:rFonts w:ascii="Calibri" w:eastAsia="Calibri" w:hAnsi="Calibri"/>
          <w:sz w:val="22"/>
          <w:szCs w:val="22"/>
          <w:lang w:eastAsia="en-US"/>
        </w:rPr>
        <w:t xml:space="preserve">, as part of the SFDR Review, </w:t>
      </w:r>
      <w:r w:rsidR="00636326">
        <w:rPr>
          <w:rFonts w:ascii="Calibri" w:eastAsia="Calibri" w:hAnsi="Calibri"/>
          <w:sz w:val="22"/>
          <w:szCs w:val="22"/>
          <w:lang w:eastAsia="en-US"/>
        </w:rPr>
        <w:t xml:space="preserve"> which are not only confusing but prompting the market to apply it in an unintended way. </w:t>
      </w:r>
    </w:p>
    <w:p w14:paraId="285E5E1E" w14:textId="579BED6E" w:rsidR="00636326" w:rsidRDefault="00636326"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SFDR was</w:t>
      </w:r>
      <w:r w:rsidR="005D2A6D">
        <w:rPr>
          <w:rFonts w:ascii="Calibri" w:eastAsia="Calibri" w:hAnsi="Calibri"/>
          <w:sz w:val="22"/>
          <w:szCs w:val="22"/>
          <w:lang w:eastAsia="en-US"/>
        </w:rPr>
        <w:t xml:space="preserve"> not designed as </w:t>
      </w:r>
      <w:r>
        <w:rPr>
          <w:rFonts w:ascii="Calibri" w:eastAsia="Calibri" w:hAnsi="Calibri"/>
          <w:sz w:val="22"/>
          <w:szCs w:val="22"/>
          <w:lang w:eastAsia="en-US"/>
        </w:rPr>
        <w:t xml:space="preserve">a labelling regime. We would therefore like to reinforce </w:t>
      </w:r>
      <w:r w:rsidR="005D2A6D">
        <w:rPr>
          <w:rFonts w:ascii="Calibri" w:eastAsia="Calibri" w:hAnsi="Calibri"/>
          <w:sz w:val="22"/>
          <w:szCs w:val="22"/>
          <w:lang w:eastAsia="en-US"/>
        </w:rPr>
        <w:t>its</w:t>
      </w:r>
      <w:r>
        <w:rPr>
          <w:rFonts w:ascii="Calibri" w:eastAsia="Calibri" w:hAnsi="Calibri"/>
          <w:sz w:val="22"/>
          <w:szCs w:val="22"/>
          <w:lang w:eastAsia="en-US"/>
        </w:rPr>
        <w:t xml:space="preserve"> original ambition, as </w:t>
      </w:r>
      <w:r w:rsidR="005D2A6D">
        <w:rPr>
          <w:rFonts w:ascii="Calibri" w:eastAsia="Calibri" w:hAnsi="Calibri"/>
          <w:sz w:val="22"/>
          <w:szCs w:val="22"/>
          <w:lang w:eastAsia="en-US"/>
        </w:rPr>
        <w:t>we see a high value in mandatory</w:t>
      </w:r>
      <w:r>
        <w:rPr>
          <w:rFonts w:ascii="Calibri" w:eastAsia="Calibri" w:hAnsi="Calibri"/>
          <w:sz w:val="22"/>
          <w:szCs w:val="22"/>
          <w:lang w:eastAsia="en-US"/>
        </w:rPr>
        <w:t xml:space="preserve"> disclosure</w:t>
      </w:r>
      <w:r w:rsidR="005D2A6D">
        <w:rPr>
          <w:rFonts w:ascii="Calibri" w:eastAsia="Calibri" w:hAnsi="Calibri"/>
          <w:sz w:val="22"/>
          <w:szCs w:val="22"/>
          <w:lang w:eastAsia="en-US"/>
        </w:rPr>
        <w:t xml:space="preserve"> requirements.</w:t>
      </w:r>
      <w:r>
        <w:rPr>
          <w:rFonts w:ascii="Calibri" w:eastAsia="Calibri" w:hAnsi="Calibri"/>
          <w:sz w:val="22"/>
          <w:szCs w:val="22"/>
          <w:lang w:eastAsia="en-US"/>
        </w:rPr>
        <w:t xml:space="preserve"> If we were to remove classification between Article 8 and 9, then there would be an uniform regime requiring the same disclosure requirements on each product. It is our view that in such a framework there would be much </w:t>
      </w:r>
      <w:r w:rsidR="005D2A6D">
        <w:rPr>
          <w:rFonts w:ascii="Calibri" w:eastAsia="Calibri" w:hAnsi="Calibri"/>
          <w:sz w:val="22"/>
          <w:szCs w:val="22"/>
          <w:lang w:eastAsia="en-US"/>
        </w:rPr>
        <w:t>greater clarity, much less confusion and much less of</w:t>
      </w:r>
      <w:r>
        <w:rPr>
          <w:rFonts w:ascii="Calibri" w:eastAsia="Calibri" w:hAnsi="Calibri"/>
          <w:sz w:val="22"/>
          <w:szCs w:val="22"/>
          <w:lang w:eastAsia="en-US"/>
        </w:rPr>
        <w:t xml:space="preserve"> greenwashing.</w:t>
      </w:r>
    </w:p>
    <w:p w14:paraId="23F1F794" w14:textId="14B3A4DC" w:rsidR="00636326" w:rsidRDefault="00636326" w:rsidP="00B92885">
      <w:pPr>
        <w:spacing w:after="160" w:line="259" w:lineRule="auto"/>
        <w:rPr>
          <w:rFonts w:ascii="Calibri" w:eastAsia="Calibri" w:hAnsi="Calibri"/>
          <w:sz w:val="22"/>
          <w:szCs w:val="22"/>
          <w:lang w:eastAsia="en-US"/>
        </w:rPr>
      </w:pPr>
    </w:p>
    <w:p w14:paraId="4AC85953" w14:textId="2DF862B1" w:rsidR="00636326" w:rsidRPr="00636326" w:rsidRDefault="00636326" w:rsidP="00B92885">
      <w:pPr>
        <w:spacing w:after="160" w:line="259" w:lineRule="auto"/>
        <w:rPr>
          <w:rFonts w:ascii="Calibri" w:eastAsia="Calibri" w:hAnsi="Calibri"/>
          <w:b/>
          <w:bCs/>
          <w:sz w:val="22"/>
          <w:szCs w:val="22"/>
          <w:lang w:eastAsia="en-US"/>
        </w:rPr>
      </w:pPr>
      <w:r w:rsidRPr="00636326">
        <w:rPr>
          <w:rFonts w:ascii="Calibri" w:eastAsia="Calibri" w:hAnsi="Calibri"/>
          <w:b/>
          <w:bCs/>
          <w:sz w:val="22"/>
          <w:szCs w:val="22"/>
          <w:lang w:eastAsia="en-US"/>
        </w:rPr>
        <w:t xml:space="preserve">Review of SFDR to accommodate </w:t>
      </w:r>
      <w:r w:rsidR="00156B49">
        <w:rPr>
          <w:rFonts w:ascii="Calibri" w:eastAsia="Calibri" w:hAnsi="Calibri"/>
          <w:b/>
          <w:bCs/>
          <w:sz w:val="22"/>
          <w:szCs w:val="22"/>
          <w:lang w:eastAsia="en-US"/>
        </w:rPr>
        <w:t xml:space="preserve">better impact or transition </w:t>
      </w:r>
      <w:r w:rsidRPr="00636326">
        <w:rPr>
          <w:rFonts w:ascii="Calibri" w:eastAsia="Calibri" w:hAnsi="Calibri"/>
          <w:b/>
          <w:bCs/>
          <w:sz w:val="22"/>
          <w:szCs w:val="22"/>
          <w:lang w:eastAsia="en-US"/>
        </w:rPr>
        <w:t>investments</w:t>
      </w:r>
      <w:r w:rsidR="00156B49">
        <w:rPr>
          <w:rFonts w:ascii="Calibri" w:eastAsia="Calibri" w:hAnsi="Calibri"/>
          <w:b/>
          <w:bCs/>
          <w:sz w:val="22"/>
          <w:szCs w:val="22"/>
          <w:lang w:eastAsia="en-US"/>
        </w:rPr>
        <w:t>, especially</w:t>
      </w:r>
      <w:r w:rsidRPr="00636326">
        <w:rPr>
          <w:rFonts w:ascii="Calibri" w:eastAsia="Calibri" w:hAnsi="Calibri"/>
          <w:b/>
          <w:bCs/>
          <w:sz w:val="22"/>
          <w:szCs w:val="22"/>
          <w:lang w:eastAsia="en-US"/>
        </w:rPr>
        <w:t xml:space="preserve"> in ‘</w:t>
      </w:r>
      <w:r w:rsidR="00156B49">
        <w:rPr>
          <w:rFonts w:ascii="Calibri" w:eastAsia="Calibri" w:hAnsi="Calibri"/>
          <w:b/>
          <w:bCs/>
          <w:sz w:val="22"/>
          <w:szCs w:val="22"/>
          <w:lang w:eastAsia="en-US"/>
        </w:rPr>
        <w:t>energy retrofitting of existing buildings</w:t>
      </w:r>
      <w:r w:rsidRPr="00636326">
        <w:rPr>
          <w:rFonts w:ascii="Calibri" w:eastAsia="Calibri" w:hAnsi="Calibri"/>
          <w:b/>
          <w:bCs/>
          <w:sz w:val="22"/>
          <w:szCs w:val="22"/>
          <w:lang w:eastAsia="en-US"/>
        </w:rPr>
        <w:t>’</w:t>
      </w:r>
    </w:p>
    <w:p w14:paraId="205D54D1" w14:textId="51603125" w:rsidR="004D20D0" w:rsidRDefault="00636326"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Alternatively, we propose to </w:t>
      </w:r>
      <w:r w:rsidR="004D20D0">
        <w:rPr>
          <w:rFonts w:ascii="Calibri" w:eastAsia="Calibri" w:hAnsi="Calibri"/>
          <w:sz w:val="22"/>
          <w:szCs w:val="22"/>
          <w:lang w:eastAsia="en-US"/>
        </w:rPr>
        <w:t xml:space="preserve">first </w:t>
      </w:r>
      <w:r>
        <w:rPr>
          <w:rFonts w:ascii="Calibri" w:eastAsia="Calibri" w:hAnsi="Calibri"/>
          <w:sz w:val="22"/>
          <w:szCs w:val="22"/>
          <w:lang w:eastAsia="en-US"/>
        </w:rPr>
        <w:t xml:space="preserve">review SFDR to be a more suitable foundation for a labelling framework. More specifically, we would like the policy makers and consequently also the regulators to consider </w:t>
      </w:r>
      <w:r w:rsidR="004D20D0">
        <w:rPr>
          <w:rFonts w:ascii="Calibri" w:eastAsia="Calibri" w:hAnsi="Calibri"/>
          <w:sz w:val="22"/>
          <w:szCs w:val="22"/>
          <w:lang w:eastAsia="en-US"/>
        </w:rPr>
        <w:t xml:space="preserve">better </w:t>
      </w:r>
      <w:r>
        <w:rPr>
          <w:rFonts w:ascii="Calibri" w:eastAsia="Calibri" w:hAnsi="Calibri"/>
          <w:sz w:val="22"/>
          <w:szCs w:val="22"/>
          <w:lang w:eastAsia="en-US"/>
        </w:rPr>
        <w:t xml:space="preserve">the key objective of the EU </w:t>
      </w:r>
      <w:r w:rsidR="004D20D0">
        <w:rPr>
          <w:rFonts w:ascii="Calibri" w:eastAsia="Calibri" w:hAnsi="Calibri"/>
          <w:sz w:val="22"/>
          <w:szCs w:val="22"/>
          <w:lang w:eastAsia="en-US"/>
        </w:rPr>
        <w:t>s</w:t>
      </w:r>
      <w:r>
        <w:rPr>
          <w:rFonts w:ascii="Calibri" w:eastAsia="Calibri" w:hAnsi="Calibri"/>
          <w:sz w:val="22"/>
          <w:szCs w:val="22"/>
          <w:lang w:eastAsia="en-US"/>
        </w:rPr>
        <w:t xml:space="preserve">ustainable </w:t>
      </w:r>
      <w:r w:rsidR="004D20D0">
        <w:rPr>
          <w:rFonts w:ascii="Calibri" w:eastAsia="Calibri" w:hAnsi="Calibri"/>
          <w:sz w:val="22"/>
          <w:szCs w:val="22"/>
          <w:lang w:eastAsia="en-US"/>
        </w:rPr>
        <w:t>f</w:t>
      </w:r>
      <w:r>
        <w:rPr>
          <w:rFonts w:ascii="Calibri" w:eastAsia="Calibri" w:hAnsi="Calibri"/>
          <w:sz w:val="22"/>
          <w:szCs w:val="22"/>
          <w:lang w:eastAsia="en-US"/>
        </w:rPr>
        <w:t xml:space="preserve">inance initiative which is to finance Europe’s transition to a more sustainable growth. This objective will not be fulfilled if there is no sufficient understanding and </w:t>
      </w:r>
      <w:r w:rsidRPr="004D20D0">
        <w:rPr>
          <w:rFonts w:ascii="Calibri" w:eastAsia="Calibri" w:hAnsi="Calibri"/>
          <w:b/>
          <w:bCs/>
          <w:sz w:val="22"/>
          <w:szCs w:val="22"/>
          <w:lang w:eastAsia="en-US"/>
        </w:rPr>
        <w:t xml:space="preserve">inclusion of relevant </w:t>
      </w:r>
      <w:r w:rsidR="004D20D0" w:rsidRPr="004D20D0">
        <w:rPr>
          <w:rFonts w:ascii="Calibri" w:eastAsia="Calibri" w:hAnsi="Calibri"/>
          <w:b/>
          <w:bCs/>
          <w:sz w:val="22"/>
          <w:szCs w:val="22"/>
          <w:lang w:eastAsia="en-US"/>
        </w:rPr>
        <w:t>impact and transition investment</w:t>
      </w:r>
      <w:r w:rsidR="00EE5EF2" w:rsidRPr="004D20D0">
        <w:rPr>
          <w:rFonts w:ascii="Calibri" w:eastAsia="Calibri" w:hAnsi="Calibri"/>
          <w:b/>
          <w:bCs/>
          <w:sz w:val="22"/>
          <w:szCs w:val="22"/>
          <w:lang w:eastAsia="en-US"/>
        </w:rPr>
        <w:t xml:space="preserve"> amongst the </w:t>
      </w:r>
      <w:r w:rsidRPr="004D20D0">
        <w:rPr>
          <w:rFonts w:ascii="Calibri" w:eastAsia="Calibri" w:hAnsi="Calibri"/>
          <w:b/>
          <w:bCs/>
          <w:sz w:val="22"/>
          <w:szCs w:val="22"/>
          <w:lang w:eastAsia="en-US"/>
        </w:rPr>
        <w:t>most sustainable</w:t>
      </w:r>
      <w:r w:rsidR="00EE5EF2" w:rsidRPr="004D20D0">
        <w:rPr>
          <w:rFonts w:ascii="Calibri" w:eastAsia="Calibri" w:hAnsi="Calibri"/>
          <w:b/>
          <w:bCs/>
          <w:sz w:val="22"/>
          <w:szCs w:val="22"/>
          <w:lang w:eastAsia="en-US"/>
        </w:rPr>
        <w:t xml:space="preserve"> investment products.</w:t>
      </w:r>
      <w:r w:rsidR="00EE5EF2">
        <w:rPr>
          <w:rFonts w:ascii="Calibri" w:eastAsia="Calibri" w:hAnsi="Calibri"/>
          <w:sz w:val="22"/>
          <w:szCs w:val="22"/>
          <w:lang w:eastAsia="en-US"/>
        </w:rPr>
        <w:t xml:space="preserve"> For example in listed real estate, the energy retrofitting of existing buildings (i.e. those where objective is the reduction of carbon footprint/improvement of energy performance of the asset) has a positive environmental impact not only on the investment portfolio of the concerned financial institution (or investment portfolio of listed property company) but also on the society. </w:t>
      </w:r>
      <w:r w:rsidR="004D20D0">
        <w:rPr>
          <w:rFonts w:ascii="Calibri" w:eastAsia="Calibri" w:hAnsi="Calibri"/>
          <w:sz w:val="22"/>
          <w:szCs w:val="22"/>
          <w:lang w:eastAsia="en-US"/>
        </w:rPr>
        <w:t>Energy retrofitting of existing buildings has a greater climate mitigation potential (i.e. decrease of carbon footprint) than building a new building.</w:t>
      </w:r>
    </w:p>
    <w:p w14:paraId="1D4E1B1D" w14:textId="325542C0" w:rsidR="004D20D0" w:rsidRDefault="004D20D0"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In addition, we would welcome improvement of the following: </w:t>
      </w:r>
    </w:p>
    <w:p w14:paraId="02167A17" w14:textId="13F0734C" w:rsidR="00EE5EF2" w:rsidRDefault="00EE5EF2" w:rsidP="004D20D0">
      <w:pPr>
        <w:pStyle w:val="ListParagraph"/>
        <w:numPr>
          <w:ilvl w:val="0"/>
          <w:numId w:val="44"/>
        </w:numPr>
        <w:spacing w:after="160" w:line="259" w:lineRule="auto"/>
        <w:rPr>
          <w:rFonts w:ascii="Calibri" w:eastAsia="Calibri" w:hAnsi="Calibri"/>
          <w:sz w:val="22"/>
          <w:szCs w:val="22"/>
          <w:lang w:eastAsia="en-US"/>
        </w:rPr>
      </w:pPr>
      <w:r w:rsidRPr="004D20D0">
        <w:rPr>
          <w:rFonts w:ascii="Calibri" w:eastAsia="Calibri" w:hAnsi="Calibri"/>
          <w:sz w:val="22"/>
          <w:szCs w:val="22"/>
          <w:lang w:eastAsia="en-US"/>
        </w:rPr>
        <w:t>the SFDR’s definition of what sustainable investment means would get closer aligned with the Science Based Targets Initiative (SBTi).</w:t>
      </w:r>
    </w:p>
    <w:p w14:paraId="08C135A7" w14:textId="3D5BF25F" w:rsidR="004D20D0" w:rsidRPr="004D20D0" w:rsidRDefault="004D20D0" w:rsidP="004D20D0">
      <w:pPr>
        <w:pStyle w:val="ListParagraph"/>
        <w:numPr>
          <w:ilvl w:val="0"/>
          <w:numId w:val="44"/>
        </w:numPr>
        <w:spacing w:after="160" w:line="259" w:lineRule="auto"/>
        <w:rPr>
          <w:rFonts w:ascii="Calibri" w:eastAsia="Calibri" w:hAnsi="Calibri"/>
          <w:sz w:val="22"/>
          <w:szCs w:val="22"/>
          <w:lang w:eastAsia="en-US"/>
        </w:rPr>
      </w:pPr>
      <w:r>
        <w:rPr>
          <w:rFonts w:ascii="Calibri" w:eastAsia="Calibri" w:hAnsi="Calibri"/>
          <w:sz w:val="22"/>
          <w:szCs w:val="22"/>
          <w:lang w:eastAsia="en-US"/>
        </w:rPr>
        <w:t>real estate related metrics and labels referred to in SFDR (e.g. EPC)</w:t>
      </w:r>
    </w:p>
    <w:p w14:paraId="6B3770B4" w14:textId="18C59794" w:rsidR="00EE5EF2" w:rsidRDefault="004D20D0"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I</w:t>
      </w:r>
      <w:r w:rsidR="00EE5EF2">
        <w:rPr>
          <w:rFonts w:ascii="Calibri" w:eastAsia="Calibri" w:hAnsi="Calibri"/>
          <w:sz w:val="22"/>
          <w:szCs w:val="22"/>
          <w:lang w:eastAsia="en-US"/>
        </w:rPr>
        <w:t xml:space="preserve">ntroduction of the quantitative thresholds criteria for the use of ESG-related and sustainability-related terminology (i.e. labels) </w:t>
      </w:r>
      <w:r>
        <w:rPr>
          <w:rFonts w:ascii="Calibri" w:eastAsia="Calibri" w:hAnsi="Calibri"/>
          <w:sz w:val="22"/>
          <w:szCs w:val="22"/>
          <w:lang w:eastAsia="en-US"/>
        </w:rPr>
        <w:t>should</w:t>
      </w:r>
      <w:r w:rsidR="00EE5EF2">
        <w:rPr>
          <w:rFonts w:ascii="Calibri" w:eastAsia="Calibri" w:hAnsi="Calibri"/>
          <w:sz w:val="22"/>
          <w:szCs w:val="22"/>
          <w:lang w:eastAsia="en-US"/>
        </w:rPr>
        <w:t xml:space="preserve"> follow</w:t>
      </w:r>
      <w:r>
        <w:rPr>
          <w:rFonts w:ascii="Calibri" w:eastAsia="Calibri" w:hAnsi="Calibri"/>
          <w:sz w:val="22"/>
          <w:szCs w:val="22"/>
          <w:lang w:eastAsia="en-US"/>
        </w:rPr>
        <w:t xml:space="preserve"> such a review of SFDR</w:t>
      </w:r>
      <w:r w:rsidR="00EE5EF2">
        <w:rPr>
          <w:rFonts w:ascii="Calibri" w:eastAsia="Calibri" w:hAnsi="Calibri"/>
          <w:sz w:val="22"/>
          <w:szCs w:val="22"/>
          <w:lang w:eastAsia="en-US"/>
        </w:rPr>
        <w:t xml:space="preserve"> and not precede.</w:t>
      </w:r>
    </w:p>
    <w:p w14:paraId="6F54CF58" w14:textId="2CF382B0" w:rsidR="004D20D0" w:rsidRPr="004D20D0" w:rsidRDefault="004D20D0" w:rsidP="00B92885">
      <w:pPr>
        <w:spacing w:after="160" w:line="259" w:lineRule="auto"/>
        <w:rPr>
          <w:rFonts w:ascii="Calibri" w:eastAsia="Calibri" w:hAnsi="Calibri"/>
          <w:b/>
          <w:bCs/>
          <w:sz w:val="22"/>
          <w:szCs w:val="22"/>
          <w:lang w:eastAsia="en-US"/>
        </w:rPr>
      </w:pPr>
      <w:r w:rsidRPr="004D20D0">
        <w:rPr>
          <w:rFonts w:ascii="Calibri" w:eastAsia="Calibri" w:hAnsi="Calibri"/>
          <w:b/>
          <w:bCs/>
          <w:sz w:val="22"/>
          <w:szCs w:val="22"/>
          <w:lang w:eastAsia="en-US"/>
        </w:rPr>
        <w:t>ESMA Proposal on the Guidelines on funds’ names using ESG or sustainability-related terms</w:t>
      </w:r>
    </w:p>
    <w:p w14:paraId="030855EB" w14:textId="0A34EEFF" w:rsidR="00EE5EF2" w:rsidRDefault="00EE5EF2"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In addition, we </w:t>
      </w:r>
      <w:r w:rsidR="008F301D">
        <w:rPr>
          <w:rFonts w:ascii="Calibri" w:eastAsia="Calibri" w:hAnsi="Calibri"/>
          <w:sz w:val="22"/>
          <w:szCs w:val="22"/>
          <w:lang w:eastAsia="en-US"/>
        </w:rPr>
        <w:t xml:space="preserve">do not consider </w:t>
      </w:r>
      <w:r>
        <w:rPr>
          <w:rFonts w:ascii="Calibri" w:eastAsia="Calibri" w:hAnsi="Calibri"/>
          <w:sz w:val="22"/>
          <w:szCs w:val="22"/>
          <w:lang w:eastAsia="en-US"/>
        </w:rPr>
        <w:t xml:space="preserve">Guidelines </w:t>
      </w:r>
      <w:r w:rsidR="008F301D">
        <w:rPr>
          <w:rFonts w:ascii="Calibri" w:eastAsia="Calibri" w:hAnsi="Calibri"/>
          <w:sz w:val="22"/>
          <w:szCs w:val="22"/>
          <w:lang w:eastAsia="en-US"/>
        </w:rPr>
        <w:t>to be</w:t>
      </w:r>
      <w:r>
        <w:rPr>
          <w:rFonts w:ascii="Calibri" w:eastAsia="Calibri" w:hAnsi="Calibri"/>
          <w:sz w:val="22"/>
          <w:szCs w:val="22"/>
          <w:lang w:eastAsia="en-US"/>
        </w:rPr>
        <w:t xml:space="preserve"> the</w:t>
      </w:r>
      <w:r w:rsidR="008F301D">
        <w:rPr>
          <w:rFonts w:ascii="Calibri" w:eastAsia="Calibri" w:hAnsi="Calibri"/>
          <w:sz w:val="22"/>
          <w:szCs w:val="22"/>
          <w:lang w:eastAsia="en-US"/>
        </w:rPr>
        <w:t xml:space="preserve"> most appropriate</w:t>
      </w:r>
      <w:r>
        <w:rPr>
          <w:rFonts w:ascii="Calibri" w:eastAsia="Calibri" w:hAnsi="Calibri"/>
          <w:sz w:val="22"/>
          <w:szCs w:val="22"/>
          <w:lang w:eastAsia="en-US"/>
        </w:rPr>
        <w:t xml:space="preserve"> tool to introduce quantitative thresholds criteria for the use of ESG-related and sustainability-related terminology (i.e. labels). The consequences of such introduction could eventually bring even greater confusion on the market having, especially as they would be based on a SFDR definition of sustainable investments which is</w:t>
      </w:r>
      <w:r w:rsidR="008F301D">
        <w:rPr>
          <w:rFonts w:ascii="Calibri" w:eastAsia="Calibri" w:hAnsi="Calibri"/>
          <w:sz w:val="22"/>
          <w:szCs w:val="22"/>
          <w:lang w:eastAsia="en-US"/>
        </w:rPr>
        <w:t xml:space="preserve"> still</w:t>
      </w:r>
      <w:r>
        <w:rPr>
          <w:rFonts w:ascii="Calibri" w:eastAsia="Calibri" w:hAnsi="Calibri"/>
          <w:sz w:val="22"/>
          <w:szCs w:val="22"/>
          <w:lang w:eastAsia="en-US"/>
        </w:rPr>
        <w:t xml:space="preserve"> very vague. </w:t>
      </w:r>
    </w:p>
    <w:p w14:paraId="4E355370" w14:textId="0D47F54D" w:rsidR="007252B2" w:rsidRDefault="00EE5EF2" w:rsidP="00B9288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Besides, depending on the region, there is </w:t>
      </w:r>
      <w:r w:rsidR="008F301D">
        <w:rPr>
          <w:rFonts w:ascii="Calibri" w:eastAsia="Calibri" w:hAnsi="Calibri"/>
          <w:sz w:val="22"/>
          <w:szCs w:val="22"/>
          <w:lang w:eastAsia="en-US"/>
        </w:rPr>
        <w:t xml:space="preserve">a </w:t>
      </w:r>
      <w:r>
        <w:rPr>
          <w:rFonts w:ascii="Calibri" w:eastAsia="Calibri" w:hAnsi="Calibri"/>
          <w:sz w:val="22"/>
          <w:szCs w:val="22"/>
          <w:lang w:eastAsia="en-US"/>
        </w:rPr>
        <w:t xml:space="preserve">different understanding of ESG-related terminology and sustainability-related terminology. </w:t>
      </w:r>
      <w:r w:rsidR="008F301D">
        <w:rPr>
          <w:rFonts w:ascii="Calibri" w:eastAsia="Calibri" w:hAnsi="Calibri"/>
          <w:sz w:val="22"/>
          <w:szCs w:val="22"/>
          <w:lang w:eastAsia="en-US"/>
        </w:rPr>
        <w:t>In fact, t</w:t>
      </w:r>
      <w:r>
        <w:rPr>
          <w:rFonts w:ascii="Calibri" w:eastAsia="Calibri" w:hAnsi="Calibri"/>
          <w:sz w:val="22"/>
          <w:szCs w:val="22"/>
          <w:lang w:eastAsia="en-US"/>
        </w:rPr>
        <w:t xml:space="preserve">he ultimate end investor may not perceive any difference between ESG and sustainability. </w:t>
      </w:r>
      <w:r w:rsidR="007252B2">
        <w:rPr>
          <w:rFonts w:ascii="Calibri" w:eastAsia="Calibri" w:hAnsi="Calibri"/>
          <w:sz w:val="22"/>
          <w:szCs w:val="22"/>
          <w:lang w:eastAsia="en-US"/>
        </w:rPr>
        <w:t xml:space="preserve">We would therefore like to ask ESMA to conduct a targeted research on the expectations from the end investors to see what terminology to use when </w:t>
      </w:r>
      <w:r w:rsidR="008F301D">
        <w:rPr>
          <w:rFonts w:ascii="Calibri" w:eastAsia="Calibri" w:hAnsi="Calibri"/>
          <w:sz w:val="22"/>
          <w:szCs w:val="22"/>
          <w:lang w:eastAsia="en-US"/>
        </w:rPr>
        <w:t>considering</w:t>
      </w:r>
      <w:r w:rsidR="007252B2">
        <w:rPr>
          <w:rFonts w:ascii="Calibri" w:eastAsia="Calibri" w:hAnsi="Calibri"/>
          <w:sz w:val="22"/>
          <w:szCs w:val="22"/>
          <w:lang w:eastAsia="en-US"/>
        </w:rPr>
        <w:t xml:space="preserve"> such a </w:t>
      </w:r>
      <w:r w:rsidR="008F301D">
        <w:rPr>
          <w:rFonts w:ascii="Calibri" w:eastAsia="Calibri" w:hAnsi="Calibri"/>
          <w:sz w:val="22"/>
          <w:szCs w:val="22"/>
          <w:lang w:eastAsia="en-US"/>
        </w:rPr>
        <w:t>quantitative</w:t>
      </w:r>
      <w:r w:rsidR="007252B2">
        <w:rPr>
          <w:rFonts w:ascii="Calibri" w:eastAsia="Calibri" w:hAnsi="Calibri"/>
          <w:sz w:val="22"/>
          <w:szCs w:val="22"/>
          <w:lang w:eastAsia="en-US"/>
        </w:rPr>
        <w:t xml:space="preserve"> thresholds. </w:t>
      </w:r>
    </w:p>
    <w:p w14:paraId="29893D9A" w14:textId="6D5E2E0E" w:rsidR="00EE5EF2" w:rsidRDefault="00803C87" w:rsidP="00B92885">
      <w:pPr>
        <w:spacing w:after="160" w:line="259" w:lineRule="auto"/>
        <w:rPr>
          <w:rFonts w:ascii="Calibri" w:eastAsia="Calibri" w:hAnsi="Calibri"/>
          <w:sz w:val="22"/>
          <w:szCs w:val="22"/>
          <w:lang w:eastAsia="en-US"/>
        </w:rPr>
      </w:pPr>
      <w:r w:rsidRPr="00803C87">
        <w:rPr>
          <w:rFonts w:ascii="Calibri" w:eastAsia="Calibri" w:hAnsi="Calibri"/>
          <w:sz w:val="22"/>
          <w:szCs w:val="22"/>
          <w:lang w:eastAsia="en-US"/>
        </w:rPr>
        <w:lastRenderedPageBreak/>
        <w:t>We remain available to discuss this further at your convenience. Please contact Jana Bour, EPRA E</w:t>
      </w:r>
      <w:r>
        <w:rPr>
          <w:rFonts w:ascii="Calibri" w:eastAsia="Calibri" w:hAnsi="Calibri"/>
          <w:sz w:val="22"/>
          <w:szCs w:val="22"/>
          <w:lang w:eastAsia="en-US"/>
        </w:rPr>
        <w:t>SG Policy &amp; Advocacy</w:t>
      </w:r>
      <w:r w:rsidRPr="00803C87">
        <w:rPr>
          <w:rFonts w:ascii="Calibri" w:eastAsia="Calibri" w:hAnsi="Calibri"/>
          <w:sz w:val="22"/>
          <w:szCs w:val="22"/>
          <w:lang w:eastAsia="en-US"/>
        </w:rPr>
        <w:t xml:space="preserve"> Manager, at j.bour@epra.com.</w:t>
      </w:r>
      <w:r w:rsidR="00EE5EF2">
        <w:rPr>
          <w:rFonts w:ascii="Calibri" w:eastAsia="Calibri" w:hAnsi="Calibri"/>
          <w:sz w:val="22"/>
          <w:szCs w:val="22"/>
          <w:lang w:eastAsia="en-US"/>
        </w:rPr>
        <w:t xml:space="preserve">  </w:t>
      </w:r>
    </w:p>
    <w:p w14:paraId="7F8496EE" w14:textId="77777777" w:rsidR="0091074F" w:rsidRPr="0091074F" w:rsidRDefault="0091074F" w:rsidP="00B92885">
      <w:pPr>
        <w:spacing w:after="160" w:line="259" w:lineRule="auto"/>
        <w:rPr>
          <w:rFonts w:ascii="Calibri" w:eastAsia="Calibri" w:hAnsi="Calibri"/>
          <w:sz w:val="22"/>
          <w:szCs w:val="22"/>
          <w:lang w:eastAsia="en-US"/>
        </w:rPr>
      </w:pPr>
      <w:r w:rsidRPr="0091074F">
        <w:rPr>
          <w:rFonts w:ascii="Calibri" w:eastAsia="Calibri" w:hAnsi="Calibri"/>
          <w:sz w:val="22"/>
          <w:szCs w:val="22"/>
          <w:lang w:eastAsia="en-US"/>
        </w:rPr>
        <w:t xml:space="preserve">About EPRA* </w:t>
      </w:r>
    </w:p>
    <w:p w14:paraId="40295FDF" w14:textId="63F86822" w:rsidR="0091074F" w:rsidRDefault="0091074F" w:rsidP="00B92885">
      <w:pPr>
        <w:spacing w:after="160" w:line="259" w:lineRule="auto"/>
        <w:rPr>
          <w:rFonts w:ascii="Calibri" w:eastAsia="Calibri" w:hAnsi="Calibri"/>
          <w:sz w:val="22"/>
          <w:szCs w:val="22"/>
          <w:lang w:eastAsia="en-US"/>
        </w:rPr>
      </w:pPr>
      <w:r w:rsidRPr="0091074F">
        <w:rPr>
          <w:rFonts w:ascii="Calibri" w:eastAsia="Calibri" w:hAnsi="Calibri"/>
          <w:sz w:val="22"/>
          <w:szCs w:val="22"/>
          <w:lang w:eastAsia="en-US"/>
        </w:rPr>
        <w:t>EPRA, the European Public Real Estate Association, is the voice of the publicly traded European real estate sector. With more than 280 members, covering the whole spectrum of the listed real estate industry (companies, investors and their suppliers), EPRA represents over EUR 7</w:t>
      </w:r>
      <w:r>
        <w:rPr>
          <w:rFonts w:ascii="Calibri" w:eastAsia="Calibri" w:hAnsi="Calibri"/>
          <w:sz w:val="22"/>
          <w:szCs w:val="22"/>
          <w:lang w:eastAsia="en-US"/>
        </w:rPr>
        <w:t>9</w:t>
      </w:r>
      <w:r w:rsidRPr="0091074F">
        <w:rPr>
          <w:rFonts w:ascii="Calibri" w:eastAsia="Calibri" w:hAnsi="Calibri"/>
          <w:sz w:val="22"/>
          <w:szCs w:val="22"/>
          <w:lang w:eastAsia="en-US"/>
        </w:rPr>
        <w:t>0 billion of real estate assets</w:t>
      </w:r>
      <w:r w:rsidRPr="0091074F">
        <w:rPr>
          <w:rFonts w:ascii="Calibri" w:eastAsia="Calibri" w:hAnsi="Calibri"/>
          <w:sz w:val="22"/>
          <w:szCs w:val="22"/>
          <w:vertAlign w:val="superscript"/>
          <w:lang w:eastAsia="en-US"/>
        </w:rPr>
        <w:t>1</w:t>
      </w:r>
      <w:r w:rsidRPr="0091074F">
        <w:rPr>
          <w:rFonts w:ascii="Calibri" w:eastAsia="Calibri" w:hAnsi="Calibri"/>
          <w:sz w:val="22"/>
          <w:szCs w:val="22"/>
          <w:lang w:eastAsia="en-US"/>
        </w:rPr>
        <w:t xml:space="preserve"> and 94% of the market capitalisation of the FTSE EPRA Nareit Europe Index. EPRA’s mission is to promote, develop and represent the European public real estate sector. We achieve this through the provision of better information to investors and stakeholders, active involvement in the public and political debate, promotion of best practices and the cohesion and strengthening of the industry. Find out more about our activities on </w:t>
      </w:r>
      <w:hyperlink r:id="rId18" w:history="1">
        <w:r w:rsidRPr="004F2337">
          <w:rPr>
            <w:rStyle w:val="Hyperlink"/>
            <w:rFonts w:ascii="Calibri" w:eastAsia="Calibri" w:hAnsi="Calibri"/>
            <w:sz w:val="22"/>
            <w:szCs w:val="22"/>
            <w:lang w:eastAsia="en-US"/>
          </w:rPr>
          <w:t>www.epra.com</w:t>
        </w:r>
      </w:hyperlink>
      <w:r w:rsidRPr="0091074F">
        <w:rPr>
          <w:rFonts w:ascii="Calibri" w:eastAsia="Calibri" w:hAnsi="Calibri"/>
          <w:sz w:val="22"/>
          <w:szCs w:val="22"/>
          <w:lang w:eastAsia="en-US"/>
        </w:rPr>
        <w:t xml:space="preserve">. </w:t>
      </w:r>
    </w:p>
    <w:p w14:paraId="23F96CEB" w14:textId="104D7FB9" w:rsidR="0091074F" w:rsidRDefault="0091074F" w:rsidP="00B92885">
      <w:pPr>
        <w:spacing w:after="160" w:line="259" w:lineRule="auto"/>
        <w:rPr>
          <w:rFonts w:ascii="Calibri" w:eastAsia="Calibri" w:hAnsi="Calibri"/>
          <w:sz w:val="22"/>
          <w:szCs w:val="22"/>
          <w:lang w:eastAsia="en-US"/>
        </w:rPr>
      </w:pPr>
      <w:r w:rsidRPr="0091074F">
        <w:rPr>
          <w:rFonts w:ascii="Calibri" w:eastAsia="Calibri" w:hAnsi="Calibri"/>
          <w:sz w:val="22"/>
          <w:szCs w:val="22"/>
          <w:vertAlign w:val="superscript"/>
          <w:lang w:eastAsia="en-US"/>
        </w:rPr>
        <w:t>1</w:t>
      </w:r>
      <w:r w:rsidRPr="0091074F">
        <w:rPr>
          <w:rFonts w:ascii="Calibri" w:eastAsia="Calibri" w:hAnsi="Calibri"/>
          <w:sz w:val="22"/>
          <w:szCs w:val="22"/>
          <w:lang w:eastAsia="en-US"/>
        </w:rPr>
        <w:t xml:space="preserve">European companies only </w:t>
      </w:r>
    </w:p>
    <w:p w14:paraId="553BDCB6" w14:textId="3FFE907A" w:rsidR="0091074F" w:rsidRPr="00B92885" w:rsidRDefault="0091074F" w:rsidP="00B92885">
      <w:pPr>
        <w:spacing w:after="160" w:line="259" w:lineRule="auto"/>
        <w:rPr>
          <w:rFonts w:ascii="Calibri" w:eastAsia="Calibri" w:hAnsi="Calibri"/>
          <w:sz w:val="22"/>
          <w:szCs w:val="22"/>
          <w:lang w:eastAsia="en-US"/>
        </w:rPr>
      </w:pPr>
      <w:r w:rsidRPr="0091074F">
        <w:rPr>
          <w:rFonts w:ascii="Calibri" w:eastAsia="Calibri" w:hAnsi="Calibri"/>
          <w:sz w:val="22"/>
          <w:szCs w:val="22"/>
          <w:lang w:eastAsia="en-US"/>
        </w:rPr>
        <w:t>EU Transparency Register no. 09307393718-06</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043F3971" w14:textId="37C9129D" w:rsidR="00B92885" w:rsidRDefault="009F1487" w:rsidP="00B92885">
      <w:permStart w:id="1596738700" w:edGrp="everyone"/>
      <w:r>
        <w:t>We do not oppose the introduction of quantitative thresholds to assess funds’ names in the future. However, we suggest to first review the parts of SFDR regulation which brought confusion on the market and only then look at introduction of quantitative thresholds if the issues of greenwashing does not improve.</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3ADFE3B7" w:rsidR="00B92885" w:rsidRDefault="009F1487" w:rsidP="00B92885">
      <w:permStart w:id="1305634831" w:edGrp="everyone"/>
      <w:r>
        <w:t xml:space="preserve">As above, we suggest to first review the SFDR and its parts which brought confusion on the market. Most particularly, we believe that the definition of sustainable investment in Article 2(17) is vague and any minimum proportion based on such definition would not resolve the existing issue related to greenwashing. </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42E07AA2" w:rsidR="00B92885" w:rsidRDefault="00B26348" w:rsidP="00B92885">
      <w:permStart w:id="347949177" w:edGrp="everyone"/>
      <w:r>
        <w:t>As above.</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77777777" w:rsidR="00B92885" w:rsidRDefault="00B92885" w:rsidP="00B92885">
      <w:permStart w:id="351877901" w:edGrp="everyone"/>
      <w:r>
        <w:t>TYPE YOUR TEXT HERE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2C842C20" w:rsidR="00B92885" w:rsidRDefault="00B26348" w:rsidP="00B92885">
      <w:permStart w:id="1539323392" w:edGrp="everyone"/>
      <w:r>
        <w:t>We believe that the ESMA Supervisory briefing: Sustainability risks and disclosures in the area of investment management, dated 31 May 2022, provides for adequate solutions until the review of SFDR is completed. After the review of SFDR, or alongside it, the more robust discussion about the subject matter should be conducted.</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7C9157FD" w14:textId="065720B8" w:rsidR="00B92885" w:rsidRDefault="00B26348" w:rsidP="00B92885">
      <w:permStart w:id="175976681" w:edGrp="everyone"/>
      <w:r>
        <w:t>As above.</w:t>
      </w:r>
    </w:p>
    <w:permEnd w:id="175976681"/>
    <w:p w14:paraId="6EE97467" w14:textId="77777777" w:rsidR="00B92885" w:rsidRDefault="00B92885" w:rsidP="00B92885">
      <w:r>
        <w:lastRenderedPageBreak/>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77777777" w:rsidR="00B92885" w:rsidRDefault="00B92885" w:rsidP="00B92885">
      <w:permStart w:id="576722602" w:edGrp="everyone"/>
      <w:r>
        <w:t>TYPE YOUR TEXT HERE</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2194009F" w14:textId="77777777" w:rsidR="00725747" w:rsidRDefault="00725747" w:rsidP="00725747">
      <w:permStart w:id="1992309739" w:edGrp="everyone"/>
      <w:r>
        <w:t>We strongly agree that transition and impact investing should be greater considered and encouraged within the SFDR framework. Such alteration would require changes in the regulation itself and should be part of the debate on the SFDR review.</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4931DE0C" w:rsidR="00B92885" w:rsidRDefault="00EA572C" w:rsidP="00B92885">
      <w:permStart w:id="1423966990" w:edGrp="everyone"/>
      <w:r>
        <w:t>As above. We strongly agree that transition and impact investing should be greater considered and encouraged within the SFDR framework. Such alteration would require changes in the regulation itself and should be part of the debate on the SFDR review.</w:t>
      </w:r>
    </w:p>
    <w:permEnd w:id="1423966990"/>
    <w:p w14:paraId="0643B633" w14:textId="77777777" w:rsidR="00B92885" w:rsidRDefault="00B92885" w:rsidP="00B92885">
      <w:r>
        <w:lastRenderedPageBreak/>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491A1498" w:rsidR="00B92885" w:rsidRDefault="00EA572C" w:rsidP="00B92885">
      <w:permStart w:id="489244833" w:edGrp="everyone"/>
      <w:r>
        <w:t>A 6-month period is far too short to transition/accommodate changes if the proposed Guidelines were to be adopted.</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410118A4" w:rsidR="00B92885" w:rsidRDefault="00777369" w:rsidP="00B92885">
      <w:permStart w:id="929254269" w:edGrp="everyone"/>
      <w:r>
        <w:t>We feel that the impact of the proposed guidelines will more likely result in funds’ abstaining from using any ESG-related or sustainability-related terminology in their names. We would support to review SFDR so that the issue of greenwashing is being addressed in a manner which would not simultaneously potentially disincentivise or slow down investment critically needed in sustainability.</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F0BC" w14:textId="77777777" w:rsidR="00F93B2D" w:rsidRDefault="00F93B2D">
      <w:r>
        <w:separator/>
      </w:r>
    </w:p>
    <w:p w14:paraId="6E54111E" w14:textId="77777777" w:rsidR="00F93B2D" w:rsidRDefault="00F93B2D"/>
  </w:endnote>
  <w:endnote w:type="continuationSeparator" w:id="0">
    <w:p w14:paraId="69278F5D" w14:textId="77777777" w:rsidR="00F93B2D" w:rsidRDefault="00F93B2D">
      <w:r>
        <w:continuationSeparator/>
      </w:r>
    </w:p>
    <w:p w14:paraId="2DB3DE1E" w14:textId="77777777" w:rsidR="00F93B2D" w:rsidRDefault="00F93B2D"/>
  </w:endnote>
  <w:endnote w:type="continuationNotice" w:id="1">
    <w:p w14:paraId="5288ABA0" w14:textId="77777777" w:rsidR="00F93B2D" w:rsidRDefault="00F9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58A4" w14:textId="77777777" w:rsidR="00F93B2D" w:rsidRDefault="00F93B2D">
      <w:r>
        <w:separator/>
      </w:r>
    </w:p>
    <w:p w14:paraId="4632766D" w14:textId="77777777" w:rsidR="00F93B2D" w:rsidRDefault="00F93B2D"/>
  </w:footnote>
  <w:footnote w:type="continuationSeparator" w:id="0">
    <w:p w14:paraId="328B1211" w14:textId="77777777" w:rsidR="00F93B2D" w:rsidRDefault="00F93B2D">
      <w:r>
        <w:continuationSeparator/>
      </w:r>
    </w:p>
    <w:p w14:paraId="1C40ECB8" w14:textId="77777777" w:rsidR="00F93B2D" w:rsidRDefault="00F93B2D"/>
  </w:footnote>
  <w:footnote w:type="continuationNotice" w:id="1">
    <w:p w14:paraId="28E5C0D4" w14:textId="77777777" w:rsidR="00F93B2D" w:rsidRDefault="00F93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DA13FA"/>
    <w:multiLevelType w:val="hybridMultilevel"/>
    <w:tmpl w:val="A2ECDF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C5742F"/>
    <w:multiLevelType w:val="hybridMultilevel"/>
    <w:tmpl w:val="EF925D56"/>
    <w:lvl w:ilvl="0" w:tplc="59C656B6">
      <w:start w:val="1"/>
      <w:numFmt w:val="decimal"/>
      <w:lvlText w:val="%1)"/>
      <w:lvlJc w:val="left"/>
      <w:pPr>
        <w:ind w:left="720" w:hanging="360"/>
      </w:pPr>
      <w:rPr>
        <w:rFonts w:ascii="Arial" w:eastAsia="Times New Roman"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BF1B1A"/>
    <w:multiLevelType w:val="hybridMultilevel"/>
    <w:tmpl w:val="8BFCEA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1452B03"/>
    <w:multiLevelType w:val="hybridMultilevel"/>
    <w:tmpl w:val="AB1C03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896577947">
    <w:abstractNumId w:val="17"/>
  </w:num>
  <w:num w:numId="2" w16cid:durableId="1934170876">
    <w:abstractNumId w:val="20"/>
  </w:num>
  <w:num w:numId="3" w16cid:durableId="167520517">
    <w:abstractNumId w:val="12"/>
  </w:num>
  <w:num w:numId="4" w16cid:durableId="2120101905">
    <w:abstractNumId w:val="26"/>
  </w:num>
  <w:num w:numId="5" w16cid:durableId="290668601">
    <w:abstractNumId w:val="28"/>
  </w:num>
  <w:num w:numId="6" w16cid:durableId="1987318935">
    <w:abstractNumId w:val="0"/>
  </w:num>
  <w:num w:numId="7" w16cid:durableId="1136946938">
    <w:abstractNumId w:val="3"/>
  </w:num>
  <w:num w:numId="8" w16cid:durableId="1581527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351679">
    <w:abstractNumId w:val="34"/>
  </w:num>
  <w:num w:numId="10" w16cid:durableId="14030630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7174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301321">
    <w:abstractNumId w:val="30"/>
  </w:num>
  <w:num w:numId="13" w16cid:durableId="411318259">
    <w:abstractNumId w:val="33"/>
  </w:num>
  <w:num w:numId="14" w16cid:durableId="1882548052">
    <w:abstractNumId w:val="24"/>
  </w:num>
  <w:num w:numId="15" w16cid:durableId="600722737">
    <w:abstractNumId w:val="11"/>
  </w:num>
  <w:num w:numId="16" w16cid:durableId="1268152768">
    <w:abstractNumId w:val="1"/>
  </w:num>
  <w:num w:numId="17" w16cid:durableId="1534073858">
    <w:abstractNumId w:val="15"/>
  </w:num>
  <w:num w:numId="18" w16cid:durableId="994187269">
    <w:abstractNumId w:val="16"/>
  </w:num>
  <w:num w:numId="19" w16cid:durableId="1960988247">
    <w:abstractNumId w:val="18"/>
  </w:num>
  <w:num w:numId="20" w16cid:durableId="1220553797">
    <w:abstractNumId w:val="29"/>
  </w:num>
  <w:num w:numId="21" w16cid:durableId="798302859">
    <w:abstractNumId w:val="39"/>
  </w:num>
  <w:num w:numId="22" w16cid:durableId="1674408278">
    <w:abstractNumId w:val="27"/>
  </w:num>
  <w:num w:numId="23" w16cid:durableId="1493061051">
    <w:abstractNumId w:val="10"/>
  </w:num>
  <w:num w:numId="24" w16cid:durableId="383600039">
    <w:abstractNumId w:val="32"/>
  </w:num>
  <w:num w:numId="25" w16cid:durableId="1920021888">
    <w:abstractNumId w:val="31"/>
  </w:num>
  <w:num w:numId="26" w16cid:durableId="185406616">
    <w:abstractNumId w:val="21"/>
  </w:num>
  <w:num w:numId="27" w16cid:durableId="738289360">
    <w:abstractNumId w:val="35"/>
  </w:num>
  <w:num w:numId="28" w16cid:durableId="399908800">
    <w:abstractNumId w:val="42"/>
  </w:num>
  <w:num w:numId="29" w16cid:durableId="1080640099">
    <w:abstractNumId w:val="8"/>
  </w:num>
  <w:num w:numId="30" w16cid:durableId="1824538905">
    <w:abstractNumId w:val="2"/>
  </w:num>
  <w:num w:numId="31" w16cid:durableId="72357386">
    <w:abstractNumId w:val="23"/>
  </w:num>
  <w:num w:numId="32" w16cid:durableId="995378814">
    <w:abstractNumId w:val="22"/>
  </w:num>
  <w:num w:numId="33" w16cid:durableId="1534687981">
    <w:abstractNumId w:val="37"/>
  </w:num>
  <w:num w:numId="34" w16cid:durableId="6762414">
    <w:abstractNumId w:val="36"/>
  </w:num>
  <w:num w:numId="35" w16cid:durableId="946347450">
    <w:abstractNumId w:val="4"/>
  </w:num>
  <w:num w:numId="36" w16cid:durableId="614213220">
    <w:abstractNumId w:val="38"/>
  </w:num>
  <w:num w:numId="37" w16cid:durableId="987324945">
    <w:abstractNumId w:val="22"/>
    <w:lvlOverride w:ilvl="0">
      <w:startOverride w:val="1"/>
    </w:lvlOverride>
  </w:num>
  <w:num w:numId="38" w16cid:durableId="1150516085">
    <w:abstractNumId w:val="22"/>
  </w:num>
  <w:num w:numId="39" w16cid:durableId="1573660679">
    <w:abstractNumId w:val="13"/>
  </w:num>
  <w:num w:numId="40" w16cid:durableId="1917740685">
    <w:abstractNumId w:val="5"/>
  </w:num>
  <w:num w:numId="41" w16cid:durableId="466748400">
    <w:abstractNumId w:val="19"/>
  </w:num>
  <w:num w:numId="42" w16cid:durableId="1881362562">
    <w:abstractNumId w:val="7"/>
  </w:num>
  <w:num w:numId="43" w16cid:durableId="1819952270">
    <w:abstractNumId w:val="25"/>
  </w:num>
  <w:num w:numId="44" w16cid:durableId="114061861">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831"/>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2C1B"/>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B49"/>
    <w:rsid w:val="0015744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9D7"/>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4CFD"/>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3BD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0CF3"/>
    <w:rsid w:val="00311184"/>
    <w:rsid w:val="00311E05"/>
    <w:rsid w:val="00312675"/>
    <w:rsid w:val="00314013"/>
    <w:rsid w:val="00314945"/>
    <w:rsid w:val="00315389"/>
    <w:rsid w:val="00315746"/>
    <w:rsid w:val="00315E96"/>
    <w:rsid w:val="00317FC8"/>
    <w:rsid w:val="0032071D"/>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1D93"/>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6431"/>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2A79"/>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0D0"/>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6D"/>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326"/>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962"/>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2B2"/>
    <w:rsid w:val="007254DD"/>
    <w:rsid w:val="00725747"/>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369"/>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C7D77"/>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C87"/>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301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074F"/>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487"/>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348"/>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407"/>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439"/>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2C"/>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EF2"/>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B2D"/>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UnresolvedMention">
    <w:name w:val="Unresolved Mention"/>
    <w:basedOn w:val="DefaultParagraphFont"/>
    <w:uiPriority w:val="99"/>
    <w:semiHidden/>
    <w:unhideWhenUsed/>
    <w:rsid w:val="0091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pra.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2946</Words>
  <Characters>16795</Characters>
  <Application>Microsoft Office Word</Application>
  <DocSecurity>8</DocSecurity>
  <Lines>139</Lines>
  <Paragraphs>39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19702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Jana Bour</cp:lastModifiedBy>
  <cp:revision>20</cp:revision>
  <cp:lastPrinted>2023-02-20T10:49:00Z</cp:lastPrinted>
  <dcterms:created xsi:type="dcterms:W3CDTF">2023-02-20T10:52:00Z</dcterms:created>
  <dcterms:modified xsi:type="dcterms:W3CDTF">2023-02-20T19:55:00Z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