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5DB6BAE0" w:rsidR="00C2682A" w:rsidRPr="00AB6D88" w:rsidRDefault="00D208CF" w:rsidP="00D208CF">
                <w:pPr>
                  <w:rPr>
                    <w:rStyle w:val="PlaceholderText"/>
                    <w:rFonts w:cs="Arial"/>
                  </w:rPr>
                </w:pPr>
                <w:r>
                  <w:rPr>
                    <w:rStyle w:val="PlaceholderText"/>
                    <w:rFonts w:cs="Arial"/>
                  </w:rPr>
                  <w:t>First Sentier Investors</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8756FBB" w:rsidR="00C2682A" w:rsidRPr="00AB6D88" w:rsidRDefault="001076C7"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208CF">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2B328897" w:rsidR="00C2682A" w:rsidRPr="00AB6D88" w:rsidRDefault="00D208CF"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55E8A00" w:rsidR="00C2682A" w:rsidRPr="00AB6D88" w:rsidRDefault="00D208CF" w:rsidP="00D208CF">
                <w:pPr>
                  <w:rPr>
                    <w:rFonts w:cs="Arial"/>
                  </w:rPr>
                </w:pPr>
                <w:r>
                  <w:rPr>
                    <w:rFonts w:cs="Arial"/>
                  </w:rPr>
                  <w:t>Europe/Ireland/UK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29B2B0A9" w14:textId="77777777" w:rsidR="001076C7" w:rsidRDefault="001076C7" w:rsidP="001076C7">
      <w:pPr>
        <w:pStyle w:val="paragraph"/>
        <w:spacing w:before="0" w:beforeAutospacing="0" w:after="0" w:afterAutospacing="0"/>
        <w:textAlignment w:val="baseline"/>
        <w:rPr>
          <w:rFonts w:ascii="Segoe UI" w:hAnsi="Segoe UI" w:cs="Segoe UI"/>
          <w:sz w:val="18"/>
          <w:szCs w:val="18"/>
        </w:rPr>
      </w:pPr>
      <w:permStart w:id="1100430741" w:edGrp="everyone"/>
      <w:r>
        <w:rPr>
          <w:rStyle w:val="normaltextrun"/>
          <w:rFonts w:ascii="Calibri" w:hAnsi="Calibri" w:cs="Segoe UI"/>
          <w:color w:val="000000"/>
          <w:sz w:val="22"/>
          <w:szCs w:val="22"/>
          <w:lang w:val="en-AU"/>
        </w:rPr>
        <w:t>First Sentier Investors (FSI) is an asset management business and the home of investment teams FSSA Investment Managers, Igneo Infrastructure Partners, Realindex Investments and Stewart Investors. </w:t>
      </w:r>
      <w:r>
        <w:rPr>
          <w:rStyle w:val="eop"/>
          <w:rFonts w:ascii="Calibri" w:hAnsi="Calibri" w:cs="Segoe UI"/>
          <w:color w:val="000000"/>
          <w:sz w:val="22"/>
          <w:szCs w:val="22"/>
        </w:rPr>
        <w:t> </w:t>
      </w:r>
    </w:p>
    <w:p w14:paraId="291EAD9A" w14:textId="77777777" w:rsidR="001076C7" w:rsidRDefault="001076C7" w:rsidP="001076C7">
      <w:pPr>
        <w:pStyle w:val="paragraph"/>
        <w:spacing w:before="0" w:beforeAutospacing="0" w:after="0" w:afterAutospacing="0"/>
        <w:textAlignment w:val="baseline"/>
        <w:rPr>
          <w:rStyle w:val="normaltextrun"/>
          <w:rFonts w:ascii="Calibri" w:hAnsi="Calibri" w:cs="Segoe UI"/>
          <w:color w:val="000000"/>
          <w:sz w:val="22"/>
          <w:szCs w:val="22"/>
          <w:lang w:val="en-AU"/>
        </w:rPr>
      </w:pPr>
    </w:p>
    <w:p w14:paraId="47300DE0" w14:textId="74B399C2" w:rsidR="001076C7" w:rsidRDefault="001076C7" w:rsidP="001076C7">
      <w:pPr>
        <w:pStyle w:val="paragraph"/>
        <w:spacing w:before="0" w:beforeAutospacing="0" w:after="0" w:afterAutospacing="0"/>
        <w:textAlignment w:val="baseline"/>
        <w:rPr>
          <w:rFonts w:ascii="Segoe UI" w:hAnsi="Segoe UI" w:cs="Segoe UI"/>
          <w:sz w:val="18"/>
          <w:szCs w:val="18"/>
        </w:rPr>
      </w:pPr>
      <w:bookmarkStart w:id="3" w:name="_GoBack"/>
      <w:bookmarkEnd w:id="3"/>
      <w:r>
        <w:rPr>
          <w:rStyle w:val="normaltextrun"/>
          <w:rFonts w:ascii="Calibri" w:hAnsi="Calibri" w:cs="Segoe UI"/>
          <w:color w:val="000000"/>
          <w:sz w:val="22"/>
          <w:szCs w:val="22"/>
          <w:lang w:val="en-AU"/>
        </w:rPr>
        <w:t>Our vision is to be a provider of world-leading investment expertise and client solutions, led by our responsible investment principles.  We are stewards of assets under management of AU$215.5 billion(as at 31/12/22) across listed equities, fixed income and direct infrastructure on behalf of institutional investors, pension funds, wholesale distributors and platforms, financial advisers and their clients.</w:t>
      </w:r>
    </w:p>
    <w:p w14:paraId="08C6541E" w14:textId="395397E6" w:rsidR="00B92885" w:rsidRPr="00B92885" w:rsidRDefault="00B92885" w:rsidP="00B92885">
      <w:pPr>
        <w:spacing w:after="160" w:line="259" w:lineRule="auto"/>
        <w:rPr>
          <w:rFonts w:ascii="Calibri" w:eastAsia="Calibri" w:hAnsi="Calibri"/>
          <w:sz w:val="22"/>
          <w:szCs w:val="22"/>
          <w:lang w:eastAsia="en-US"/>
        </w:rPr>
      </w:pP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tbl>
      <w:tblPr>
        <w:tblStyle w:val="Tableheader"/>
        <w:tblW w:w="0" w:type="auto"/>
        <w:tblInd w:w="0" w:type="dxa"/>
        <w:tblLook w:val="04A0" w:firstRow="1" w:lastRow="0" w:firstColumn="1" w:lastColumn="0" w:noHBand="0" w:noVBand="1"/>
      </w:tblPr>
      <w:tblGrid>
        <w:gridCol w:w="8560"/>
      </w:tblGrid>
      <w:tr w:rsidR="00D208CF" w14:paraId="3ABAC593" w14:textId="77777777" w:rsidTr="00D208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0" w:type="dxa"/>
            <w:tcBorders>
              <w:top w:val="single" w:sz="6" w:space="0" w:color="C0504D" w:themeColor="accent2"/>
              <w:left w:val="nil"/>
              <w:bottom w:val="single" w:sz="6" w:space="0" w:color="C0504D" w:themeColor="accent2"/>
              <w:right w:val="nil"/>
            </w:tcBorders>
          </w:tcPr>
          <w:p w14:paraId="2641CBF2" w14:textId="69ED5DBD" w:rsidR="00D208CF" w:rsidRPr="00D208CF" w:rsidRDefault="00D208CF">
            <w:pPr>
              <w:jc w:val="both"/>
              <w:rPr>
                <w:rFonts w:eastAsia="Times New Roman" w:cs="Times New Roman"/>
                <w:b w:val="0"/>
                <w:color w:val="auto"/>
                <w:sz w:val="20"/>
                <w:lang w:val="en-GB"/>
              </w:rPr>
            </w:pPr>
            <w:permStart w:id="1596738700" w:edGrp="everyone"/>
            <w:r w:rsidRPr="00D208CF">
              <w:rPr>
                <w:rFonts w:eastAsia="Times New Roman" w:cs="Times New Roman"/>
                <w:b w:val="0"/>
                <w:color w:val="auto"/>
                <w:sz w:val="20"/>
                <w:lang w:val="en-GB"/>
              </w:rPr>
              <w:t>We are generally supportive of the need to introduce quantitative thresholds such as the requirement for SFDR Article 9 products to hold 100% sustainable investments. However, we do have reservations at present about the proposed 80%/50% requirements for funds with ESG and/or sustainability-related terms for a number of reasons including the continued lack of clarity around the definition of ‘sustainable investments’ and the nascent stage of corporate sustainability data.</w:t>
            </w:r>
          </w:p>
          <w:p w14:paraId="4539DC01" w14:textId="77777777" w:rsidR="00D208CF" w:rsidRPr="00D208CF" w:rsidRDefault="00D208CF">
            <w:pPr>
              <w:jc w:val="both"/>
              <w:rPr>
                <w:rFonts w:eastAsia="Times New Roman" w:cs="Times New Roman"/>
                <w:b w:val="0"/>
                <w:color w:val="auto"/>
                <w:sz w:val="20"/>
                <w:lang w:val="en-GB"/>
              </w:rPr>
            </w:pPr>
            <w:r w:rsidRPr="00D208CF">
              <w:rPr>
                <w:rFonts w:eastAsia="Times New Roman" w:cs="Times New Roman"/>
                <w:b w:val="0"/>
                <w:color w:val="auto"/>
                <w:sz w:val="20"/>
                <w:lang w:val="en-GB"/>
              </w:rPr>
              <w:t>Furthermore, ESG funds' names can be subjective and can vary depending on the fund's investment style and strategy. Many asset managers also employ a diversified range of qualitative criteria/thresholds when assessing investee companies. For example, stewardship, including voting, corporate engagement and industry collaboration on sustainability issues form an integral element of many investment approaches. Stewardship outcomes can prove more difficult to quantify and to demonstrate causality.</w:t>
            </w:r>
          </w:p>
          <w:p w14:paraId="42DD3158" w14:textId="1E153F0B" w:rsidR="00D208CF" w:rsidRDefault="00D208CF" w:rsidP="00D208CF">
            <w:pPr>
              <w:jc w:val="both"/>
              <w:rPr>
                <w:sz w:val="20"/>
              </w:rPr>
            </w:pPr>
            <w:r w:rsidRPr="00D208CF">
              <w:rPr>
                <w:rFonts w:eastAsia="Times New Roman" w:cs="Times New Roman"/>
                <w:b w:val="0"/>
                <w:color w:val="auto"/>
                <w:sz w:val="20"/>
                <w:lang w:val="en-GB"/>
              </w:rPr>
              <w:t>We would also encourage ESMA to engage with other regulatory authorities to deliver a harmonised set of naming standards where possible. For example, the FCA, in their proposed Sustainability Disclosures Requirements, have set out a non-exhaustive list of ESG fund names/terms. We note the ESMA have decided against providing a similar list of terms. As such, the industry will need to determine whether a name is considered ESG-related, Sustainability-related or both.</w:t>
            </w:r>
          </w:p>
        </w:tc>
      </w:tr>
    </w:tbl>
    <w:p w14:paraId="043F3971" w14:textId="56D8537B" w:rsidR="00B92885" w:rsidRDefault="00D208CF" w:rsidP="00B92885">
      <w:r>
        <w:t xml:space="preserve"> </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4"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4"/>
    <w:p w14:paraId="4F9400BD" w14:textId="77777777" w:rsidR="00B92885" w:rsidRDefault="00B92885" w:rsidP="00B92885">
      <w:r>
        <w:t>&lt;ESMA_QUESTION_FUNA_2&gt;</w:t>
      </w:r>
    </w:p>
    <w:p w14:paraId="7BED3590" w14:textId="2D4766FA" w:rsidR="00B92885" w:rsidRDefault="00D208CF" w:rsidP="00B92885">
      <w:permStart w:id="1305634831" w:edGrp="everyone"/>
      <w:r>
        <w:t>We are supportive of a threshold where to meet the environmental or social characteristics, particularly for Article 8 products. We believe E/S characteristics should be promoted widely across the assets held by a fund and a threshold of 80% is reasonable benchmark. As noted above, any specific threshold should not front-run a clearer definition of what constitutes a sustainable investment and also the term ‘promote’ for Article 8 products</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4BB09620" w14:textId="77777777" w:rsidR="00D208CF" w:rsidRDefault="00D208CF" w:rsidP="00D208CF">
      <w:pPr>
        <w:rPr>
          <w:rFonts w:asciiTheme="minorHAnsi" w:hAnsiTheme="minorHAnsi"/>
          <w:szCs w:val="22"/>
          <w:lang w:eastAsia="en-US"/>
        </w:rPr>
      </w:pPr>
      <w:permStart w:id="347949177" w:edGrp="everyone"/>
      <w:r>
        <w:t>It seems unclear why the proposed guidelines look to delineate between the terms ESG and Sustainability and set separate thresholds for each. Without an exhaustive list of terms, it will prove troublesome for industry participants to determine whether a term and/or name is ESG-related or sustainability-related. We support the need for ESG/Sustainability products to invest in sustainable assets, however, many investment strategies will also focus on supporting/encouraging companies to transition to lower carbon business models. As such, any quantitative thresholds should consider how transition assets or transition-related terms can be incorporated within the guidelines. Furthermore, the European Commission’s response to the below ESA’s question will be of critical importance when determining an additional threshold of 50%.</w:t>
      </w:r>
    </w:p>
    <w:p w14:paraId="507C2077" w14:textId="77777777" w:rsidR="00D208CF" w:rsidRDefault="00D208CF" w:rsidP="00D208CF">
      <w:pPr>
        <w:rPr>
          <w:i/>
          <w:sz w:val="18"/>
        </w:rPr>
      </w:pPr>
      <w:r>
        <w:rPr>
          <w:i/>
          <w:sz w:val="18"/>
        </w:rPr>
        <w:t>‘would an investment in an investee company which has one economic activity, among several other economic activities, that contributes to an environmental or social objective (and none of the economic activities significantly harm any environmental or social objective and the company follows good governance practices) be considered to be a “sustainable investment” as a whole or in part?’</w:t>
      </w:r>
    </w:p>
    <w:p w14:paraId="3F3E1763" w14:textId="79A5C8D2" w:rsidR="00B92885" w:rsidRDefault="00B92885" w:rsidP="00B92885"/>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53DFF5A1" w:rsidR="00B92885" w:rsidRDefault="00D208CF" w:rsidP="00B92885">
      <w:permStart w:id="351877901" w:edGrp="everyone"/>
      <w:r>
        <w:t>Given the current challenges and open interpretations of the SFDR, ESMA could consider a principles-based approach to support quantitative metrics and thresholds. This approach could be reviewed in time as further quantitative data becomes available under corporate disclosure requirements such as CSRD and ISSB</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0E680426" w:rsidR="00B92885" w:rsidRDefault="00D208CF" w:rsidP="00B92885">
      <w:permStart w:id="1539323392" w:edGrp="everyone"/>
      <w:r>
        <w:t>We would support guidelines mirroring the supervisory guidance in ensuring that ESG-related terms should only be used when supported in a material way by evidence of sustainability characteristics or objectives that are reflected fairly and consistently in the fund’s investment objective and policies and strategy as described in the relevant fund documentation</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3BE77C5E" w14:textId="77777777" w:rsidR="00D208CF" w:rsidRDefault="00D208CF" w:rsidP="00D208CF">
      <w:pPr>
        <w:jc w:val="both"/>
      </w:pPr>
      <w:permStart w:id="175976681" w:edGrp="everyone"/>
      <w:r>
        <w:t>We would ask for further clarity as to why</w:t>
      </w:r>
      <w:r w:rsidRPr="00EE40D0">
        <w:t xml:space="preserve"> the minimum </w:t>
      </w:r>
      <w:r>
        <w:t>safeguards/</w:t>
      </w:r>
      <w:r w:rsidRPr="00EE40D0">
        <w:t xml:space="preserve">exclusions </w:t>
      </w:r>
      <w:r>
        <w:t xml:space="preserve">are proposed to follow those set out for </w:t>
      </w:r>
      <w:r w:rsidRPr="00EE40D0">
        <w:t>P</w:t>
      </w:r>
      <w:r>
        <w:t xml:space="preserve">aris Aligned </w:t>
      </w:r>
      <w:r w:rsidRPr="00EE40D0">
        <w:t>B</w:t>
      </w:r>
      <w:r>
        <w:t>enchmarks. PABs</w:t>
      </w:r>
      <w:r w:rsidRPr="00EE40D0">
        <w:t xml:space="preserve"> </w:t>
      </w:r>
      <w:r>
        <w:t>are primarily designed to set standards for benchmarks supporting</w:t>
      </w:r>
      <w:r w:rsidRPr="00EE40D0">
        <w:t xml:space="preserve"> climate </w:t>
      </w:r>
      <w:r>
        <w:t>products and objectives. Many ESG products have wider sustainability objectives than a pure focus on climate objectives i.e social objectives. Furthermore, as noted in our response to Q3, transitioning companies have a role to play in delivering sustainability outcomes. The restrictive PAB exclusions could preclude investment in certain transitioning sectors and industries. W</w:t>
      </w:r>
      <w:r w:rsidRPr="00EA4BFC">
        <w:t>e would propose that financial market participants should define minimum standards for their own funds as appropriate and disclose what they are in pre-contractual disclosures for Article 8 funds</w:t>
      </w:r>
      <w:r>
        <w:t xml:space="preserve">. </w:t>
      </w:r>
    </w:p>
    <w:p w14:paraId="3A9AF3BF" w14:textId="77777777" w:rsidR="00D208CF" w:rsidRDefault="00D208CF" w:rsidP="00D208CF">
      <w:pPr>
        <w:jc w:val="both"/>
      </w:pPr>
      <w:r>
        <w:t>However, relating to certain exclusions, we are very supportive of PAB exclusions (a), (b) and (c)</w:t>
      </w:r>
    </w:p>
    <w:p w14:paraId="7C9157FD" w14:textId="4855D13C" w:rsidR="00B92885" w:rsidRDefault="00B92885" w:rsidP="00B92885"/>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lastRenderedPageBreak/>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t>TYPE YOUR TEXT HERE</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6F6BF557" w:rsidR="00B92885" w:rsidRDefault="00D208CF" w:rsidP="00B92885">
      <w:permStart w:id="1423966990" w:edGrp="everyone"/>
      <w:r>
        <w:t>Yes, as noted previously, we believe there should be provisions for transition or transition-related terms in the guidelines. However, the SFDR has not clarified as yet how transition strategies or investee companies should be considered in regards to Article 8 or 9 products</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0EC92AE" w14:textId="77777777" w:rsidR="00D208CF" w:rsidRDefault="00D208CF" w:rsidP="00B92885">
      <w:permStart w:id="1434478937" w:edGrp="everyone"/>
      <w:r>
        <w:t xml:space="preserve">We support industry representative groups in their view, which is: we consider it important that other investments products, including unit-linked and structured products and potentially pension funds, should be subject to similar requirements to </w:t>
      </w:r>
      <w:r w:rsidRPr="007B13BE">
        <w:t>ensure a level playing field</w:t>
      </w:r>
      <w:r>
        <w:t xml:space="preserve"> that consumers are not confused by different requirements</w:t>
      </w:r>
    </w:p>
    <w:permEnd w:id="1434478937"/>
    <w:p w14:paraId="70EEE415" w14:textId="5F86C97C"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lastRenderedPageBreak/>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7D30E707" w:rsidR="00B92885" w:rsidRDefault="00D208CF" w:rsidP="00B92885">
      <w:permStart w:id="489244833" w:edGrp="everyone"/>
      <w:r>
        <w:t>We think that a period of 6 months is not sufficient to implement the changes and adapt portfolios. We suggest a 12 months transition period would be more beneficial as in some EU Member states, the process of changing name could take time and become an issue as well as limits the changes to threshold as 6 months is not enough time.</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4CD5" w14:textId="77777777" w:rsidR="001076C7" w:rsidRDefault="00107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0B766BFE"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076C7">
            <w:rPr>
              <w:rFonts w:cs="Arial"/>
              <w:noProof/>
              <w:sz w:val="22"/>
              <w:szCs w:val="22"/>
            </w:rPr>
            <w:t>3</w:t>
          </w:r>
          <w:r w:rsidRPr="00616B9B">
            <w:rPr>
              <w:rFonts w:cs="Arial"/>
              <w:noProof/>
              <w:sz w:val="22"/>
              <w:szCs w:val="22"/>
            </w:rPr>
            <w:fldChar w:fldCharType="end"/>
          </w:r>
        </w:p>
      </w:tc>
    </w:tr>
  </w:tbl>
  <w:p w14:paraId="7306E326" w14:textId="77777777" w:rsidR="00267551" w:rsidRDefault="00267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43C63" w14:textId="77777777" w:rsidR="001076C7" w:rsidRDefault="00107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076C7"/>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08CF"/>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table" w:customStyle="1" w:styleId="Tableheader">
    <w:name w:val="Table header"/>
    <w:basedOn w:val="TableNormal"/>
    <w:uiPriority w:val="99"/>
    <w:rsid w:val="00D208CF"/>
    <w:rPr>
      <w:rFonts w:asciiTheme="minorHAnsi" w:eastAsiaTheme="minorHAnsi" w:hAnsiTheme="minorHAnsi" w:cstheme="minorBidi"/>
      <w:sz w:val="22"/>
      <w:szCs w:val="22"/>
      <w:lang w:val="en-AU" w:eastAsia="en-US"/>
    </w:rPr>
    <w:tblPr>
      <w:tblInd w:w="0" w:type="nil"/>
      <w:tblBorders>
        <w:top w:val="single" w:sz="6" w:space="0" w:color="C0504D" w:themeColor="accent2"/>
        <w:bottom w:val="single" w:sz="6" w:space="0" w:color="C0504D" w:themeColor="accent2"/>
        <w:insideH w:val="single" w:sz="4" w:space="0" w:color="C0504D" w:themeColor="accent2"/>
      </w:tblBorders>
    </w:tblPr>
    <w:tblStylePr w:type="firstRow">
      <w:rPr>
        <w:b/>
        <w:color w:val="C0504D" w:themeColor="accent2"/>
      </w:rPr>
    </w:tblStylePr>
    <w:tblStylePr w:type="lastRow">
      <w:tblPr/>
      <w:tcPr>
        <w:tcBorders>
          <w:top w:val="single" w:sz="6" w:space="0" w:color="C0504D" w:themeColor="accent2"/>
          <w:left w:val="nil"/>
          <w:bottom w:val="nil"/>
          <w:right w:val="nil"/>
          <w:insideH w:val="nil"/>
          <w:insideV w:val="nil"/>
          <w:tl2br w:val="nil"/>
          <w:tr2bl w:val="nil"/>
        </w:tcBorders>
      </w:tcPr>
    </w:tblStylePr>
    <w:tblStylePr w:type="firstCol">
      <w:rPr>
        <w:b/>
      </w:rPr>
      <w:tblPr/>
      <w:tcPr>
        <w:shd w:val="clear" w:color="auto" w:fill="F2DBDB" w:themeFill="accent2" w:themeFillTint="33"/>
      </w:tcPr>
    </w:tblStylePr>
    <w:tblStylePr w:type="swCell">
      <w:tblPr/>
      <w:tcPr>
        <w:shd w:val="clear" w:color="auto" w:fill="FFFFFF" w:themeFill="background1"/>
      </w:tcPr>
    </w:tblStylePr>
  </w:style>
  <w:style w:type="paragraph" w:customStyle="1" w:styleId="paragraph">
    <w:name w:val="paragraph"/>
    <w:basedOn w:val="Normal"/>
    <w:rsid w:val="001076C7"/>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1076C7"/>
  </w:style>
  <w:style w:type="character" w:customStyle="1" w:styleId="eop">
    <w:name w:val="eop"/>
    <w:basedOn w:val="DefaultParagraphFont"/>
    <w:rsid w:val="0010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99492521">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5213704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39830397">
      <w:bodyDiv w:val="1"/>
      <w:marLeft w:val="0"/>
      <w:marRight w:val="0"/>
      <w:marTop w:val="0"/>
      <w:marBottom w:val="0"/>
      <w:divBdr>
        <w:top w:val="none" w:sz="0" w:space="0" w:color="auto"/>
        <w:left w:val="none" w:sz="0" w:space="0" w:color="auto"/>
        <w:bottom w:val="none" w:sz="0" w:space="0" w:color="auto"/>
        <w:right w:val="none" w:sz="0" w:space="0" w:color="auto"/>
      </w:divBdr>
      <w:divsChild>
        <w:div w:id="170069691">
          <w:marLeft w:val="0"/>
          <w:marRight w:val="0"/>
          <w:marTop w:val="0"/>
          <w:marBottom w:val="0"/>
          <w:divBdr>
            <w:top w:val="none" w:sz="0" w:space="0" w:color="auto"/>
            <w:left w:val="none" w:sz="0" w:space="0" w:color="auto"/>
            <w:bottom w:val="none" w:sz="0" w:space="0" w:color="auto"/>
            <w:right w:val="none" w:sz="0" w:space="0" w:color="auto"/>
          </w:divBdr>
        </w:div>
        <w:div w:id="886836991">
          <w:marLeft w:val="0"/>
          <w:marRight w:val="0"/>
          <w:marTop w:val="0"/>
          <w:marBottom w:val="0"/>
          <w:divBdr>
            <w:top w:val="none" w:sz="0" w:space="0" w:color="auto"/>
            <w:left w:val="none" w:sz="0" w:space="0" w:color="auto"/>
            <w:bottom w:val="none" w:sz="0" w:space="0" w:color="auto"/>
            <w:right w:val="none" w:sz="0" w:space="0" w:color="auto"/>
          </w:divBdr>
        </w:div>
      </w:divsChild>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725814-a957-482b-8d98-13782773ca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5D43AB71C8C43A1F43196E9143777" ma:contentTypeVersion="14" ma:contentTypeDescription="Create a new document." ma:contentTypeScope="" ma:versionID="2c4dcce48b5086ea5b4d0037bba5488d">
  <xsd:schema xmlns:xsd="http://www.w3.org/2001/XMLSchema" xmlns:xs="http://www.w3.org/2001/XMLSchema" xmlns:p="http://schemas.microsoft.com/office/2006/metadata/properties" xmlns:ns3="2b725814-a957-482b-8d98-13782773ca3c" xmlns:ns4="9db7b2b5-41f3-48fc-a389-afe2ff44fbb8" targetNamespace="http://schemas.microsoft.com/office/2006/metadata/properties" ma:root="true" ma:fieldsID="1dfdb082a0cd6b77024be9367f1342c0" ns3:_="" ns4:_="">
    <xsd:import namespace="2b725814-a957-482b-8d98-13782773ca3c"/>
    <xsd:import namespace="9db7b2b5-41f3-48fc-a389-afe2ff44fb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25814-a957-482b-8d98-13782773c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b7b2b5-41f3-48fc-a389-afe2ff44f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2b725814-a957-482b-8d98-13782773ca3c"/>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9db7b2b5-41f3-48fc-a389-afe2ff44fbb8"/>
    <ds:schemaRef ds:uri="http://schemas.microsoft.com/office/2006/metadata/properties"/>
  </ds:schemaRefs>
</ds:datastoreItem>
</file>

<file path=customXml/itemProps3.xml><?xml version="1.0" encoding="utf-8"?>
<ds:datastoreItem xmlns:ds="http://schemas.openxmlformats.org/officeDocument/2006/customXml" ds:itemID="{C188C209-FF43-4E5E-A260-944A8953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25814-a957-482b-8d98-13782773ca3c"/>
    <ds:schemaRef ds:uri="9db7b2b5-41f3-48fc-a389-afe2ff44f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D5809-45BA-4B98-88E2-322D9ABFAF13}">
  <ds:schemaRefs>
    <ds:schemaRef ds:uri="http://schemas.openxmlformats.org/officeDocument/2006/bibliography"/>
  </ds:schemaRefs>
</ds:datastoreItem>
</file>

<file path=customXml/itemProps5.xml><?xml version="1.0" encoding="utf-8"?>
<ds:datastoreItem xmlns:ds="http://schemas.openxmlformats.org/officeDocument/2006/customXml" ds:itemID="{D57BB8D1-D891-4FFC-ACD3-A2324B62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11712</Characters>
  <Application>Microsoft Office Word</Application>
  <DocSecurity>8</DocSecurity>
  <Lines>97</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13658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Finian Power</cp:lastModifiedBy>
  <cp:revision>2</cp:revision>
  <cp:lastPrinted>2015-02-18T11:01:00Z</cp:lastPrinted>
  <dcterms:created xsi:type="dcterms:W3CDTF">2023-02-20T19:02:00Z</dcterms:created>
  <dcterms:modified xsi:type="dcterms:W3CDTF">2023-02-20T19:02:00Z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0x010100CC55D43AB71C8C43A1F43196E9143777</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