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Pieddepage"/>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Lienhypertexte"/>
        </w:rPr>
        <w:t>www.esma.europa.eu</w:t>
      </w:r>
      <w:r w:rsidR="0066246A">
        <w:rPr>
          <w:rStyle w:val="Lienhypertexte"/>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Titre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Textedelespacerserv"/>
              <w:rFonts w:cs="Arial"/>
            </w:rPr>
            <w:id w:val="651570699"/>
            <w:text/>
          </w:sdtPr>
          <w:sdtEndPr>
            <w:rPr>
              <w:rStyle w:val="Textedelespacerserv"/>
            </w:rPr>
          </w:sdtEndPr>
          <w:sdtContent>
            <w:tc>
              <w:tcPr>
                <w:tcW w:w="5595" w:type="dxa"/>
                <w:shd w:val="clear" w:color="auto" w:fill="auto"/>
              </w:tcPr>
              <w:p w14:paraId="7A68491E" w14:textId="7D7D2CF5" w:rsidR="00C2682A" w:rsidRPr="00AB6D88" w:rsidRDefault="00B53679" w:rsidP="00FA5524">
                <w:pPr>
                  <w:rPr>
                    <w:rStyle w:val="Textedelespacerserv"/>
                    <w:rFonts w:cs="Arial"/>
                  </w:rPr>
                </w:pPr>
                <w:r>
                  <w:rPr>
                    <w:rStyle w:val="Textedelespacerserv"/>
                    <w:rFonts w:cs="Arial"/>
                  </w:rPr>
                  <w:t>AMAFI</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2A457DE0" w:rsidR="00C2682A" w:rsidRPr="00AB6D88" w:rsidRDefault="00994398"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A2365">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03571260" w:rsidR="00C2682A" w:rsidRPr="00AB6D88" w:rsidRDefault="008A2365"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1EB85149" w:rsidR="00C2682A" w:rsidRPr="00AB6D88" w:rsidRDefault="008A2365" w:rsidP="00FA5524">
                <w:pPr>
                  <w:rPr>
                    <w:rFonts w:cs="Arial"/>
                  </w:rPr>
                </w:pPr>
                <w:r>
                  <w:rPr>
                    <w:rFonts w:cs="Arial"/>
                  </w:rPr>
                  <w:t>France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Titre1"/>
        <w:numPr>
          <w:ilvl w:val="0"/>
          <w:numId w:val="0"/>
        </w:numPr>
        <w:ind w:left="431" w:hanging="431"/>
      </w:pPr>
      <w:r>
        <w:t>Introduction</w:t>
      </w:r>
    </w:p>
    <w:p w14:paraId="0A354328" w14:textId="77777777" w:rsidR="00F87897" w:rsidRPr="001D47A5" w:rsidRDefault="00F87897" w:rsidP="00F87897">
      <w:pPr>
        <w:rPr>
          <w:rStyle w:val="Accentuationintense"/>
        </w:rPr>
      </w:pPr>
      <w:r w:rsidRPr="001D47A5">
        <w:rPr>
          <w:rStyle w:val="Accentuationintense"/>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A12C5D2" w14:textId="77777777" w:rsidR="00621617" w:rsidRDefault="00621617" w:rsidP="00800BF8">
      <w:pPr>
        <w:jc w:val="both"/>
        <w:rPr>
          <w:bCs/>
          <w:lang w:val="en-US"/>
        </w:rPr>
      </w:pPr>
      <w:permStart w:id="1100430741" w:edGrp="everyone"/>
      <w:r w:rsidRPr="00776725">
        <w:rPr>
          <w:lang w:val="en-US"/>
        </w:rPr>
        <w:t xml:space="preserve">AMAFI welcomes the opportunity to answer ESMA’s consultation </w:t>
      </w:r>
      <w:r>
        <w:rPr>
          <w:lang w:val="en-US"/>
        </w:rPr>
        <w:t>paper on Guidelines on funds’ names using ESG or sustainability related terms</w:t>
      </w:r>
      <w:r w:rsidRPr="00844913">
        <w:rPr>
          <w:lang w:val="en-US"/>
        </w:rPr>
        <w:t xml:space="preserve">. </w:t>
      </w:r>
      <w:r>
        <w:rPr>
          <w:lang w:val="en-US"/>
        </w:rPr>
        <w:t>Although AMAFI is not an association representing the fund industry, it takes the opportunity to respond to this consultation paper since it represents firms who work closely with asset managers and because it</w:t>
      </w:r>
      <w:r w:rsidRPr="00EB298F">
        <w:rPr>
          <w:bCs/>
          <w:lang w:val="en-US"/>
        </w:rPr>
        <w:t xml:space="preserve"> is involved in different initiatives regarding sustainable finance</w:t>
      </w:r>
      <w:r>
        <w:rPr>
          <w:bCs/>
          <w:lang w:val="en-US"/>
        </w:rPr>
        <w:t>.</w:t>
      </w:r>
      <w:r w:rsidRPr="00EB298F">
        <w:rPr>
          <w:bCs/>
          <w:lang w:val="en-US"/>
        </w:rPr>
        <w:t xml:space="preserve"> </w:t>
      </w:r>
      <w:r>
        <w:rPr>
          <w:bCs/>
          <w:lang w:val="en-US"/>
        </w:rPr>
        <w:t>Particularly</w:t>
      </w:r>
      <w:r w:rsidRPr="00EB298F">
        <w:rPr>
          <w:bCs/>
          <w:lang w:val="en-US"/>
        </w:rPr>
        <w:t xml:space="preserve">, we </w:t>
      </w:r>
      <w:r>
        <w:rPr>
          <w:bCs/>
          <w:lang w:val="en-US"/>
        </w:rPr>
        <w:t>are currently working on two initiatives:</w:t>
      </w:r>
    </w:p>
    <w:p w14:paraId="7D3BDE54" w14:textId="77777777" w:rsidR="00621617" w:rsidRDefault="00621617" w:rsidP="00800BF8">
      <w:pPr>
        <w:jc w:val="both"/>
        <w:rPr>
          <w:bCs/>
          <w:lang w:val="en-US"/>
        </w:rPr>
      </w:pPr>
    </w:p>
    <w:p w14:paraId="7CCD42EF" w14:textId="77777777" w:rsidR="00621617" w:rsidRPr="00EB298F" w:rsidRDefault="00621617" w:rsidP="00800BF8">
      <w:pPr>
        <w:pStyle w:val="Paragraphedeliste"/>
        <w:numPr>
          <w:ilvl w:val="0"/>
          <w:numId w:val="41"/>
        </w:numPr>
        <w:spacing w:before="120" w:line="220" w:lineRule="atLeast"/>
        <w:contextualSpacing w:val="0"/>
        <w:jc w:val="both"/>
        <w:rPr>
          <w:b/>
          <w:szCs w:val="20"/>
          <w:lang w:val="en-US"/>
        </w:rPr>
      </w:pPr>
      <w:r w:rsidRPr="00EB298F">
        <w:rPr>
          <w:szCs w:val="20"/>
          <w:lang w:val="en-US"/>
        </w:rPr>
        <w:t>The development of a professional standard for ESG structured products</w:t>
      </w:r>
      <w:r>
        <w:rPr>
          <w:szCs w:val="20"/>
          <w:lang w:val="en-US"/>
        </w:rPr>
        <w:t>,</w:t>
      </w:r>
      <w:r w:rsidRPr="00EB298F">
        <w:rPr>
          <w:szCs w:val="20"/>
          <w:lang w:val="en-US"/>
        </w:rPr>
        <w:t xml:space="preserve"> </w:t>
      </w:r>
    </w:p>
    <w:p w14:paraId="698DC5EE" w14:textId="77777777" w:rsidR="00621617" w:rsidRDefault="00621617" w:rsidP="00800BF8">
      <w:pPr>
        <w:pStyle w:val="Paragraphedeliste"/>
        <w:numPr>
          <w:ilvl w:val="0"/>
          <w:numId w:val="41"/>
        </w:numPr>
        <w:spacing w:before="120" w:line="220" w:lineRule="atLeast"/>
        <w:contextualSpacing w:val="0"/>
        <w:jc w:val="both"/>
        <w:rPr>
          <w:b/>
          <w:bCs/>
          <w:szCs w:val="20"/>
          <w:lang w:val="en-US"/>
        </w:rPr>
      </w:pPr>
      <w:r>
        <w:rPr>
          <w:bCs/>
          <w:szCs w:val="20"/>
          <w:lang w:val="en-US"/>
        </w:rPr>
        <w:t xml:space="preserve">The treatment of derivatives in the sustainable finance regulation and more specifically how they should be accounted for in Taxonomy alignment ratios. </w:t>
      </w:r>
    </w:p>
    <w:p w14:paraId="7EEF2615" w14:textId="77777777" w:rsidR="00621617" w:rsidRDefault="00621617" w:rsidP="00800BF8">
      <w:pPr>
        <w:jc w:val="both"/>
        <w:rPr>
          <w:bCs/>
          <w:lang w:val="en-US"/>
        </w:rPr>
      </w:pPr>
    </w:p>
    <w:p w14:paraId="3794DFAD" w14:textId="77777777" w:rsidR="00621617" w:rsidRPr="00EB298F" w:rsidRDefault="00621617" w:rsidP="00800BF8">
      <w:pPr>
        <w:jc w:val="both"/>
        <w:rPr>
          <w:bCs/>
          <w:lang w:val="en-US"/>
        </w:rPr>
      </w:pPr>
      <w:r>
        <w:rPr>
          <w:bCs/>
          <w:lang w:val="en-US"/>
        </w:rPr>
        <w:t>T</w:t>
      </w:r>
      <w:r w:rsidRPr="00EB298F">
        <w:rPr>
          <w:bCs/>
          <w:lang w:val="en-US"/>
        </w:rPr>
        <w:t xml:space="preserve">he treatment of derivatives is </w:t>
      </w:r>
      <w:r>
        <w:rPr>
          <w:bCs/>
          <w:lang w:val="en-US"/>
        </w:rPr>
        <w:t>a topical matter which raises many questions a</w:t>
      </w:r>
      <w:r w:rsidRPr="00EB298F">
        <w:rPr>
          <w:bCs/>
          <w:lang w:val="en-US"/>
        </w:rPr>
        <w:t>s stated during the Open Hearing</w:t>
      </w:r>
      <w:r>
        <w:rPr>
          <w:bCs/>
          <w:lang w:val="en-US"/>
        </w:rPr>
        <w:t xml:space="preserve"> of the consultation and for which regulatory guidance is needed</w:t>
      </w:r>
      <w:r w:rsidRPr="00EB298F">
        <w:rPr>
          <w:bCs/>
          <w:lang w:val="en-US"/>
        </w:rPr>
        <w:t xml:space="preserve">. AMAFI </w:t>
      </w:r>
      <w:r>
        <w:rPr>
          <w:bCs/>
          <w:lang w:val="en-US"/>
        </w:rPr>
        <w:t>has</w:t>
      </w:r>
      <w:r w:rsidRPr="00EB298F">
        <w:rPr>
          <w:bCs/>
          <w:lang w:val="en-US"/>
        </w:rPr>
        <w:t xml:space="preserve"> been working for several months </w:t>
      </w:r>
      <w:r>
        <w:rPr>
          <w:bCs/>
          <w:lang w:val="en-US"/>
        </w:rPr>
        <w:t>to clarify the role of derivatives in sustainable finance</w:t>
      </w:r>
      <w:r w:rsidRPr="00EB298F">
        <w:rPr>
          <w:bCs/>
          <w:lang w:val="en-US"/>
        </w:rPr>
        <w:t>, starting with a paper explaining their main usage overall in the economy (</w:t>
      </w:r>
      <w:hyperlink r:id="rId18" w:history="1">
        <w:r w:rsidRPr="005559CE">
          <w:rPr>
            <w:rStyle w:val="Lienhypertexte"/>
            <w:bCs/>
            <w:i/>
            <w:iCs/>
            <w:lang w:val="en-US"/>
          </w:rPr>
          <w:t>AMAFI / 21-47</w:t>
        </w:r>
      </w:hyperlink>
      <w:r w:rsidRPr="00EB298F">
        <w:rPr>
          <w:bCs/>
          <w:lang w:val="en-US"/>
        </w:rPr>
        <w:t>). We also had the opportunity to provide comments on this matter to the European Union Platform on Sustainable Finance (PSF) in relation to its work on how to account for them in the Taxonomy GAR (</w:t>
      </w:r>
      <w:r w:rsidRPr="00EB298F">
        <w:rPr>
          <w:bCs/>
          <w:i/>
          <w:iCs/>
          <w:lang w:val="en-US"/>
        </w:rPr>
        <w:t>AMAFI / 22-37</w:t>
      </w:r>
      <w:r w:rsidRPr="00EB298F">
        <w:rPr>
          <w:bCs/>
          <w:lang w:val="en-US"/>
        </w:rPr>
        <w:t>). Currently, we are working on a methodology for the treatment of derivatives in the Taxonomy.</w:t>
      </w:r>
    </w:p>
    <w:p w14:paraId="6555C6FD" w14:textId="77777777" w:rsidR="00621617" w:rsidRPr="009B775D" w:rsidRDefault="00621617" w:rsidP="00800BF8">
      <w:pPr>
        <w:pStyle w:val="Paragraphedeliste"/>
        <w:jc w:val="both"/>
        <w:rPr>
          <w:b/>
          <w:bCs/>
          <w:szCs w:val="20"/>
          <w:lang w:val="en-US"/>
        </w:rPr>
      </w:pPr>
    </w:p>
    <w:p w14:paraId="08C6541E" w14:textId="588F42AB" w:rsidR="00B92885" w:rsidRDefault="00621617" w:rsidP="00800BF8">
      <w:pPr>
        <w:jc w:val="both"/>
        <w:rPr>
          <w:bCs/>
          <w:lang w:val="en-US"/>
        </w:rPr>
      </w:pPr>
      <w:r>
        <w:rPr>
          <w:bCs/>
          <w:lang w:val="en-US"/>
        </w:rPr>
        <w:t xml:space="preserve">Some of the provisions </w:t>
      </w:r>
      <w:r w:rsidRPr="00EB298F">
        <w:rPr>
          <w:bCs/>
          <w:lang w:val="en-US"/>
        </w:rPr>
        <w:t xml:space="preserve">of this consultation echo </w:t>
      </w:r>
      <w:r>
        <w:rPr>
          <w:bCs/>
          <w:lang w:val="en-US"/>
        </w:rPr>
        <w:t>industry discussions at AMAFI</w:t>
      </w:r>
      <w:r w:rsidRPr="00EB298F">
        <w:rPr>
          <w:bCs/>
          <w:lang w:val="en-US"/>
        </w:rPr>
        <w:t>.</w:t>
      </w:r>
      <w:r>
        <w:rPr>
          <w:bCs/>
          <w:lang w:val="en-US"/>
        </w:rPr>
        <w:t xml:space="preserve"> </w:t>
      </w:r>
      <w:r w:rsidRPr="00B12970">
        <w:rPr>
          <w:lang w:val="en-US"/>
        </w:rPr>
        <w:t xml:space="preserve">As such, </w:t>
      </w:r>
      <w:r>
        <w:rPr>
          <w:lang w:val="en-US"/>
        </w:rPr>
        <w:t>we will focus on</w:t>
      </w:r>
      <w:r w:rsidRPr="00B12970">
        <w:rPr>
          <w:lang w:val="en-US"/>
        </w:rPr>
        <w:t xml:space="preserve"> questions 6, 7</w:t>
      </w:r>
      <w:r>
        <w:rPr>
          <w:lang w:val="en-US"/>
        </w:rPr>
        <w:t xml:space="preserve"> and 9 of the proposed Guidelines.</w:t>
      </w:r>
      <w:r w:rsidRPr="00B12970">
        <w:rPr>
          <w:lang w:val="en-US"/>
        </w:rPr>
        <w:t xml:space="preserve"> </w:t>
      </w:r>
    </w:p>
    <w:p w14:paraId="0AFD7B4F" w14:textId="77777777" w:rsidR="00156A77" w:rsidRPr="00156A77" w:rsidRDefault="00156A77" w:rsidP="00156A77">
      <w:pPr>
        <w:rPr>
          <w:bCs/>
          <w:lang w:val="en-US"/>
        </w:rPr>
      </w:pP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043F3971" w14:textId="77777777" w:rsidR="00B92885" w:rsidRDefault="00B92885" w:rsidP="00B92885">
      <w:permStart w:id="1596738700" w:edGrp="everyone"/>
      <w:r>
        <w:t>TYPE YOUR TEXT HERE</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3"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3"/>
    <w:p w14:paraId="4F9400BD" w14:textId="77777777" w:rsidR="00B92885" w:rsidRDefault="00B92885" w:rsidP="00B92885">
      <w:r>
        <w:t>&lt;ESMA_QUESTION_FUNA_2&gt;</w:t>
      </w:r>
    </w:p>
    <w:p w14:paraId="7BED3590" w14:textId="77777777" w:rsidR="00B92885" w:rsidRDefault="00B92885" w:rsidP="00B92885">
      <w:permStart w:id="1305634831" w:edGrp="everyone"/>
      <w:r>
        <w:t>TYPE YOUR TEXT HERE</w:t>
      </w: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3F3E1763" w14:textId="77777777" w:rsidR="00B92885" w:rsidRDefault="00B92885" w:rsidP="00B92885">
      <w:permStart w:id="347949177" w:edGrp="everyone"/>
      <w:r>
        <w:t>TYPE YOUR TEXT HERE</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5DCA02E0" w14:textId="77777777" w:rsidR="00B92885" w:rsidRDefault="00B92885" w:rsidP="00B92885">
      <w:permStart w:id="351877901" w:edGrp="everyone"/>
      <w:r>
        <w:t>TYPE YOUR TEXT HERE</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29ABEB43" w14:textId="51B857B9" w:rsidR="00B92885" w:rsidRDefault="00B92885" w:rsidP="00B92885">
      <w:permStart w:id="1539323392" w:edGrp="everyone"/>
      <w:r>
        <w:t>TYPE YOUR TEXT HERE</w:t>
      </w: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6B050FB8" w14:textId="77777777" w:rsidR="001B5FD4" w:rsidRDefault="001B5FD4" w:rsidP="00800BF8">
      <w:pPr>
        <w:jc w:val="both"/>
        <w:rPr>
          <w:lang w:val="en-US"/>
        </w:rPr>
      </w:pPr>
      <w:permStart w:id="175976681" w:edGrp="everyone"/>
      <w:r w:rsidRPr="003D5102">
        <w:rPr>
          <w:lang w:val="en-US"/>
        </w:rPr>
        <w:t xml:space="preserve">AMAFI believes that the minimum safeguards </w:t>
      </w:r>
      <w:r>
        <w:rPr>
          <w:lang w:val="en-US"/>
        </w:rPr>
        <w:t>proposed</w:t>
      </w:r>
      <w:r w:rsidRPr="003D5102">
        <w:rPr>
          <w:lang w:val="en-US"/>
        </w:rPr>
        <w:t xml:space="preserve"> by ESMA</w:t>
      </w:r>
      <w:r>
        <w:rPr>
          <w:lang w:val="en-US"/>
        </w:rPr>
        <w:t>,</w:t>
      </w:r>
      <w:r w:rsidRPr="003D5102">
        <w:rPr>
          <w:lang w:val="en-US"/>
        </w:rPr>
        <w:t xml:space="preserve"> which are based on exclusion criteria</w:t>
      </w:r>
      <w:r>
        <w:rPr>
          <w:lang w:val="en-US"/>
        </w:rPr>
        <w:t xml:space="preserve"> and</w:t>
      </w:r>
      <w:r w:rsidRPr="003D5102">
        <w:rPr>
          <w:lang w:val="en-US"/>
        </w:rPr>
        <w:t xml:space="preserve"> that would be applied to all investments of </w:t>
      </w:r>
      <w:r>
        <w:rPr>
          <w:lang w:val="en-US"/>
        </w:rPr>
        <w:t>a</w:t>
      </w:r>
      <w:r w:rsidRPr="003D5102">
        <w:rPr>
          <w:lang w:val="en-US"/>
        </w:rPr>
        <w:t xml:space="preserve"> fund</w:t>
      </w:r>
      <w:r>
        <w:rPr>
          <w:lang w:val="en-US"/>
        </w:rPr>
        <w:t>,</w:t>
      </w:r>
      <w:r w:rsidRPr="003D5102">
        <w:rPr>
          <w:lang w:val="en-US"/>
        </w:rPr>
        <w:t xml:space="preserve"> </w:t>
      </w:r>
      <w:r>
        <w:rPr>
          <w:lang w:val="en-US"/>
        </w:rPr>
        <w:t>are</w:t>
      </w:r>
      <w:r w:rsidRPr="003D5102">
        <w:rPr>
          <w:lang w:val="en-US"/>
        </w:rPr>
        <w:t xml:space="preserve"> </w:t>
      </w:r>
      <w:r>
        <w:rPr>
          <w:lang w:val="en-US"/>
        </w:rPr>
        <w:t xml:space="preserve">not </w:t>
      </w:r>
      <w:r w:rsidRPr="003D5102">
        <w:rPr>
          <w:lang w:val="en-US"/>
        </w:rPr>
        <w:t xml:space="preserve">appropriate. </w:t>
      </w:r>
    </w:p>
    <w:p w14:paraId="3C38FFD4" w14:textId="77777777" w:rsidR="001B5FD4" w:rsidRDefault="001B5FD4" w:rsidP="00800BF8">
      <w:pPr>
        <w:jc w:val="both"/>
        <w:rPr>
          <w:lang w:val="en-US"/>
        </w:rPr>
      </w:pPr>
    </w:p>
    <w:p w14:paraId="71BB4DD7" w14:textId="77777777" w:rsidR="001B5FD4" w:rsidRDefault="001B5FD4" w:rsidP="00800BF8">
      <w:pPr>
        <w:jc w:val="both"/>
        <w:rPr>
          <w:lang w:val="en-US"/>
        </w:rPr>
      </w:pPr>
      <w:r>
        <w:rPr>
          <w:lang w:val="en-US"/>
        </w:rPr>
        <w:t xml:space="preserve">Firstly, </w:t>
      </w:r>
      <w:r w:rsidRPr="003D5102">
        <w:rPr>
          <w:lang w:val="en-US"/>
        </w:rPr>
        <w:t xml:space="preserve">PAB is a tool tailored to </w:t>
      </w:r>
      <w:r>
        <w:rPr>
          <w:lang w:val="en-US"/>
        </w:rPr>
        <w:t xml:space="preserve">the </w:t>
      </w:r>
      <w:r w:rsidRPr="003D5102">
        <w:rPr>
          <w:lang w:val="en-US"/>
        </w:rPr>
        <w:t>Paris</w:t>
      </w:r>
      <w:r>
        <w:rPr>
          <w:lang w:val="en-US"/>
        </w:rPr>
        <w:t xml:space="preserve"> agreement </w:t>
      </w:r>
      <w:r w:rsidRPr="003D5102">
        <w:rPr>
          <w:lang w:val="en-US"/>
        </w:rPr>
        <w:t>aligned targets</w:t>
      </w:r>
      <w:r>
        <w:rPr>
          <w:lang w:val="en-US"/>
        </w:rPr>
        <w:t xml:space="preserve">, which </w:t>
      </w:r>
      <w:r w:rsidRPr="003D5102">
        <w:rPr>
          <w:lang w:val="en-US"/>
        </w:rPr>
        <w:t xml:space="preserve">is mainly focused on climate. It is not suited for strategies that are not fully climate oriented. </w:t>
      </w:r>
    </w:p>
    <w:p w14:paraId="39A62B8A" w14:textId="77777777" w:rsidR="001B5FD4" w:rsidRDefault="001B5FD4" w:rsidP="00800BF8">
      <w:pPr>
        <w:jc w:val="both"/>
        <w:rPr>
          <w:lang w:val="en-US"/>
        </w:rPr>
      </w:pPr>
    </w:p>
    <w:p w14:paraId="36E11F7B" w14:textId="77777777" w:rsidR="001B5FD4" w:rsidRDefault="001B5FD4" w:rsidP="00800BF8">
      <w:pPr>
        <w:jc w:val="both"/>
        <w:rPr>
          <w:lang w:val="en-US"/>
        </w:rPr>
      </w:pPr>
      <w:r>
        <w:rPr>
          <w:lang w:val="en-US"/>
        </w:rPr>
        <w:t xml:space="preserve">Secondly, basing minimum safeguards on exclusion criteria is likely to result in limiting the selection to assets which are already eligible to the 80 % threshold category, requiring de facto from the “remaining </w:t>
      </w:r>
      <w:r>
        <w:rPr>
          <w:lang w:val="en-US"/>
        </w:rPr>
        <w:lastRenderedPageBreak/>
        <w:t xml:space="preserve">investments” similar credentials as the other assets of the fund. This would go </w:t>
      </w:r>
      <w:r w:rsidRPr="003D5102">
        <w:rPr>
          <w:lang w:val="en-US"/>
        </w:rPr>
        <w:t>beyond the foreseen notion of minim</w:t>
      </w:r>
      <w:r>
        <w:rPr>
          <w:lang w:val="en-US"/>
        </w:rPr>
        <w:t xml:space="preserve">um </w:t>
      </w:r>
      <w:r w:rsidRPr="003D5102">
        <w:rPr>
          <w:lang w:val="en-US"/>
        </w:rPr>
        <w:t>safeguards ESMA is seeking views on</w:t>
      </w:r>
      <w:r>
        <w:rPr>
          <w:lang w:val="en-US"/>
        </w:rPr>
        <w:t xml:space="preserve">, especially in the current state of the transition of the economy. Finding the right balance to define these minimum safeguards is important, as these remaining investments should be flexible enough to allow for a workable constitution of the fund, while not </w:t>
      </w:r>
      <w:proofErr w:type="spellStart"/>
      <w:r>
        <w:rPr>
          <w:lang w:val="en-US"/>
        </w:rPr>
        <w:t>authorising</w:t>
      </w:r>
      <w:proofErr w:type="spellEnd"/>
      <w:r>
        <w:rPr>
          <w:lang w:val="en-US"/>
        </w:rPr>
        <w:t xml:space="preserve"> assets which significantly harm E, S or G criteria. This pocket of flexibility is a concept that exists in similar contexts: for example, the AMF </w:t>
      </w:r>
      <w:proofErr w:type="spellStart"/>
      <w:r>
        <w:rPr>
          <w:lang w:val="en-US"/>
        </w:rPr>
        <w:t>authorises</w:t>
      </w:r>
      <w:proofErr w:type="spellEnd"/>
      <w:r>
        <w:rPr>
          <w:lang w:val="en-US"/>
        </w:rPr>
        <w:t xml:space="preserve"> a fund to communicate prominently on its ESG characteristics if 90% of its investments are filtered, leaving the remaining 10% at the discretion of the asset manager (</w:t>
      </w:r>
      <w:r w:rsidRPr="00D475B4">
        <w:rPr>
          <w:i/>
          <w:iCs/>
          <w:u w:val="single"/>
          <w:lang w:val="en-US"/>
        </w:rPr>
        <w:t xml:space="preserve">see </w:t>
      </w:r>
      <w:hyperlink r:id="rId19" w:anchor="sectionArchive0" w:history="1">
        <w:r w:rsidRPr="00D475B4">
          <w:rPr>
            <w:rStyle w:val="Lienhypertexte"/>
            <w:i/>
            <w:iCs/>
            <w:lang w:val="en-US"/>
          </w:rPr>
          <w:t>Position-</w:t>
        </w:r>
        <w:proofErr w:type="spellStart"/>
        <w:r w:rsidRPr="00D475B4">
          <w:rPr>
            <w:rStyle w:val="Lienhypertexte"/>
            <w:i/>
            <w:iCs/>
            <w:lang w:val="en-US"/>
          </w:rPr>
          <w:t>Recommandation</w:t>
        </w:r>
        <w:proofErr w:type="spellEnd"/>
        <w:r w:rsidRPr="00D475B4">
          <w:rPr>
            <w:rStyle w:val="Lienhypertexte"/>
            <w:i/>
            <w:iCs/>
            <w:lang w:val="en-US"/>
          </w:rPr>
          <w:t xml:space="preserve"> AMF n° 2020-03</w:t>
        </w:r>
      </w:hyperlink>
      <w:r>
        <w:rPr>
          <w:lang w:val="en-US"/>
        </w:rPr>
        <w:t xml:space="preserve">). </w:t>
      </w:r>
    </w:p>
    <w:p w14:paraId="75817D0F" w14:textId="77777777" w:rsidR="001B5FD4" w:rsidRDefault="001B5FD4" w:rsidP="00800BF8">
      <w:pPr>
        <w:jc w:val="both"/>
        <w:rPr>
          <w:lang w:val="en-US"/>
        </w:rPr>
      </w:pPr>
    </w:p>
    <w:p w14:paraId="03A79E51" w14:textId="77777777" w:rsidR="001B5FD4" w:rsidRDefault="001B5FD4" w:rsidP="00800BF8">
      <w:pPr>
        <w:jc w:val="both"/>
        <w:rPr>
          <w:lang w:val="en-US"/>
        </w:rPr>
      </w:pPr>
      <w:r>
        <w:rPr>
          <w:lang w:val="en-US"/>
        </w:rPr>
        <w:t>Another solution could be to require the use of Principle Adverse Impacts that are mandatory according to SFDR. Such an approach</w:t>
      </w:r>
      <w:r w:rsidRPr="00E86D7C">
        <w:rPr>
          <w:lang w:val="en-US"/>
        </w:rPr>
        <w:t xml:space="preserve"> would make it possible to take into consideration the E, S and</w:t>
      </w:r>
      <w:r>
        <w:rPr>
          <w:lang w:val="en-US"/>
        </w:rPr>
        <w:t>/or</w:t>
      </w:r>
      <w:r w:rsidRPr="00E86D7C">
        <w:rPr>
          <w:lang w:val="en-US"/>
        </w:rPr>
        <w:t xml:space="preserve"> G aspects </w:t>
      </w:r>
      <w:r>
        <w:rPr>
          <w:lang w:val="en-US"/>
        </w:rPr>
        <w:t>of the assets suited</w:t>
      </w:r>
      <w:r w:rsidRPr="00E86D7C">
        <w:rPr>
          <w:lang w:val="en-US"/>
        </w:rPr>
        <w:t xml:space="preserve"> to the </w:t>
      </w:r>
      <w:r>
        <w:rPr>
          <w:lang w:val="en-US"/>
        </w:rPr>
        <w:t>investment objective</w:t>
      </w:r>
      <w:r w:rsidRPr="00E86D7C">
        <w:rPr>
          <w:lang w:val="en-US"/>
        </w:rPr>
        <w:t xml:space="preserve"> of the </w:t>
      </w:r>
      <w:proofErr w:type="gramStart"/>
      <w:r w:rsidRPr="00E86D7C">
        <w:rPr>
          <w:lang w:val="en-US"/>
        </w:rPr>
        <w:t>product, and</w:t>
      </w:r>
      <w:proofErr w:type="gramEnd"/>
      <w:r w:rsidRPr="00E86D7C">
        <w:rPr>
          <w:lang w:val="en-US"/>
        </w:rPr>
        <w:t xml:space="preserve"> would therefore</w:t>
      </w:r>
      <w:r>
        <w:rPr>
          <w:lang w:val="en-US"/>
        </w:rPr>
        <w:t xml:space="preserve"> provide the necessary flexibility</w:t>
      </w:r>
      <w:r w:rsidRPr="00E86D7C">
        <w:rPr>
          <w:lang w:val="en-US"/>
        </w:rPr>
        <w:t xml:space="preserve"> </w:t>
      </w:r>
      <w:r>
        <w:rPr>
          <w:lang w:val="en-US"/>
        </w:rPr>
        <w:t>without</w:t>
      </w:r>
      <w:r w:rsidRPr="00E86D7C">
        <w:rPr>
          <w:lang w:val="en-US"/>
        </w:rPr>
        <w:t xml:space="preserve"> </w:t>
      </w:r>
      <w:r>
        <w:rPr>
          <w:lang w:val="en-US"/>
        </w:rPr>
        <w:t>hampering product</w:t>
      </w:r>
      <w:r w:rsidRPr="00E86D7C">
        <w:rPr>
          <w:lang w:val="en-US"/>
        </w:rPr>
        <w:t xml:space="preserve"> innovation </w:t>
      </w:r>
      <w:r>
        <w:rPr>
          <w:lang w:val="en-US"/>
        </w:rPr>
        <w:t>in the ESG space</w:t>
      </w:r>
      <w:r w:rsidRPr="00E86D7C">
        <w:rPr>
          <w:lang w:val="en-US"/>
        </w:rPr>
        <w:t>.</w:t>
      </w:r>
      <w:r>
        <w:rPr>
          <w:lang w:val="en-US"/>
        </w:rPr>
        <w:t xml:space="preserve"> This approach would also be more proportionate for “remaining investments”: although their characteristics would not enable them to be part of the 80% minimum threshold, they would show a level of commitment by considering the negative impacts.</w:t>
      </w:r>
    </w:p>
    <w:p w14:paraId="7C9157FD" w14:textId="02F42390" w:rsidR="00B92885" w:rsidRPr="001B5FD4" w:rsidRDefault="00B92885" w:rsidP="00B92885">
      <w:pPr>
        <w:rPr>
          <w:lang w:val="en-US"/>
        </w:rPr>
      </w:pPr>
    </w:p>
    <w:permEnd w:id="175976681"/>
    <w:p w14:paraId="6EE97467" w14:textId="77777777"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5E744CF2" w14:textId="77777777" w:rsidR="00E273E4" w:rsidRDefault="00E273E4" w:rsidP="00800BF8">
      <w:pPr>
        <w:jc w:val="both"/>
        <w:rPr>
          <w:lang w:val="en-US"/>
        </w:rPr>
      </w:pPr>
      <w:permStart w:id="576722602" w:edGrp="everyone"/>
      <w:r w:rsidRPr="003D5102">
        <w:rPr>
          <w:lang w:val="en-US"/>
        </w:rPr>
        <w:t>AMAFI welcomes the consideration given to derivatives in the calculation of the minimum proportion</w:t>
      </w:r>
      <w:r>
        <w:rPr>
          <w:lang w:val="en-US"/>
        </w:rPr>
        <w:t xml:space="preserve">. </w:t>
      </w:r>
    </w:p>
    <w:p w14:paraId="2EB8B915" w14:textId="77777777" w:rsidR="00E273E4" w:rsidRDefault="00E273E4" w:rsidP="00800BF8">
      <w:pPr>
        <w:jc w:val="both"/>
        <w:rPr>
          <w:lang w:val="en-US"/>
        </w:rPr>
      </w:pPr>
    </w:p>
    <w:p w14:paraId="7FA113F2" w14:textId="77777777" w:rsidR="00E273E4" w:rsidRDefault="00E273E4" w:rsidP="00800BF8">
      <w:pPr>
        <w:jc w:val="both"/>
        <w:rPr>
          <w:lang w:val="en-US"/>
        </w:rPr>
      </w:pPr>
      <w:r>
        <w:rPr>
          <w:lang w:val="en-US"/>
        </w:rPr>
        <w:t>Specific provisions are indeed needed because derivatives play a role in sustainability (1) and c</w:t>
      </w:r>
      <w:r w:rsidRPr="00D13099">
        <w:rPr>
          <w:lang w:val="en-US"/>
        </w:rPr>
        <w:t xml:space="preserve">urrent EU legislation on sustainable finance does not have a consistent approach towards </w:t>
      </w:r>
      <w:r>
        <w:rPr>
          <w:lang w:val="en-US"/>
        </w:rPr>
        <w:t>them (2)</w:t>
      </w:r>
      <w:r w:rsidRPr="00D13099">
        <w:rPr>
          <w:lang w:val="en-US"/>
        </w:rPr>
        <w:t>.</w:t>
      </w:r>
    </w:p>
    <w:p w14:paraId="61872964" w14:textId="77777777" w:rsidR="00E273E4" w:rsidRDefault="00E273E4" w:rsidP="00800BF8">
      <w:pPr>
        <w:jc w:val="both"/>
        <w:rPr>
          <w:bCs/>
          <w:lang w:val="en-US"/>
        </w:rPr>
      </w:pPr>
    </w:p>
    <w:p w14:paraId="194BD28C" w14:textId="0319AEA0" w:rsidR="00E273E4" w:rsidRDefault="00E273E4" w:rsidP="00800BF8">
      <w:pPr>
        <w:jc w:val="both"/>
        <w:rPr>
          <w:bCs/>
          <w:lang w:val="en-US"/>
        </w:rPr>
      </w:pPr>
      <w:r>
        <w:rPr>
          <w:bCs/>
          <w:lang w:val="en-US"/>
        </w:rPr>
        <w:t xml:space="preserve">(1) </w:t>
      </w:r>
      <w:r>
        <w:rPr>
          <w:lang w:val="en-US"/>
        </w:rPr>
        <w:t>Further than hedging risks and facilitating financing in the economy,</w:t>
      </w:r>
      <w:r>
        <w:rPr>
          <w:bCs/>
          <w:lang w:val="en-US"/>
        </w:rPr>
        <w:t xml:space="preserve"> derivatives </w:t>
      </w:r>
      <w:r w:rsidRPr="00963838">
        <w:rPr>
          <w:bCs/>
          <w:lang w:val="en-US"/>
        </w:rPr>
        <w:t>play an important role for investors</w:t>
      </w:r>
      <w:r>
        <w:rPr>
          <w:bCs/>
          <w:lang w:val="en-US"/>
        </w:rPr>
        <w:t xml:space="preserve"> in</w:t>
      </w:r>
      <w:r w:rsidRPr="00963838">
        <w:rPr>
          <w:bCs/>
          <w:lang w:val="en-US"/>
        </w:rPr>
        <w:t xml:space="preserve"> cover</w:t>
      </w:r>
      <w:r>
        <w:rPr>
          <w:bCs/>
          <w:lang w:val="en-US"/>
        </w:rPr>
        <w:t xml:space="preserve">ing </w:t>
      </w:r>
      <w:r w:rsidRPr="00963838">
        <w:rPr>
          <w:bCs/>
          <w:lang w:val="en-US"/>
        </w:rPr>
        <w:t>the risks of their portfolio</w:t>
      </w:r>
      <w:r>
        <w:rPr>
          <w:bCs/>
          <w:lang w:val="en-US"/>
        </w:rPr>
        <w:t>, enabling exposure to ESG assets in a cost-effective manner and influencing the cost of capital of the companies they invest in or disinvest from</w:t>
      </w:r>
      <w:r>
        <w:rPr>
          <w:bCs/>
          <w:lang w:val="en-US"/>
        </w:rPr>
        <w:t xml:space="preserve"> (</w:t>
      </w:r>
      <w:r w:rsidRPr="00AB3446">
        <w:t xml:space="preserve">See in this respect, </w:t>
      </w:r>
      <w:hyperlink r:id="rId20" w:history="1">
        <w:r w:rsidRPr="00AB3446">
          <w:rPr>
            <w:rStyle w:val="Lienhypertexte"/>
          </w:rPr>
          <w:t>FC</w:t>
        </w:r>
        <w:r w:rsidRPr="00B576EC">
          <w:rPr>
            <w:rStyle w:val="Lienhypertexte"/>
          </w:rPr>
          <w:t>A’s consultation CP22/20, section 4.10, Box 3</w:t>
        </w:r>
      </w:hyperlink>
      <w:r>
        <w:t xml:space="preserve">, which describes the three </w:t>
      </w:r>
      <w:r w:rsidRPr="00AB3446">
        <w:t>main channels or mechanisms by which an investor may plausibly contribute to positive outcomes for the environment and/or society</w:t>
      </w:r>
      <w:r>
        <w:t>, its impact on the cost of capital being one of them</w:t>
      </w:r>
      <w:r>
        <w:rPr>
          <w:bCs/>
          <w:lang w:val="en-US"/>
        </w:rPr>
        <w:t>)</w:t>
      </w:r>
      <w:r w:rsidR="002C7958">
        <w:rPr>
          <w:bCs/>
          <w:lang w:val="en-US"/>
        </w:rPr>
        <w:t>.</w:t>
      </w:r>
    </w:p>
    <w:p w14:paraId="0CD909F2" w14:textId="77777777" w:rsidR="00E273E4" w:rsidRDefault="00E273E4" w:rsidP="00800BF8">
      <w:pPr>
        <w:jc w:val="both"/>
        <w:rPr>
          <w:bCs/>
          <w:lang w:val="en-US"/>
        </w:rPr>
      </w:pPr>
    </w:p>
    <w:p w14:paraId="7D5F4E85" w14:textId="6A30F6CD" w:rsidR="00E273E4" w:rsidRDefault="00E273E4" w:rsidP="00800BF8">
      <w:pPr>
        <w:jc w:val="both"/>
        <w:rPr>
          <w:lang w:val="en-US"/>
        </w:rPr>
      </w:pPr>
      <w:r>
        <w:rPr>
          <w:lang w:val="en-US"/>
        </w:rPr>
        <w:t xml:space="preserve">In their hedging capacity, derivatives enable </w:t>
      </w:r>
      <w:r w:rsidRPr="00744227">
        <w:rPr>
          <w:lang w:val="en-US"/>
        </w:rPr>
        <w:t>investor</w:t>
      </w:r>
      <w:r>
        <w:rPr>
          <w:lang w:val="en-US"/>
        </w:rPr>
        <w:t>s</w:t>
      </w:r>
      <w:r w:rsidRPr="00744227">
        <w:rPr>
          <w:lang w:val="en-US"/>
        </w:rPr>
        <w:t xml:space="preserve"> to cover the risks of </w:t>
      </w:r>
      <w:r>
        <w:rPr>
          <w:lang w:val="en-US"/>
        </w:rPr>
        <w:t>their</w:t>
      </w:r>
      <w:r w:rsidRPr="00744227">
        <w:rPr>
          <w:lang w:val="en-US"/>
        </w:rPr>
        <w:t xml:space="preserve"> portfolio</w:t>
      </w:r>
      <w:r>
        <w:rPr>
          <w:lang w:val="en-US"/>
        </w:rPr>
        <w:t xml:space="preserve">, </w:t>
      </w:r>
      <w:r w:rsidRPr="00744227">
        <w:rPr>
          <w:lang w:val="en-US"/>
        </w:rPr>
        <w:t>contribut</w:t>
      </w:r>
      <w:r>
        <w:rPr>
          <w:lang w:val="en-US"/>
        </w:rPr>
        <w:t>ing directly</w:t>
      </w:r>
      <w:r w:rsidRPr="00744227">
        <w:rPr>
          <w:lang w:val="en-US"/>
        </w:rPr>
        <w:t xml:space="preserve"> to </w:t>
      </w:r>
      <w:r>
        <w:rPr>
          <w:lang w:val="en-US"/>
        </w:rPr>
        <w:t>their</w:t>
      </w:r>
      <w:r w:rsidRPr="00744227">
        <w:rPr>
          <w:lang w:val="en-US"/>
        </w:rPr>
        <w:t xml:space="preserve"> appetite to buy securities in the primary and secondary markets</w:t>
      </w:r>
      <w:r>
        <w:rPr>
          <w:lang w:val="en-US"/>
        </w:rPr>
        <w:t xml:space="preserve">, hence contributing to their liquidity. </w:t>
      </w:r>
    </w:p>
    <w:p w14:paraId="7378FA80" w14:textId="77777777" w:rsidR="003B016E" w:rsidRDefault="003B016E" w:rsidP="00800BF8">
      <w:pPr>
        <w:jc w:val="both"/>
        <w:rPr>
          <w:lang w:val="en-US"/>
        </w:rPr>
      </w:pPr>
    </w:p>
    <w:p w14:paraId="467BA80E" w14:textId="77777777" w:rsidR="003B016E" w:rsidRDefault="003B016E" w:rsidP="00800BF8">
      <w:pPr>
        <w:jc w:val="both"/>
        <w:rPr>
          <w:bCs/>
          <w:lang w:val="en-US"/>
        </w:rPr>
      </w:pPr>
      <w:r>
        <w:rPr>
          <w:lang w:val="en-US"/>
        </w:rPr>
        <w:t>Investors</w:t>
      </w:r>
      <w:r w:rsidRPr="00744227">
        <w:rPr>
          <w:lang w:val="en-US"/>
        </w:rPr>
        <w:t xml:space="preserve"> </w:t>
      </w:r>
      <w:r>
        <w:rPr>
          <w:lang w:val="en-US"/>
        </w:rPr>
        <w:t xml:space="preserve">also </w:t>
      </w:r>
      <w:r w:rsidRPr="00744227">
        <w:rPr>
          <w:lang w:val="en-US"/>
        </w:rPr>
        <w:t xml:space="preserve">use derivatives to </w:t>
      </w:r>
      <w:r>
        <w:rPr>
          <w:lang w:val="en-US"/>
        </w:rPr>
        <w:t>manage their</w:t>
      </w:r>
      <w:r w:rsidRPr="00744227">
        <w:rPr>
          <w:lang w:val="en-US"/>
        </w:rPr>
        <w:t xml:space="preserve"> exposure to the equity market while </w:t>
      </w:r>
      <w:r>
        <w:rPr>
          <w:lang w:val="en-US"/>
        </w:rPr>
        <w:t>gaining</w:t>
      </w:r>
      <w:r w:rsidRPr="00744227">
        <w:rPr>
          <w:lang w:val="en-US"/>
        </w:rPr>
        <w:t xml:space="preserve"> some form of market risk protection or</w:t>
      </w:r>
      <w:r>
        <w:rPr>
          <w:lang w:val="en-US"/>
        </w:rPr>
        <w:t xml:space="preserve"> to</w:t>
      </w:r>
      <w:r w:rsidRPr="00744227">
        <w:rPr>
          <w:lang w:val="en-US"/>
        </w:rPr>
        <w:t xml:space="preserve"> replicate exposure to indices</w:t>
      </w:r>
      <w:r>
        <w:rPr>
          <w:lang w:val="en-US"/>
        </w:rPr>
        <w:t xml:space="preserve"> </w:t>
      </w:r>
      <w:r w:rsidRPr="00744227">
        <w:rPr>
          <w:lang w:val="en-US"/>
        </w:rPr>
        <w:t xml:space="preserve">such as </w:t>
      </w:r>
      <w:r>
        <w:rPr>
          <w:lang w:val="en-US"/>
        </w:rPr>
        <w:t>ESG ones</w:t>
      </w:r>
      <w:r w:rsidRPr="00744227">
        <w:rPr>
          <w:lang w:val="en-US"/>
        </w:rPr>
        <w:t xml:space="preserve">. Derivatives are essential tools for insurers and pension funds to seek exposure to the market in a cost-efficient way. </w:t>
      </w:r>
      <w:r>
        <w:rPr>
          <w:lang w:val="en-US"/>
        </w:rPr>
        <w:t>In a</w:t>
      </w:r>
      <w:r w:rsidRPr="00C15F18">
        <w:rPr>
          <w:lang w:val="en-US"/>
        </w:rPr>
        <w:t xml:space="preserve">llowing for the consideration of </w:t>
      </w:r>
      <w:r>
        <w:rPr>
          <w:lang w:val="en-US"/>
        </w:rPr>
        <w:t>investors’</w:t>
      </w:r>
      <w:r w:rsidRPr="00C15F18">
        <w:rPr>
          <w:lang w:val="en-US"/>
        </w:rPr>
        <w:t xml:space="preserve"> risk appetite</w:t>
      </w:r>
      <w:r>
        <w:rPr>
          <w:lang w:val="en-US"/>
        </w:rPr>
        <w:t>, derivatives</w:t>
      </w:r>
      <w:r w:rsidRPr="00C15F18">
        <w:rPr>
          <w:lang w:val="en-US"/>
        </w:rPr>
        <w:t xml:space="preserve"> allow broader participation of end investors</w:t>
      </w:r>
      <w:r>
        <w:rPr>
          <w:lang w:val="en-US"/>
        </w:rPr>
        <w:t xml:space="preserve"> to the price formation of the securities concerned. Indeed, by</w:t>
      </w:r>
      <w:r w:rsidRPr="00B576EC">
        <w:rPr>
          <w:lang w:val="en-US"/>
        </w:rPr>
        <w:t xml:space="preserve"> </w:t>
      </w:r>
      <w:r>
        <w:rPr>
          <w:lang w:val="en-US"/>
        </w:rPr>
        <w:t xml:space="preserve">taking </w:t>
      </w:r>
      <w:r w:rsidRPr="00B576EC">
        <w:rPr>
          <w:lang w:val="en-US"/>
        </w:rPr>
        <w:t>economic exposure on the equity and corporate bonds markets, investors participate in sharing companies’ business risk and contribut</w:t>
      </w:r>
      <w:r>
        <w:rPr>
          <w:lang w:val="en-US"/>
        </w:rPr>
        <w:t>e</w:t>
      </w:r>
      <w:r w:rsidRPr="00B576EC">
        <w:rPr>
          <w:lang w:val="en-US"/>
        </w:rPr>
        <w:t xml:space="preserve"> to the definition of </w:t>
      </w:r>
      <w:r>
        <w:rPr>
          <w:lang w:val="en-US"/>
        </w:rPr>
        <w:t>their</w:t>
      </w:r>
      <w:r w:rsidRPr="00B576EC">
        <w:rPr>
          <w:lang w:val="en-US"/>
        </w:rPr>
        <w:t xml:space="preserve"> cost of capital</w:t>
      </w:r>
      <w:r>
        <w:rPr>
          <w:lang w:val="en-US"/>
        </w:rPr>
        <w:t>/cost of funding.</w:t>
      </w:r>
      <w:r w:rsidRPr="0089020E">
        <w:rPr>
          <w:lang w:val="en-US"/>
        </w:rPr>
        <w:t xml:space="preserve"> </w:t>
      </w:r>
      <w:r>
        <w:rPr>
          <w:lang w:val="en-US"/>
        </w:rPr>
        <w:t>By influencing companies’ cost of capital/cost of funding, investors signal directions to the market and entire industry sectors.</w:t>
      </w:r>
    </w:p>
    <w:p w14:paraId="10EB045E" w14:textId="77777777" w:rsidR="003B016E" w:rsidRDefault="003B016E" w:rsidP="00800BF8">
      <w:pPr>
        <w:jc w:val="both"/>
        <w:rPr>
          <w:bCs/>
          <w:lang w:val="en-US"/>
        </w:rPr>
      </w:pPr>
    </w:p>
    <w:p w14:paraId="2313577A" w14:textId="77777777" w:rsidR="003B016E" w:rsidRPr="00963838" w:rsidRDefault="003B016E" w:rsidP="00800BF8">
      <w:pPr>
        <w:jc w:val="both"/>
        <w:rPr>
          <w:bCs/>
          <w:lang w:val="en-US"/>
        </w:rPr>
      </w:pPr>
      <w:r w:rsidRPr="00963838">
        <w:rPr>
          <w:bCs/>
          <w:lang w:val="en-US"/>
        </w:rPr>
        <w:t>For these reasons, AMAFI strongly believes that derivatives should be considered for the calculation of the minimum proportion of investments used to meet the environmental or social characteristics or sustainable investment objectives.</w:t>
      </w:r>
    </w:p>
    <w:p w14:paraId="380FA82E" w14:textId="77777777" w:rsidR="003B016E" w:rsidRDefault="003B016E" w:rsidP="00800BF8">
      <w:pPr>
        <w:jc w:val="both"/>
        <w:rPr>
          <w:lang w:val="en-US"/>
        </w:rPr>
      </w:pPr>
    </w:p>
    <w:p w14:paraId="4BB3C3C7" w14:textId="78A86712" w:rsidR="003B016E" w:rsidRDefault="003B016E" w:rsidP="00800BF8">
      <w:pPr>
        <w:jc w:val="both"/>
        <w:rPr>
          <w:lang w:val="en-US"/>
        </w:rPr>
      </w:pPr>
      <w:r>
        <w:rPr>
          <w:lang w:val="en-US"/>
        </w:rPr>
        <w:t>(2) However, f</w:t>
      </w:r>
      <w:r w:rsidRPr="00082695">
        <w:rPr>
          <w:lang w:val="en-US"/>
        </w:rPr>
        <w:t xml:space="preserve">inancial institutions and investors currently face inconsistencies and uncertainties </w:t>
      </w:r>
      <w:r>
        <w:rPr>
          <w:lang w:val="en-US"/>
        </w:rPr>
        <w:t xml:space="preserve">in the treatment of derivatives in the sustainable finance regulation, for example, </w:t>
      </w:r>
      <w:r w:rsidRPr="00082695">
        <w:rPr>
          <w:lang w:val="en-US"/>
        </w:rPr>
        <w:t>between</w:t>
      </w:r>
      <w:r>
        <w:rPr>
          <w:lang w:val="en-US"/>
        </w:rPr>
        <w:t xml:space="preserve"> </w:t>
      </w:r>
      <w:r w:rsidRPr="00082695">
        <w:rPr>
          <w:lang w:val="en-US"/>
        </w:rPr>
        <w:t xml:space="preserve">ESG regulatory classification obligations in MiFID II and SFDR </w:t>
      </w:r>
      <w:r w:rsidRPr="00115DCA">
        <w:rPr>
          <w:lang w:val="en-US"/>
        </w:rPr>
        <w:t>which acknowledge the contribution of derivatives in sustainability assessment criteria (e.g. “Sustainable Investments” or “PAI”) however without providing guidance as to how to compute them</w:t>
      </w:r>
      <w:r>
        <w:rPr>
          <w:lang w:val="en-US"/>
        </w:rPr>
        <w:t>.</w:t>
      </w:r>
      <w:r w:rsidRPr="00082695">
        <w:rPr>
          <w:lang w:val="en-US"/>
        </w:rPr>
        <w:t xml:space="preserve"> </w:t>
      </w:r>
      <w:r>
        <w:rPr>
          <w:lang w:val="en-US"/>
        </w:rPr>
        <w:t xml:space="preserve">In addition, derivatives are currently penalized </w:t>
      </w:r>
      <w:r w:rsidRPr="00082695">
        <w:rPr>
          <w:lang w:val="en-US"/>
        </w:rPr>
        <w:t xml:space="preserve">by Taxonomy-alignment ratios </w:t>
      </w:r>
      <w:r>
        <w:rPr>
          <w:lang w:val="en-US"/>
        </w:rPr>
        <w:t xml:space="preserve">both </w:t>
      </w:r>
      <w:r w:rsidRPr="00082695">
        <w:rPr>
          <w:lang w:val="en-US"/>
        </w:rPr>
        <w:t xml:space="preserve">at fund </w:t>
      </w:r>
      <w:r w:rsidRPr="00082695">
        <w:rPr>
          <w:lang w:val="en-US"/>
        </w:rPr>
        <w:lastRenderedPageBreak/>
        <w:t>and entity level</w:t>
      </w:r>
      <w:r>
        <w:rPr>
          <w:lang w:val="en-US"/>
        </w:rPr>
        <w:t xml:space="preserve"> </w:t>
      </w:r>
      <w:r w:rsidRPr="00115DCA">
        <w:rPr>
          <w:lang w:val="en-US"/>
        </w:rPr>
        <w:t>due to a lack of consensus on the methodology</w:t>
      </w:r>
      <w:r w:rsidR="0045767A">
        <w:rPr>
          <w:lang w:val="en-US"/>
        </w:rPr>
        <w:t xml:space="preserve"> (</w:t>
      </w:r>
      <w:r w:rsidR="0045767A">
        <w:rPr>
          <w:lang w:val="en-US"/>
        </w:rPr>
        <w:t>F</w:t>
      </w:r>
      <w:r w:rsidR="0045767A" w:rsidRPr="0051319F">
        <w:rPr>
          <w:lang w:val="en-US"/>
        </w:rPr>
        <w:t>inancial institutions are required to compute the Green Asset Ratio (GAR) by excluding derivatives from the numerator, i.e. assets financing and invested in Taxonomy-aligned economic activities, while including them in the total assets value of the denominator. This means that derivatives are seen as harmful for the emergence or development of sustainable activities and that the institutions offering them could not, even in theory, achieve a green asset ratio of 100%. This approach wrongly signals an incompatibility of derivatives with sustainability</w:t>
      </w:r>
      <w:r w:rsidR="0045767A">
        <w:rPr>
          <w:lang w:val="en-US"/>
        </w:rPr>
        <w:t>)</w:t>
      </w:r>
      <w:r w:rsidRPr="00082695">
        <w:rPr>
          <w:lang w:val="en-US"/>
        </w:rPr>
        <w:t>.</w:t>
      </w:r>
    </w:p>
    <w:p w14:paraId="4A6A85AE" w14:textId="77777777" w:rsidR="003B016E" w:rsidRDefault="003B016E" w:rsidP="00800BF8">
      <w:pPr>
        <w:jc w:val="both"/>
        <w:rPr>
          <w:lang w:val="en-US"/>
        </w:rPr>
      </w:pPr>
    </w:p>
    <w:p w14:paraId="22597EE0" w14:textId="0FE1A325" w:rsidR="002C7958" w:rsidRPr="00744227" w:rsidRDefault="003B016E" w:rsidP="00800BF8">
      <w:pPr>
        <w:jc w:val="both"/>
        <w:rPr>
          <w:lang w:val="en-US"/>
        </w:rPr>
      </w:pPr>
      <w:r>
        <w:rPr>
          <w:lang w:val="en-US"/>
        </w:rPr>
        <w:t xml:space="preserve">It is therefore important to have a consistent approach towards derivatives among the various pieces of sustainable finance regulations that clarifies how derivatives can be </w:t>
      </w:r>
      <w:proofErr w:type="gramStart"/>
      <w:r>
        <w:rPr>
          <w:lang w:val="en-US"/>
        </w:rPr>
        <w:t>taken into account</w:t>
      </w:r>
      <w:proofErr w:type="gramEnd"/>
      <w:r>
        <w:rPr>
          <w:lang w:val="en-US"/>
        </w:rPr>
        <w:t xml:space="preserve"> both positively and negatively. We therefore call for a coordinated approach between the various stakeholders involved (notably the European Commission, the </w:t>
      </w:r>
      <w:proofErr w:type="gramStart"/>
      <w:r>
        <w:rPr>
          <w:lang w:val="en-US"/>
        </w:rPr>
        <w:t>ESAs</w:t>
      </w:r>
      <w:proofErr w:type="gramEnd"/>
      <w:r>
        <w:rPr>
          <w:lang w:val="en-US"/>
        </w:rPr>
        <w:t xml:space="preserve"> and the EU Platform on Sustainable finance) and across the various regulations </w:t>
      </w:r>
      <w:r w:rsidR="00B42EEC">
        <w:rPr>
          <w:lang w:val="en-US"/>
        </w:rPr>
        <w:t>concerned.</w:t>
      </w:r>
    </w:p>
    <w:p w14:paraId="33D374FB" w14:textId="01CA6927" w:rsidR="00B92885" w:rsidRPr="00E273E4" w:rsidRDefault="00B92885" w:rsidP="00B92885">
      <w:pPr>
        <w:rPr>
          <w:lang w:val="en-US"/>
        </w:rPr>
      </w:pP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332DA8F9" w14:textId="77777777" w:rsidR="007D7014" w:rsidRDefault="007D7014" w:rsidP="00800BF8">
      <w:pPr>
        <w:jc w:val="both"/>
        <w:rPr>
          <w:lang w:val="en-US"/>
        </w:rPr>
      </w:pPr>
      <w:permStart w:id="1071974531" w:edGrp="everyone"/>
      <w:r>
        <w:rPr>
          <w:lang w:val="en-US"/>
        </w:rPr>
        <w:t>AMAFI considers the</w:t>
      </w:r>
      <w:r w:rsidRPr="00DE05EF">
        <w:rPr>
          <w:lang w:val="en-US"/>
        </w:rPr>
        <w:t xml:space="preserve"> suggested measures </w:t>
      </w:r>
      <w:r>
        <w:rPr>
          <w:lang w:val="en-US"/>
        </w:rPr>
        <w:t>to be</w:t>
      </w:r>
      <w:r w:rsidRPr="00DE05EF">
        <w:rPr>
          <w:lang w:val="en-US"/>
        </w:rPr>
        <w:t xml:space="preserve"> ill-suited </w:t>
      </w:r>
      <w:r>
        <w:rPr>
          <w:lang w:val="en-US"/>
        </w:rPr>
        <w:t xml:space="preserve">for the calculation of the minimum proportion. </w:t>
      </w:r>
    </w:p>
    <w:p w14:paraId="79B823FB" w14:textId="77777777" w:rsidR="007D7014" w:rsidRDefault="007D7014" w:rsidP="00800BF8">
      <w:pPr>
        <w:jc w:val="both"/>
        <w:rPr>
          <w:lang w:val="en-US"/>
        </w:rPr>
      </w:pPr>
    </w:p>
    <w:p w14:paraId="284957FC" w14:textId="77777777" w:rsidR="007D7014" w:rsidRDefault="007D7014" w:rsidP="00800BF8">
      <w:pPr>
        <w:jc w:val="both"/>
        <w:rPr>
          <w:lang w:val="en-US"/>
        </w:rPr>
      </w:pPr>
      <w:r>
        <w:rPr>
          <w:lang w:val="en-US"/>
        </w:rPr>
        <w:t>The market value or “price” of the derivative contract provides no information on the exposure provided by the derivative to the underlying assets. For example, t</w:t>
      </w:r>
      <w:r w:rsidRPr="008F721C">
        <w:rPr>
          <w:lang w:val="en-US"/>
        </w:rPr>
        <w:t>he “impact” or “responsible investment” of an investor buying a call option on shares is not the cash that it pa</w:t>
      </w:r>
      <w:r>
        <w:rPr>
          <w:lang w:val="en-US"/>
        </w:rPr>
        <w:t>ys</w:t>
      </w:r>
      <w:r w:rsidRPr="008F721C">
        <w:rPr>
          <w:lang w:val="en-US"/>
        </w:rPr>
        <w:t xml:space="preserve"> to buy that option</w:t>
      </w:r>
      <w:r>
        <w:rPr>
          <w:lang w:val="en-US"/>
        </w:rPr>
        <w:t>.</w:t>
      </w:r>
    </w:p>
    <w:p w14:paraId="20C12582" w14:textId="77777777" w:rsidR="007D7014" w:rsidRDefault="007D7014" w:rsidP="00800BF8">
      <w:pPr>
        <w:jc w:val="both"/>
        <w:rPr>
          <w:lang w:val="en-US"/>
        </w:rPr>
      </w:pPr>
    </w:p>
    <w:p w14:paraId="2CC8A03A" w14:textId="77777777" w:rsidR="007D7014" w:rsidRDefault="007D7014" w:rsidP="00800BF8">
      <w:pPr>
        <w:jc w:val="both"/>
        <w:rPr>
          <w:lang w:val="en-US"/>
        </w:rPr>
      </w:pPr>
      <w:r>
        <w:rPr>
          <w:lang w:val="en-US"/>
        </w:rPr>
        <w:t xml:space="preserve">The notional value of an option is the price of the underlying multiplied by the number of underlying securities referenced in the contract. For an equity option, it is the value of the shares that the contract refers to, but it is not a measure of the exposure of the option holder to the underlying shares. </w:t>
      </w:r>
    </w:p>
    <w:p w14:paraId="0EC51ABF" w14:textId="39A968FE" w:rsidR="00B92885" w:rsidRPr="007D7014" w:rsidRDefault="00B92885" w:rsidP="00B92885">
      <w:pPr>
        <w:rPr>
          <w:lang w:val="en-US"/>
        </w:rPr>
      </w:pP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7C394B68" w14:textId="77777777" w:rsidR="009B40AA" w:rsidRDefault="009B40AA" w:rsidP="00800BF8">
      <w:pPr>
        <w:jc w:val="both"/>
        <w:rPr>
          <w:lang w:val="en-US"/>
        </w:rPr>
      </w:pPr>
      <w:permStart w:id="1162834929" w:edGrp="everyone"/>
      <w:r>
        <w:rPr>
          <w:lang w:val="en-US"/>
        </w:rPr>
        <w:t xml:space="preserve">AMAFI believes that using </w:t>
      </w:r>
      <w:r w:rsidRPr="004C4013">
        <w:rPr>
          <w:lang w:val="en-US"/>
        </w:rPr>
        <w:t xml:space="preserve">the delta </w:t>
      </w:r>
      <w:r>
        <w:rPr>
          <w:lang w:val="en-US"/>
        </w:rPr>
        <w:t>is</w:t>
      </w:r>
      <w:r w:rsidRPr="004C4013">
        <w:rPr>
          <w:lang w:val="en-US"/>
        </w:rPr>
        <w:t xml:space="preserve"> the </w:t>
      </w:r>
      <w:r>
        <w:rPr>
          <w:lang w:val="en-US"/>
        </w:rPr>
        <w:t>best</w:t>
      </w:r>
      <w:r w:rsidRPr="004C4013">
        <w:rPr>
          <w:lang w:val="en-US"/>
        </w:rPr>
        <w:t xml:space="preserve"> </w:t>
      </w:r>
      <w:r w:rsidRPr="004C4013">
        <w:rPr>
          <w:lang w:val="en-US"/>
        </w:rPr>
        <w:t>method</w:t>
      </w:r>
      <w:r>
        <w:rPr>
          <w:lang w:val="en-US"/>
        </w:rPr>
        <w:t xml:space="preserve"> for this calculation because it provides a measure of </w:t>
      </w:r>
      <w:r w:rsidRPr="004C4013">
        <w:rPr>
          <w:lang w:val="en-US"/>
        </w:rPr>
        <w:t>the exposure gained through derivatives to the underlying share</w:t>
      </w:r>
      <w:r>
        <w:rPr>
          <w:lang w:val="en-US"/>
        </w:rPr>
        <w:t>s</w:t>
      </w:r>
      <w:r w:rsidRPr="004C4013">
        <w:rPr>
          <w:lang w:val="en-US"/>
        </w:rPr>
        <w:t xml:space="preserve"> or bonds. </w:t>
      </w:r>
      <w:r>
        <w:rPr>
          <w:lang w:val="en-US"/>
        </w:rPr>
        <w:t xml:space="preserve">The exposure of the investor to the assets is what ultimately needs to be considered in the minimum proportion of investments, as the investor supports the risk of these assets, which shows its contribution to the corresponding companies. </w:t>
      </w:r>
    </w:p>
    <w:p w14:paraId="3D0EBC68" w14:textId="77777777" w:rsidR="009B40AA" w:rsidRDefault="009B40AA" w:rsidP="00800BF8">
      <w:pPr>
        <w:jc w:val="both"/>
        <w:rPr>
          <w:lang w:val="en-US"/>
        </w:rPr>
      </w:pPr>
    </w:p>
    <w:p w14:paraId="795EC3B6" w14:textId="77777777" w:rsidR="009B40AA" w:rsidRDefault="009B40AA" w:rsidP="00800BF8">
      <w:pPr>
        <w:contextualSpacing/>
        <w:jc w:val="both"/>
        <w:rPr>
          <w:lang w:val="en-US"/>
        </w:rPr>
      </w:pPr>
      <w:r w:rsidRPr="004C4013">
        <w:rPr>
          <w:lang w:val="en-US"/>
        </w:rPr>
        <w:t>The delta</w:t>
      </w:r>
      <w:r w:rsidRPr="0070372E">
        <w:rPr>
          <w:lang w:val="en-US"/>
        </w:rPr>
        <w:t xml:space="preserve"> </w:t>
      </w:r>
      <w:r w:rsidRPr="004C4013">
        <w:rPr>
          <w:lang w:val="en-US"/>
        </w:rPr>
        <w:t>represents the amount by which the derivative</w:t>
      </w:r>
      <w:r>
        <w:rPr>
          <w:lang w:val="en-US"/>
        </w:rPr>
        <w:t>’s</w:t>
      </w:r>
      <w:r w:rsidRPr="004C4013">
        <w:rPr>
          <w:lang w:val="en-US"/>
        </w:rPr>
        <w:t xml:space="preserve"> value increases or decreases </w:t>
      </w:r>
      <w:r>
        <w:rPr>
          <w:lang w:val="en-US"/>
        </w:rPr>
        <w:t>for a given change in</w:t>
      </w:r>
      <w:r w:rsidRPr="004C4013">
        <w:rPr>
          <w:lang w:val="en-US"/>
        </w:rPr>
        <w:t xml:space="preserve"> the price of the underlying. All financial institutions (such as banks, investment firms, asset managers and insurers) using derivatives compute the delta of their derivative positions </w:t>
      </w:r>
      <w:proofErr w:type="gramStart"/>
      <w:r w:rsidRPr="004C4013">
        <w:rPr>
          <w:lang w:val="en-US"/>
        </w:rPr>
        <w:t>on a daily basis</w:t>
      </w:r>
      <w:proofErr w:type="gramEnd"/>
      <w:r>
        <w:rPr>
          <w:lang w:val="en-US"/>
        </w:rPr>
        <w:t xml:space="preserve"> for risk management purpose</w:t>
      </w:r>
      <w:r w:rsidRPr="004C4013">
        <w:rPr>
          <w:lang w:val="en-US"/>
        </w:rPr>
        <w:t xml:space="preserve">. </w:t>
      </w:r>
    </w:p>
    <w:p w14:paraId="33DFB359" w14:textId="77777777" w:rsidR="009B40AA" w:rsidRPr="004C4013" w:rsidRDefault="009B40AA" w:rsidP="00800BF8">
      <w:pPr>
        <w:jc w:val="both"/>
        <w:rPr>
          <w:lang w:val="en-US"/>
        </w:rPr>
      </w:pPr>
    </w:p>
    <w:p w14:paraId="27F02424" w14:textId="77777777" w:rsidR="009B40AA" w:rsidRDefault="009B40AA" w:rsidP="00800BF8">
      <w:pPr>
        <w:jc w:val="both"/>
        <w:rPr>
          <w:lang w:val="en-US"/>
        </w:rPr>
      </w:pPr>
      <w:r>
        <w:rPr>
          <w:lang w:val="en-US"/>
        </w:rPr>
        <w:t>For the sake of clarity, it should be noted that b</w:t>
      </w:r>
      <w:r w:rsidRPr="004C4013">
        <w:rPr>
          <w:lang w:val="en-US"/>
        </w:rPr>
        <w:t>oth positive and negative delta exposures need to be considered, as this is key to reflect the true picture of all positions</w:t>
      </w:r>
      <w:r>
        <w:rPr>
          <w:lang w:val="en-US"/>
        </w:rPr>
        <w:t xml:space="preserve"> held by the various stakeholders.</w:t>
      </w:r>
    </w:p>
    <w:p w14:paraId="42A74581" w14:textId="77777777" w:rsidR="009B40AA" w:rsidRDefault="009B40AA" w:rsidP="00800BF8">
      <w:pPr>
        <w:pStyle w:val="Default"/>
        <w:jc w:val="both"/>
        <w:rPr>
          <w:lang w:val="en-US"/>
        </w:rPr>
      </w:pPr>
    </w:p>
    <w:p w14:paraId="152D5036" w14:textId="7D12D2E3" w:rsidR="00D763CF" w:rsidRDefault="009B40AA" w:rsidP="00800BF8">
      <w:pPr>
        <w:jc w:val="both"/>
      </w:pPr>
      <w:r>
        <w:rPr>
          <w:lang w:val="en-US"/>
        </w:rPr>
        <w:t xml:space="preserve">The example below </w:t>
      </w:r>
      <w:r>
        <w:t xml:space="preserve">illustrates how this would work for a call option. </w:t>
      </w:r>
    </w:p>
    <w:p w14:paraId="0C851BF6" w14:textId="634E6C06" w:rsidR="009B40AA" w:rsidRDefault="009B40AA" w:rsidP="009B40AA"/>
    <w:p w14:paraId="710E019C" w14:textId="77777777" w:rsidR="00800BF8" w:rsidRDefault="00800BF8" w:rsidP="00800BF8">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Pr>
          <w:b/>
        </w:rPr>
      </w:pPr>
      <w:r>
        <w:rPr>
          <w:b/>
        </w:rPr>
        <w:t>Example</w:t>
      </w:r>
    </w:p>
    <w:p w14:paraId="4160A12D" w14:textId="77777777" w:rsidR="00800BF8" w:rsidRDefault="00800BF8" w:rsidP="00800BF8">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Pr>
          <w:b/>
        </w:rPr>
      </w:pPr>
    </w:p>
    <w:p w14:paraId="33141D94" w14:textId="77777777" w:rsidR="00800BF8" w:rsidRDefault="00800BF8" w:rsidP="00800BF8">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Pr>
          <w:bCs/>
        </w:rPr>
      </w:pPr>
      <w:r>
        <w:rPr>
          <w:noProof/>
          <w:lang w:eastAsia="en-GB"/>
        </w:rPr>
        <w:lastRenderedPageBreak/>
        <w:drawing>
          <wp:anchor distT="0" distB="0" distL="114300" distR="114300" simplePos="0" relativeHeight="251659264" behindDoc="0" locked="0" layoutInCell="1" allowOverlap="1" wp14:anchorId="0535ABFB" wp14:editId="20B793A8">
            <wp:simplePos x="0" y="0"/>
            <wp:positionH relativeFrom="margin">
              <wp:align>center</wp:align>
            </wp:positionH>
            <wp:positionV relativeFrom="paragraph">
              <wp:posOffset>556895</wp:posOffset>
            </wp:positionV>
            <wp:extent cx="5077460" cy="541655"/>
            <wp:effectExtent l="0" t="0" r="889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7460" cy="541655"/>
                    </a:xfrm>
                    <a:prstGeom prst="rect">
                      <a:avLst/>
                    </a:prstGeom>
                    <a:noFill/>
                  </pic:spPr>
                </pic:pic>
              </a:graphicData>
            </a:graphic>
            <wp14:sizeRelH relativeFrom="page">
              <wp14:pctWidth>0</wp14:pctWidth>
            </wp14:sizeRelH>
            <wp14:sizeRelV relativeFrom="page">
              <wp14:pctHeight>0</wp14:pctHeight>
            </wp14:sizeRelV>
          </wp:anchor>
        </w:drawing>
      </w:r>
      <w:r>
        <w:rPr>
          <w:bCs/>
        </w:rPr>
        <w:t xml:space="preserve">An investor, subject to the publication of the </w:t>
      </w:r>
      <w:proofErr w:type="gramStart"/>
      <w:r>
        <w:rPr>
          <w:bCs/>
        </w:rPr>
        <w:t>Green</w:t>
      </w:r>
      <w:proofErr w:type="gramEnd"/>
      <w:r>
        <w:rPr>
          <w:bCs/>
        </w:rPr>
        <w:t xml:space="preserve"> investment ratio and SFDR product Taxonomy ratio, purchases a call option on the shares of the company </w:t>
      </w:r>
      <w:proofErr w:type="spellStart"/>
      <w:r>
        <w:rPr>
          <w:bCs/>
        </w:rPr>
        <w:t>Windturbine</w:t>
      </w:r>
      <w:proofErr w:type="spellEnd"/>
      <w:r>
        <w:rPr>
          <w:bCs/>
        </w:rPr>
        <w:t xml:space="preserve"> for a nominal of 10M euros.</w:t>
      </w:r>
    </w:p>
    <w:p w14:paraId="25BF95A0" w14:textId="77777777" w:rsidR="00800BF8" w:rsidRDefault="00800BF8" w:rsidP="00800BF8">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Pr>
          <w:bCs/>
        </w:rPr>
      </w:pPr>
    </w:p>
    <w:p w14:paraId="41DBF351" w14:textId="77777777" w:rsidR="00800BF8" w:rsidRDefault="00800BF8" w:rsidP="00800BF8">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Pr>
          <w:bCs/>
        </w:rPr>
      </w:pPr>
    </w:p>
    <w:p w14:paraId="2E123C40" w14:textId="77777777" w:rsidR="00800BF8" w:rsidRDefault="00800BF8" w:rsidP="00800BF8">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Pr>
          <w:bCs/>
        </w:rPr>
      </w:pPr>
    </w:p>
    <w:p w14:paraId="0C9E2437" w14:textId="77777777" w:rsidR="00800BF8" w:rsidRDefault="00800BF8" w:rsidP="00800BF8">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Pr>
          <w:bCs/>
        </w:rPr>
      </w:pPr>
      <w:r>
        <w:rPr>
          <w:noProof/>
          <w:lang w:eastAsia="en-GB"/>
        </w:rPr>
        <w:drawing>
          <wp:anchor distT="0" distB="0" distL="114300" distR="114300" simplePos="0" relativeHeight="251657216" behindDoc="0" locked="0" layoutInCell="1" allowOverlap="1" wp14:anchorId="427E17BC" wp14:editId="7A61663A">
            <wp:simplePos x="0" y="0"/>
            <wp:positionH relativeFrom="page">
              <wp:posOffset>1068070</wp:posOffset>
            </wp:positionH>
            <wp:positionV relativeFrom="paragraph">
              <wp:posOffset>46355</wp:posOffset>
            </wp:positionV>
            <wp:extent cx="5339080" cy="14738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9080" cy="1473835"/>
                    </a:xfrm>
                    <a:prstGeom prst="rect">
                      <a:avLst/>
                    </a:prstGeom>
                    <a:noFill/>
                  </pic:spPr>
                </pic:pic>
              </a:graphicData>
            </a:graphic>
            <wp14:sizeRelH relativeFrom="margin">
              <wp14:pctWidth>0</wp14:pctWidth>
            </wp14:sizeRelH>
            <wp14:sizeRelV relativeFrom="margin">
              <wp14:pctHeight>0</wp14:pctHeight>
            </wp14:sizeRelV>
          </wp:anchor>
        </w:drawing>
      </w:r>
    </w:p>
    <w:p w14:paraId="29E017F7" w14:textId="77777777" w:rsidR="00800BF8" w:rsidRDefault="00800BF8" w:rsidP="00800BF8">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Pr>
          <w:bCs/>
        </w:rPr>
      </w:pPr>
    </w:p>
    <w:p w14:paraId="15042B3C" w14:textId="77777777" w:rsidR="00800BF8" w:rsidRDefault="00800BF8" w:rsidP="00800BF8">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Pr>
          <w:bCs/>
        </w:rPr>
      </w:pPr>
    </w:p>
    <w:p w14:paraId="5BFB61BB" w14:textId="77777777" w:rsidR="00800BF8" w:rsidRDefault="00800BF8" w:rsidP="00800BF8">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Pr>
          <w:bCs/>
        </w:rPr>
      </w:pPr>
    </w:p>
    <w:p w14:paraId="55E120F8" w14:textId="77777777" w:rsidR="00800BF8" w:rsidRDefault="00800BF8" w:rsidP="00800BF8">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Pr>
          <w:bCs/>
        </w:rPr>
      </w:pPr>
    </w:p>
    <w:p w14:paraId="38BAA25C" w14:textId="77777777" w:rsidR="00800BF8" w:rsidRDefault="00800BF8" w:rsidP="00800BF8">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Pr>
          <w:bCs/>
        </w:rPr>
      </w:pPr>
    </w:p>
    <w:p w14:paraId="6AF37C36" w14:textId="77777777" w:rsidR="00800BF8" w:rsidRDefault="00800BF8" w:rsidP="00800BF8">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Pr>
          <w:bCs/>
        </w:rPr>
      </w:pPr>
    </w:p>
    <w:p w14:paraId="19F106D3" w14:textId="77777777" w:rsidR="00800BF8" w:rsidRDefault="00800BF8" w:rsidP="00800BF8">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Pr>
          <w:bCs/>
        </w:rPr>
      </w:pPr>
      <w:r>
        <w:rPr>
          <w:bCs/>
        </w:rPr>
        <w:t>The above long call position results in the investor having a Taxonomy exposure, and the seller of the shares having the opposite Taxonomy exposure. Therefore, when both long and short delta exposures are considered, there is no Taxonomy inflation.</w:t>
      </w:r>
    </w:p>
    <w:p w14:paraId="4E9F9302" w14:textId="77777777" w:rsidR="00800BF8" w:rsidRDefault="00800BF8" w:rsidP="00800BF8">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Pr>
          <w:bCs/>
        </w:rPr>
      </w:pPr>
    </w:p>
    <w:p w14:paraId="5AD7A312" w14:textId="77777777" w:rsidR="00800BF8" w:rsidRDefault="00800BF8" w:rsidP="00800BF8">
      <w:pPr>
        <w:jc w:val="both"/>
      </w:pPr>
    </w:p>
    <w:p w14:paraId="61B67757" w14:textId="61CBB5C5" w:rsidR="00800BF8" w:rsidRDefault="004B05CF" w:rsidP="00800BF8">
      <w:pPr>
        <w:jc w:val="both"/>
      </w:pPr>
      <w:r w:rsidRPr="004B05CF">
        <w:t xml:space="preserve">AMAFI is currently working on a methodology to include this approach based on the delta to measure derivatives’ contribution to sustainability. Please note that the exposure approach for derivatives based on the delta is already used in risk management frameworks and included in EU regulation – for illustration purposes, the UCITS guidelines issued by CESR on 28 July 2010, and the Commission Delegated Regulation 918/2012 </w:t>
      </w:r>
      <w:r w:rsidR="00B5709E">
        <w:t xml:space="preserve">on Short Selling </w:t>
      </w:r>
      <w:r w:rsidRPr="004B05CF">
        <w:t>(for the purposes of calculating the net short position in shares).</w:t>
      </w:r>
    </w:p>
    <w:p w14:paraId="1713CACF" w14:textId="77777777" w:rsidR="004B05CF" w:rsidRPr="00800BF8" w:rsidRDefault="004B05CF" w:rsidP="00800BF8">
      <w:pPr>
        <w:jc w:val="both"/>
      </w:pPr>
    </w:p>
    <w:p w14:paraId="712BB94E" w14:textId="77777777" w:rsidR="004B05CF" w:rsidRDefault="004B05CF" w:rsidP="004B05CF">
      <w:r>
        <w:t xml:space="preserve">We are nonetheless aware that the details of the methodological aspects for sustainability purposes </w:t>
      </w:r>
      <w:proofErr w:type="gramStart"/>
      <w:r>
        <w:t>have to</w:t>
      </w:r>
      <w:proofErr w:type="gramEnd"/>
      <w:r>
        <w:t xml:space="preserve"> be discussed and determined in subsequent industry consultations and potentially in the context of the work of the new ad hoc expert group on derivatives that we expect the PSF to launch in the coming months. </w:t>
      </w:r>
    </w:p>
    <w:p w14:paraId="3570D415" w14:textId="77777777" w:rsidR="004B05CF" w:rsidRDefault="004B05CF" w:rsidP="004B05CF"/>
    <w:p w14:paraId="52931EB6" w14:textId="4484EF16" w:rsidR="00800BF8" w:rsidRPr="00435559" w:rsidRDefault="004B05CF" w:rsidP="004B05CF">
      <w:r>
        <w:t>It is also expected that SFDR be revised. Hence, we would recommend extending the implementation timeline suggested by ESMA to take into account other regulatory timelines and revisions also addressing the treatment and methodology of derivatives in Taxonomy and SFDR/MiFID ratios.</w:t>
      </w:r>
    </w:p>
    <w:p w14:paraId="2ABDF65C" w14:textId="70049E49" w:rsidR="00B92885" w:rsidRDefault="00B92885" w:rsidP="00B92885"/>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2BABA8E0" w14:textId="77777777" w:rsidR="00B92885" w:rsidRDefault="00B92885" w:rsidP="00B92885">
      <w:permStart w:id="650455330" w:edGrp="everyone"/>
      <w:r>
        <w:t>TYPE YOUR TEXT HERE</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lastRenderedPageBreak/>
        <w:t>&lt;ESMA_QUESTION_FUNA_9&gt;</w:t>
      </w:r>
    </w:p>
    <w:p w14:paraId="666D302E" w14:textId="5D7B845A" w:rsidR="009043EA" w:rsidRPr="004D1861" w:rsidRDefault="003B1EA6" w:rsidP="009043EA">
      <w:pPr>
        <w:pStyle w:val="Default"/>
        <w:spacing w:after="175"/>
        <w:jc w:val="both"/>
        <w:rPr>
          <w:sz w:val="20"/>
          <w:szCs w:val="20"/>
          <w:lang w:val="en-US"/>
        </w:rPr>
      </w:pPr>
      <w:permStart w:id="1876589445" w:edGrp="everyone"/>
      <w:r>
        <w:rPr>
          <w:sz w:val="20"/>
          <w:szCs w:val="20"/>
          <w:lang w:val="en-GB"/>
        </w:rPr>
        <w:t xml:space="preserve"> </w:t>
      </w:r>
      <w:r w:rsidR="009043EA">
        <w:rPr>
          <w:sz w:val="20"/>
          <w:szCs w:val="20"/>
          <w:lang w:val="en-GB"/>
        </w:rPr>
        <w:t xml:space="preserve">No distinction is needed. </w:t>
      </w:r>
      <w:r w:rsidR="009043EA" w:rsidRPr="00775F1D">
        <w:rPr>
          <w:sz w:val="20"/>
          <w:szCs w:val="20"/>
          <w:lang w:val="en-GB"/>
        </w:rPr>
        <w:t xml:space="preserve">When a Total Return Swap is used by a fund to replicate an index or a reference benchmark using derivative instruments, it benefits from the same exposure effects than if it directly replicated the index. That is because the assets in the portfolio held by the fund are swapped against the exposure </w:t>
      </w:r>
      <w:r w:rsidR="009043EA">
        <w:rPr>
          <w:sz w:val="20"/>
          <w:szCs w:val="20"/>
          <w:lang w:val="en-GB"/>
        </w:rPr>
        <w:t>to</w:t>
      </w:r>
      <w:r w:rsidR="009043EA" w:rsidRPr="00775F1D">
        <w:rPr>
          <w:sz w:val="20"/>
          <w:szCs w:val="20"/>
          <w:lang w:val="en-GB"/>
        </w:rPr>
        <w:t xml:space="preserve"> the assets held by the counterparty.</w:t>
      </w:r>
      <w:r w:rsidR="009043EA">
        <w:rPr>
          <w:sz w:val="20"/>
          <w:szCs w:val="20"/>
          <w:lang w:val="en-GB"/>
        </w:rPr>
        <w:t xml:space="preserve"> The fund still holds the assets but transfers their performance through the TRS and unitholders do not have exposure to the assets held by the fund anymore.</w:t>
      </w:r>
    </w:p>
    <w:p w14:paraId="08901A8C" w14:textId="54265444" w:rsidR="00B92885" w:rsidRPr="003B1EA6" w:rsidRDefault="009043EA" w:rsidP="003B1EA6">
      <w:pPr>
        <w:pStyle w:val="Default"/>
        <w:spacing w:after="175"/>
        <w:jc w:val="both"/>
        <w:rPr>
          <w:sz w:val="20"/>
          <w:szCs w:val="20"/>
          <w:lang w:val="en-GB"/>
        </w:rPr>
      </w:pPr>
      <w:r w:rsidRPr="00775F1D">
        <w:rPr>
          <w:sz w:val="20"/>
          <w:szCs w:val="20"/>
          <w:lang w:val="en-GB"/>
        </w:rPr>
        <w:t xml:space="preserve">In such </w:t>
      </w:r>
      <w:r>
        <w:rPr>
          <w:sz w:val="20"/>
          <w:szCs w:val="20"/>
          <w:lang w:val="en-GB"/>
        </w:rPr>
        <w:t xml:space="preserve">a </w:t>
      </w:r>
      <w:r w:rsidRPr="00775F1D">
        <w:rPr>
          <w:sz w:val="20"/>
          <w:szCs w:val="20"/>
          <w:lang w:val="en-GB"/>
        </w:rPr>
        <w:t xml:space="preserve">manner, unitholders are exposed to the risks and benefits associated </w:t>
      </w:r>
      <w:r>
        <w:rPr>
          <w:sz w:val="20"/>
          <w:szCs w:val="20"/>
          <w:lang w:val="en-GB"/>
        </w:rPr>
        <w:t>to</w:t>
      </w:r>
      <w:r w:rsidRPr="00775F1D">
        <w:rPr>
          <w:sz w:val="20"/>
          <w:szCs w:val="20"/>
          <w:lang w:val="en-GB"/>
        </w:rPr>
        <w:t xml:space="preserve"> the exposure portfolio, not </w:t>
      </w:r>
      <w:r>
        <w:rPr>
          <w:sz w:val="20"/>
          <w:szCs w:val="20"/>
          <w:lang w:val="en-GB"/>
        </w:rPr>
        <w:t xml:space="preserve">to </w:t>
      </w:r>
      <w:r w:rsidRPr="00775F1D">
        <w:rPr>
          <w:sz w:val="20"/>
          <w:szCs w:val="20"/>
          <w:lang w:val="en-GB"/>
        </w:rPr>
        <w:t xml:space="preserve">the portfolio held by the fund. </w:t>
      </w:r>
      <w:r>
        <w:rPr>
          <w:sz w:val="20"/>
          <w:szCs w:val="20"/>
          <w:lang w:val="en-GB"/>
        </w:rPr>
        <w:t>This must lead to the application of the same treatment between physical and synthetic replications</w:t>
      </w:r>
      <w:r w:rsidR="003B1EA6">
        <w:rPr>
          <w:sz w:val="20"/>
          <w:szCs w:val="20"/>
          <w:lang w:val="en-GB"/>
        </w:rPr>
        <w:t>.</w:t>
      </w:r>
    </w:p>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09441A21" w14:textId="77777777" w:rsidR="00B92885" w:rsidRDefault="00B92885" w:rsidP="00B92885">
      <w:permStart w:id="1992309739" w:edGrp="everyone"/>
      <w:r>
        <w:t>TYPE YOUR TEXT HERE</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61188F70" w14:textId="77777777" w:rsidR="00B92885" w:rsidRDefault="00B92885" w:rsidP="00B92885">
      <w:permStart w:id="1423966990" w:edGrp="everyone"/>
      <w:r>
        <w:t>TYPE YOUR TEXT HERE</w:t>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54FC5FAA" w14:textId="77777777" w:rsidR="00B92885" w:rsidRDefault="00B92885" w:rsidP="00B92885">
      <w:permStart w:id="1434478937" w:edGrp="everyone"/>
      <w:r>
        <w:t>TYPE YOUR TEXT HERE</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68ED52F5" w14:textId="77777777" w:rsidR="00B92885" w:rsidRDefault="00B92885" w:rsidP="00B92885">
      <w:permStart w:id="489244833" w:edGrp="everyone"/>
      <w:r>
        <w:t>TYPE YOUR TEXT HERE</w:t>
      </w:r>
    </w:p>
    <w:permEnd w:id="489244833"/>
    <w:p w14:paraId="739467F4" w14:textId="77777777"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23752B71" w14:textId="77777777" w:rsidR="00B92885" w:rsidRDefault="00B92885" w:rsidP="00B92885">
      <w:permStart w:id="1766353355" w:edGrp="everyone"/>
      <w:r>
        <w:t>TYPE YOUR TEXT HERE</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lastRenderedPageBreak/>
        <w:t>&lt;ESMA_QUESTION_FUNA_15&gt;</w:t>
      </w:r>
    </w:p>
    <w:p w14:paraId="6F6494D0" w14:textId="77777777" w:rsidR="00B92885" w:rsidRDefault="00B92885" w:rsidP="00B92885">
      <w:permStart w:id="929254269" w:edGrp="everyone"/>
      <w:r>
        <w:t>TYPE YOUR TEXT HERE</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0866A6F6" w14:textId="77777777" w:rsidR="00B92885" w:rsidRDefault="00B92885" w:rsidP="00B92885">
      <w:permStart w:id="878708964" w:edGrp="everyone"/>
      <w:r>
        <w:t>TYPE YOUR TEXT HERE</w:t>
      </w:r>
    </w:p>
    <w:permEnd w:id="878708964"/>
    <w:p w14:paraId="651FE8BB" w14:textId="77777777"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CC69" w14:textId="77777777" w:rsidR="00027EEB" w:rsidRDefault="00027EEB">
      <w:r>
        <w:separator/>
      </w:r>
    </w:p>
    <w:p w14:paraId="5DDDA9E4" w14:textId="77777777" w:rsidR="00027EEB" w:rsidRDefault="00027EEB"/>
  </w:endnote>
  <w:endnote w:type="continuationSeparator" w:id="0">
    <w:p w14:paraId="669BAB8A" w14:textId="77777777" w:rsidR="00027EEB" w:rsidRDefault="00027EEB">
      <w:r>
        <w:continuationSeparator/>
      </w:r>
    </w:p>
    <w:p w14:paraId="7D10BF9F" w14:textId="77777777" w:rsidR="00027EEB" w:rsidRDefault="00027EEB"/>
  </w:endnote>
  <w:endnote w:type="continuationNotice" w:id="1">
    <w:p w14:paraId="7C72917A" w14:textId="77777777" w:rsidR="00027EEB" w:rsidRDefault="00027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Pieddepage"/>
      <w:tabs>
        <w:tab w:val="clear" w:pos="4536"/>
        <w:tab w:val="clear" w:pos="9072"/>
        <w:tab w:val="left" w:pos="8227"/>
        <w:tab w:val="right" w:pos="9412"/>
      </w:tabs>
    </w:pPr>
    <w:r>
      <w:tab/>
    </w:r>
    <w:r w:rsidR="00B92885">
      <w:tab/>
    </w:r>
  </w:p>
  <w:p w14:paraId="3A793707" w14:textId="084F8123" w:rsidR="00B92885" w:rsidRDefault="00B92885" w:rsidP="00B92885">
    <w:pPr>
      <w:pStyle w:val="Pieddepage"/>
      <w:tabs>
        <w:tab w:val="clear" w:pos="4536"/>
        <w:tab w:val="clear" w:pos="9072"/>
        <w:tab w:val="left" w:pos="8227"/>
        <w:tab w:val="right" w:pos="9412"/>
      </w:tabs>
    </w:pPr>
    <w:r>
      <w:tab/>
    </w:r>
    <w:r>
      <w:tab/>
    </w:r>
    <w:r>
      <w:tab/>
    </w:r>
  </w:p>
  <w:p w14:paraId="6D19C66C" w14:textId="10DE0B9B" w:rsidR="00B92885" w:rsidRDefault="00B92885" w:rsidP="00B92885">
    <w:pPr>
      <w:pStyle w:val="Pieddepage"/>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4D776" w14:textId="77777777" w:rsidR="00027EEB" w:rsidRDefault="00027EEB">
      <w:r>
        <w:separator/>
      </w:r>
    </w:p>
    <w:p w14:paraId="4E8AA966" w14:textId="77777777" w:rsidR="00027EEB" w:rsidRDefault="00027EEB"/>
  </w:footnote>
  <w:footnote w:type="continuationSeparator" w:id="0">
    <w:p w14:paraId="457E26AD" w14:textId="77777777" w:rsidR="00027EEB" w:rsidRDefault="00027EEB">
      <w:r>
        <w:continuationSeparator/>
      </w:r>
    </w:p>
    <w:p w14:paraId="139EA58C" w14:textId="77777777" w:rsidR="00027EEB" w:rsidRDefault="00027EEB"/>
  </w:footnote>
  <w:footnote w:type="continuationNotice" w:id="1">
    <w:p w14:paraId="1C504C77" w14:textId="77777777" w:rsidR="00027EEB" w:rsidRDefault="00027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En-tte"/>
    </w:pPr>
    <w:r>
      <w:rPr>
        <w:noProof/>
        <w:lang w:eastAsia="en-GB"/>
      </w:rPr>
      <w:drawing>
        <wp:anchor distT="0" distB="0" distL="114300" distR="114300" simplePos="0" relativeHeight="251665408"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7216"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26329" id="Line 16" o:spid="_x0000_s1026" style="position:absolute;z-index:251657216;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En-tte"/>
      <w:jc w:val="right"/>
    </w:pPr>
    <w:r>
      <w:rPr>
        <w:noProof/>
        <w:lang w:eastAsia="en-GB"/>
      </w:rPr>
      <w:drawing>
        <wp:anchor distT="0" distB="0" distL="114300" distR="114300" simplePos="0" relativeHeight="25166131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12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En-tte"/>
      <w:rPr>
        <w:lang w:val="fr-FR"/>
      </w:rPr>
    </w:pPr>
  </w:p>
  <w:p w14:paraId="3F30C70B" w14:textId="77777777" w:rsidR="00267551" w:rsidRPr="002F4496" w:rsidRDefault="00267551" w:rsidP="000C06C9">
    <w:pPr>
      <w:pStyle w:val="En-tte"/>
      <w:tabs>
        <w:tab w:val="clear" w:pos="4536"/>
        <w:tab w:val="clear" w:pos="9072"/>
        <w:tab w:val="left" w:pos="8227"/>
      </w:tabs>
      <w:rPr>
        <w:lang w:val="fr-FR"/>
      </w:rPr>
    </w:pPr>
  </w:p>
  <w:p w14:paraId="4D50BC39" w14:textId="77777777" w:rsidR="00267551" w:rsidRPr="002F4496" w:rsidRDefault="00267551" w:rsidP="00583885">
    <w:pPr>
      <w:pStyle w:val="En-tte"/>
      <w:jc w:val="right"/>
      <w:rPr>
        <w:lang w:val="fr-FR"/>
      </w:rPr>
    </w:pPr>
  </w:p>
  <w:p w14:paraId="2D51BEA2" w14:textId="77777777" w:rsidR="00267551" w:rsidRPr="002F4496" w:rsidRDefault="00267551">
    <w:pPr>
      <w:pStyle w:val="En-tte"/>
      <w:rPr>
        <w:lang w:val="fr-FR"/>
      </w:rPr>
    </w:pPr>
  </w:p>
  <w:p w14:paraId="340B2438" w14:textId="77777777" w:rsidR="00267551" w:rsidRPr="002F4496" w:rsidRDefault="00267551">
    <w:pPr>
      <w:pStyle w:val="En-tte"/>
      <w:rPr>
        <w:lang w:val="fr-FR"/>
      </w:rPr>
    </w:pPr>
  </w:p>
  <w:p w14:paraId="2A794A3E" w14:textId="77777777" w:rsidR="00267551" w:rsidRPr="002F4496" w:rsidRDefault="00267551">
    <w:pPr>
      <w:pStyle w:val="En-tte"/>
      <w:rPr>
        <w:lang w:val="fr-FR"/>
      </w:rPr>
    </w:pPr>
  </w:p>
  <w:p w14:paraId="0A21F475" w14:textId="77777777" w:rsidR="00267551" w:rsidRPr="002F4496" w:rsidRDefault="00267551">
    <w:pPr>
      <w:pStyle w:val="En-tte"/>
      <w:rPr>
        <w:highlight w:val="yellow"/>
        <w:lang w:val="fr-FR"/>
      </w:rPr>
    </w:pPr>
  </w:p>
  <w:p w14:paraId="53ABEE5D" w14:textId="77777777" w:rsidR="00267551" w:rsidRDefault="00267551">
    <w:pPr>
      <w:pStyle w:val="En-tte"/>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586A7"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FC54EF"/>
    <w:multiLevelType w:val="hybridMultilevel"/>
    <w:tmpl w:val="2842BA24"/>
    <w:lvl w:ilvl="0" w:tplc="98FED8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2088264467">
    <w:abstractNumId w:val="17"/>
  </w:num>
  <w:num w:numId="2" w16cid:durableId="701445565">
    <w:abstractNumId w:val="19"/>
  </w:num>
  <w:num w:numId="3" w16cid:durableId="1390182209">
    <w:abstractNumId w:val="12"/>
  </w:num>
  <w:num w:numId="4" w16cid:durableId="206114975">
    <w:abstractNumId w:val="24"/>
  </w:num>
  <w:num w:numId="5" w16cid:durableId="800615756">
    <w:abstractNumId w:val="26"/>
  </w:num>
  <w:num w:numId="6" w16cid:durableId="124978038">
    <w:abstractNumId w:val="0"/>
  </w:num>
  <w:num w:numId="7" w16cid:durableId="1128476802">
    <w:abstractNumId w:val="4"/>
  </w:num>
  <w:num w:numId="8" w16cid:durableId="13459355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6389268">
    <w:abstractNumId w:val="32"/>
  </w:num>
  <w:num w:numId="10" w16cid:durableId="14605665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58328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3431760">
    <w:abstractNumId w:val="28"/>
  </w:num>
  <w:num w:numId="13" w16cid:durableId="375744445">
    <w:abstractNumId w:val="31"/>
  </w:num>
  <w:num w:numId="14" w16cid:durableId="2121558465">
    <w:abstractNumId w:val="23"/>
  </w:num>
  <w:num w:numId="15" w16cid:durableId="1049695084">
    <w:abstractNumId w:val="11"/>
  </w:num>
  <w:num w:numId="16" w16cid:durableId="1193346128">
    <w:abstractNumId w:val="1"/>
  </w:num>
  <w:num w:numId="17" w16cid:durableId="710223570">
    <w:abstractNumId w:val="15"/>
  </w:num>
  <w:num w:numId="18" w16cid:durableId="595207427">
    <w:abstractNumId w:val="16"/>
  </w:num>
  <w:num w:numId="19" w16cid:durableId="1169949313">
    <w:abstractNumId w:val="18"/>
  </w:num>
  <w:num w:numId="20" w16cid:durableId="302391175">
    <w:abstractNumId w:val="27"/>
  </w:num>
  <w:num w:numId="21" w16cid:durableId="602687988">
    <w:abstractNumId w:val="37"/>
  </w:num>
  <w:num w:numId="22" w16cid:durableId="1857383193">
    <w:abstractNumId w:val="25"/>
  </w:num>
  <w:num w:numId="23" w16cid:durableId="558589329">
    <w:abstractNumId w:val="10"/>
  </w:num>
  <w:num w:numId="24" w16cid:durableId="160782576">
    <w:abstractNumId w:val="30"/>
  </w:num>
  <w:num w:numId="25" w16cid:durableId="910894881">
    <w:abstractNumId w:val="29"/>
  </w:num>
  <w:num w:numId="26" w16cid:durableId="518466530">
    <w:abstractNumId w:val="20"/>
  </w:num>
  <w:num w:numId="27" w16cid:durableId="934167251">
    <w:abstractNumId w:val="33"/>
  </w:num>
  <w:num w:numId="28" w16cid:durableId="411195666">
    <w:abstractNumId w:val="39"/>
  </w:num>
  <w:num w:numId="29" w16cid:durableId="679697185">
    <w:abstractNumId w:val="8"/>
  </w:num>
  <w:num w:numId="30" w16cid:durableId="1977762360">
    <w:abstractNumId w:val="3"/>
  </w:num>
  <w:num w:numId="31" w16cid:durableId="705717560">
    <w:abstractNumId w:val="22"/>
  </w:num>
  <w:num w:numId="32" w16cid:durableId="100222529">
    <w:abstractNumId w:val="21"/>
  </w:num>
  <w:num w:numId="33" w16cid:durableId="620958925">
    <w:abstractNumId w:val="35"/>
  </w:num>
  <w:num w:numId="34" w16cid:durableId="568852488">
    <w:abstractNumId w:val="34"/>
  </w:num>
  <w:num w:numId="35" w16cid:durableId="1135488959">
    <w:abstractNumId w:val="5"/>
  </w:num>
  <w:num w:numId="36" w16cid:durableId="1159349277">
    <w:abstractNumId w:val="36"/>
  </w:num>
  <w:num w:numId="37" w16cid:durableId="2081243925">
    <w:abstractNumId w:val="21"/>
    <w:lvlOverride w:ilvl="0">
      <w:startOverride w:val="1"/>
    </w:lvlOverride>
  </w:num>
  <w:num w:numId="38" w16cid:durableId="968319564">
    <w:abstractNumId w:val="21"/>
  </w:num>
  <w:num w:numId="39" w16cid:durableId="150680596">
    <w:abstractNumId w:val="13"/>
  </w:num>
  <w:num w:numId="40" w16cid:durableId="816411346">
    <w:abstractNumId w:val="6"/>
  </w:num>
  <w:num w:numId="41" w16cid:durableId="1491403397">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6A7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5FD4"/>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4FB4"/>
    <w:rsid w:val="00215940"/>
    <w:rsid w:val="00217C23"/>
    <w:rsid w:val="00220561"/>
    <w:rsid w:val="00220CE4"/>
    <w:rsid w:val="00222D9B"/>
    <w:rsid w:val="00223788"/>
    <w:rsid w:val="00223D11"/>
    <w:rsid w:val="002242D3"/>
    <w:rsid w:val="00225E26"/>
    <w:rsid w:val="00227C1A"/>
    <w:rsid w:val="002301E6"/>
    <w:rsid w:val="002303E3"/>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958"/>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821"/>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16E"/>
    <w:rsid w:val="003B08C8"/>
    <w:rsid w:val="003B1EA6"/>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5767A"/>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5CF"/>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617"/>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D7014"/>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BF8"/>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36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43EA"/>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109"/>
    <w:rsid w:val="009A07A6"/>
    <w:rsid w:val="009A0D56"/>
    <w:rsid w:val="009A31B9"/>
    <w:rsid w:val="009A4D4F"/>
    <w:rsid w:val="009A53D8"/>
    <w:rsid w:val="009A597F"/>
    <w:rsid w:val="009A7B72"/>
    <w:rsid w:val="009A7F49"/>
    <w:rsid w:val="009B03C4"/>
    <w:rsid w:val="009B0AA2"/>
    <w:rsid w:val="009B1D02"/>
    <w:rsid w:val="009B40AA"/>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B5D"/>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2EEC"/>
    <w:rsid w:val="00B4401C"/>
    <w:rsid w:val="00B44802"/>
    <w:rsid w:val="00B44A96"/>
    <w:rsid w:val="00B455D1"/>
    <w:rsid w:val="00B46135"/>
    <w:rsid w:val="00B472AB"/>
    <w:rsid w:val="00B47CE4"/>
    <w:rsid w:val="00B503A8"/>
    <w:rsid w:val="00B5121D"/>
    <w:rsid w:val="00B525C0"/>
    <w:rsid w:val="00B52FAB"/>
    <w:rsid w:val="00B5319A"/>
    <w:rsid w:val="00B53679"/>
    <w:rsid w:val="00B539F9"/>
    <w:rsid w:val="00B53E56"/>
    <w:rsid w:val="00B546C3"/>
    <w:rsid w:val="00B54BD9"/>
    <w:rsid w:val="00B5503C"/>
    <w:rsid w:val="00B55640"/>
    <w:rsid w:val="00B55C57"/>
    <w:rsid w:val="00B5709E"/>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2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3CF"/>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3E4"/>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1FA"/>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Titre1">
    <w:name w:val="heading 1"/>
    <w:basedOn w:val="Normal"/>
    <w:next w:val="Normal"/>
    <w:link w:val="Titre1Car"/>
    <w:qFormat/>
    <w:locked/>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locked/>
    <w:rsid w:val="00886A60"/>
    <w:pPr>
      <w:keepNext/>
      <w:keepLines/>
      <w:spacing w:before="200" w:after="120"/>
      <w:outlineLvl w:val="1"/>
    </w:pPr>
    <w:rPr>
      <w:b/>
      <w:bCs/>
      <w:szCs w:val="26"/>
    </w:rPr>
  </w:style>
  <w:style w:type="paragraph" w:styleId="Titre3">
    <w:name w:val="heading 3"/>
    <w:basedOn w:val="Normal"/>
    <w:next w:val="Normal"/>
    <w:link w:val="Titre3Car"/>
    <w:qFormat/>
    <w:locked/>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uiPriority w:val="9"/>
    <w:qFormat/>
    <w:locked/>
    <w:rsid w:val="00E9344E"/>
    <w:pPr>
      <w:keepNext/>
      <w:keepLines/>
      <w:numPr>
        <w:numId w:val="13"/>
      </w:numPr>
      <w:spacing w:before="200"/>
      <w:jc w:val="both"/>
      <w:outlineLvl w:val="4"/>
    </w:pPr>
    <w:rPr>
      <w:b/>
    </w:rPr>
  </w:style>
  <w:style w:type="paragraph" w:styleId="Titre6">
    <w:name w:val="heading 6"/>
    <w:basedOn w:val="Normal"/>
    <w:next w:val="Normal"/>
    <w:link w:val="Titre6Car"/>
    <w:qFormat/>
    <w:locked/>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locked/>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locked/>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locked/>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locked/>
    <w:rsid w:val="005B64CB"/>
    <w:pPr>
      <w:tabs>
        <w:tab w:val="center" w:pos="4536"/>
        <w:tab w:val="right" w:pos="9072"/>
      </w:tabs>
    </w:pPr>
  </w:style>
  <w:style w:type="paragraph" w:styleId="Pieddepage">
    <w:name w:val="footer"/>
    <w:basedOn w:val="Normal"/>
    <w:link w:val="PieddepageCar"/>
    <w:uiPriority w:val="99"/>
    <w:locked/>
    <w:rsid w:val="005B64CB"/>
    <w:pPr>
      <w:tabs>
        <w:tab w:val="center" w:pos="4536"/>
        <w:tab w:val="right" w:pos="9072"/>
      </w:tabs>
    </w:pPr>
  </w:style>
  <w:style w:type="table" w:styleId="Grilledutableau">
    <w:name w:val="Table Grid"/>
    <w:basedOn w:val="Tableau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rodepage">
    <w:name w:val="page number"/>
    <w:basedOn w:val="Policepardfau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Lienhypertext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ft"/>
    <w:basedOn w:val="Normal"/>
    <w:link w:val="NotedebasdepageCar"/>
    <w:uiPriority w:val="99"/>
    <w:qFormat/>
    <w:locked/>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fr"/>
    <w:qFormat/>
    <w:locked/>
    <w:rsid w:val="00C274F3"/>
    <w:rPr>
      <w:vertAlign w:val="superscript"/>
    </w:rPr>
  </w:style>
  <w:style w:type="paragraph" w:styleId="TM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Marquedecommentaire">
    <w:name w:val="annotation reference"/>
    <w:locked/>
    <w:rsid w:val="004B1E61"/>
    <w:rPr>
      <w:sz w:val="16"/>
      <w:szCs w:val="16"/>
    </w:rPr>
  </w:style>
  <w:style w:type="paragraph" w:styleId="Commentaire">
    <w:name w:val="annotation text"/>
    <w:basedOn w:val="Normal"/>
    <w:link w:val="CommentaireCar"/>
    <w:locked/>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locked/>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locked/>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locked/>
    <w:rsid w:val="002A0C82"/>
    <w:pPr>
      <w:ind w:left="720"/>
      <w:contextualSpacing/>
    </w:pPr>
  </w:style>
  <w:style w:type="paragraph" w:styleId="En-ttedetabledesmatires">
    <w:name w:val="TOC Heading"/>
    <w:basedOn w:val="Titre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ft Car"/>
    <w:link w:val="Notedebasdepage"/>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uiPriority w:val="99"/>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Accentuation">
    <w:name w:val="Emphasis"/>
    <w:uiPriority w:val="20"/>
    <w:qFormat/>
    <w:locked/>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Lgende">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Explorateurdedocuments">
    <w:name w:val="Document Map"/>
    <w:basedOn w:val="Normal"/>
    <w:link w:val="ExplorateurdedocumentsCar"/>
    <w:locked/>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lock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lock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lev">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locked/>
    <w:rsid w:val="002D6E1A"/>
  </w:style>
  <w:style w:type="character" w:styleId="Lienhypertextesuivivisit">
    <w:name w:val="FollowedHyperlink"/>
    <w:unhideWhenUsed/>
    <w:lock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lock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locked/>
    <w:rsid w:val="002D6E1A"/>
    <w:rPr>
      <w:vertAlign w:val="superscript"/>
    </w:rPr>
  </w:style>
  <w:style w:type="character" w:styleId="Textedelespacerserv">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au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re5Car">
    <w:name w:val="Titre 5 Car"/>
    <w:aliases w:val="Questions Car"/>
    <w:link w:val="Titre5"/>
    <w:uiPriority w:val="9"/>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re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re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enumros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Accentuationintense">
    <w:name w:val="Intense Emphasis"/>
    <w:basedOn w:val="Policepardfaut"/>
    <w:uiPriority w:val="21"/>
    <w:qFormat/>
    <w:locked/>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Policepardfau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54368672">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60599043">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amafi.fr/download/pages/VygdyKGuBdSkKlWVnoYMBq8lK7y68ZmbnnxmOrrJ.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ca.org.uk/publication/consultation/cp22-2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amf-france.org/en/regulation/policy/doc-2020-03"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35c8e399-07b8-49e4-91bf-01a20105d4df" xsi:nil="true"/>
    <Year xmlns="35c8e399-07b8-49e4-91bf-01a20105d4df">2022</Year>
    <TaxCatchAll xmlns="35c8e399-07b8-49e4-91bf-01a20105d4df">
      <Value>15</Value>
      <Value>46</Value>
      <Value>385</Value>
      <Value>194</Value>
      <Value>379</Value>
      <Value>38</Value>
    </TaxCatchAll>
    <_dlc_DocId xmlns="35c8e399-07b8-49e4-91bf-01a20105d4df">ESMA34-472-383</_dlc_DocId>
    <_dlc_DocIdUrl xmlns="35c8e399-07b8-49e4-91bf-01a20105d4df">
      <Url>https://sherpa.esma.europa.eu/sites/INIIVM/_layouts/15/DocIdRedir.aspx?ID=ESMA34-472-383</Url>
      <Description>ESMA34-472-383</Description>
    </_dlc_DocIdUrl>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Supervisory briefing</TermName>
          <TermId xmlns="http://schemas.microsoft.com/office/infopath/2007/PartnerControls">bf46ff00-e6bf-4d5e-8642-e9ec713c4e98</TermId>
        </TermInfo>
      </Terms>
    </pe003f6b23174764860dd10a5d2d3e7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IMSC and OWG work on sustainable finance</TermName>
          <TermId xmlns="http://schemas.microsoft.com/office/infopath/2007/PartnerControls">f6ed5092-971f-4cd6-863c-09ec339003ff</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oa4fe03ffd8943c1880fe290404e8de7>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C169-B082-42D7-95A8-39DCDC7C43D3}">
  <ds:schemaRef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35c8e399-07b8-49e4-91bf-01a20105d4df"/>
    <ds:schemaRef ds:uri="http://purl.org/dc/elements/1.1/"/>
  </ds:schemaRefs>
</ds:datastoreItem>
</file>

<file path=customXml/itemProps2.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3.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4.xml><?xml version="1.0" encoding="utf-8"?>
<ds:datastoreItem xmlns:ds="http://schemas.openxmlformats.org/officeDocument/2006/customXml" ds:itemID="{30B5F0D0-E3B5-4691-8DB3-653E429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2949</Words>
  <Characters>16225</Characters>
  <Application>Microsoft Office Word</Application>
  <DocSecurity>8</DocSecurity>
  <Lines>135</Lines>
  <Paragraphs>38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19136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Lina Jouker</cp:lastModifiedBy>
  <cp:revision>2</cp:revision>
  <cp:lastPrinted>2015-02-18T11:01:00Z</cp:lastPrinted>
  <dcterms:created xsi:type="dcterms:W3CDTF">2023-02-20T18:11:00Z</dcterms:created>
  <dcterms:modified xsi:type="dcterms:W3CDTF">2023-02-20T18:11:00Z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