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uzeile"/>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zhaltertext"/>
              <w:rFonts w:cs="Arial"/>
            </w:rPr>
            <w:id w:val="651570699"/>
            <w:text/>
          </w:sdtPr>
          <w:sdtEndPr>
            <w:rPr>
              <w:rStyle w:val="Platzhaltertext"/>
            </w:rPr>
          </w:sdtEndPr>
          <w:sdtContent>
            <w:tc>
              <w:tcPr>
                <w:tcW w:w="5595" w:type="dxa"/>
                <w:shd w:val="clear" w:color="auto" w:fill="auto"/>
              </w:tcPr>
              <w:p w14:paraId="7A68491E" w14:textId="28DFC5D8" w:rsidR="00C2682A" w:rsidRPr="00AB6D88" w:rsidRDefault="00791096" w:rsidP="00FA5524">
                <w:pPr>
                  <w:rPr>
                    <w:rStyle w:val="Platzhaltertext"/>
                    <w:rFonts w:cs="Arial"/>
                  </w:rPr>
                </w:pPr>
                <w:r>
                  <w:rPr>
                    <w:rStyle w:val="Platzhaltertext"/>
                    <w:rFonts w:cs="Arial"/>
                  </w:rPr>
                  <w:t>Union Asset Management Holding AG</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2219B6CB" w:rsidR="00C2682A" w:rsidRPr="00AB6D88" w:rsidRDefault="00A971F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91096">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41F79C44" w:rsidR="00C2682A" w:rsidRPr="00AB6D88" w:rsidRDefault="00D4017D"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70961D79" w:rsidR="00C2682A" w:rsidRPr="00AB6D88" w:rsidRDefault="00791096" w:rsidP="00FA5524">
                <w:pPr>
                  <w:rPr>
                    <w:rFonts w:cs="Arial"/>
                  </w:rPr>
                </w:pPr>
                <w:r>
                  <w:rPr>
                    <w:rFonts w:cs="Arial"/>
                  </w:rPr>
                  <w:t>Germany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08C6541E" w14:textId="1E2A6E13" w:rsidR="00B92885" w:rsidRPr="00B92885" w:rsidRDefault="00791096" w:rsidP="00791096">
      <w:pPr>
        <w:spacing w:after="160" w:line="259" w:lineRule="auto"/>
        <w:rPr>
          <w:rFonts w:ascii="Calibri" w:eastAsia="Calibri" w:hAnsi="Calibri"/>
          <w:sz w:val="22"/>
          <w:szCs w:val="22"/>
          <w:lang w:eastAsia="en-US"/>
        </w:rPr>
      </w:pPr>
      <w:permStart w:id="1100430741" w:edGrp="everyone"/>
      <w:r>
        <w:rPr>
          <w:rFonts w:ascii="Calibri" w:eastAsia="Calibri" w:hAnsi="Calibri"/>
          <w:sz w:val="22"/>
          <w:szCs w:val="22"/>
          <w:lang w:eastAsia="en-US"/>
        </w:rPr>
        <w:t xml:space="preserve">In general we </w:t>
      </w:r>
      <w:r w:rsidR="004917B8">
        <w:rPr>
          <w:rFonts w:ascii="Calibri" w:eastAsia="Calibri" w:hAnsi="Calibri"/>
          <w:sz w:val="22"/>
          <w:szCs w:val="22"/>
          <w:lang w:eastAsia="en-US"/>
        </w:rPr>
        <w:t>support the idea of</w:t>
      </w:r>
      <w:r>
        <w:rPr>
          <w:rFonts w:ascii="Calibri" w:eastAsia="Calibri" w:hAnsi="Calibri"/>
          <w:sz w:val="22"/>
          <w:szCs w:val="22"/>
          <w:lang w:eastAsia="en-US"/>
        </w:rPr>
        <w:t xml:space="preserve"> </w:t>
      </w:r>
      <w:r w:rsidRPr="00791096">
        <w:rPr>
          <w:rFonts w:ascii="Calibri" w:eastAsia="Calibri" w:hAnsi="Calibri"/>
          <w:sz w:val="22"/>
          <w:szCs w:val="22"/>
          <w:lang w:eastAsia="en-US"/>
        </w:rPr>
        <w:t>setting minimum standards in order to</w:t>
      </w:r>
      <w:r w:rsidR="00A276B8">
        <w:rPr>
          <w:rFonts w:ascii="Calibri" w:eastAsia="Calibri" w:hAnsi="Calibri"/>
          <w:sz w:val="22"/>
          <w:szCs w:val="22"/>
          <w:lang w:eastAsia="en-US"/>
        </w:rPr>
        <w:t xml:space="preserve"> </w:t>
      </w:r>
      <w:r w:rsidR="00A276B8" w:rsidRPr="00A276B8">
        <w:rPr>
          <w:rFonts w:ascii="Calibri" w:eastAsia="Calibri" w:hAnsi="Calibri"/>
          <w:sz w:val="22"/>
          <w:szCs w:val="22"/>
          <w:lang w:eastAsia="en-US"/>
        </w:rPr>
        <w:t>protect investors</w:t>
      </w:r>
      <w:r w:rsidR="002D3D16">
        <w:rPr>
          <w:rFonts w:ascii="Calibri" w:eastAsia="Calibri" w:hAnsi="Calibri"/>
          <w:sz w:val="22"/>
          <w:szCs w:val="22"/>
          <w:lang w:eastAsia="en-US"/>
        </w:rPr>
        <w:t xml:space="preserve">, </w:t>
      </w:r>
      <w:r w:rsidR="002D3D16" w:rsidRPr="00791096">
        <w:rPr>
          <w:rFonts w:ascii="Calibri" w:eastAsia="Calibri" w:hAnsi="Calibri"/>
          <w:sz w:val="22"/>
          <w:szCs w:val="22"/>
          <w:lang w:eastAsia="en-US"/>
        </w:rPr>
        <w:t>avoid greenwashing</w:t>
      </w:r>
      <w:r w:rsidR="002D3D16" w:rsidRPr="00A276B8">
        <w:rPr>
          <w:rFonts w:ascii="Calibri" w:eastAsia="Calibri" w:hAnsi="Calibri"/>
          <w:sz w:val="22"/>
          <w:szCs w:val="22"/>
          <w:lang w:eastAsia="en-US"/>
        </w:rPr>
        <w:t xml:space="preserve"> </w:t>
      </w:r>
      <w:r w:rsidR="002D3D16">
        <w:rPr>
          <w:rFonts w:ascii="Calibri" w:eastAsia="Calibri" w:hAnsi="Calibri"/>
          <w:sz w:val="22"/>
          <w:szCs w:val="22"/>
          <w:lang w:eastAsia="en-US"/>
        </w:rPr>
        <w:t xml:space="preserve">and </w:t>
      </w:r>
      <w:r w:rsidR="00A276B8" w:rsidRPr="00A276B8">
        <w:rPr>
          <w:rFonts w:ascii="Calibri" w:eastAsia="Calibri" w:hAnsi="Calibri"/>
          <w:sz w:val="22"/>
          <w:szCs w:val="22"/>
          <w:lang w:eastAsia="en-US"/>
        </w:rPr>
        <w:t>enabl</w:t>
      </w:r>
      <w:r w:rsidR="00A276B8">
        <w:rPr>
          <w:rFonts w:ascii="Calibri" w:eastAsia="Calibri" w:hAnsi="Calibri"/>
          <w:sz w:val="22"/>
          <w:szCs w:val="22"/>
          <w:lang w:eastAsia="en-US"/>
        </w:rPr>
        <w:t>e</w:t>
      </w:r>
      <w:r w:rsidR="00A276B8" w:rsidRPr="00A276B8">
        <w:rPr>
          <w:rFonts w:ascii="Calibri" w:eastAsia="Calibri" w:hAnsi="Calibri"/>
          <w:sz w:val="22"/>
          <w:szCs w:val="22"/>
          <w:lang w:eastAsia="en-US"/>
        </w:rPr>
        <w:t xml:space="preserve"> </w:t>
      </w:r>
      <w:r w:rsidR="00A276B8">
        <w:rPr>
          <w:rFonts w:ascii="Calibri" w:eastAsia="Calibri" w:hAnsi="Calibri"/>
          <w:sz w:val="22"/>
          <w:szCs w:val="22"/>
          <w:lang w:eastAsia="en-US"/>
        </w:rPr>
        <w:t>more</w:t>
      </w:r>
      <w:r w:rsidR="00A276B8" w:rsidRPr="00A276B8">
        <w:rPr>
          <w:rFonts w:ascii="Calibri" w:eastAsia="Calibri" w:hAnsi="Calibri"/>
          <w:sz w:val="22"/>
          <w:szCs w:val="22"/>
          <w:lang w:eastAsia="en-US"/>
        </w:rPr>
        <w:t xml:space="preserve"> transparency</w:t>
      </w:r>
      <w:r w:rsidRPr="00791096">
        <w:rPr>
          <w:rFonts w:ascii="Calibri" w:eastAsia="Calibri" w:hAnsi="Calibri"/>
          <w:sz w:val="22"/>
          <w:szCs w:val="22"/>
          <w:lang w:eastAsia="en-US"/>
        </w:rPr>
        <w:t>.</w:t>
      </w:r>
      <w:r>
        <w:rPr>
          <w:rFonts w:ascii="Calibri" w:eastAsia="Calibri" w:hAnsi="Calibri"/>
          <w:sz w:val="22"/>
          <w:szCs w:val="22"/>
          <w:lang w:eastAsia="en-US"/>
        </w:rPr>
        <w:t xml:space="preserve"> </w:t>
      </w:r>
      <w:r w:rsidR="00A276B8">
        <w:rPr>
          <w:rFonts w:ascii="Calibri" w:eastAsia="Calibri" w:hAnsi="Calibri"/>
          <w:sz w:val="22"/>
          <w:szCs w:val="22"/>
          <w:lang w:eastAsia="en-US"/>
        </w:rPr>
        <w:t>However, it seems important not to forget t</w:t>
      </w:r>
      <w:r w:rsidR="00A276B8" w:rsidRPr="00A276B8">
        <w:rPr>
          <w:rFonts w:ascii="Calibri" w:eastAsia="Calibri" w:hAnsi="Calibri"/>
          <w:sz w:val="22"/>
          <w:szCs w:val="22"/>
          <w:lang w:eastAsia="en-US"/>
        </w:rPr>
        <w:t xml:space="preserve">he overarching goal of </w:t>
      </w:r>
      <w:r w:rsidR="00937728">
        <w:rPr>
          <w:rFonts w:ascii="Calibri" w:eastAsia="Calibri" w:hAnsi="Calibri"/>
          <w:sz w:val="22"/>
          <w:szCs w:val="22"/>
          <w:lang w:eastAsia="en-US"/>
        </w:rPr>
        <w:t>S</w:t>
      </w:r>
      <w:r w:rsidR="00A276B8">
        <w:rPr>
          <w:rFonts w:ascii="Calibri" w:eastAsia="Calibri" w:hAnsi="Calibri"/>
          <w:sz w:val="22"/>
          <w:szCs w:val="22"/>
          <w:lang w:eastAsia="en-US"/>
        </w:rPr>
        <w:t xml:space="preserve">ustainable </w:t>
      </w:r>
      <w:r w:rsidR="00937728">
        <w:rPr>
          <w:rFonts w:ascii="Calibri" w:eastAsia="Calibri" w:hAnsi="Calibri"/>
          <w:sz w:val="22"/>
          <w:szCs w:val="22"/>
          <w:lang w:eastAsia="en-US"/>
        </w:rPr>
        <w:t>F</w:t>
      </w:r>
      <w:r w:rsidR="00A276B8">
        <w:rPr>
          <w:rFonts w:ascii="Calibri" w:eastAsia="Calibri" w:hAnsi="Calibri"/>
          <w:sz w:val="22"/>
          <w:szCs w:val="22"/>
          <w:lang w:eastAsia="en-US"/>
        </w:rPr>
        <w:t xml:space="preserve">inance: </w:t>
      </w:r>
      <w:r w:rsidR="00937728">
        <w:rPr>
          <w:rFonts w:ascii="Calibri" w:eastAsia="Calibri" w:hAnsi="Calibri"/>
          <w:sz w:val="22"/>
          <w:szCs w:val="22"/>
          <w:lang w:eastAsia="en-US"/>
        </w:rPr>
        <w:t xml:space="preserve">the </w:t>
      </w:r>
      <w:r w:rsidR="001D31AA">
        <w:rPr>
          <w:rFonts w:ascii="Calibri" w:eastAsia="Calibri" w:hAnsi="Calibri"/>
          <w:sz w:val="22"/>
          <w:szCs w:val="22"/>
          <w:lang w:eastAsia="en-US"/>
        </w:rPr>
        <w:t xml:space="preserve">green </w:t>
      </w:r>
      <w:r w:rsidR="00937728">
        <w:rPr>
          <w:rFonts w:ascii="Calibri" w:eastAsia="Calibri" w:hAnsi="Calibri"/>
          <w:sz w:val="22"/>
          <w:szCs w:val="22"/>
          <w:lang w:eastAsia="en-US"/>
        </w:rPr>
        <w:t xml:space="preserve">transition towards a sustainable economy. </w:t>
      </w:r>
      <w:r w:rsidR="00937728" w:rsidRPr="00937728">
        <w:rPr>
          <w:rFonts w:ascii="Calibri" w:eastAsia="Calibri" w:hAnsi="Calibri"/>
          <w:sz w:val="22"/>
          <w:szCs w:val="22"/>
          <w:lang w:eastAsia="en-US"/>
        </w:rPr>
        <w:t>If we focus only on the greenest companies that are already</w:t>
      </w:r>
      <w:r w:rsidR="00937728">
        <w:rPr>
          <w:rFonts w:ascii="Calibri" w:eastAsia="Calibri" w:hAnsi="Calibri"/>
          <w:sz w:val="22"/>
          <w:szCs w:val="22"/>
          <w:lang w:eastAsia="en-US"/>
        </w:rPr>
        <w:t xml:space="preserve"> completely</w:t>
      </w:r>
      <w:r w:rsidR="00937728" w:rsidRPr="00937728">
        <w:rPr>
          <w:rFonts w:ascii="Calibri" w:eastAsia="Calibri" w:hAnsi="Calibri"/>
          <w:sz w:val="22"/>
          <w:szCs w:val="22"/>
          <w:lang w:eastAsia="en-US"/>
        </w:rPr>
        <w:t xml:space="preserve"> sustainable</w:t>
      </w:r>
      <w:r w:rsidR="00937728">
        <w:rPr>
          <w:rFonts w:ascii="Calibri" w:eastAsia="Calibri" w:hAnsi="Calibri"/>
          <w:sz w:val="22"/>
          <w:szCs w:val="22"/>
          <w:lang w:eastAsia="en-US"/>
        </w:rPr>
        <w:t>, t</w:t>
      </w:r>
      <w:r w:rsidR="00937728" w:rsidRPr="00937728">
        <w:rPr>
          <w:rFonts w:ascii="Calibri" w:eastAsia="Calibri" w:hAnsi="Calibri"/>
          <w:sz w:val="22"/>
          <w:szCs w:val="22"/>
          <w:lang w:eastAsia="en-US"/>
        </w:rPr>
        <w:t>he investment universe is very limited.</w:t>
      </w:r>
      <w:r w:rsidR="00937728">
        <w:rPr>
          <w:rFonts w:ascii="Calibri" w:eastAsia="Calibri" w:hAnsi="Calibri"/>
          <w:sz w:val="22"/>
          <w:szCs w:val="22"/>
          <w:lang w:eastAsia="en-US"/>
        </w:rPr>
        <w:t xml:space="preserve"> </w:t>
      </w:r>
      <w:r w:rsidR="00937728" w:rsidRPr="00937728">
        <w:rPr>
          <w:rFonts w:ascii="Calibri" w:eastAsia="Calibri" w:hAnsi="Calibri"/>
          <w:sz w:val="22"/>
          <w:szCs w:val="22"/>
          <w:lang w:eastAsia="en-US"/>
        </w:rPr>
        <w:t>Sustainability is a process</w:t>
      </w:r>
      <w:r w:rsidR="00937728" w:rsidRPr="00937728">
        <w:t xml:space="preserve"> </w:t>
      </w:r>
      <w:r w:rsidR="00937728">
        <w:rPr>
          <w:rFonts w:ascii="Calibri" w:eastAsia="Calibri" w:hAnsi="Calibri"/>
          <w:sz w:val="22"/>
          <w:szCs w:val="22"/>
          <w:lang w:eastAsia="en-US"/>
        </w:rPr>
        <w:t>and i</w:t>
      </w:r>
      <w:r w:rsidR="00937728" w:rsidRPr="00937728">
        <w:rPr>
          <w:rFonts w:ascii="Calibri" w:eastAsia="Calibri" w:hAnsi="Calibri"/>
          <w:sz w:val="22"/>
          <w:szCs w:val="22"/>
          <w:lang w:eastAsia="en-US"/>
        </w:rPr>
        <w:t xml:space="preserve">t is </w:t>
      </w:r>
      <w:r w:rsidR="00937728">
        <w:rPr>
          <w:rFonts w:ascii="Calibri" w:eastAsia="Calibri" w:hAnsi="Calibri"/>
          <w:sz w:val="22"/>
          <w:szCs w:val="22"/>
          <w:lang w:eastAsia="en-US"/>
        </w:rPr>
        <w:t xml:space="preserve">crucial </w:t>
      </w:r>
      <w:r w:rsidR="00937728" w:rsidRPr="00937728">
        <w:rPr>
          <w:rFonts w:ascii="Calibri" w:eastAsia="Calibri" w:hAnsi="Calibri"/>
          <w:sz w:val="22"/>
          <w:szCs w:val="22"/>
          <w:lang w:eastAsia="en-US"/>
        </w:rPr>
        <w:t>to invest</w:t>
      </w:r>
      <w:r w:rsidR="00937728">
        <w:rPr>
          <w:rFonts w:ascii="Calibri" w:eastAsia="Calibri" w:hAnsi="Calibri"/>
          <w:sz w:val="22"/>
          <w:szCs w:val="22"/>
          <w:lang w:eastAsia="en-US"/>
        </w:rPr>
        <w:t xml:space="preserve"> in </w:t>
      </w:r>
      <w:r w:rsidR="00937728" w:rsidRPr="00937728">
        <w:rPr>
          <w:rFonts w:ascii="Calibri" w:eastAsia="Calibri" w:hAnsi="Calibri"/>
          <w:sz w:val="22"/>
          <w:szCs w:val="22"/>
          <w:lang w:eastAsia="en-US"/>
        </w:rPr>
        <w:t>companies that are not yet green, but that have credibly set out on the path towards it.</w:t>
      </w:r>
      <w:r w:rsidR="002D3D16" w:rsidRPr="002D3D16">
        <w:t xml:space="preserve"> </w:t>
      </w:r>
      <w:r w:rsidR="002D3D16">
        <w:t xml:space="preserve">Therefore it is key that the ESMA </w:t>
      </w:r>
      <w:r w:rsidR="004917B8">
        <w:t>“G</w:t>
      </w:r>
      <w:r w:rsidR="002D3D16" w:rsidRPr="002D3D16">
        <w:rPr>
          <w:rFonts w:ascii="Calibri" w:eastAsia="Calibri" w:hAnsi="Calibri"/>
          <w:sz w:val="22"/>
          <w:szCs w:val="22"/>
          <w:lang w:eastAsia="en-US"/>
        </w:rPr>
        <w:t>uidelines for the use of ESG or sustainability-related terms in funds’ names</w:t>
      </w:r>
      <w:r w:rsidR="004917B8">
        <w:rPr>
          <w:rFonts w:ascii="Calibri" w:eastAsia="Calibri" w:hAnsi="Calibri"/>
          <w:sz w:val="22"/>
          <w:szCs w:val="22"/>
          <w:lang w:eastAsia="en-US"/>
        </w:rPr>
        <w:t>” set out feasible criteria.</w:t>
      </w:r>
      <w:r w:rsidR="00A276B8">
        <w:rPr>
          <w:rFonts w:ascii="Calibri" w:eastAsia="Calibri" w:hAnsi="Calibri"/>
          <w:sz w:val="22"/>
          <w:szCs w:val="22"/>
          <w:lang w:eastAsia="en-US"/>
        </w:rPr>
        <w:t xml:space="preserve"> </w:t>
      </w:r>
      <w:r w:rsidR="002D3D16">
        <w:rPr>
          <w:rFonts w:ascii="Calibri" w:eastAsia="Calibri" w:hAnsi="Calibri"/>
          <w:sz w:val="22"/>
          <w:szCs w:val="22"/>
          <w:lang w:eastAsia="en-US"/>
        </w:rPr>
        <w:t>In our view, the proposed rules need to be revised in the consultation process</w:t>
      </w:r>
      <w:r w:rsidR="004917B8">
        <w:rPr>
          <w:rFonts w:ascii="Calibri" w:eastAsia="Calibri" w:hAnsi="Calibri"/>
          <w:sz w:val="22"/>
          <w:szCs w:val="22"/>
          <w:lang w:eastAsia="en-US"/>
        </w:rPr>
        <w:t xml:space="preserve"> to make them </w:t>
      </w:r>
      <w:r w:rsidR="0011468E">
        <w:rPr>
          <w:rFonts w:ascii="Calibri" w:eastAsia="Calibri" w:hAnsi="Calibri"/>
          <w:sz w:val="22"/>
          <w:szCs w:val="22"/>
          <w:lang w:eastAsia="en-US"/>
        </w:rPr>
        <w:t>workable</w:t>
      </w:r>
      <w:r w:rsidR="004917B8">
        <w:rPr>
          <w:rFonts w:ascii="Calibri" w:eastAsia="Calibri" w:hAnsi="Calibri"/>
          <w:sz w:val="22"/>
          <w:szCs w:val="22"/>
          <w:lang w:eastAsia="en-US"/>
        </w:rPr>
        <w:t xml:space="preserve"> for financial market</w:t>
      </w:r>
      <w:r w:rsidR="00836C7C">
        <w:rPr>
          <w:rFonts w:ascii="Calibri" w:eastAsia="Calibri" w:hAnsi="Calibri"/>
          <w:sz w:val="22"/>
          <w:szCs w:val="22"/>
          <w:lang w:eastAsia="en-US"/>
        </w:rPr>
        <w:t>s</w:t>
      </w:r>
      <w:r w:rsidR="004917B8">
        <w:rPr>
          <w:rFonts w:ascii="Calibri" w:eastAsia="Calibri" w:hAnsi="Calibri"/>
          <w:sz w:val="22"/>
          <w:szCs w:val="22"/>
          <w:lang w:eastAsia="en-US"/>
        </w:rPr>
        <w:t xml:space="preserve"> </w:t>
      </w:r>
      <w:r w:rsidR="0011468E">
        <w:rPr>
          <w:rFonts w:ascii="Calibri" w:eastAsia="Calibri" w:hAnsi="Calibri"/>
          <w:sz w:val="22"/>
          <w:szCs w:val="22"/>
          <w:lang w:eastAsia="en-US"/>
        </w:rPr>
        <w:t>in order to support investments in a sustainable future.</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043F3971" w14:textId="61694187" w:rsidR="00B92885" w:rsidRDefault="003A5C82" w:rsidP="00B92885">
      <w:permStart w:id="1596738700" w:edGrp="everyone"/>
      <w:r>
        <w:rPr>
          <w:lang w:val="en-US"/>
        </w:rPr>
        <w:t>I</w:t>
      </w:r>
      <w:r w:rsidRPr="00FC40B9">
        <w:rPr>
          <w:lang w:val="en-US"/>
        </w:rPr>
        <w:t>n general we agree w</w:t>
      </w:r>
      <w:r>
        <w:rPr>
          <w:lang w:val="en-US"/>
        </w:rPr>
        <w:t>ith the requirement that a fund name should represent the purpose of a fund. Therefore, the majority (more than 50%) of the NAV should be invested in assets that correspond to the name of the fund.</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15B050E8" w14:textId="6B701961" w:rsidR="00D80555" w:rsidRPr="00D80555" w:rsidRDefault="00D80555" w:rsidP="00D80555">
      <w:pPr>
        <w:rPr>
          <w:lang w:val="en-US"/>
        </w:rPr>
      </w:pPr>
      <w:permStart w:id="1305634831" w:edGrp="everyone"/>
      <w:r w:rsidRPr="00D80555">
        <w:rPr>
          <w:lang w:val="en-US"/>
        </w:rPr>
        <w:t>As mentioned in</w:t>
      </w:r>
      <w:r>
        <w:rPr>
          <w:lang w:val="en-US"/>
        </w:rPr>
        <w:t xml:space="preserve"> our answer to</w:t>
      </w:r>
      <w:r w:rsidRPr="00D80555">
        <w:rPr>
          <w:lang w:val="en-US"/>
        </w:rPr>
        <w:t xml:space="preserve"> Q1, we agree that the relevant assets in the fund </w:t>
      </w:r>
      <w:r>
        <w:rPr>
          <w:lang w:val="en-US"/>
        </w:rPr>
        <w:t>should</w:t>
      </w:r>
      <w:r w:rsidRPr="00D80555">
        <w:rPr>
          <w:lang w:val="en-US"/>
        </w:rPr>
        <w:t xml:space="preserve"> represent the fund name. However, we consider </w:t>
      </w:r>
      <w:r>
        <w:rPr>
          <w:lang w:val="en-US"/>
        </w:rPr>
        <w:t>a m</w:t>
      </w:r>
      <w:r w:rsidRPr="00D80555">
        <w:rPr>
          <w:lang w:val="en-US"/>
        </w:rPr>
        <w:t xml:space="preserve">inimum </w:t>
      </w:r>
      <w:r>
        <w:rPr>
          <w:lang w:val="en-US"/>
        </w:rPr>
        <w:t xml:space="preserve">proportion of 80% </w:t>
      </w:r>
      <w:r w:rsidRPr="00D80555">
        <w:rPr>
          <w:lang w:val="en-US"/>
        </w:rPr>
        <w:t xml:space="preserve">to be too high. </w:t>
      </w:r>
    </w:p>
    <w:p w14:paraId="281C928C" w14:textId="45EAEBFC" w:rsidR="00D80555" w:rsidRPr="00D80555" w:rsidRDefault="00D80555" w:rsidP="00D80555">
      <w:pPr>
        <w:rPr>
          <w:lang w:val="en-US"/>
        </w:rPr>
      </w:pPr>
      <w:r>
        <w:rPr>
          <w:lang w:val="en-US"/>
        </w:rPr>
        <w:t xml:space="preserve">Based on </w:t>
      </w:r>
      <w:r w:rsidRPr="00D80555">
        <w:rPr>
          <w:lang w:val="en-US"/>
        </w:rPr>
        <w:t xml:space="preserve">national regulations in Germany, </w:t>
      </w:r>
      <w:r>
        <w:rPr>
          <w:lang w:val="en-US"/>
        </w:rPr>
        <w:t xml:space="preserve">for example </w:t>
      </w:r>
      <w:r w:rsidRPr="00D80555">
        <w:rPr>
          <w:lang w:val="en-US"/>
        </w:rPr>
        <w:t xml:space="preserve">the </w:t>
      </w:r>
      <w:r>
        <w:rPr>
          <w:lang w:val="en-US"/>
        </w:rPr>
        <w:t>guideline</w:t>
      </w:r>
      <w:r w:rsidRPr="00D80555">
        <w:rPr>
          <w:lang w:val="en-US"/>
        </w:rPr>
        <w:t xml:space="preserve"> on the definition of fund categories issued by the</w:t>
      </w:r>
      <w:r>
        <w:rPr>
          <w:lang w:val="en-US"/>
        </w:rPr>
        <w:t xml:space="preserve"> Federal</w:t>
      </w:r>
      <w:r w:rsidRPr="00D80555">
        <w:rPr>
          <w:lang w:val="en-US"/>
        </w:rPr>
        <w:t xml:space="preserve"> Financial Supervisory Authority</w:t>
      </w:r>
      <w:r>
        <w:rPr>
          <w:lang w:val="en-US"/>
        </w:rPr>
        <w:t xml:space="preserve"> BaFin</w:t>
      </w:r>
      <w:r w:rsidRPr="00D80555">
        <w:rPr>
          <w:lang w:val="en-US"/>
        </w:rPr>
        <w:t>, it is required that more than 50</w:t>
      </w:r>
      <w:r>
        <w:rPr>
          <w:lang w:val="en-US"/>
        </w:rPr>
        <w:t xml:space="preserve">% </w:t>
      </w:r>
      <w:r w:rsidRPr="00D80555">
        <w:rPr>
          <w:lang w:val="en-US"/>
        </w:rPr>
        <w:t>of the value of the investment fund must be invested in the asset denoting the fund category. Accordingly, an equity fund must invest more than 50</w:t>
      </w:r>
      <w:r>
        <w:rPr>
          <w:lang w:val="en-US"/>
        </w:rPr>
        <w:t>%</w:t>
      </w:r>
      <w:r w:rsidRPr="00D80555">
        <w:rPr>
          <w:lang w:val="en-US"/>
        </w:rPr>
        <w:t xml:space="preserve"> in equities. </w:t>
      </w:r>
    </w:p>
    <w:p w14:paraId="6B2EDC86" w14:textId="77C0F7A8" w:rsidR="00D80555" w:rsidRPr="00D80555" w:rsidRDefault="00D80555" w:rsidP="00D80555">
      <w:pPr>
        <w:rPr>
          <w:lang w:val="en-US"/>
        </w:rPr>
      </w:pPr>
      <w:r w:rsidRPr="00D80555">
        <w:rPr>
          <w:lang w:val="en-US"/>
        </w:rPr>
        <w:t xml:space="preserve">With a quota of 80%, funds that have ESG-related </w:t>
      </w:r>
      <w:r w:rsidR="001F71D9">
        <w:rPr>
          <w:lang w:val="en-US"/>
        </w:rPr>
        <w:t>words</w:t>
      </w:r>
      <w:r w:rsidRPr="00D80555">
        <w:rPr>
          <w:lang w:val="en-US"/>
        </w:rPr>
        <w:t xml:space="preserve"> in their name are disadvantaged. This can lead to a lack of diversification, higher volatility, a smaller investment universe and, in the end, </w:t>
      </w:r>
      <w:r w:rsidR="00D704E4">
        <w:rPr>
          <w:lang w:val="en-US"/>
        </w:rPr>
        <w:t>less performance</w:t>
      </w:r>
      <w:r w:rsidRPr="00D80555">
        <w:rPr>
          <w:lang w:val="en-US"/>
        </w:rPr>
        <w:t>. ESG-related funds are thus deprived of some investment opportunities to manage portfolios and contribute to the trans</w:t>
      </w:r>
      <w:r w:rsidR="00D704E4">
        <w:rPr>
          <w:lang w:val="en-US"/>
        </w:rPr>
        <w:t xml:space="preserve">ition </w:t>
      </w:r>
      <w:r w:rsidRPr="00D80555">
        <w:rPr>
          <w:lang w:val="en-US"/>
        </w:rPr>
        <w:t xml:space="preserve">of the economy. </w:t>
      </w:r>
    </w:p>
    <w:p w14:paraId="7FCEEE72" w14:textId="687FB869" w:rsidR="00D80555" w:rsidRPr="00D80555" w:rsidRDefault="00D80555" w:rsidP="00D80555">
      <w:pPr>
        <w:rPr>
          <w:lang w:val="en-US"/>
        </w:rPr>
      </w:pPr>
      <w:r w:rsidRPr="00D80555">
        <w:rPr>
          <w:lang w:val="en-US"/>
        </w:rPr>
        <w:t xml:space="preserve">In flexible multi-asset products, for example, part of the portfolio is used for liquidity management, hedging and diversification reasons. This part may be </w:t>
      </w:r>
      <w:r w:rsidR="00D704E4">
        <w:rPr>
          <w:lang w:val="en-US"/>
        </w:rPr>
        <w:t xml:space="preserve">not </w:t>
      </w:r>
      <w:r w:rsidRPr="00D80555">
        <w:rPr>
          <w:lang w:val="en-US"/>
        </w:rPr>
        <w:t xml:space="preserve">sustainable, for example cash. Sustainable flexible multi-asset products would no longer be </w:t>
      </w:r>
      <w:r w:rsidR="00670E84" w:rsidRPr="00670E84">
        <w:rPr>
          <w:lang w:val="en-US"/>
        </w:rPr>
        <w:t xml:space="preserve">manageable </w:t>
      </w:r>
      <w:r w:rsidRPr="00D80555">
        <w:rPr>
          <w:lang w:val="en-US"/>
        </w:rPr>
        <w:t xml:space="preserve">with 80% ESG-related investments and thus not suitable for distribution. </w:t>
      </w:r>
    </w:p>
    <w:p w14:paraId="409E8FAA" w14:textId="05AF12AA" w:rsidR="00D80555" w:rsidRPr="00D80555" w:rsidRDefault="00D80555" w:rsidP="00D80555">
      <w:pPr>
        <w:rPr>
          <w:lang w:val="en-US"/>
        </w:rPr>
      </w:pPr>
      <w:r w:rsidRPr="00D80555">
        <w:rPr>
          <w:lang w:val="en-US"/>
        </w:rPr>
        <w:t xml:space="preserve">The </w:t>
      </w:r>
      <w:r w:rsidR="00B6591F">
        <w:rPr>
          <w:lang w:val="en-US"/>
        </w:rPr>
        <w:t>aim</w:t>
      </w:r>
      <w:r w:rsidRPr="00D80555">
        <w:rPr>
          <w:lang w:val="en-US"/>
        </w:rPr>
        <w:t xml:space="preserve"> of the EU Action Plan </w:t>
      </w:r>
      <w:r w:rsidR="00B6591F">
        <w:rPr>
          <w:lang w:val="en-US"/>
        </w:rPr>
        <w:t xml:space="preserve">and the Renewed Sustainable Finance Strategy </w:t>
      </w:r>
      <w:r w:rsidR="006A6957">
        <w:rPr>
          <w:lang w:val="en-US"/>
        </w:rPr>
        <w:t>to r</w:t>
      </w:r>
      <w:r w:rsidR="006A6957" w:rsidRPr="006A6957">
        <w:rPr>
          <w:lang w:val="en-US"/>
        </w:rPr>
        <w:t xml:space="preserve">eorient capital flows towards a more sustainable economy </w:t>
      </w:r>
      <w:r w:rsidRPr="00D80555">
        <w:rPr>
          <w:lang w:val="en-US"/>
        </w:rPr>
        <w:t xml:space="preserve">would thus be missed. </w:t>
      </w:r>
    </w:p>
    <w:p w14:paraId="7BED3590" w14:textId="0B4DD7F4" w:rsidR="00B92885" w:rsidRPr="00D80555" w:rsidRDefault="009B3995" w:rsidP="00D80555">
      <w:pPr>
        <w:rPr>
          <w:lang w:val="en-US"/>
        </w:rPr>
      </w:pPr>
      <w:r>
        <w:rPr>
          <w:lang w:val="en-US"/>
        </w:rPr>
        <w:t>Regarding the threshold. w</w:t>
      </w:r>
      <w:r w:rsidR="00D80555" w:rsidRPr="00D80555">
        <w:rPr>
          <w:lang w:val="en-US"/>
        </w:rPr>
        <w:t xml:space="preserve">e propose a minimum </w:t>
      </w:r>
      <w:r>
        <w:rPr>
          <w:lang w:val="en-US"/>
        </w:rPr>
        <w:t>proportion</w:t>
      </w:r>
      <w:r w:rsidR="00D80555" w:rsidRPr="00D80555">
        <w:rPr>
          <w:lang w:val="en-US"/>
        </w:rPr>
        <w:t xml:space="preserve"> of ESG-related investments of over 50% (majority).</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3F3E1763" w14:textId="53192AC7" w:rsidR="00B92885" w:rsidRDefault="00FA5113" w:rsidP="00B92885">
      <w:pPr>
        <w:rPr>
          <w:lang w:val="en-US"/>
        </w:rPr>
      </w:pPr>
      <w:permStart w:id="347949177" w:edGrp="everyone"/>
      <w:r w:rsidRPr="00FA5113">
        <w:rPr>
          <w:lang w:val="en-US"/>
        </w:rPr>
        <w:t>We do not agree that a</w:t>
      </w:r>
      <w:r>
        <w:rPr>
          <w:lang w:val="en-US"/>
        </w:rPr>
        <w:t xml:space="preserve"> fund which uses the word</w:t>
      </w:r>
      <w:r w:rsidRPr="00FA5113">
        <w:rPr>
          <w:lang w:val="en-US"/>
        </w:rPr>
        <w:t xml:space="preserve"> "sustainable" should have a minimum </w:t>
      </w:r>
      <w:r w:rsidR="005451EC">
        <w:rPr>
          <w:lang w:val="en-US"/>
        </w:rPr>
        <w:t xml:space="preserve">proportion </w:t>
      </w:r>
      <w:r w:rsidRPr="00FA5113">
        <w:rPr>
          <w:lang w:val="en-US"/>
        </w:rPr>
        <w:t xml:space="preserve">of 50% sustainable investments. This is an unrealistically high value, which ensures that only the most sustainable of sustainable stocks could be invested in with a </w:t>
      </w:r>
      <w:r w:rsidR="005451EC">
        <w:rPr>
          <w:lang w:val="en-US"/>
        </w:rPr>
        <w:t>such a</w:t>
      </w:r>
      <w:r w:rsidRPr="00FA5113">
        <w:rPr>
          <w:lang w:val="en-US"/>
        </w:rPr>
        <w:t xml:space="preserve"> portfolio. The reason for this is a lack of specifications on how these investments are calculated, a lack of data and a regional restriction to the EU/Europe. We expect a clarification on the calculation method of sustainable investments (according to Art. 2 para. 7 of the SFDR) in the answers of the EU</w:t>
      </w:r>
      <w:r w:rsidR="005451EC">
        <w:rPr>
          <w:lang w:val="en-US"/>
        </w:rPr>
        <w:t xml:space="preserve"> Commission</w:t>
      </w:r>
      <w:r w:rsidRPr="00FA5113">
        <w:rPr>
          <w:lang w:val="en-US"/>
        </w:rPr>
        <w:t xml:space="preserve"> to the questions of ESMA in </w:t>
      </w:r>
      <w:r w:rsidR="005451EC">
        <w:rPr>
          <w:lang w:val="en-US"/>
        </w:rPr>
        <w:t>the near future</w:t>
      </w:r>
      <w:r w:rsidRPr="00FA5113">
        <w:rPr>
          <w:lang w:val="en-US"/>
        </w:rPr>
        <w:t xml:space="preserve">. A missing calculation method leads to the fact that </w:t>
      </w:r>
      <w:r w:rsidR="005451EC">
        <w:rPr>
          <w:lang w:val="en-US"/>
        </w:rPr>
        <w:t>investors</w:t>
      </w:r>
      <w:r w:rsidRPr="00FA5113">
        <w:rPr>
          <w:lang w:val="en-US"/>
        </w:rPr>
        <w:t xml:space="preserve"> cannot meaningfully compare the quotas of different</w:t>
      </w:r>
      <w:r w:rsidR="005451EC">
        <w:rPr>
          <w:lang w:val="en-US"/>
        </w:rPr>
        <w:t xml:space="preserve"> asset managers</w:t>
      </w:r>
      <w:r w:rsidRPr="00FA5113">
        <w:rPr>
          <w:lang w:val="en-US"/>
        </w:rPr>
        <w:t xml:space="preserve">. This </w:t>
      </w:r>
      <w:r w:rsidR="005451EC">
        <w:rPr>
          <w:lang w:val="en-US"/>
        </w:rPr>
        <w:t>may mislead</w:t>
      </w:r>
      <w:r w:rsidRPr="00FA5113">
        <w:rPr>
          <w:lang w:val="en-US"/>
        </w:rPr>
        <w:t xml:space="preserve"> </w:t>
      </w:r>
      <w:r w:rsidR="005451EC">
        <w:rPr>
          <w:lang w:val="en-US"/>
        </w:rPr>
        <w:t>investors</w:t>
      </w:r>
      <w:r w:rsidRPr="00FA5113">
        <w:rPr>
          <w:lang w:val="en-US"/>
        </w:rPr>
        <w:t>.</w:t>
      </w:r>
    </w:p>
    <w:p w14:paraId="078AF328" w14:textId="3E1A6A04" w:rsidR="0075656D" w:rsidRDefault="0075656D" w:rsidP="00B92885">
      <w:pPr>
        <w:rPr>
          <w:lang w:val="en-US"/>
        </w:rPr>
      </w:pPr>
      <w:r>
        <w:rPr>
          <w:lang w:val="en-US"/>
        </w:rPr>
        <w:t>Example:</w:t>
      </w:r>
    </w:p>
    <w:p w14:paraId="010B515C" w14:textId="111C596D" w:rsidR="0075656D" w:rsidRPr="0075656D" w:rsidRDefault="0075656D" w:rsidP="0075656D">
      <w:pPr>
        <w:rPr>
          <w:lang w:val="en-US"/>
        </w:rPr>
      </w:pPr>
      <w:r>
        <w:rPr>
          <w:lang w:val="en-US"/>
        </w:rPr>
        <w:t xml:space="preserve">Asset </w:t>
      </w:r>
      <w:r w:rsidR="00D0686D">
        <w:rPr>
          <w:lang w:val="en-US"/>
        </w:rPr>
        <w:t>m</w:t>
      </w:r>
      <w:r>
        <w:rPr>
          <w:lang w:val="en-US"/>
        </w:rPr>
        <w:t>anager</w:t>
      </w:r>
      <w:r w:rsidRPr="0075656D">
        <w:rPr>
          <w:lang w:val="en-US"/>
        </w:rPr>
        <w:t xml:space="preserve"> A assesses sustainable investments at the level of economic activities (</w:t>
      </w:r>
      <w:r w:rsidR="00D0686D">
        <w:rPr>
          <w:lang w:val="en-US"/>
        </w:rPr>
        <w:t>revenue share</w:t>
      </w:r>
      <w:r w:rsidRPr="0075656D">
        <w:rPr>
          <w:lang w:val="en-US"/>
        </w:rPr>
        <w:t xml:space="preserve"> from sustainable economic activities), </w:t>
      </w:r>
      <w:r>
        <w:rPr>
          <w:lang w:val="en-US"/>
        </w:rPr>
        <w:t>asset managers</w:t>
      </w:r>
      <w:r w:rsidRPr="0075656D">
        <w:rPr>
          <w:lang w:val="en-US"/>
        </w:rPr>
        <w:t xml:space="preserve"> B and C assess the entire investment as sustainable, whereby </w:t>
      </w:r>
      <w:r>
        <w:rPr>
          <w:lang w:val="en-US"/>
        </w:rPr>
        <w:t>asset manager</w:t>
      </w:r>
      <w:r w:rsidRPr="0075656D">
        <w:rPr>
          <w:lang w:val="en-US"/>
        </w:rPr>
        <w:t xml:space="preserve"> B considers a </w:t>
      </w:r>
      <w:r w:rsidR="00D0686D">
        <w:rPr>
          <w:lang w:val="en-US"/>
        </w:rPr>
        <w:t>revenue share</w:t>
      </w:r>
      <w:r w:rsidRPr="0075656D">
        <w:rPr>
          <w:lang w:val="en-US"/>
        </w:rPr>
        <w:t xml:space="preserve"> of 20</w:t>
      </w:r>
      <w:r w:rsidR="00D0686D">
        <w:rPr>
          <w:lang w:val="en-US"/>
        </w:rPr>
        <w:t xml:space="preserve">% </w:t>
      </w:r>
      <w:r w:rsidRPr="0075656D">
        <w:rPr>
          <w:lang w:val="en-US"/>
        </w:rPr>
        <w:t xml:space="preserve">and </w:t>
      </w:r>
      <w:r>
        <w:rPr>
          <w:lang w:val="en-US"/>
        </w:rPr>
        <w:t>asset manager</w:t>
      </w:r>
      <w:r w:rsidRPr="0075656D">
        <w:rPr>
          <w:lang w:val="en-US"/>
        </w:rPr>
        <w:t xml:space="preserve"> C </w:t>
      </w:r>
      <w:r w:rsidR="00D0686D">
        <w:rPr>
          <w:lang w:val="en-US"/>
        </w:rPr>
        <w:t xml:space="preserve">a revenue share </w:t>
      </w:r>
      <w:r w:rsidRPr="0075656D">
        <w:rPr>
          <w:lang w:val="en-US"/>
        </w:rPr>
        <w:t>of 50</w:t>
      </w:r>
      <w:r w:rsidR="00D0686D">
        <w:rPr>
          <w:lang w:val="en-US"/>
        </w:rPr>
        <w:t xml:space="preserve">% </w:t>
      </w:r>
      <w:r w:rsidRPr="0075656D">
        <w:rPr>
          <w:lang w:val="en-US"/>
        </w:rPr>
        <w:t>sufficient for this.</w:t>
      </w:r>
    </w:p>
    <w:p w14:paraId="2A3CE96A" w14:textId="77777777" w:rsidR="0075656D" w:rsidRPr="0075656D" w:rsidRDefault="0075656D" w:rsidP="0075656D">
      <w:pPr>
        <w:rPr>
          <w:lang w:val="en-US"/>
        </w:rPr>
      </w:pPr>
    </w:p>
    <w:p w14:paraId="7DD33F11" w14:textId="3700DDFF" w:rsidR="0075656D" w:rsidRPr="0075656D" w:rsidRDefault="0075656D" w:rsidP="0075656D">
      <w:pPr>
        <w:rPr>
          <w:lang w:val="en-US"/>
        </w:rPr>
      </w:pPr>
      <w:r w:rsidRPr="0075656D">
        <w:rPr>
          <w:lang w:val="en-US"/>
        </w:rPr>
        <w:lastRenderedPageBreak/>
        <w:t>In the case of an investment in a company that generates 25</w:t>
      </w:r>
      <w:r w:rsidR="00D0686D">
        <w:rPr>
          <w:lang w:val="en-US"/>
        </w:rPr>
        <w:t xml:space="preserve">% </w:t>
      </w:r>
      <w:r w:rsidRPr="0075656D">
        <w:rPr>
          <w:lang w:val="en-US"/>
        </w:rPr>
        <w:t xml:space="preserve">of its </w:t>
      </w:r>
      <w:r w:rsidR="00D0686D">
        <w:rPr>
          <w:lang w:val="en-US"/>
        </w:rPr>
        <w:t>revenue</w:t>
      </w:r>
      <w:r w:rsidRPr="0075656D">
        <w:rPr>
          <w:lang w:val="en-US"/>
        </w:rPr>
        <w:t xml:space="preserve"> from </w:t>
      </w:r>
      <w:r w:rsidR="00D0686D">
        <w:rPr>
          <w:lang w:val="en-US"/>
        </w:rPr>
        <w:t xml:space="preserve">a </w:t>
      </w:r>
      <w:r w:rsidRPr="0075656D">
        <w:rPr>
          <w:lang w:val="en-US"/>
        </w:rPr>
        <w:t xml:space="preserve">sustainable economic activity, </w:t>
      </w:r>
      <w:r w:rsidR="00D0686D">
        <w:rPr>
          <w:lang w:val="en-US"/>
        </w:rPr>
        <w:t xml:space="preserve">asset manager </w:t>
      </w:r>
      <w:r w:rsidRPr="0075656D">
        <w:rPr>
          <w:lang w:val="en-US"/>
        </w:rPr>
        <w:t xml:space="preserve">A would assess 25 </w:t>
      </w:r>
      <w:r w:rsidR="00D0686D">
        <w:rPr>
          <w:lang w:val="en-US"/>
        </w:rPr>
        <w:t xml:space="preserve">% </w:t>
      </w:r>
      <w:r w:rsidRPr="0075656D">
        <w:rPr>
          <w:lang w:val="en-US"/>
        </w:rPr>
        <w:t xml:space="preserve">of the investment as sustainable, </w:t>
      </w:r>
      <w:r w:rsidR="00D0686D">
        <w:rPr>
          <w:lang w:val="en-US"/>
        </w:rPr>
        <w:t>asset manager</w:t>
      </w:r>
      <w:r w:rsidRPr="0075656D">
        <w:rPr>
          <w:lang w:val="en-US"/>
        </w:rPr>
        <w:t xml:space="preserve"> B 100</w:t>
      </w:r>
      <w:r w:rsidR="00D0686D">
        <w:rPr>
          <w:lang w:val="en-US"/>
        </w:rPr>
        <w:t xml:space="preserve">% </w:t>
      </w:r>
      <w:r w:rsidRPr="0075656D">
        <w:rPr>
          <w:lang w:val="en-US"/>
        </w:rPr>
        <w:t xml:space="preserve">and </w:t>
      </w:r>
      <w:r w:rsidR="00D0686D">
        <w:rPr>
          <w:lang w:val="en-US"/>
        </w:rPr>
        <w:t xml:space="preserve">asset manager </w:t>
      </w:r>
      <w:r w:rsidRPr="0075656D">
        <w:rPr>
          <w:lang w:val="en-US"/>
        </w:rPr>
        <w:t>C 0</w:t>
      </w:r>
      <w:r w:rsidR="00D0686D">
        <w:rPr>
          <w:lang w:val="en-US"/>
        </w:rPr>
        <w:t>%</w:t>
      </w:r>
      <w:r w:rsidRPr="0075656D">
        <w:rPr>
          <w:lang w:val="en-US"/>
        </w:rPr>
        <w:t>.</w:t>
      </w:r>
    </w:p>
    <w:p w14:paraId="2C275BAC" w14:textId="77777777" w:rsidR="0075656D" w:rsidRPr="0075656D" w:rsidRDefault="0075656D" w:rsidP="0075656D">
      <w:pPr>
        <w:rPr>
          <w:lang w:val="en-US"/>
        </w:rPr>
      </w:pPr>
    </w:p>
    <w:p w14:paraId="7CF4AFEB" w14:textId="2E40C4AC" w:rsidR="0075656D" w:rsidRPr="0075656D" w:rsidRDefault="0075656D" w:rsidP="0075656D">
      <w:pPr>
        <w:rPr>
          <w:lang w:val="en-US"/>
        </w:rPr>
      </w:pPr>
      <w:r w:rsidRPr="0075656D">
        <w:rPr>
          <w:lang w:val="en-US"/>
        </w:rPr>
        <w:t xml:space="preserve">With an original investment universe of 20,000 issuers, only 1,500 issuers would remain to realise such a quota. These </w:t>
      </w:r>
      <w:r w:rsidR="00D0686D">
        <w:rPr>
          <w:lang w:val="en-US"/>
        </w:rPr>
        <w:t>companies</w:t>
      </w:r>
      <w:r w:rsidRPr="0075656D">
        <w:rPr>
          <w:lang w:val="en-US"/>
        </w:rPr>
        <w:t xml:space="preserve"> would be predominantly from the health and pharmaceutical sectors and would further </w:t>
      </w:r>
      <w:r w:rsidR="00D0686D">
        <w:rPr>
          <w:lang w:val="en-US"/>
        </w:rPr>
        <w:t>increase t</w:t>
      </w:r>
      <w:r w:rsidRPr="0075656D">
        <w:rPr>
          <w:lang w:val="en-US"/>
        </w:rPr>
        <w:t>he p</w:t>
      </w:r>
      <w:r w:rsidR="00D0686D">
        <w:rPr>
          <w:lang w:val="en-US"/>
        </w:rPr>
        <w:t>roblem</w:t>
      </w:r>
      <w:r w:rsidRPr="0075656D">
        <w:rPr>
          <w:lang w:val="en-US"/>
        </w:rPr>
        <w:t xml:space="preserve"> of portfolio concentration. </w:t>
      </w:r>
    </w:p>
    <w:p w14:paraId="520DD3CA" w14:textId="77777777" w:rsidR="0075656D" w:rsidRPr="0075656D" w:rsidRDefault="0075656D" w:rsidP="0075656D">
      <w:pPr>
        <w:rPr>
          <w:lang w:val="en-US"/>
        </w:rPr>
      </w:pPr>
    </w:p>
    <w:p w14:paraId="7782CB50" w14:textId="5A4FDC05" w:rsidR="0075656D" w:rsidRPr="0075656D" w:rsidRDefault="004968BC" w:rsidP="0075656D">
      <w:pPr>
        <w:rPr>
          <w:lang w:val="en-US"/>
        </w:rPr>
      </w:pPr>
      <w:r w:rsidRPr="004968BC">
        <w:rPr>
          <w:lang w:val="en-US"/>
        </w:rPr>
        <w:t>Overall, 50% sustainable investments are not</w:t>
      </w:r>
      <w:r>
        <w:rPr>
          <w:lang w:val="en-US"/>
        </w:rPr>
        <w:t xml:space="preserve"> feasible</w:t>
      </w:r>
      <w:r w:rsidRPr="004968BC">
        <w:rPr>
          <w:lang w:val="en-US"/>
        </w:rPr>
        <w:t xml:space="preserve"> for a diversified portfolio. </w:t>
      </w:r>
      <w:r w:rsidR="0075656D" w:rsidRPr="0075656D">
        <w:rPr>
          <w:lang w:val="en-US"/>
        </w:rPr>
        <w:t xml:space="preserve">A broad investment universe as well as </w:t>
      </w:r>
      <w:r>
        <w:rPr>
          <w:lang w:val="en-US"/>
        </w:rPr>
        <w:t xml:space="preserve">transition </w:t>
      </w:r>
      <w:r w:rsidR="0075656D" w:rsidRPr="0075656D">
        <w:rPr>
          <w:lang w:val="en-US"/>
        </w:rPr>
        <w:t xml:space="preserve">would no longer be possible and the </w:t>
      </w:r>
      <w:r>
        <w:rPr>
          <w:lang w:val="en-US"/>
        </w:rPr>
        <w:t xml:space="preserve">performance </w:t>
      </w:r>
      <w:r w:rsidR="0075656D" w:rsidRPr="0075656D">
        <w:rPr>
          <w:lang w:val="en-US"/>
        </w:rPr>
        <w:t xml:space="preserve">would thus be jeopardised. </w:t>
      </w:r>
    </w:p>
    <w:p w14:paraId="6FBEC195" w14:textId="77777777" w:rsidR="0075656D" w:rsidRPr="0075656D" w:rsidRDefault="0075656D" w:rsidP="0075656D">
      <w:pPr>
        <w:rPr>
          <w:lang w:val="en-US"/>
        </w:rPr>
      </w:pPr>
    </w:p>
    <w:p w14:paraId="754241D9" w14:textId="46074FF3" w:rsidR="0075656D" w:rsidRPr="00FA5113" w:rsidRDefault="0075656D" w:rsidP="00B92885">
      <w:pPr>
        <w:rPr>
          <w:lang w:val="en-US"/>
        </w:rPr>
      </w:pPr>
      <w:r w:rsidRPr="0075656D">
        <w:rPr>
          <w:lang w:val="en-US"/>
        </w:rPr>
        <w:t xml:space="preserve">As an alternative, we propose to base the designation of sustainable funds on the existing regulation on </w:t>
      </w:r>
      <w:r w:rsidR="00412E6F">
        <w:rPr>
          <w:lang w:val="en-US"/>
        </w:rPr>
        <w:t>the a</w:t>
      </w:r>
      <w:r w:rsidR="00412E6F" w:rsidRPr="00412E6F">
        <w:rPr>
          <w:lang w:val="en-US"/>
        </w:rPr>
        <w:t>ssessment of sustainability preferences</w:t>
      </w:r>
      <w:r w:rsidR="00412E6F">
        <w:rPr>
          <w:lang w:val="en-US"/>
        </w:rPr>
        <w:t xml:space="preserve"> (MiFID II)</w:t>
      </w:r>
      <w:r w:rsidRPr="0075656D">
        <w:rPr>
          <w:lang w:val="en-US"/>
        </w:rPr>
        <w:t>. According to this, a fund can only be offered to a</w:t>
      </w:r>
      <w:r w:rsidR="00412E6F">
        <w:rPr>
          <w:lang w:val="en-US"/>
        </w:rPr>
        <w:t xml:space="preserve">n investor </w:t>
      </w:r>
      <w:r w:rsidRPr="0075656D">
        <w:rPr>
          <w:lang w:val="en-US"/>
        </w:rPr>
        <w:t>with sustainability preference</w:t>
      </w:r>
      <w:r w:rsidR="00412E6F">
        <w:rPr>
          <w:lang w:val="en-US"/>
        </w:rPr>
        <w:t>s</w:t>
      </w:r>
      <w:r w:rsidRPr="0075656D">
        <w:rPr>
          <w:lang w:val="en-US"/>
        </w:rPr>
        <w:t xml:space="preserve"> if the fund either takes into account the </w:t>
      </w:r>
      <w:r w:rsidR="00412E6F">
        <w:rPr>
          <w:lang w:val="en-US"/>
        </w:rPr>
        <w:t>Principal</w:t>
      </w:r>
      <w:r w:rsidRPr="0075656D">
        <w:rPr>
          <w:lang w:val="en-US"/>
        </w:rPr>
        <w:t xml:space="preserve"> </w:t>
      </w:r>
      <w:r w:rsidR="00412E6F">
        <w:rPr>
          <w:lang w:val="en-US"/>
        </w:rPr>
        <w:t>Adverse I</w:t>
      </w:r>
      <w:r w:rsidRPr="0075656D">
        <w:rPr>
          <w:lang w:val="en-US"/>
        </w:rPr>
        <w:t>mpact of investment decisions on sustainability factors</w:t>
      </w:r>
      <w:r w:rsidR="008A13F7">
        <w:rPr>
          <w:lang w:val="en-US"/>
        </w:rPr>
        <w:t xml:space="preserve"> or </w:t>
      </w:r>
      <w:r w:rsidRPr="0075656D">
        <w:rPr>
          <w:lang w:val="en-US"/>
        </w:rPr>
        <w:t>makes sustainable investments within the meaning of Article 2</w:t>
      </w:r>
      <w:r w:rsidR="000B7478">
        <w:rPr>
          <w:lang w:val="en-US"/>
        </w:rPr>
        <w:t>(</w:t>
      </w:r>
      <w:r w:rsidRPr="0075656D">
        <w:rPr>
          <w:lang w:val="en-US"/>
        </w:rPr>
        <w:t>17</w:t>
      </w:r>
      <w:r w:rsidR="000B7478">
        <w:rPr>
          <w:lang w:val="en-US"/>
        </w:rPr>
        <w:t>)</w:t>
      </w:r>
      <w:r w:rsidRPr="0075656D">
        <w:rPr>
          <w:lang w:val="en-US"/>
        </w:rPr>
        <w:t xml:space="preserve"> of the </w:t>
      </w:r>
      <w:r w:rsidR="008A13F7">
        <w:rPr>
          <w:lang w:val="en-US"/>
        </w:rPr>
        <w:t>SFDR</w:t>
      </w:r>
      <w:r w:rsidRPr="0075656D">
        <w:rPr>
          <w:lang w:val="en-US"/>
        </w:rPr>
        <w:t xml:space="preserve"> ((EU) 2019/2088) or makes environmentally sustainable investments within the meaning of Article 2</w:t>
      </w:r>
      <w:r w:rsidR="000B7478">
        <w:rPr>
          <w:lang w:val="en-US"/>
        </w:rPr>
        <w:t>(1)</w:t>
      </w:r>
      <w:r w:rsidRPr="0075656D">
        <w:rPr>
          <w:lang w:val="en-US"/>
        </w:rPr>
        <w:t xml:space="preserve"> of the Taxonomy Regulation ((EU) 2020/852), in each case without a specified minimum quota.</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5DCA02E0" w14:textId="77777777" w:rsidR="00B92885" w:rsidRDefault="00B92885" w:rsidP="00B92885">
      <w:permStart w:id="351877901" w:edGrp="everyone"/>
      <w:r>
        <w:t>TYPE YOUR TEXT HERE</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1FC2DE66" w:rsidR="00B92885" w:rsidRDefault="003A5C82" w:rsidP="00B92885">
      <w:permStart w:id="1539323392" w:edGrp="everyone"/>
      <w:r>
        <w:t>See the answer to question 3</w:t>
      </w:r>
      <w:r w:rsidR="00A971F0">
        <w:t>. Existing rules for the assessment of sustainability preferences (</w:t>
      </w:r>
      <w:r>
        <w:t xml:space="preserve">MiFID </w:t>
      </w:r>
      <w:r w:rsidR="00A971F0">
        <w:t>II) as a basis</w:t>
      </w:r>
      <w:r>
        <w:t xml:space="preserve">: PAI, sustainable investments </w:t>
      </w:r>
      <w:r w:rsidR="00A971F0">
        <w:t xml:space="preserve">(SFDR) </w:t>
      </w:r>
      <w:r>
        <w:t>or taxonomy</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718AC18B" w14:textId="308C8AD6" w:rsidR="00AD52AC" w:rsidRDefault="00AD52AC" w:rsidP="00AD52AC">
      <w:permStart w:id="175976681" w:edGrp="everyone"/>
      <w:r>
        <w:t>No, we do not agree for the following reasons:</w:t>
      </w:r>
    </w:p>
    <w:p w14:paraId="0E52F4A4" w14:textId="4B176BB8" w:rsidR="00AD52AC" w:rsidRDefault="00AD52AC" w:rsidP="00AD52AC">
      <w:r>
        <w:t xml:space="preserve">- There will still be </w:t>
      </w:r>
      <w:r w:rsidR="00E85EAA">
        <w:t>assets</w:t>
      </w:r>
      <w:r>
        <w:t xml:space="preserve"> that can never become sustainable (e.g. cash)</w:t>
      </w:r>
    </w:p>
    <w:p w14:paraId="1F7FF4A6" w14:textId="4A2CD785" w:rsidR="00AD52AC" w:rsidRDefault="00AD52AC" w:rsidP="00AD52AC">
      <w:r>
        <w:t xml:space="preserve">- There will </w:t>
      </w:r>
      <w:r w:rsidR="00E85EAA">
        <w:t>still</w:t>
      </w:r>
      <w:r>
        <w:t xml:space="preserve"> be </w:t>
      </w:r>
      <w:r w:rsidR="00E85EAA">
        <w:t>assets</w:t>
      </w:r>
      <w:r>
        <w:t xml:space="preserve"> that cannot be valued (e.g. gold).</w:t>
      </w:r>
    </w:p>
    <w:p w14:paraId="4A7462DF" w14:textId="75CFD6DE" w:rsidR="00AD52AC" w:rsidRDefault="00AD52AC" w:rsidP="00AD52AC">
      <w:r>
        <w:t>- Extensive exclusion criteria mean that remainder investments could also be described as sustainable</w:t>
      </w:r>
      <w:r w:rsidR="003B2611">
        <w:t>.</w:t>
      </w:r>
    </w:p>
    <w:p w14:paraId="5881865C" w14:textId="4ABD3CD0" w:rsidR="00AD52AC" w:rsidRDefault="00AD52AC" w:rsidP="00AD52AC">
      <w:r>
        <w:t xml:space="preserve">- </w:t>
      </w:r>
      <w:r w:rsidR="003B2611">
        <w:t>A</w:t>
      </w:r>
      <w:r>
        <w:t xml:space="preserve">nalysis on </w:t>
      </w:r>
      <w:r w:rsidR="00A23D9D">
        <w:t>Paris-Aligned Benchmark (PAB) c</w:t>
      </w:r>
      <w:r>
        <w:t>riteria for funds:</w:t>
      </w:r>
    </w:p>
    <w:p w14:paraId="7C0C4D10" w14:textId="77777777" w:rsidR="00AD52AC" w:rsidRDefault="00AD52AC" w:rsidP="00A23D9D">
      <w:pPr>
        <w:ind w:firstLine="709"/>
      </w:pPr>
      <w:r>
        <w:t>o Are partly very imprecise</w:t>
      </w:r>
    </w:p>
    <w:p w14:paraId="7EF55040" w14:textId="3EAFA2E6" w:rsidR="00AD52AC" w:rsidRDefault="00AD52AC" w:rsidP="00A23D9D">
      <w:pPr>
        <w:ind w:firstLine="709"/>
      </w:pPr>
      <w:r>
        <w:t xml:space="preserve">o </w:t>
      </w:r>
      <w:r w:rsidR="00D80555">
        <w:t>Would have to</w:t>
      </w:r>
      <w:r>
        <w:t xml:space="preserve"> be applied to the entire portfolio - further exclusions in an already strict process</w:t>
      </w:r>
    </w:p>
    <w:p w14:paraId="31178FA6" w14:textId="6A5BD0D2" w:rsidR="00E85EAA" w:rsidRDefault="00AD52AC" w:rsidP="00A23D9D">
      <w:pPr>
        <w:ind w:left="709"/>
      </w:pPr>
      <w:r>
        <w:t>o The impact of the application on the entire portfolio</w:t>
      </w:r>
      <w:r w:rsidR="00D80555">
        <w:t xml:space="preserve"> </w:t>
      </w:r>
      <w:r>
        <w:t>is in part enormous</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lastRenderedPageBreak/>
        <w:t>&lt;ESMA_QUESTION_FUNA_7&gt;</w:t>
      </w:r>
    </w:p>
    <w:p w14:paraId="33D374FB" w14:textId="008A3B8E" w:rsidR="00B92885" w:rsidRDefault="003A5C82" w:rsidP="00B92885">
      <w:permStart w:id="576722602" w:edGrp="everyone"/>
      <w:r>
        <w:t>No</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2BABA8E0" w14:textId="77777777" w:rsidR="00B92885" w:rsidRDefault="00B92885" w:rsidP="00B92885">
      <w:permStart w:id="650455330" w:edGrp="everyone"/>
      <w:r>
        <w:t>TYPE YOUR TEXT HERE</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08901A8C" w14:textId="77777777" w:rsidR="00B92885" w:rsidRDefault="00B92885" w:rsidP="00B92885">
      <w:permStart w:id="1876589445" w:edGrp="everyone"/>
      <w:r>
        <w:t>TYPE YOUR TEXT HERE</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9441A21" w14:textId="1B3B009E" w:rsidR="00B92885" w:rsidRPr="00690BD0" w:rsidRDefault="00690BD0" w:rsidP="00B92885">
      <w:pPr>
        <w:rPr>
          <w:lang w:val="en-US"/>
        </w:rPr>
      </w:pPr>
      <w:permStart w:id="1992309739" w:edGrp="everyone"/>
      <w:r w:rsidRPr="00690BD0">
        <w:rPr>
          <w:lang w:val="en-US"/>
        </w:rPr>
        <w:t xml:space="preserve">No. "Impact" is an overarching topic for which there is no </w:t>
      </w:r>
      <w:r>
        <w:rPr>
          <w:lang w:val="en-US"/>
        </w:rPr>
        <w:t xml:space="preserve">established </w:t>
      </w:r>
      <w:r w:rsidRPr="00690BD0">
        <w:rPr>
          <w:lang w:val="en-US"/>
        </w:rPr>
        <w:t xml:space="preserve">market standard and no clear definition yet. </w:t>
      </w:r>
      <w:r w:rsidR="001D31AA">
        <w:rPr>
          <w:lang w:val="en-US"/>
        </w:rPr>
        <w:t>Such provisions</w:t>
      </w:r>
      <w:r w:rsidRPr="00690BD0">
        <w:rPr>
          <w:lang w:val="en-US"/>
        </w:rPr>
        <w:t xml:space="preserve"> should therefore be developed at the political level (e.g. SFDR re</w:t>
      </w:r>
      <w:r w:rsidR="001D31AA">
        <w:rPr>
          <w:lang w:val="en-US"/>
        </w:rPr>
        <w:t>view</w:t>
      </w:r>
      <w:r w:rsidRPr="00690BD0">
        <w:rPr>
          <w:lang w:val="en-US"/>
        </w:rPr>
        <w:t>) and not within the framework of ESMA guidelines for fund names.</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61188F70" w14:textId="381559FD" w:rsidR="00B92885" w:rsidRDefault="00C139AB" w:rsidP="00B92885">
      <w:permStart w:id="1423966990" w:edGrp="everyone"/>
      <w:r>
        <w:t>N</w:t>
      </w:r>
      <w:r w:rsidR="001D31AA">
        <w:t xml:space="preserve">o. </w:t>
      </w:r>
      <w:r w:rsidR="001D31AA" w:rsidRPr="001D31AA">
        <w:t xml:space="preserve">The </w:t>
      </w:r>
      <w:r w:rsidR="00AD52AC">
        <w:t xml:space="preserve">green </w:t>
      </w:r>
      <w:r w:rsidR="001D31AA">
        <w:t>transition</w:t>
      </w:r>
      <w:r w:rsidR="001D31AA" w:rsidRPr="001D31AA">
        <w:t xml:space="preserve"> of the economy is extremely important</w:t>
      </w:r>
      <w:r w:rsidR="001D31AA">
        <w:t xml:space="preserve">, but this </w:t>
      </w:r>
      <w:r w:rsidR="001D31AA" w:rsidRPr="001D31AA">
        <w:t xml:space="preserve">aspect is already covered by the </w:t>
      </w:r>
      <w:r w:rsidR="001D31AA">
        <w:t>provisions</w:t>
      </w:r>
      <w:r w:rsidR="001D31AA" w:rsidRPr="001D31AA">
        <w:t xml:space="preserve"> for the term "ESG-related". </w:t>
      </w:r>
      <w:r w:rsidR="001D31AA">
        <w:t>A</w:t>
      </w:r>
      <w:r w:rsidR="001D31AA" w:rsidRPr="001D31AA">
        <w:t xml:space="preserve">dditional </w:t>
      </w:r>
      <w:r w:rsidR="001D31AA">
        <w:t xml:space="preserve">or separate </w:t>
      </w:r>
      <w:r w:rsidR="00773CD4">
        <w:t>provisions</w:t>
      </w:r>
      <w:r w:rsidR="001D31AA" w:rsidRPr="001D31AA">
        <w:t xml:space="preserve"> are not </w:t>
      </w:r>
      <w:r w:rsidR="00773CD4">
        <w:t>needed</w:t>
      </w:r>
      <w:r w:rsidR="001D31AA" w:rsidRPr="001D31AA">
        <w:t xml:space="preserve"> and would create unnecessary complexity.</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w:t>
      </w:r>
      <w:r w:rsidRPr="00EA2F1C">
        <w:lastRenderedPageBreak/>
        <w:t xml:space="preserve">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64E3B91E" w:rsidR="00B92885" w:rsidRPr="00C139AB" w:rsidRDefault="00C139AB" w:rsidP="00B92885">
      <w:pPr>
        <w:rPr>
          <w:lang w:val="en-US"/>
        </w:rPr>
      </w:pPr>
      <w:permStart w:id="1434478937" w:edGrp="everyone"/>
      <w:r>
        <w:rPr>
          <w:lang w:val="en-US"/>
        </w:rPr>
        <w:t>I</w:t>
      </w:r>
      <w:r w:rsidRPr="00EA6E24">
        <w:rPr>
          <w:lang w:val="en-US"/>
        </w:rPr>
        <w:t>n order to have a</w:t>
      </w:r>
      <w:r>
        <w:rPr>
          <w:lang w:val="en-US"/>
        </w:rPr>
        <w:t xml:space="preserve"> level playing field, the same rules should apply for all sectors.</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68ED52F5" w14:textId="4D8D8F22" w:rsidR="00B92885" w:rsidRDefault="00C139AB" w:rsidP="00B92885">
      <w:permStart w:id="489244833" w:edGrp="everyone"/>
      <w:r w:rsidRPr="00C139AB">
        <w:t xml:space="preserve">The </w:t>
      </w:r>
      <w:r>
        <w:t xml:space="preserve">transitional </w:t>
      </w:r>
      <w:r w:rsidRPr="00C139AB">
        <w:t xml:space="preserve">period should be much longer than </w:t>
      </w:r>
      <w:r>
        <w:t>six</w:t>
      </w:r>
      <w:r w:rsidRPr="00C139AB">
        <w:t xml:space="preserve"> months</w:t>
      </w:r>
      <w:r w:rsidR="0076509C">
        <w:t>. C</w:t>
      </w:r>
      <w:r w:rsidRPr="00C139AB">
        <w:t xml:space="preserve">lients have to be </w:t>
      </w:r>
      <w:r w:rsidR="000C1898">
        <w:t xml:space="preserve">informed in writing </w:t>
      </w:r>
      <w:r w:rsidRPr="00C139AB">
        <w:t>in the case of existing funds. In addition, national supervisory authorities have to "translate" the guidelines into national law, which requires more time. Alternative proposal: 12 months.</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64A5DDF8" w:rsidR="00B92885" w:rsidRDefault="00163250" w:rsidP="00B92885">
      <w:permStart w:id="1766353355" w:edGrp="everyone"/>
      <w:r w:rsidRPr="00163250">
        <w:t>No. The</w:t>
      </w:r>
      <w:r>
        <w:t>se</w:t>
      </w:r>
      <w:r w:rsidRPr="00163250">
        <w:t xml:space="preserve"> funds canno</w:t>
      </w:r>
      <w:r>
        <w:t>t</w:t>
      </w:r>
      <w:r w:rsidRPr="00163250">
        <w:t xml:space="preserve"> take into account a subsequently agreed regulation, as they have </w:t>
      </w:r>
      <w:r>
        <w:t xml:space="preserve">already </w:t>
      </w:r>
      <w:r w:rsidRPr="00163250">
        <w:t>made all investments. This means that these funds can no comply with the quotas.</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F6494D0" w14:textId="77777777" w:rsidR="00B92885" w:rsidRDefault="00B92885" w:rsidP="00B92885">
      <w:permStart w:id="929254269" w:edGrp="everyone"/>
      <w:r>
        <w:t>TYPE YOUR TEXT HERE</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77777777" w:rsidR="00B92885" w:rsidRDefault="00B92885" w:rsidP="00B92885">
      <w:permStart w:id="878708964" w:edGrp="everyone"/>
      <w:r>
        <w:t>TYPE YOUR TEXT HERE</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CC69" w14:textId="77777777" w:rsidR="00027EEB" w:rsidRDefault="00027EEB">
      <w:r>
        <w:separator/>
      </w:r>
    </w:p>
    <w:p w14:paraId="5DDDA9E4" w14:textId="77777777" w:rsidR="00027EEB" w:rsidRDefault="00027EEB"/>
  </w:endnote>
  <w:endnote w:type="continuationSeparator" w:id="0">
    <w:p w14:paraId="669BAB8A" w14:textId="77777777" w:rsidR="00027EEB" w:rsidRDefault="00027EEB">
      <w:r>
        <w:continuationSeparator/>
      </w:r>
    </w:p>
    <w:p w14:paraId="7D10BF9F" w14:textId="77777777" w:rsidR="00027EEB" w:rsidRDefault="00027EEB"/>
  </w:endnote>
  <w:endnote w:type="continuationNotice" w:id="1">
    <w:p w14:paraId="7C72917A" w14:textId="77777777" w:rsidR="00027EEB" w:rsidRDefault="000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uzeile"/>
      <w:tabs>
        <w:tab w:val="clear" w:pos="4536"/>
        <w:tab w:val="clear" w:pos="9072"/>
        <w:tab w:val="left" w:pos="8227"/>
        <w:tab w:val="right" w:pos="9412"/>
      </w:tabs>
    </w:pPr>
    <w:r>
      <w:tab/>
    </w:r>
    <w:r w:rsidR="00B92885">
      <w:tab/>
    </w:r>
  </w:p>
  <w:p w14:paraId="3A793707" w14:textId="084F8123" w:rsidR="00B92885" w:rsidRDefault="00B92885" w:rsidP="00B92885">
    <w:pPr>
      <w:pStyle w:val="Fuzeile"/>
      <w:tabs>
        <w:tab w:val="clear" w:pos="4536"/>
        <w:tab w:val="clear" w:pos="9072"/>
        <w:tab w:val="left" w:pos="8227"/>
        <w:tab w:val="right" w:pos="9412"/>
      </w:tabs>
    </w:pPr>
    <w:r>
      <w:tab/>
    </w:r>
    <w:r>
      <w:tab/>
    </w:r>
    <w:r>
      <w:tab/>
    </w:r>
  </w:p>
  <w:p w14:paraId="6D19C66C" w14:textId="10DE0B9B" w:rsidR="00B92885" w:rsidRDefault="00B92885" w:rsidP="00B92885">
    <w:pPr>
      <w:pStyle w:val="Fuzeile"/>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D776" w14:textId="77777777" w:rsidR="00027EEB" w:rsidRDefault="00027EEB">
      <w:r>
        <w:separator/>
      </w:r>
    </w:p>
    <w:p w14:paraId="4E8AA966" w14:textId="77777777" w:rsidR="00027EEB" w:rsidRDefault="00027EEB"/>
  </w:footnote>
  <w:footnote w:type="continuationSeparator" w:id="0">
    <w:p w14:paraId="457E26AD" w14:textId="77777777" w:rsidR="00027EEB" w:rsidRDefault="00027EEB">
      <w:r>
        <w:continuationSeparator/>
      </w:r>
    </w:p>
    <w:p w14:paraId="139EA58C" w14:textId="77777777" w:rsidR="00027EEB" w:rsidRDefault="00027EEB"/>
  </w:footnote>
  <w:footnote w:type="continuationNotice" w:id="1">
    <w:p w14:paraId="1C504C77" w14:textId="77777777" w:rsidR="00027EEB" w:rsidRDefault="00027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Kopfzeile"/>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Kopfzeile"/>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Kopfzeile"/>
      <w:rPr>
        <w:lang w:val="fr-FR"/>
      </w:rPr>
    </w:pPr>
  </w:p>
  <w:p w14:paraId="3F30C70B" w14:textId="77777777" w:rsidR="00267551" w:rsidRPr="002F4496" w:rsidRDefault="00267551" w:rsidP="000C06C9">
    <w:pPr>
      <w:pStyle w:val="Kopfzeile"/>
      <w:tabs>
        <w:tab w:val="clear" w:pos="4536"/>
        <w:tab w:val="clear" w:pos="9072"/>
        <w:tab w:val="left" w:pos="8227"/>
      </w:tabs>
      <w:rPr>
        <w:lang w:val="fr-FR"/>
      </w:rPr>
    </w:pPr>
  </w:p>
  <w:p w14:paraId="4D50BC39" w14:textId="77777777" w:rsidR="00267551" w:rsidRPr="002F4496" w:rsidRDefault="00267551" w:rsidP="00583885">
    <w:pPr>
      <w:pStyle w:val="Kopfzeile"/>
      <w:jc w:val="right"/>
      <w:rPr>
        <w:lang w:val="fr-FR"/>
      </w:rPr>
    </w:pPr>
  </w:p>
  <w:p w14:paraId="2D51BEA2" w14:textId="77777777" w:rsidR="00267551" w:rsidRPr="002F4496" w:rsidRDefault="00267551">
    <w:pPr>
      <w:pStyle w:val="Kopfzeile"/>
      <w:rPr>
        <w:lang w:val="fr-FR"/>
      </w:rPr>
    </w:pPr>
  </w:p>
  <w:p w14:paraId="340B2438" w14:textId="77777777" w:rsidR="00267551" w:rsidRPr="002F4496" w:rsidRDefault="00267551">
    <w:pPr>
      <w:pStyle w:val="Kopfzeile"/>
      <w:rPr>
        <w:lang w:val="fr-FR"/>
      </w:rPr>
    </w:pPr>
  </w:p>
  <w:p w14:paraId="2A794A3E" w14:textId="77777777" w:rsidR="00267551" w:rsidRPr="002F4496" w:rsidRDefault="00267551">
    <w:pPr>
      <w:pStyle w:val="Kopfzeile"/>
      <w:rPr>
        <w:lang w:val="fr-FR"/>
      </w:rPr>
    </w:pPr>
  </w:p>
  <w:p w14:paraId="0A21F475" w14:textId="77777777" w:rsidR="00267551" w:rsidRPr="002F4496" w:rsidRDefault="00267551">
    <w:pPr>
      <w:pStyle w:val="Kopfzeile"/>
      <w:rPr>
        <w:highlight w:val="yellow"/>
        <w:lang w:val="fr-FR"/>
      </w:rPr>
    </w:pPr>
  </w:p>
  <w:p w14:paraId="53ABEE5D" w14:textId="77777777" w:rsidR="00267551" w:rsidRDefault="00267551">
    <w:pPr>
      <w:pStyle w:val="Kopfzeile"/>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8"/>
  </w:num>
  <w:num w:numId="29">
    <w:abstractNumId w:val="7"/>
  </w:num>
  <w:num w:numId="30">
    <w:abstractNumId w:val="2"/>
  </w:num>
  <w:num w:numId="31">
    <w:abstractNumId w:val="21"/>
  </w:num>
  <w:num w:numId="32">
    <w:abstractNumId w:val="20"/>
  </w:num>
  <w:num w:numId="33">
    <w:abstractNumId w:val="34"/>
  </w:num>
  <w:num w:numId="34">
    <w:abstractNumId w:val="33"/>
  </w:num>
  <w:num w:numId="35">
    <w:abstractNumId w:val="4"/>
  </w:num>
  <w:num w:numId="36">
    <w:abstractNumId w:val="35"/>
  </w:num>
  <w:num w:numId="37">
    <w:abstractNumId w:val="20"/>
    <w:lvlOverride w:ilvl="0">
      <w:startOverride w:val="1"/>
    </w:lvlOverride>
  </w:num>
  <w:num w:numId="38">
    <w:abstractNumId w:val="20"/>
  </w:num>
  <w:num w:numId="39">
    <w:abstractNumId w:val="12"/>
  </w:num>
  <w:num w:numId="40">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B7478"/>
    <w:rsid w:val="000C06C9"/>
    <w:rsid w:val="000C1898"/>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468E"/>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250"/>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1AA"/>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1F71D9"/>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D16"/>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9D2"/>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C82"/>
    <w:rsid w:val="003A5DAC"/>
    <w:rsid w:val="003A6591"/>
    <w:rsid w:val="003A6E9A"/>
    <w:rsid w:val="003B08C8"/>
    <w:rsid w:val="003B2567"/>
    <w:rsid w:val="003B2611"/>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29"/>
    <w:rsid w:val="0040254B"/>
    <w:rsid w:val="00403086"/>
    <w:rsid w:val="00403460"/>
    <w:rsid w:val="004040FF"/>
    <w:rsid w:val="00404284"/>
    <w:rsid w:val="004042C4"/>
    <w:rsid w:val="00406E90"/>
    <w:rsid w:val="00410240"/>
    <w:rsid w:val="00410760"/>
    <w:rsid w:val="00412253"/>
    <w:rsid w:val="00412E6F"/>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7B8"/>
    <w:rsid w:val="00492457"/>
    <w:rsid w:val="004924A8"/>
    <w:rsid w:val="004934E9"/>
    <w:rsid w:val="00494737"/>
    <w:rsid w:val="00494D5C"/>
    <w:rsid w:val="00495A6A"/>
    <w:rsid w:val="004964F6"/>
    <w:rsid w:val="00496821"/>
    <w:rsid w:val="004968BC"/>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1EC"/>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0E84"/>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BD0"/>
    <w:rsid w:val="00690F0E"/>
    <w:rsid w:val="006911C0"/>
    <w:rsid w:val="00691B7C"/>
    <w:rsid w:val="00694B73"/>
    <w:rsid w:val="00694DF2"/>
    <w:rsid w:val="00695F80"/>
    <w:rsid w:val="006966CD"/>
    <w:rsid w:val="00696735"/>
    <w:rsid w:val="0069780E"/>
    <w:rsid w:val="006A2CA2"/>
    <w:rsid w:val="006A6957"/>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56D"/>
    <w:rsid w:val="00756BFF"/>
    <w:rsid w:val="00756D77"/>
    <w:rsid w:val="00760041"/>
    <w:rsid w:val="007605C7"/>
    <w:rsid w:val="00760B08"/>
    <w:rsid w:val="00760EDA"/>
    <w:rsid w:val="00761F4E"/>
    <w:rsid w:val="00762150"/>
    <w:rsid w:val="00762621"/>
    <w:rsid w:val="00763F36"/>
    <w:rsid w:val="007648A0"/>
    <w:rsid w:val="0076509C"/>
    <w:rsid w:val="00766F4D"/>
    <w:rsid w:val="00770268"/>
    <w:rsid w:val="007706B9"/>
    <w:rsid w:val="007707ED"/>
    <w:rsid w:val="00771C3B"/>
    <w:rsid w:val="007726F9"/>
    <w:rsid w:val="00773B94"/>
    <w:rsid w:val="00773C65"/>
    <w:rsid w:val="00773CD4"/>
    <w:rsid w:val="00775937"/>
    <w:rsid w:val="00777046"/>
    <w:rsid w:val="007770DA"/>
    <w:rsid w:val="007805B9"/>
    <w:rsid w:val="00780C3A"/>
    <w:rsid w:val="007834A1"/>
    <w:rsid w:val="007876FA"/>
    <w:rsid w:val="00791096"/>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C7C"/>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13F7"/>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243"/>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37728"/>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3995"/>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3D9D"/>
    <w:rsid w:val="00A24269"/>
    <w:rsid w:val="00A243E4"/>
    <w:rsid w:val="00A25392"/>
    <w:rsid w:val="00A25ED4"/>
    <w:rsid w:val="00A263DF"/>
    <w:rsid w:val="00A26C5C"/>
    <w:rsid w:val="00A276B8"/>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971F0"/>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52A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91F"/>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9AB"/>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86D"/>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04E4"/>
    <w:rsid w:val="00D71B45"/>
    <w:rsid w:val="00D71F8A"/>
    <w:rsid w:val="00D75603"/>
    <w:rsid w:val="00D75FEE"/>
    <w:rsid w:val="00D76933"/>
    <w:rsid w:val="00D76D88"/>
    <w:rsid w:val="00D77CC9"/>
    <w:rsid w:val="00D80555"/>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5EAA"/>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113"/>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Absatz-Standardschriftart"/>
    <w:link w:val="Questionstyle"/>
    <w:locked/>
    <w:rsid w:val="000A609F"/>
    <w:rPr>
      <w:rFonts w:ascii="Arial" w:eastAsiaTheme="minorEastAsia" w:hAnsi="Arial" w:cs="Arial"/>
      <w:b/>
      <w:lang w:val="en-US"/>
    </w:rPr>
  </w:style>
  <w:style w:type="paragraph" w:customStyle="1" w:styleId="Questionstyle">
    <w:name w:val="Question style"/>
    <w:basedOn w:val="Standard"/>
    <w:next w:val="Standard"/>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2.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3.xml><?xml version="1.0" encoding="utf-8"?>
<ds:datastoreItem xmlns:ds="http://schemas.openxmlformats.org/officeDocument/2006/customXml" ds:itemID="{3F37C169-B082-42D7-95A8-39DCDC7C43D3}">
  <ds:schemaRef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35c8e399-07b8-49e4-91bf-01a20105d4df"/>
    <ds:schemaRef ds:uri="http://purl.org/dc/elements/1.1/"/>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6.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2149</Words>
  <Characters>12097</Characters>
  <Application>Microsoft Office Word</Application>
  <DocSecurity>8</DocSecurity>
  <Lines>100</Lines>
  <Paragraphs>28</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 CP on Guidelines on funds’ names using ESG or sustainability-related terms</vt:lpstr>
      <vt:lpstr>Reply form for the MiFID II/MiFIR Consultation Paper</vt:lpstr>
      <vt:lpstr>20110000</vt:lpstr>
      <vt:lpstr>20110000</vt:lpstr>
      <vt:lpstr>20110000</vt:lpstr>
    </vt:vector>
  </TitlesOfParts>
  <Company>ESMA</Company>
  <LinksUpToDate>false</LinksUpToDate>
  <CharactersWithSpaces>14218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Sieker, Frederik (UMH)</cp:lastModifiedBy>
  <cp:revision>25</cp:revision>
  <cp:lastPrinted>2015-02-18T11:01:00Z</cp:lastPrinted>
  <dcterms:created xsi:type="dcterms:W3CDTF">2023-02-20T13:48:00Z</dcterms:created>
  <dcterms:modified xsi:type="dcterms:W3CDTF">2023-02-20T17:22:00Z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