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lang w:val="de-DE"/>
            </w:rPr>
            <w:id w:val="651570699"/>
            <w:text/>
          </w:sdtPr>
          <w:sdtEndPr>
            <w:rPr>
              <w:rStyle w:val="Platzhaltertext"/>
            </w:rPr>
          </w:sdtEndPr>
          <w:sdtContent>
            <w:tc>
              <w:tcPr>
                <w:tcW w:w="5595" w:type="dxa"/>
                <w:shd w:val="clear" w:color="auto" w:fill="auto"/>
              </w:tcPr>
              <w:p w14:paraId="7A68491E" w14:textId="50C51684" w:rsidR="00C2682A" w:rsidRPr="00F4563D" w:rsidRDefault="00F4563D" w:rsidP="00F4563D">
                <w:pPr>
                  <w:rPr>
                    <w:rStyle w:val="Platzhaltertext"/>
                    <w:rFonts w:cs="Arial"/>
                    <w:lang w:val="de-DE"/>
                  </w:rPr>
                </w:pPr>
                <w:r w:rsidRPr="00F4563D">
                  <w:rPr>
                    <w:rStyle w:val="Platzhaltertext"/>
                    <w:rFonts w:cs="Arial"/>
                    <w:lang w:val="de-DE"/>
                  </w:rPr>
                  <w:t>ZIA Zentraler Immobilien Ausschuss e.</w:t>
                </w:r>
                <w:r>
                  <w:rPr>
                    <w:rStyle w:val="Platzhaltertext"/>
                    <w:rFonts w:cs="Arial"/>
                    <w:lang w:val="de-DE"/>
                  </w:rPr>
                  <w:t>V.</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64D5C6A" w:rsidR="00C2682A" w:rsidRPr="00AB6D88" w:rsidRDefault="009D421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4563D">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03A8BBCB" w:rsidR="00C2682A" w:rsidRPr="00AB6D88" w:rsidRDefault="00F4563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79C9B6FC" w:rsidR="00C2682A" w:rsidRPr="00AB6D88" w:rsidRDefault="00F4563D"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776739CE" w14:textId="31DC36C2" w:rsidR="00E21054" w:rsidRPr="00EF6360" w:rsidRDefault="00F4563D" w:rsidP="00B92885">
      <w:pPr>
        <w:spacing w:after="160" w:line="259" w:lineRule="auto"/>
        <w:rPr>
          <w:color w:val="000000"/>
          <w:szCs w:val="20"/>
          <w:lang w:val="en-US"/>
        </w:rPr>
      </w:pPr>
      <w:permStart w:id="1100430741" w:edGrp="everyone"/>
      <w:r w:rsidRPr="00EF6360">
        <w:rPr>
          <w:color w:val="000000"/>
          <w:szCs w:val="20"/>
          <w:lang w:val="en-US"/>
        </w:rPr>
        <w:t xml:space="preserve">As an umbrella organisation of entrepreneurs and federations, the German Property Federation (ZIA) represents the interests of the property sector along its entire value chain, as well as all its types of uses. Among </w:t>
      </w:r>
      <w:r w:rsidR="0030717B">
        <w:rPr>
          <w:color w:val="000000"/>
          <w:szCs w:val="20"/>
          <w:lang w:val="en-US"/>
        </w:rPr>
        <w:t xml:space="preserve">more than 350 </w:t>
      </w:r>
      <w:r w:rsidRPr="00EF6360">
        <w:rPr>
          <w:color w:val="000000"/>
          <w:szCs w:val="20"/>
          <w:lang w:val="en-US"/>
        </w:rPr>
        <w:t>members represented by the ZIA are a large number of financial market participants, including more than 40 AIFM that manage open and closed-end real estate AIF.</w:t>
      </w:r>
      <w:r w:rsidR="00E21054" w:rsidRPr="00EF6360">
        <w:rPr>
          <w:color w:val="000000"/>
          <w:szCs w:val="20"/>
          <w:lang w:val="en-US"/>
        </w:rPr>
        <w:t xml:space="preserve"> </w:t>
      </w:r>
      <w:r w:rsidR="0030717B" w:rsidRPr="0030717B">
        <w:rPr>
          <w:color w:val="000000"/>
          <w:szCs w:val="20"/>
          <w:lang w:val="en-US"/>
        </w:rPr>
        <w:t>We will limit our comments primarily to points arising from the special features of open-end and closed-end real estate funds.</w:t>
      </w:r>
    </w:p>
    <w:p w14:paraId="22D5AB70" w14:textId="05BAA923" w:rsidR="00DB1C0D" w:rsidRPr="000B7729" w:rsidRDefault="0030717B" w:rsidP="0030717B">
      <w:pPr>
        <w:spacing w:after="160" w:line="259" w:lineRule="auto"/>
        <w:rPr>
          <w:color w:val="000000"/>
          <w:szCs w:val="20"/>
          <w:lang w:val="en-US"/>
        </w:rPr>
      </w:pPr>
      <w:r w:rsidRPr="000B7729">
        <w:rPr>
          <w:color w:val="000000"/>
          <w:szCs w:val="20"/>
          <w:lang w:val="en-US"/>
        </w:rPr>
        <w:t>First of all, we would like to propose to apply the guidelines only to those funds that may (also) be purchased by retail investors. Professional and semi-professional investors are less in need of protection with regard to the application of fund names. They deal intensively with the structure and investment strategy of a fund. The name or the influence of the name plays no role in the considerations of professional investors. A restriction to AIFs aimed at retail investors would also be in line with the approach taken by the German BaFin in its draft guideline on sustainable funds.</w:t>
      </w:r>
    </w:p>
    <w:permEnd w:id="1100430741"/>
    <w:p w14:paraId="3B95B420" w14:textId="30F4F7A5"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A544FD9" w14:textId="77777777" w:rsidR="00590D55" w:rsidRPr="000B7729" w:rsidRDefault="00590D55" w:rsidP="00590D55">
      <w:pPr>
        <w:rPr>
          <w:lang w:val="en-US"/>
        </w:rPr>
      </w:pPr>
      <w:permStart w:id="1596738700" w:edGrp="everyone"/>
      <w:r w:rsidRPr="000B7729">
        <w:rPr>
          <w:lang w:val="en-US"/>
        </w:rPr>
        <w:t>The use of quantitative thresholds offers the advantage of clear and comprehensible regulations.</w:t>
      </w:r>
    </w:p>
    <w:p w14:paraId="7CB4B834" w14:textId="4BBF576C" w:rsidR="00590D55" w:rsidRPr="000B7729" w:rsidRDefault="00590D55" w:rsidP="00590D55">
      <w:pPr>
        <w:rPr>
          <w:lang w:val="en-US"/>
        </w:rPr>
      </w:pPr>
      <w:r w:rsidRPr="000B7729">
        <w:rPr>
          <w:lang w:val="en-US"/>
        </w:rPr>
        <w:t xml:space="preserve">On the other hand, there is a risk that the approach chosen is too general </w:t>
      </w:r>
      <w:r w:rsidR="000B7729" w:rsidRPr="000B7729">
        <w:rPr>
          <w:lang w:val="en-US"/>
        </w:rPr>
        <w:t>du</w:t>
      </w:r>
      <w:r w:rsidR="000B7729">
        <w:rPr>
          <w:lang w:val="en-US"/>
        </w:rPr>
        <w:t>e to the variety</w:t>
      </w:r>
      <w:r w:rsidRPr="000B7729">
        <w:rPr>
          <w:lang w:val="en-US"/>
        </w:rPr>
        <w:t xml:space="preserve"> of different fund concepts</w:t>
      </w:r>
      <w:r w:rsidR="000B7729">
        <w:rPr>
          <w:lang w:val="en-US"/>
        </w:rPr>
        <w:t>. I</w:t>
      </w:r>
      <w:r w:rsidRPr="000B7729">
        <w:rPr>
          <w:lang w:val="en-US"/>
        </w:rPr>
        <w:t xml:space="preserve">ndividual specifics </w:t>
      </w:r>
      <w:r w:rsidR="000B7729">
        <w:rPr>
          <w:lang w:val="en-US"/>
        </w:rPr>
        <w:t xml:space="preserve">cannot be </w:t>
      </w:r>
      <w:r w:rsidRPr="000B7729">
        <w:rPr>
          <w:lang w:val="en-US"/>
        </w:rPr>
        <w:t>sufficiently taken into account</w:t>
      </w:r>
      <w:r w:rsidR="000B7729">
        <w:rPr>
          <w:lang w:val="en-US"/>
        </w:rPr>
        <w:t xml:space="preserve"> in this way</w:t>
      </w:r>
      <w:r w:rsidRPr="000B7729">
        <w:rPr>
          <w:lang w:val="en-US"/>
        </w:rPr>
        <w:t xml:space="preserve">. This is mainly due to the fact that the threshold is based on the requirements of Art. 8 and 9 or 2 (17) SFDR. For many </w:t>
      </w:r>
      <w:r w:rsidR="00C4317A" w:rsidRPr="000B7729">
        <w:rPr>
          <w:lang w:val="en-US"/>
        </w:rPr>
        <w:t xml:space="preserve">real estate </w:t>
      </w:r>
      <w:r w:rsidRPr="000B7729">
        <w:rPr>
          <w:lang w:val="en-US"/>
        </w:rPr>
        <w:t>funds, it is still not clear whether and when the requirements under Art. 8 and 9 or 2 (17) SFDR are met.</w:t>
      </w:r>
    </w:p>
    <w:p w14:paraId="5D30952A" w14:textId="0ED649FA" w:rsidR="00F61A5F" w:rsidRPr="001520D6" w:rsidRDefault="000B7729" w:rsidP="00F61A5F">
      <w:pPr>
        <w:rPr>
          <w:lang w:val="en-US"/>
        </w:rPr>
      </w:pPr>
      <w:r w:rsidRPr="000B7729">
        <w:rPr>
          <w:lang w:val="en-US"/>
        </w:rPr>
        <w:t xml:space="preserve">As a result, </w:t>
      </w:r>
      <w:r w:rsidRPr="000B7729">
        <w:rPr>
          <w:lang w:val="en-US"/>
        </w:rPr>
        <w:t xml:space="preserve">for securities funds with established exclusion criteria </w:t>
      </w:r>
      <w:r w:rsidRPr="000B7729">
        <w:rPr>
          <w:lang w:val="en-US"/>
        </w:rPr>
        <w:t>it should be easier to determine whether the 80% threshold has been reached than for funds that invest in real estate or other tangible assets.</w:t>
      </w:r>
      <w:r>
        <w:rPr>
          <w:lang w:val="en-US"/>
        </w:rPr>
        <w:t xml:space="preserve"> </w:t>
      </w:r>
      <w:r w:rsidR="00F61A5F" w:rsidRPr="001520D6">
        <w:rPr>
          <w:lang w:val="en-US"/>
        </w:rPr>
        <w:t>The investment and ESG strategies of real estate funds are comparatively heterogeneous. Standardized or established ESG criteria, such as exclusion criteria, do not exist for real estate funds in this sense. This heterogeneity is very clearly reflected in the approval practice of the German BaFin since the application of the SFDR. Thus, the requirements that BaFin demands for a classification according to Art. 8 SFDR have continuously changed and will probably continue to change in the future.</w:t>
      </w:r>
      <w:r>
        <w:rPr>
          <w:lang w:val="en-US"/>
        </w:rPr>
        <w:t xml:space="preserve"> </w:t>
      </w:r>
      <w:r w:rsidR="00F61A5F" w:rsidRPr="001520D6">
        <w:rPr>
          <w:lang w:val="en-US"/>
        </w:rPr>
        <w:t>It is to be feared that these changes and uncertainties will also have an impact on the question of whether the thresholds are reached and complied with.</w:t>
      </w:r>
    </w:p>
    <w:p w14:paraId="06878AA2" w14:textId="77777777" w:rsidR="00C4317A" w:rsidRPr="001520D6" w:rsidRDefault="00C4317A" w:rsidP="00F61A5F">
      <w:pPr>
        <w:rPr>
          <w:lang w:val="en-US"/>
        </w:rPr>
      </w:pPr>
    </w:p>
    <w:p w14:paraId="1A30165E" w14:textId="77777777" w:rsidR="00C4317A" w:rsidRPr="000B7729" w:rsidRDefault="00C4317A" w:rsidP="00C4317A">
      <w:pPr>
        <w:rPr>
          <w:lang w:val="en-US"/>
        </w:rPr>
      </w:pPr>
      <w:r w:rsidRPr="000B7729">
        <w:rPr>
          <w:lang w:val="en-US"/>
        </w:rPr>
        <w:t xml:space="preserve">Consideration should therefore be given to linking the authorization to use ESG or sustainability in the fund name to other criteria as well. </w:t>
      </w:r>
      <w:bookmarkStart w:id="3" w:name="_Hlk127529510"/>
      <w:r w:rsidRPr="000B7729">
        <w:rPr>
          <w:lang w:val="en-US"/>
        </w:rPr>
        <w:t xml:space="preserve">Insofar as specific investment quotas are to be complied with, we are in favor of also taking into account concepts that do not already reach the targeted thresholds at the time of the fund's issuance, but only at a later point in time. </w:t>
      </w:r>
    </w:p>
    <w:p w14:paraId="00E78DDF" w14:textId="08E30D8E" w:rsidR="00F61A5F" w:rsidRPr="000B7729" w:rsidRDefault="00C4317A" w:rsidP="00C4317A">
      <w:pPr>
        <w:rPr>
          <w:lang w:val="en-US"/>
        </w:rPr>
      </w:pPr>
      <w:r w:rsidRPr="000B7729">
        <w:rPr>
          <w:lang w:val="en-US"/>
        </w:rPr>
        <w:t>In the case of real estate funds, strategies should also be possible in which existing properties are made "greener" or "more sustainable" over a longer period of time. Such "manage to green" approaches take into account the fact that, for example, the CO² emissions of older, energy-inefficient properties cannot usually be reduced overnight, but complex and cost-intensive measures are often required. At the same time, considerable CO² savings potential can be leveraged as part of "manage to green" strategies.</w:t>
      </w:r>
      <w:bookmarkEnd w:id="3"/>
    </w:p>
    <w:permEnd w:id="1596738700"/>
    <w:p w14:paraId="088B5A4D" w14:textId="1A9BDBA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4"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4"/>
    <w:p w14:paraId="4F9400BD" w14:textId="77777777" w:rsidR="00B92885" w:rsidRDefault="00B92885" w:rsidP="00B92885">
      <w:r>
        <w:t>&lt;ESMA_QUESTION_FUNA_2&gt;</w:t>
      </w:r>
    </w:p>
    <w:p w14:paraId="7690E426" w14:textId="463CC3E5" w:rsidR="00B56B13" w:rsidRPr="000B7729" w:rsidRDefault="00C03D33" w:rsidP="00B92885">
      <w:pPr>
        <w:rPr>
          <w:lang w:val="en-US"/>
        </w:rPr>
      </w:pPr>
      <w:permStart w:id="1305634831" w:edGrp="everyone"/>
      <w:r w:rsidRPr="000B7729">
        <w:rPr>
          <w:lang w:val="en-US"/>
        </w:rPr>
        <w:t xml:space="preserve">We consider the proposed threshold to be appropriate in principle. </w:t>
      </w:r>
      <w:r w:rsidR="00534B11">
        <w:rPr>
          <w:lang w:val="en-US"/>
        </w:rPr>
        <w:t>However, f</w:t>
      </w:r>
      <w:r w:rsidR="00AC2C72" w:rsidRPr="000B7729">
        <w:rPr>
          <w:lang w:val="en-US"/>
        </w:rPr>
        <w:t>rom the perspective of open-ended and closed-end real estate funds in Germany, whether the proposed threshold is appropriate depends to a large extent on the basis of calculation.</w:t>
      </w:r>
      <w:r w:rsidR="00C4317A" w:rsidRPr="000B7729">
        <w:rPr>
          <w:lang w:val="en-US"/>
        </w:rPr>
        <w:t xml:space="preserve"> </w:t>
      </w:r>
      <w:r w:rsidR="00534B11" w:rsidRPr="00534B11">
        <w:rPr>
          <w:lang w:val="en-US"/>
        </w:rPr>
        <w:t>It is not clear from the draft - and also from Annexes II and III of Delegated Regulation (EU) 2022/1288 of the SFDR - which basis is to be used.</w:t>
      </w:r>
      <w:r w:rsidR="00C4317A" w:rsidRPr="000B7729">
        <w:rPr>
          <w:lang w:val="en-US"/>
        </w:rPr>
        <w:t xml:space="preserve"> If all investments of an AIF, i.e. the gross fund volume, were used as the basis for calculation, the threshold of 80% would in fact </w:t>
      </w:r>
      <w:r w:rsidR="00DB6739" w:rsidRPr="000B7729">
        <w:rPr>
          <w:lang w:val="en-US"/>
        </w:rPr>
        <w:t>hardly</w:t>
      </w:r>
      <w:r w:rsidR="00C4317A" w:rsidRPr="000B7729">
        <w:rPr>
          <w:lang w:val="en-US"/>
        </w:rPr>
        <w:t xml:space="preserve"> be achievable for real estate funds and would therefore be too high.</w:t>
      </w:r>
    </w:p>
    <w:p w14:paraId="36A65B2A" w14:textId="77777777" w:rsidR="00C4317A" w:rsidRPr="000B7729" w:rsidRDefault="00C4317A" w:rsidP="00B92885">
      <w:pPr>
        <w:rPr>
          <w:lang w:val="en-US"/>
        </w:rPr>
      </w:pPr>
    </w:p>
    <w:p w14:paraId="1A5CD996" w14:textId="2AB040D4" w:rsidR="00DB6739" w:rsidRPr="000B7729" w:rsidRDefault="00DB6739" w:rsidP="00DB6739">
      <w:pPr>
        <w:rPr>
          <w:lang w:val="en-US"/>
        </w:rPr>
      </w:pPr>
      <w:r w:rsidRPr="000B7729">
        <w:rPr>
          <w:lang w:val="en-US"/>
        </w:rPr>
        <w:t>Open-ended real estate funds are obliged by national legislation ("KAGB") to maintain high liquidity ratios due to redemption rights. In practice, these are usually between 10 and 20 percent. Liquidity investments and hedging instruments serve the stability and flexibility of the fund, but are not part of the actual investment objects of a real estate AIF. They pursue other purposes and will</w:t>
      </w:r>
      <w:r w:rsidR="000B10F3" w:rsidRPr="000B7729">
        <w:rPr>
          <w:lang w:val="en-US"/>
        </w:rPr>
        <w:t xml:space="preserve"> </w:t>
      </w:r>
      <w:r w:rsidRPr="000B7729">
        <w:rPr>
          <w:lang w:val="en-US"/>
        </w:rPr>
        <w:t xml:space="preserve">regularly </w:t>
      </w:r>
      <w:r w:rsidR="000B10F3" w:rsidRPr="000B7729">
        <w:rPr>
          <w:lang w:val="en-US"/>
        </w:rPr>
        <w:t xml:space="preserve">not </w:t>
      </w:r>
      <w:r w:rsidRPr="000B7729">
        <w:rPr>
          <w:lang w:val="en-US"/>
        </w:rPr>
        <w:t xml:space="preserve">contribute to the ESG objectives of an AIF. </w:t>
      </w:r>
    </w:p>
    <w:p w14:paraId="2B746ABD" w14:textId="2EA8E61D" w:rsidR="00DB6739" w:rsidRPr="000B7729" w:rsidRDefault="00DB6739" w:rsidP="00DB6739">
      <w:pPr>
        <w:rPr>
          <w:lang w:val="en-US"/>
        </w:rPr>
      </w:pPr>
      <w:r w:rsidRPr="000B7729">
        <w:rPr>
          <w:lang w:val="en-US"/>
        </w:rPr>
        <w:t xml:space="preserve">We therefore </w:t>
      </w:r>
      <w:r w:rsidR="000B10F3" w:rsidRPr="000B7729">
        <w:rPr>
          <w:lang w:val="en-US"/>
        </w:rPr>
        <w:t>endorse</w:t>
      </w:r>
      <w:r w:rsidRPr="000B7729">
        <w:rPr>
          <w:lang w:val="en-US"/>
        </w:rPr>
        <w:t xml:space="preserve"> that the 80% should be based on the net fund volume and that only those investments should be taken into account that correspond to the actual investment purpose, i.e. real estate in the case of real estate funds. Liquidity investments and hedging instruments, on the other hand, should be excluded.</w:t>
      </w:r>
    </w:p>
    <w:p w14:paraId="4563217C" w14:textId="77777777" w:rsidR="006A2018" w:rsidRPr="000B7729" w:rsidRDefault="006A2018" w:rsidP="00B92885">
      <w:pPr>
        <w:rPr>
          <w:lang w:val="en-US"/>
        </w:rPr>
      </w:pPr>
    </w:p>
    <w:p w14:paraId="1F4D8638" w14:textId="223950A4" w:rsidR="004165F0" w:rsidRPr="000B7729" w:rsidRDefault="000B10F3" w:rsidP="00B92885">
      <w:pPr>
        <w:rPr>
          <w:lang w:val="en-US"/>
        </w:rPr>
      </w:pPr>
      <w:r w:rsidRPr="000B7729">
        <w:rPr>
          <w:lang w:val="en-US"/>
        </w:rPr>
        <w:t xml:space="preserve">Furthermore, the 80% threshold should not apply to newly issued funds during the phase of initial investing. For newly issued real estate funds, the real estate investments are often made successively over a longer period of several years. If 80% of the ESG criteria had to be taken into account from the beginning </w:t>
      </w:r>
      <w:r w:rsidRPr="000B7729">
        <w:rPr>
          <w:lang w:val="en-US"/>
        </w:rPr>
        <w:lastRenderedPageBreak/>
        <w:t xml:space="preserve">of investments of a real estate AIF, the AIFM would be disproportionately restricted in its investment activities and </w:t>
      </w:r>
      <w:r w:rsidR="003C21E6" w:rsidRPr="000B7729">
        <w:rPr>
          <w:lang w:val="en-US"/>
        </w:rPr>
        <w:t xml:space="preserve">in structuring the </w:t>
      </w:r>
      <w:r w:rsidRPr="000B7729">
        <w:rPr>
          <w:lang w:val="en-US"/>
        </w:rPr>
        <w:t xml:space="preserve">portfolio. For other product regulations, for example on diversification or leverage thresholds, it is accordingly common that these are not yet applicable during </w:t>
      </w:r>
      <w:r w:rsidR="003C21E6" w:rsidRPr="000B7729">
        <w:rPr>
          <w:lang w:val="en-US"/>
        </w:rPr>
        <w:t>the phase of initial investing</w:t>
      </w:r>
      <w:r w:rsidRPr="000B7729">
        <w:rPr>
          <w:lang w:val="en-US"/>
        </w:rPr>
        <w:t xml:space="preserve">. Open-ended real estate funds in Germany, for example, do not have to take diversification </w:t>
      </w:r>
      <w:r w:rsidR="003C21E6" w:rsidRPr="000B7729">
        <w:rPr>
          <w:lang w:val="en-US"/>
        </w:rPr>
        <w:t xml:space="preserve">rules </w:t>
      </w:r>
      <w:r w:rsidRPr="000B7729">
        <w:rPr>
          <w:lang w:val="en-US"/>
        </w:rPr>
        <w:t xml:space="preserve">into account during a </w:t>
      </w:r>
      <w:r w:rsidR="003C21E6" w:rsidRPr="000B7729">
        <w:rPr>
          <w:lang w:val="en-US"/>
        </w:rPr>
        <w:t xml:space="preserve">starting </w:t>
      </w:r>
      <w:r w:rsidRPr="000B7729">
        <w:rPr>
          <w:lang w:val="en-US"/>
        </w:rPr>
        <w:t>period of four years (</w:t>
      </w:r>
      <w:r w:rsidR="00534B11">
        <w:rPr>
          <w:lang w:val="en-US"/>
        </w:rPr>
        <w:t>§</w:t>
      </w:r>
      <w:r w:rsidRPr="000B7729">
        <w:rPr>
          <w:lang w:val="en-US"/>
        </w:rPr>
        <w:t xml:space="preserve"> 244 KAGB). </w:t>
      </w:r>
      <w:r w:rsidR="003C21E6" w:rsidRPr="000B7729">
        <w:rPr>
          <w:lang w:val="en-US"/>
        </w:rPr>
        <w:t>Such a starting period should also be taken into account with regard to the 80% threshold.</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0C33B7B7" w:rsidR="00B92885" w:rsidRPr="00534B11" w:rsidRDefault="00534B11" w:rsidP="00B92885">
      <w:pPr>
        <w:rPr>
          <w:lang w:val="en-US"/>
        </w:rPr>
      </w:pPr>
      <w:permStart w:id="347949177" w:edGrp="everyone"/>
      <w:r w:rsidRPr="00534B11">
        <w:rPr>
          <w:lang w:val="en-US"/>
        </w:rPr>
        <w:t>The comments on Q2 apply here accordingly</w:t>
      </w:r>
      <w:r w:rsidR="00E436FA" w:rsidRPr="00534B11">
        <w:rPr>
          <w:lang w:val="en-US"/>
        </w:rPr>
        <w:t xml:space="preserve">.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7B38978F" w14:textId="77777777" w:rsidR="003C21E6" w:rsidRPr="000B7729" w:rsidRDefault="003C21E6" w:rsidP="00D75CFC">
      <w:pPr>
        <w:rPr>
          <w:lang w:val="en-US"/>
        </w:rPr>
      </w:pPr>
      <w:permStart w:id="351877901" w:edGrp="everyone"/>
      <w:r w:rsidRPr="000B7729">
        <w:rPr>
          <w:lang w:val="en-US"/>
        </w:rPr>
        <w:t xml:space="preserve">Insofar as specific investment quotas are to be complied with, we are in favor of also taking into account concepts that do not already reach the targeted thresholds at the time of the fund's issuance, but only at a later point in time. </w:t>
      </w:r>
    </w:p>
    <w:p w14:paraId="00DD4A4E" w14:textId="77777777" w:rsidR="003C21E6" w:rsidRPr="000B7729" w:rsidRDefault="003C21E6" w:rsidP="00B92885">
      <w:pPr>
        <w:rPr>
          <w:lang w:val="en-US"/>
        </w:rPr>
      </w:pPr>
      <w:r w:rsidRPr="000B7729">
        <w:rPr>
          <w:lang w:val="en-US"/>
        </w:rPr>
        <w:t>In the case of real estate funds, strategies should also be possible in which existing properties are made "greener" or "more sustainable" over a longer period of time. Such "manage to green" approaches take into account the fact that, for example, the CO² emissions of older, energy-inefficient existing properties cannot usually be reduced overnight, but complex and cost-intensive measures are often required. At the same time, considerable CO² savings potential can be leveraged as part of "manage to green" strategies.</w:t>
      </w:r>
    </w:p>
    <w:permEnd w:id="351877901"/>
    <w:p w14:paraId="29DD3DB8" w14:textId="41B2BBD9"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0813A8D4" w14:textId="77777777" w:rsidR="00045487" w:rsidRPr="000B7729" w:rsidRDefault="00045487" w:rsidP="00045487">
      <w:pPr>
        <w:rPr>
          <w:rFonts w:eastAsia="Calibri" w:cs="Arial"/>
          <w:szCs w:val="20"/>
          <w:lang w:val="en-US" w:eastAsia="en-US"/>
        </w:rPr>
      </w:pPr>
      <w:permStart w:id="175976681" w:edGrp="everyone"/>
      <w:r w:rsidRPr="000B7729">
        <w:rPr>
          <w:rFonts w:eastAsia="Calibri" w:cs="Arial"/>
          <w:szCs w:val="20"/>
          <w:lang w:val="en-US" w:eastAsia="en-US"/>
        </w:rPr>
        <w:t xml:space="preserve">We oppose the proposed minimum safeguards in the form of exclusion criteria under the Benchmark Regulation for several reasons. </w:t>
      </w:r>
    </w:p>
    <w:p w14:paraId="7540801D" w14:textId="77777777" w:rsidR="00045487" w:rsidRPr="000B7729" w:rsidRDefault="00045487" w:rsidP="00045487">
      <w:pPr>
        <w:rPr>
          <w:rFonts w:eastAsia="Calibri" w:cs="Arial"/>
          <w:szCs w:val="20"/>
          <w:lang w:val="en-US" w:eastAsia="en-US"/>
        </w:rPr>
      </w:pPr>
    </w:p>
    <w:p w14:paraId="467FD418" w14:textId="0722C3FB" w:rsidR="00045487" w:rsidRPr="000B7729" w:rsidRDefault="00045487" w:rsidP="00045487">
      <w:pPr>
        <w:rPr>
          <w:rFonts w:eastAsia="Calibri" w:cs="Arial"/>
          <w:szCs w:val="20"/>
          <w:lang w:val="en-US" w:eastAsia="en-US"/>
        </w:rPr>
      </w:pPr>
      <w:r w:rsidRPr="001520D6">
        <w:rPr>
          <w:rFonts w:eastAsia="Calibri" w:cs="Arial"/>
          <w:szCs w:val="20"/>
          <w:lang w:val="en-US" w:eastAsia="en-US"/>
        </w:rPr>
        <w:t xml:space="preserve">First of all, it should be noted that investment funds already regularly have to meet the Principle Adverse Impacts ("PAI") via the SFDR as well as the "do-no-significant-harm" criteria under Art. 2 (17) SFDR. We therefore do not see why further exclusion criteria should be defined in the ESMA Guidelines. We also </w:t>
      </w:r>
      <w:r w:rsidR="00CC3CB6">
        <w:rPr>
          <w:rFonts w:eastAsia="Calibri" w:cs="Arial"/>
          <w:szCs w:val="20"/>
          <w:lang w:val="en-US" w:eastAsia="en-US"/>
        </w:rPr>
        <w:t>believe</w:t>
      </w:r>
      <w:r w:rsidRPr="001520D6">
        <w:rPr>
          <w:rFonts w:eastAsia="Calibri" w:cs="Arial"/>
          <w:szCs w:val="20"/>
          <w:lang w:val="en-US" w:eastAsia="en-US"/>
        </w:rPr>
        <w:t xml:space="preserve"> it is systematically wrong to use the exclusion criteria of the Benchmark Regulation as a set of rules </w:t>
      </w:r>
      <w:r w:rsidRPr="001520D6">
        <w:rPr>
          <w:rFonts w:eastAsia="Calibri" w:cs="Arial"/>
          <w:szCs w:val="20"/>
          <w:lang w:val="en-US" w:eastAsia="en-US"/>
        </w:rPr>
        <w:lastRenderedPageBreak/>
        <w:t xml:space="preserve">that </w:t>
      </w:r>
      <w:r w:rsidR="00CC3CB6">
        <w:rPr>
          <w:rFonts w:eastAsia="Calibri" w:cs="Arial"/>
          <w:szCs w:val="20"/>
          <w:lang w:val="en-US" w:eastAsia="en-US"/>
        </w:rPr>
        <w:t>is not related</w:t>
      </w:r>
      <w:r w:rsidRPr="001520D6">
        <w:rPr>
          <w:rFonts w:eastAsia="Calibri" w:cs="Arial"/>
          <w:szCs w:val="20"/>
          <w:lang w:val="en-US" w:eastAsia="en-US"/>
        </w:rPr>
        <w:t xml:space="preserve"> to the SFDR. The Benchmark Regulation refers to CO² reference values, while the ESMA Guidelines, with reference to the SFDR, </w:t>
      </w:r>
      <w:r w:rsidR="00534B11">
        <w:rPr>
          <w:rFonts w:eastAsia="Calibri" w:cs="Arial"/>
          <w:szCs w:val="20"/>
          <w:lang w:val="en-US" w:eastAsia="en-US"/>
        </w:rPr>
        <w:t>concern</w:t>
      </w:r>
      <w:r w:rsidRPr="001520D6">
        <w:rPr>
          <w:rFonts w:eastAsia="Calibri" w:cs="Arial"/>
          <w:szCs w:val="20"/>
          <w:lang w:val="en-US" w:eastAsia="en-US"/>
        </w:rPr>
        <w:t xml:space="preserve"> sustainability and </w:t>
      </w:r>
      <w:r w:rsidR="00CC3CB6">
        <w:rPr>
          <w:rFonts w:eastAsia="Calibri" w:cs="Arial"/>
          <w:szCs w:val="20"/>
          <w:lang w:val="en-US" w:eastAsia="en-US"/>
        </w:rPr>
        <w:t>ESG criteria in their entirety.</w:t>
      </w:r>
    </w:p>
    <w:p w14:paraId="30F8646D" w14:textId="77777777" w:rsidR="00045487" w:rsidRPr="000B7729" w:rsidRDefault="00045487" w:rsidP="00045487">
      <w:pPr>
        <w:rPr>
          <w:rFonts w:eastAsia="Calibri" w:cs="Arial"/>
          <w:szCs w:val="20"/>
          <w:lang w:val="en-US" w:eastAsia="en-US"/>
        </w:rPr>
      </w:pPr>
    </w:p>
    <w:p w14:paraId="44317CEB" w14:textId="77777777" w:rsidR="00045487" w:rsidRPr="000B7729" w:rsidRDefault="00045487" w:rsidP="00045487">
      <w:pPr>
        <w:rPr>
          <w:rFonts w:eastAsia="Calibri" w:cs="Arial"/>
          <w:szCs w:val="20"/>
          <w:lang w:val="en-US" w:eastAsia="en-US"/>
        </w:rPr>
      </w:pPr>
      <w:r w:rsidRPr="000B7729">
        <w:rPr>
          <w:rFonts w:eastAsia="Calibri" w:cs="Arial"/>
          <w:szCs w:val="20"/>
          <w:lang w:val="en-US" w:eastAsia="en-US"/>
        </w:rPr>
        <w:t xml:space="preserve">Furthermore, the exclusion criteria of the Benchmark Regulation are tailored exclusively to investments in companies. Since real estate and other real asset funds do not invest in companies, the exclusion criteria of Art. 12 (1) and (2) of the Benchmark Regulation are not applicable to real estate funds. </w:t>
      </w:r>
    </w:p>
    <w:p w14:paraId="09282745" w14:textId="2E2573A4" w:rsidR="00045487" w:rsidRPr="000B7729" w:rsidRDefault="00045487" w:rsidP="00045487">
      <w:pPr>
        <w:rPr>
          <w:rFonts w:eastAsia="Calibri" w:cs="Arial"/>
          <w:szCs w:val="20"/>
          <w:lang w:val="en-US" w:eastAsia="en-US"/>
        </w:rPr>
      </w:pPr>
      <w:r w:rsidRPr="000B7729">
        <w:rPr>
          <w:rFonts w:eastAsia="Calibri" w:cs="Arial"/>
          <w:szCs w:val="20"/>
          <w:lang w:val="en-US" w:eastAsia="en-US"/>
        </w:rPr>
        <w:t xml:space="preserve">In addition, </w:t>
      </w:r>
      <w:r w:rsidR="00CC3CB6" w:rsidRPr="000B7729">
        <w:rPr>
          <w:rFonts w:eastAsia="Calibri" w:cs="Arial"/>
          <w:szCs w:val="20"/>
          <w:lang w:val="en-US" w:eastAsia="en-US"/>
        </w:rPr>
        <w:t>unlike in the case of securities funds</w:t>
      </w:r>
      <w:r w:rsidR="00CC3CB6" w:rsidRPr="000B7729">
        <w:rPr>
          <w:rFonts w:eastAsia="Calibri" w:cs="Arial"/>
          <w:szCs w:val="20"/>
          <w:lang w:val="en-US" w:eastAsia="en-US"/>
        </w:rPr>
        <w:t xml:space="preserve"> </w:t>
      </w:r>
      <w:r w:rsidRPr="000B7729">
        <w:rPr>
          <w:rFonts w:eastAsia="Calibri" w:cs="Arial"/>
          <w:szCs w:val="20"/>
          <w:lang w:val="en-US" w:eastAsia="en-US"/>
        </w:rPr>
        <w:t>exclusion criteria hardly play a role for real estate investments in practice. These are conceivable in principle, for example in the selection of tenants and service providers. However, in the case of tenants in particular, it is often not even possible to identify their potentially ESG-harmful activities for data protection reasons. For real estate and other real asset funds, exclusion criteria should therefore be avoided.</w:t>
      </w:r>
    </w:p>
    <w:permEnd w:id="175976681"/>
    <w:p w14:paraId="6EE97467" w14:textId="281052D1"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lastRenderedPageBreak/>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77777777" w:rsidR="00B92885" w:rsidRDefault="00B92885" w:rsidP="00B92885">
      <w:permStart w:id="1423966990" w:edGrp="everyone"/>
      <w:r>
        <w:t>TYPE YOUR TEXT HERE</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2259BA59" w14:textId="347F5B0D" w:rsidR="00045487" w:rsidRPr="000B7729" w:rsidRDefault="00045487" w:rsidP="00045487">
      <w:pPr>
        <w:rPr>
          <w:lang w:val="en-US"/>
        </w:rPr>
      </w:pPr>
      <w:permStart w:id="489244833" w:edGrp="everyone"/>
      <w:r w:rsidRPr="001520D6">
        <w:rPr>
          <w:lang w:val="en-US"/>
        </w:rPr>
        <w:t xml:space="preserve">From the perspective of real estate funds and other funds with illiquid assets, we consider the transition period to be inappropriate. Unlike securities funds, existing real estate funds with ESG or sustainability in the fund name will regularly not be able to restructure their portfolio or assets during a period of only 6 months in such a way that they are in line with the investment thresholds of the present ESMA Guidelines. </w:t>
      </w:r>
      <w:r w:rsidRPr="000B7729">
        <w:rPr>
          <w:lang w:val="en-US"/>
        </w:rPr>
        <w:t xml:space="preserve">Existing funds with illiquid investments would therefore be at a considerable disadvantage compared to securities funds, for which any necessary reallocation </w:t>
      </w:r>
      <w:r w:rsidR="00CC3CB6">
        <w:rPr>
          <w:lang w:val="en-US"/>
        </w:rPr>
        <w:t>might be</w:t>
      </w:r>
      <w:r w:rsidRPr="000B7729">
        <w:rPr>
          <w:lang w:val="en-US"/>
        </w:rPr>
        <w:t xml:space="preserve"> easier.</w:t>
      </w:r>
    </w:p>
    <w:p w14:paraId="674EBF52" w14:textId="45E8FF03" w:rsidR="00045487" w:rsidRPr="000B7729" w:rsidRDefault="00045487" w:rsidP="00045487">
      <w:pPr>
        <w:rPr>
          <w:lang w:val="en-US"/>
        </w:rPr>
      </w:pPr>
      <w:r w:rsidRPr="000B7729">
        <w:rPr>
          <w:lang w:val="en-US"/>
        </w:rPr>
        <w:t xml:space="preserve">For closed-end real estate funds in Germany, there is also the peculiarity that in many cases the assets are fixed in accordance with the investment conditions and prospectus or have already been acquired at the beginning. Part of the investment strategy is to hold these specific assets for a period of 10 to 15 years, then sell them and dissolve the fund. In these cases, reallocation is contrary to the investment strategy and would be legally </w:t>
      </w:r>
      <w:r w:rsidR="00CC3CB6">
        <w:rPr>
          <w:lang w:val="en-US"/>
        </w:rPr>
        <w:t>impermissible</w:t>
      </w:r>
      <w:r w:rsidRPr="000B7729">
        <w:rPr>
          <w:lang w:val="en-US"/>
        </w:rPr>
        <w:t xml:space="preserve">. </w:t>
      </w:r>
    </w:p>
    <w:p w14:paraId="49AF9670" w14:textId="77777777" w:rsidR="00CC3CB6" w:rsidRDefault="00045487" w:rsidP="00B92885">
      <w:pPr>
        <w:rPr>
          <w:lang w:val="en-US"/>
        </w:rPr>
      </w:pPr>
      <w:r w:rsidRPr="000B7729">
        <w:rPr>
          <w:lang w:val="en-US"/>
        </w:rPr>
        <w:t>We therefore propose generally grandfathering existing funds with ESG or sustainability in the fund name, at least for closed-end funds. In this context, we would also like to refer to the German BaFin guidelines, which provide for fundamental grandfathering of existing funds. As an alternative to full grandfathering, we recommend extending the transition period for funds with illiqu</w:t>
      </w:r>
      <w:r w:rsidR="00CC3CB6">
        <w:rPr>
          <w:lang w:val="en-US"/>
        </w:rPr>
        <w:t>id assets to at least two years.</w:t>
      </w:r>
    </w:p>
    <w:permEnd w:id="489244833"/>
    <w:p w14:paraId="739467F4" w14:textId="702B2D7D"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45319077" w14:textId="4AA4AC0E" w:rsidR="00EC71CD" w:rsidRPr="000B7729" w:rsidRDefault="00EC71CD" w:rsidP="00EC71CD">
      <w:pPr>
        <w:rPr>
          <w:lang w:val="en-US"/>
        </w:rPr>
      </w:pPr>
      <w:permStart w:id="1766353355" w:edGrp="everyone"/>
      <w:r w:rsidRPr="000B7729">
        <w:rPr>
          <w:lang w:val="en-US"/>
        </w:rPr>
        <w:t>We reject such an extension. The specifications for the use of ESG in the fund name are intended to ensure that investors are not being misled about the ESG criteria of the fund during the marketing and sales phase. However, in the case of a closed-end fund whose subscription phase has been completed, such marketing no longer takes place. Accordingly, once the marketing phase has been completed, the AIFM will no longer provide any marketing communications or sales documents. The fact that the protective purpose ceases to exist at the end of the subscription period is also evident elsewhere: for closed-end funds in Germany</w:t>
      </w:r>
      <w:r w:rsidR="00AF01A3">
        <w:rPr>
          <w:lang w:val="en-US"/>
        </w:rPr>
        <w:t xml:space="preserve"> </w:t>
      </w:r>
      <w:r w:rsidRPr="000B7729">
        <w:rPr>
          <w:lang w:val="en-US"/>
        </w:rPr>
        <w:t xml:space="preserve">the obligation to update sales prospectuses and brief information (PRIIPs-KID) ends </w:t>
      </w:r>
      <w:r w:rsidR="00AF01A3" w:rsidRPr="000B7729">
        <w:rPr>
          <w:lang w:val="en-US"/>
        </w:rPr>
        <w:t xml:space="preserve">in accordance with </w:t>
      </w:r>
      <w:r w:rsidR="00AF01A3">
        <w:rPr>
          <w:lang w:val="en-US"/>
        </w:rPr>
        <w:t>§</w:t>
      </w:r>
      <w:r w:rsidR="00AF01A3" w:rsidRPr="000B7729">
        <w:rPr>
          <w:lang w:val="en-US"/>
        </w:rPr>
        <w:t xml:space="preserve"> 268 (2) KAGB</w:t>
      </w:r>
      <w:r w:rsidR="00AF01A3" w:rsidRPr="000B7729">
        <w:rPr>
          <w:lang w:val="en-US"/>
        </w:rPr>
        <w:t xml:space="preserve"> </w:t>
      </w:r>
      <w:r w:rsidRPr="000B7729">
        <w:rPr>
          <w:lang w:val="en-US"/>
        </w:rPr>
        <w:t xml:space="preserve">at the end of the sales phase. </w:t>
      </w:r>
      <w:bookmarkStart w:id="5" w:name="_GoBack"/>
      <w:r w:rsidRPr="000B7729">
        <w:rPr>
          <w:lang w:val="en-US"/>
        </w:rPr>
        <w:t xml:space="preserve">This approach should apply in the same way </w:t>
      </w:r>
      <w:r w:rsidR="00AF01A3">
        <w:rPr>
          <w:lang w:val="en-US"/>
        </w:rPr>
        <w:lastRenderedPageBreak/>
        <w:t>with regard to fund name</w:t>
      </w:r>
      <w:r w:rsidRPr="000B7729">
        <w:rPr>
          <w:lang w:val="en-US"/>
        </w:rPr>
        <w:t xml:space="preserve">s. </w:t>
      </w:r>
      <w:bookmarkEnd w:id="5"/>
      <w:r w:rsidRPr="000B7729">
        <w:rPr>
          <w:lang w:val="en-US"/>
        </w:rPr>
        <w:t>Furthermore, we refer to the particularities of closed-end funds, which in many cases do not allow for a reallocation of assets (see answer Q13).</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C9D13" w14:textId="77777777" w:rsidR="009D4217" w:rsidRDefault="009D4217">
      <w:r>
        <w:separator/>
      </w:r>
    </w:p>
    <w:p w14:paraId="22A299F3" w14:textId="77777777" w:rsidR="009D4217" w:rsidRDefault="009D4217"/>
  </w:endnote>
  <w:endnote w:type="continuationSeparator" w:id="0">
    <w:p w14:paraId="2EEAAE5E" w14:textId="77777777" w:rsidR="009D4217" w:rsidRDefault="009D4217">
      <w:r>
        <w:continuationSeparator/>
      </w:r>
    </w:p>
    <w:p w14:paraId="7C300ADC" w14:textId="77777777" w:rsidR="009D4217" w:rsidRDefault="009D4217"/>
  </w:endnote>
  <w:endnote w:type="continuationNotice" w:id="1">
    <w:p w14:paraId="3CDF6D19" w14:textId="77777777" w:rsidR="009D4217" w:rsidRDefault="009D4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35BBA" w:rsidRPr="00616B9B" w14:paraId="313FAE1A" w14:textId="77777777" w:rsidTr="00315E96">
      <w:trPr>
        <w:trHeight w:val="284"/>
      </w:trPr>
      <w:tc>
        <w:tcPr>
          <w:tcW w:w="8460" w:type="dxa"/>
        </w:tcPr>
        <w:p w14:paraId="0BEF8BC6" w14:textId="77777777" w:rsidR="00C35BBA" w:rsidRPr="00315E96" w:rsidRDefault="00C35BBA" w:rsidP="00315E96">
          <w:pPr>
            <w:pStyle w:val="00Footer"/>
            <w:rPr>
              <w:lang w:val="fr-FR"/>
            </w:rPr>
          </w:pPr>
        </w:p>
      </w:tc>
      <w:tc>
        <w:tcPr>
          <w:tcW w:w="952" w:type="dxa"/>
        </w:tcPr>
        <w:p w14:paraId="7FD1DE07" w14:textId="77777777" w:rsidR="00C35BBA" w:rsidRPr="00616B9B" w:rsidRDefault="00C35BB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F01A3">
            <w:rPr>
              <w:rFonts w:cs="Arial"/>
              <w:noProof/>
              <w:sz w:val="22"/>
              <w:szCs w:val="22"/>
            </w:rPr>
            <w:t>9</w:t>
          </w:r>
          <w:r w:rsidRPr="00616B9B">
            <w:rPr>
              <w:rFonts w:cs="Arial"/>
              <w:noProof/>
              <w:sz w:val="22"/>
              <w:szCs w:val="22"/>
            </w:rPr>
            <w:fldChar w:fldCharType="end"/>
          </w:r>
        </w:p>
      </w:tc>
    </w:tr>
  </w:tbl>
  <w:p w14:paraId="7306E326" w14:textId="77777777" w:rsidR="00C35BBA" w:rsidRDefault="00C35BB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5726" w14:textId="4CF051A6" w:rsidR="00C35BBA" w:rsidRDefault="00C35BBA" w:rsidP="00B92885">
    <w:pPr>
      <w:pStyle w:val="Fuzeile"/>
      <w:tabs>
        <w:tab w:val="clear" w:pos="4536"/>
        <w:tab w:val="clear" w:pos="9072"/>
        <w:tab w:val="left" w:pos="8227"/>
        <w:tab w:val="right" w:pos="9412"/>
      </w:tabs>
    </w:pPr>
    <w:r>
      <w:tab/>
    </w:r>
    <w:r>
      <w:tab/>
    </w:r>
  </w:p>
  <w:p w14:paraId="3A793707" w14:textId="084F8123" w:rsidR="00C35BBA" w:rsidRDefault="00C35BBA" w:rsidP="00B92885">
    <w:pPr>
      <w:pStyle w:val="Fuzeile"/>
      <w:tabs>
        <w:tab w:val="clear" w:pos="4536"/>
        <w:tab w:val="clear" w:pos="9072"/>
        <w:tab w:val="left" w:pos="8227"/>
        <w:tab w:val="right" w:pos="9412"/>
      </w:tabs>
    </w:pPr>
    <w:r>
      <w:tab/>
    </w:r>
    <w:r>
      <w:tab/>
    </w:r>
    <w:r>
      <w:tab/>
    </w:r>
  </w:p>
  <w:p w14:paraId="6D19C66C" w14:textId="10DE0B9B" w:rsidR="00C35BBA" w:rsidRDefault="00C35BBA"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22F5" w14:textId="77777777" w:rsidR="00C35BBA" w:rsidRDefault="00C35BB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C77FD" w14:textId="77777777" w:rsidR="009D4217" w:rsidRDefault="009D4217">
      <w:r>
        <w:separator/>
      </w:r>
    </w:p>
    <w:p w14:paraId="3C93ED5E" w14:textId="77777777" w:rsidR="009D4217" w:rsidRDefault="009D4217"/>
  </w:footnote>
  <w:footnote w:type="continuationSeparator" w:id="0">
    <w:p w14:paraId="0A8B5AFE" w14:textId="77777777" w:rsidR="009D4217" w:rsidRDefault="009D4217">
      <w:r>
        <w:continuationSeparator/>
      </w:r>
    </w:p>
    <w:p w14:paraId="1F2E8650" w14:textId="77777777" w:rsidR="009D4217" w:rsidRDefault="009D4217"/>
  </w:footnote>
  <w:footnote w:type="continuationNotice" w:id="1">
    <w:p w14:paraId="6B472A75" w14:textId="77777777" w:rsidR="009D4217" w:rsidRDefault="009D4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7985" w14:textId="77777777" w:rsidR="00C35BBA" w:rsidRDefault="00C35BBA">
    <w:pPr>
      <w:pStyle w:val="Kopfzeile"/>
    </w:pPr>
    <w:r>
      <w:rPr>
        <w:noProof/>
        <w:lang w:val="de-DE"/>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EEA6" w14:textId="77777777" w:rsidR="00C35BBA" w:rsidRDefault="00C35BBA" w:rsidP="00013CCE">
    <w:pPr>
      <w:pStyle w:val="Kopfzeile"/>
      <w:jc w:val="right"/>
    </w:pPr>
    <w:r>
      <w:rPr>
        <w:noProof/>
        <w:lang w:val="de-DE"/>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3DA" w14:textId="77777777" w:rsidR="00C35BBA" w:rsidRDefault="00C35B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35BBA" w:rsidRPr="002F4496" w14:paraId="60C7474C" w14:textId="77777777" w:rsidTr="000C06C9">
      <w:trPr>
        <w:trHeight w:val="284"/>
      </w:trPr>
      <w:tc>
        <w:tcPr>
          <w:tcW w:w="8460" w:type="dxa"/>
        </w:tcPr>
        <w:p w14:paraId="54B7E7F0" w14:textId="77777777" w:rsidR="00C35BBA" w:rsidRPr="000C3B6D" w:rsidRDefault="00C35BBA" w:rsidP="000C06C9">
          <w:pPr>
            <w:pStyle w:val="00Footer"/>
            <w:rPr>
              <w:lang w:val="fr-FR"/>
            </w:rPr>
          </w:pPr>
        </w:p>
      </w:tc>
      <w:tc>
        <w:tcPr>
          <w:tcW w:w="952" w:type="dxa"/>
        </w:tcPr>
        <w:p w14:paraId="2E49D042" w14:textId="77777777" w:rsidR="00C35BBA" w:rsidRPr="00146B34" w:rsidRDefault="00C35BBA" w:rsidP="000C06C9">
          <w:pPr>
            <w:pStyle w:val="00aPagenumber"/>
            <w:rPr>
              <w:lang w:val="fr-FR"/>
            </w:rPr>
          </w:pPr>
        </w:p>
      </w:tc>
    </w:tr>
  </w:tbl>
  <w:p w14:paraId="580707D9" w14:textId="77777777" w:rsidR="00C35BBA" w:rsidRPr="00DB46C3" w:rsidRDefault="00C35BBA">
    <w:pPr>
      <w:rPr>
        <w:lang w:val="fr-FR"/>
      </w:rPr>
    </w:pPr>
  </w:p>
  <w:p w14:paraId="20C4F67C" w14:textId="77777777" w:rsidR="00C35BBA" w:rsidRPr="002F4496" w:rsidRDefault="00C35BBA">
    <w:pPr>
      <w:pStyle w:val="Kopfzeile"/>
      <w:rPr>
        <w:lang w:val="fr-FR"/>
      </w:rPr>
    </w:pPr>
  </w:p>
  <w:p w14:paraId="3F30C70B" w14:textId="77777777" w:rsidR="00C35BBA" w:rsidRPr="002F4496" w:rsidRDefault="00C35BBA" w:rsidP="000C06C9">
    <w:pPr>
      <w:pStyle w:val="Kopfzeile"/>
      <w:tabs>
        <w:tab w:val="clear" w:pos="4536"/>
        <w:tab w:val="clear" w:pos="9072"/>
        <w:tab w:val="left" w:pos="8227"/>
      </w:tabs>
      <w:rPr>
        <w:lang w:val="fr-FR"/>
      </w:rPr>
    </w:pPr>
  </w:p>
  <w:p w14:paraId="4D50BC39" w14:textId="77777777" w:rsidR="00C35BBA" w:rsidRPr="002F4496" w:rsidRDefault="00C35BBA" w:rsidP="00583885">
    <w:pPr>
      <w:pStyle w:val="Kopfzeile"/>
      <w:jc w:val="right"/>
      <w:rPr>
        <w:lang w:val="fr-FR"/>
      </w:rPr>
    </w:pPr>
  </w:p>
  <w:p w14:paraId="2D51BEA2" w14:textId="77777777" w:rsidR="00C35BBA" w:rsidRPr="002F4496" w:rsidRDefault="00C35BBA">
    <w:pPr>
      <w:pStyle w:val="Kopfzeile"/>
      <w:rPr>
        <w:lang w:val="fr-FR"/>
      </w:rPr>
    </w:pPr>
  </w:p>
  <w:p w14:paraId="340B2438" w14:textId="77777777" w:rsidR="00C35BBA" w:rsidRPr="002F4496" w:rsidRDefault="00C35BBA">
    <w:pPr>
      <w:pStyle w:val="Kopfzeile"/>
      <w:rPr>
        <w:lang w:val="fr-FR"/>
      </w:rPr>
    </w:pPr>
  </w:p>
  <w:p w14:paraId="2A794A3E" w14:textId="77777777" w:rsidR="00C35BBA" w:rsidRPr="002F4496" w:rsidRDefault="00C35BBA">
    <w:pPr>
      <w:pStyle w:val="Kopfzeile"/>
      <w:rPr>
        <w:lang w:val="fr-FR"/>
      </w:rPr>
    </w:pPr>
  </w:p>
  <w:p w14:paraId="0A21F475" w14:textId="77777777" w:rsidR="00C35BBA" w:rsidRPr="002F4496" w:rsidRDefault="00C35BBA">
    <w:pPr>
      <w:pStyle w:val="Kopfzeile"/>
      <w:rPr>
        <w:highlight w:val="yellow"/>
        <w:lang w:val="fr-FR"/>
      </w:rPr>
    </w:pPr>
  </w:p>
  <w:p w14:paraId="53ABEE5D" w14:textId="77777777" w:rsidR="00C35BBA" w:rsidRDefault="00C35BBA">
    <w:pPr>
      <w:pStyle w:val="Kopfzeile"/>
    </w:pPr>
    <w:r>
      <w:rPr>
        <w:noProof/>
        <w:lang w:val="de-DE"/>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val="de-DE"/>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EDA"/>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487"/>
    <w:rsid w:val="00045CA6"/>
    <w:rsid w:val="000463A6"/>
    <w:rsid w:val="00046CC9"/>
    <w:rsid w:val="00046E91"/>
    <w:rsid w:val="00047350"/>
    <w:rsid w:val="000502FE"/>
    <w:rsid w:val="0005126D"/>
    <w:rsid w:val="00051992"/>
    <w:rsid w:val="00051E9A"/>
    <w:rsid w:val="000521A7"/>
    <w:rsid w:val="00052F47"/>
    <w:rsid w:val="00053616"/>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716"/>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49"/>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10F3"/>
    <w:rsid w:val="000B275C"/>
    <w:rsid w:val="000B2C3D"/>
    <w:rsid w:val="000B55C0"/>
    <w:rsid w:val="000B5DF2"/>
    <w:rsid w:val="000B7729"/>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20D6"/>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4FAC"/>
    <w:rsid w:val="001D5498"/>
    <w:rsid w:val="001D5BAF"/>
    <w:rsid w:val="001D6401"/>
    <w:rsid w:val="001D66C9"/>
    <w:rsid w:val="001D722A"/>
    <w:rsid w:val="001E04FC"/>
    <w:rsid w:val="001E22F3"/>
    <w:rsid w:val="001E407D"/>
    <w:rsid w:val="001E40FB"/>
    <w:rsid w:val="001E66EC"/>
    <w:rsid w:val="001E68C5"/>
    <w:rsid w:val="001F0F63"/>
    <w:rsid w:val="001F11D7"/>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3D5E"/>
    <w:rsid w:val="002543F8"/>
    <w:rsid w:val="002551A4"/>
    <w:rsid w:val="002559F3"/>
    <w:rsid w:val="00256DFE"/>
    <w:rsid w:val="00261D56"/>
    <w:rsid w:val="00261FD3"/>
    <w:rsid w:val="00263505"/>
    <w:rsid w:val="00264077"/>
    <w:rsid w:val="00266B9A"/>
    <w:rsid w:val="00267551"/>
    <w:rsid w:val="00270E54"/>
    <w:rsid w:val="00272EBD"/>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17B"/>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1E6"/>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020"/>
    <w:rsid w:val="003E1FF3"/>
    <w:rsid w:val="003E3ACA"/>
    <w:rsid w:val="003E50EA"/>
    <w:rsid w:val="003E68C7"/>
    <w:rsid w:val="003E79B0"/>
    <w:rsid w:val="003F0403"/>
    <w:rsid w:val="003F1094"/>
    <w:rsid w:val="003F2E45"/>
    <w:rsid w:val="003F3EFE"/>
    <w:rsid w:val="003F40B8"/>
    <w:rsid w:val="003F5C06"/>
    <w:rsid w:val="00400195"/>
    <w:rsid w:val="0040249C"/>
    <w:rsid w:val="0040254B"/>
    <w:rsid w:val="00403086"/>
    <w:rsid w:val="00403460"/>
    <w:rsid w:val="004040FF"/>
    <w:rsid w:val="00404284"/>
    <w:rsid w:val="004042C4"/>
    <w:rsid w:val="00406E90"/>
    <w:rsid w:val="00410240"/>
    <w:rsid w:val="00410760"/>
    <w:rsid w:val="00412253"/>
    <w:rsid w:val="00413AAF"/>
    <w:rsid w:val="004142ED"/>
    <w:rsid w:val="0041634D"/>
    <w:rsid w:val="004165F0"/>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4B35"/>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4ECA"/>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07D40"/>
    <w:rsid w:val="00510662"/>
    <w:rsid w:val="005109B7"/>
    <w:rsid w:val="00510A19"/>
    <w:rsid w:val="00511AAB"/>
    <w:rsid w:val="00514D10"/>
    <w:rsid w:val="00516783"/>
    <w:rsid w:val="005171FB"/>
    <w:rsid w:val="00517977"/>
    <w:rsid w:val="00517EF8"/>
    <w:rsid w:val="00520083"/>
    <w:rsid w:val="0052029E"/>
    <w:rsid w:val="0052076A"/>
    <w:rsid w:val="00520A2C"/>
    <w:rsid w:val="00520E25"/>
    <w:rsid w:val="0052183D"/>
    <w:rsid w:val="00522B01"/>
    <w:rsid w:val="00522F44"/>
    <w:rsid w:val="0052360A"/>
    <w:rsid w:val="005242BA"/>
    <w:rsid w:val="005243B8"/>
    <w:rsid w:val="005252DD"/>
    <w:rsid w:val="005279EB"/>
    <w:rsid w:val="00530A8D"/>
    <w:rsid w:val="00531C6D"/>
    <w:rsid w:val="00532EF4"/>
    <w:rsid w:val="005347CE"/>
    <w:rsid w:val="00534B11"/>
    <w:rsid w:val="00535477"/>
    <w:rsid w:val="00535DEA"/>
    <w:rsid w:val="0053723A"/>
    <w:rsid w:val="00537636"/>
    <w:rsid w:val="00537B1D"/>
    <w:rsid w:val="00540191"/>
    <w:rsid w:val="00540A2A"/>
    <w:rsid w:val="00541F27"/>
    <w:rsid w:val="00542297"/>
    <w:rsid w:val="005423CA"/>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0D55"/>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018"/>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E6E05"/>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14E"/>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EC0"/>
    <w:rsid w:val="008575EB"/>
    <w:rsid w:val="00862DDD"/>
    <w:rsid w:val="0086326D"/>
    <w:rsid w:val="00863CC1"/>
    <w:rsid w:val="00865B01"/>
    <w:rsid w:val="00866D7A"/>
    <w:rsid w:val="00866EE3"/>
    <w:rsid w:val="00871F04"/>
    <w:rsid w:val="00871F3D"/>
    <w:rsid w:val="008746C1"/>
    <w:rsid w:val="00880224"/>
    <w:rsid w:val="0088244C"/>
    <w:rsid w:val="00883367"/>
    <w:rsid w:val="00884C47"/>
    <w:rsid w:val="00885E6F"/>
    <w:rsid w:val="008861AC"/>
    <w:rsid w:val="008868E4"/>
    <w:rsid w:val="00886A60"/>
    <w:rsid w:val="0088759B"/>
    <w:rsid w:val="00887F70"/>
    <w:rsid w:val="008909B4"/>
    <w:rsid w:val="008922E8"/>
    <w:rsid w:val="00893916"/>
    <w:rsid w:val="0089442C"/>
    <w:rsid w:val="00895818"/>
    <w:rsid w:val="008A22BA"/>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37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125E"/>
    <w:rsid w:val="00952F2C"/>
    <w:rsid w:val="009532E3"/>
    <w:rsid w:val="00953615"/>
    <w:rsid w:val="00954BAF"/>
    <w:rsid w:val="00955F48"/>
    <w:rsid w:val="009560B3"/>
    <w:rsid w:val="0095745E"/>
    <w:rsid w:val="00957CE0"/>
    <w:rsid w:val="0096002E"/>
    <w:rsid w:val="0096039E"/>
    <w:rsid w:val="0096204B"/>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4217"/>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07B"/>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2C72"/>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1A3"/>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0591"/>
    <w:rsid w:val="00B5121D"/>
    <w:rsid w:val="00B525C0"/>
    <w:rsid w:val="00B52FAB"/>
    <w:rsid w:val="00B5319A"/>
    <w:rsid w:val="00B539F9"/>
    <w:rsid w:val="00B53E56"/>
    <w:rsid w:val="00B546C3"/>
    <w:rsid w:val="00B54BD9"/>
    <w:rsid w:val="00B5503C"/>
    <w:rsid w:val="00B55640"/>
    <w:rsid w:val="00B55C57"/>
    <w:rsid w:val="00B56B13"/>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2E6D"/>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FCC"/>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3D33"/>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BA"/>
    <w:rsid w:val="00C368D7"/>
    <w:rsid w:val="00C36FD1"/>
    <w:rsid w:val="00C371A5"/>
    <w:rsid w:val="00C400B0"/>
    <w:rsid w:val="00C413FC"/>
    <w:rsid w:val="00C42424"/>
    <w:rsid w:val="00C4317A"/>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CB6"/>
    <w:rsid w:val="00CC3D8B"/>
    <w:rsid w:val="00CC4E27"/>
    <w:rsid w:val="00CC56D9"/>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2F9"/>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1C0D"/>
    <w:rsid w:val="00DB2BDD"/>
    <w:rsid w:val="00DB3381"/>
    <w:rsid w:val="00DB4121"/>
    <w:rsid w:val="00DB46C3"/>
    <w:rsid w:val="00DB5742"/>
    <w:rsid w:val="00DB5EDF"/>
    <w:rsid w:val="00DB6739"/>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79"/>
    <w:rsid w:val="00DF7EA7"/>
    <w:rsid w:val="00E04548"/>
    <w:rsid w:val="00E0484E"/>
    <w:rsid w:val="00E04DBB"/>
    <w:rsid w:val="00E063F8"/>
    <w:rsid w:val="00E113B5"/>
    <w:rsid w:val="00E114D6"/>
    <w:rsid w:val="00E1166E"/>
    <w:rsid w:val="00E11DBD"/>
    <w:rsid w:val="00E13211"/>
    <w:rsid w:val="00E16FB5"/>
    <w:rsid w:val="00E179D6"/>
    <w:rsid w:val="00E21054"/>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6FA"/>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5D33"/>
    <w:rsid w:val="00E77A1B"/>
    <w:rsid w:val="00E808BE"/>
    <w:rsid w:val="00E81E36"/>
    <w:rsid w:val="00E81E40"/>
    <w:rsid w:val="00E82ECE"/>
    <w:rsid w:val="00E8713B"/>
    <w:rsid w:val="00E90774"/>
    <w:rsid w:val="00E90C61"/>
    <w:rsid w:val="00E92A82"/>
    <w:rsid w:val="00E92AA8"/>
    <w:rsid w:val="00E9344E"/>
    <w:rsid w:val="00E93E39"/>
    <w:rsid w:val="00E94391"/>
    <w:rsid w:val="00E94C34"/>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1CD"/>
    <w:rsid w:val="00EC7B97"/>
    <w:rsid w:val="00ED049C"/>
    <w:rsid w:val="00ED07B7"/>
    <w:rsid w:val="00ED19D7"/>
    <w:rsid w:val="00ED2167"/>
    <w:rsid w:val="00ED351E"/>
    <w:rsid w:val="00ED4B27"/>
    <w:rsid w:val="00ED543C"/>
    <w:rsid w:val="00ED6BA4"/>
    <w:rsid w:val="00ED7DA7"/>
    <w:rsid w:val="00EE0598"/>
    <w:rsid w:val="00EE2D63"/>
    <w:rsid w:val="00EE311C"/>
    <w:rsid w:val="00EE56FF"/>
    <w:rsid w:val="00EE5886"/>
    <w:rsid w:val="00EE5FBF"/>
    <w:rsid w:val="00EE6472"/>
    <w:rsid w:val="00EE76F2"/>
    <w:rsid w:val="00EF0769"/>
    <w:rsid w:val="00EF0D7C"/>
    <w:rsid w:val="00EF314C"/>
    <w:rsid w:val="00EF383B"/>
    <w:rsid w:val="00EF40E2"/>
    <w:rsid w:val="00EF61C1"/>
    <w:rsid w:val="00EF6360"/>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A07"/>
    <w:rsid w:val="00F33EDE"/>
    <w:rsid w:val="00F3568B"/>
    <w:rsid w:val="00F377CD"/>
    <w:rsid w:val="00F40C3B"/>
    <w:rsid w:val="00F40CE0"/>
    <w:rsid w:val="00F42DBC"/>
    <w:rsid w:val="00F4308D"/>
    <w:rsid w:val="00F44012"/>
    <w:rsid w:val="00F44947"/>
    <w:rsid w:val="00F4563D"/>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A5F"/>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Hyp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3199126">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74899543-B340-4BAD-BC06-360781A07843}">
  <ds:schemaRefs>
    <ds:schemaRef ds:uri="http://schemas.openxmlformats.org/officeDocument/2006/bibliography"/>
  </ds:schemaRefs>
</ds:datastoreItem>
</file>

<file path=customXml/itemProps6.xml><?xml version="1.0" encoding="utf-8"?>
<ds:datastoreItem xmlns:ds="http://schemas.openxmlformats.org/officeDocument/2006/customXml" ds:itemID="{61F72AE3-74C4-4F98-83BB-0CB13037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2467</Words>
  <Characters>15548</Characters>
  <Application>Microsoft Office Word</Application>
  <DocSecurity>8</DocSecurity>
  <Lines>129</Lines>
  <Paragraphs>35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17980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Frederik Voigt</cp:lastModifiedBy>
  <cp:revision>3</cp:revision>
  <cp:lastPrinted>2015-02-18T11:01:00Z</cp:lastPrinted>
  <dcterms:created xsi:type="dcterms:W3CDTF">2023-02-20T15:33:00Z</dcterms:created>
  <dcterms:modified xsi:type="dcterms:W3CDTF">2023-02-20T16:39:00Z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