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7A68491E" w14:textId="671B2CF9" w:rsidR="00C2682A" w:rsidRPr="00AB6D88" w:rsidRDefault="00262BF5" w:rsidP="00262BF5">
                <w:pPr>
                  <w:rPr>
                    <w:rStyle w:val="Platzhaltertext"/>
                    <w:rFonts w:cs="Arial"/>
                  </w:rPr>
                </w:pPr>
                <w:r>
                  <w:rPr>
                    <w:rStyle w:val="Platzhaltertext"/>
                    <w:rFonts w:cs="Arial"/>
                  </w:rPr>
                  <w:t xml:space="preserve">Austrian </w:t>
                </w:r>
                <w:r w:rsidR="00B53F41">
                  <w:rPr>
                    <w:rStyle w:val="Platzhaltertext"/>
                    <w:rFonts w:cs="Arial"/>
                  </w:rPr>
                  <w:t xml:space="preserve">Federal </w:t>
                </w:r>
                <w:r>
                  <w:rPr>
                    <w:rStyle w:val="Platzhaltertext"/>
                    <w:rFonts w:cs="Arial"/>
                  </w:rPr>
                  <w:t>Ministry for Climate Action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0264D90" w:rsidR="00C2682A" w:rsidRPr="00AB6D88" w:rsidRDefault="00B27F73"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62BF5">
                  <w:rPr>
                    <w:rFonts w:cs="Arial"/>
                  </w:rPr>
                  <w:t>Government, Regulatory and Enforcement</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3278BC0F" w:rsidR="00C2682A" w:rsidRPr="00AB6D88" w:rsidRDefault="00B27F7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BA03808" w:rsidR="00C2682A" w:rsidRPr="00AB6D88" w:rsidRDefault="00E61F4E" w:rsidP="00FA5524">
                <w:pPr>
                  <w:rPr>
                    <w:rFonts w:cs="Arial"/>
                  </w:rPr>
                </w:pPr>
                <w:r>
                  <w:rPr>
                    <w:rFonts w:cs="Arial"/>
                  </w:rPr>
                  <w:t>Austria</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78A9038B" w14:textId="73DE991F" w:rsidR="00477C73" w:rsidRDefault="000E2616" w:rsidP="00477C73">
      <w:pPr>
        <w:spacing w:after="160" w:line="259" w:lineRule="auto"/>
        <w:rPr>
          <w:rFonts w:ascii="Calibri" w:eastAsia="Calibri" w:hAnsi="Calibri"/>
          <w:sz w:val="22"/>
          <w:szCs w:val="22"/>
          <w:lang w:val="en-AU" w:eastAsia="en-US"/>
        </w:rPr>
      </w:pPr>
      <w:permStart w:id="1100430741" w:edGrp="everyone"/>
      <w:r w:rsidRPr="000E2616">
        <w:rPr>
          <w:rFonts w:ascii="Calibri" w:eastAsia="Calibri" w:hAnsi="Calibri"/>
          <w:sz w:val="22"/>
          <w:szCs w:val="22"/>
          <w:lang w:val="en-AU" w:eastAsia="en-US"/>
        </w:rPr>
        <w:t>Financial markets play a key role in enabling the tr</w:t>
      </w:r>
      <w:r>
        <w:rPr>
          <w:rFonts w:ascii="Calibri" w:eastAsia="Calibri" w:hAnsi="Calibri"/>
          <w:sz w:val="22"/>
          <w:szCs w:val="22"/>
          <w:lang w:val="en-AU" w:eastAsia="en-US"/>
        </w:rPr>
        <w:t>ansition towards carbon neutral</w:t>
      </w:r>
      <w:r w:rsidRPr="000E2616">
        <w:rPr>
          <w:rFonts w:ascii="Calibri" w:eastAsia="Calibri" w:hAnsi="Calibri"/>
          <w:sz w:val="22"/>
          <w:szCs w:val="22"/>
          <w:lang w:val="en-AU" w:eastAsia="en-US"/>
        </w:rPr>
        <w:t xml:space="preserve">ity. Clear and consistent frameworks, such as green definitions and standards, will be important to ensure confidence and transparency on markets. </w:t>
      </w:r>
      <w:r>
        <w:rPr>
          <w:rFonts w:ascii="Calibri" w:eastAsia="Calibri" w:hAnsi="Calibri"/>
          <w:sz w:val="22"/>
          <w:szCs w:val="22"/>
          <w:lang w:val="en-AU" w:eastAsia="en-US"/>
        </w:rPr>
        <w:t xml:space="preserve">Rising demand for green and </w:t>
      </w:r>
      <w:r w:rsidRPr="00477C73">
        <w:rPr>
          <w:rFonts w:ascii="Calibri" w:eastAsia="Calibri" w:hAnsi="Calibri"/>
          <w:sz w:val="22"/>
          <w:szCs w:val="22"/>
          <w:lang w:val="en-AU" w:eastAsia="en-US"/>
        </w:rPr>
        <w:t xml:space="preserve">sustainable products increases the risk of greenwashing and </w:t>
      </w:r>
      <w:proofErr w:type="gramStart"/>
      <w:r w:rsidRPr="00477C73">
        <w:rPr>
          <w:rFonts w:ascii="Calibri" w:eastAsia="Calibri" w:hAnsi="Calibri"/>
          <w:sz w:val="22"/>
          <w:szCs w:val="22"/>
          <w:lang w:val="en-AU" w:eastAsia="en-US"/>
        </w:rPr>
        <w:t>must be prevented</w:t>
      </w:r>
      <w:proofErr w:type="gramEnd"/>
      <w:r>
        <w:rPr>
          <w:rFonts w:ascii="Calibri" w:eastAsia="Calibri" w:hAnsi="Calibri"/>
          <w:sz w:val="22"/>
          <w:szCs w:val="22"/>
          <w:lang w:val="en-AU" w:eastAsia="en-US"/>
        </w:rPr>
        <w:t xml:space="preserve"> </w:t>
      </w:r>
      <w:r w:rsidR="00A87DE2">
        <w:rPr>
          <w:rFonts w:ascii="Calibri" w:eastAsia="Calibri" w:hAnsi="Calibri"/>
          <w:sz w:val="22"/>
          <w:szCs w:val="22"/>
          <w:lang w:val="en-AU" w:eastAsia="en-US"/>
        </w:rPr>
        <w:t>in order to achieve ambitious climate and energy targets.</w:t>
      </w:r>
      <w:r w:rsidR="00A87DE2" w:rsidRPr="000E2616">
        <w:rPr>
          <w:rFonts w:ascii="Calibri" w:eastAsia="Calibri" w:hAnsi="Calibri"/>
          <w:sz w:val="22"/>
          <w:szCs w:val="22"/>
          <w:lang w:val="en-AU" w:eastAsia="en-US"/>
        </w:rPr>
        <w:t xml:space="preserve"> </w:t>
      </w:r>
      <w:r w:rsidR="00A87DE2">
        <w:rPr>
          <w:rFonts w:ascii="Calibri" w:eastAsia="Calibri" w:hAnsi="Calibri"/>
          <w:sz w:val="22"/>
          <w:szCs w:val="22"/>
          <w:lang w:val="en-AU" w:eastAsia="en-US"/>
        </w:rPr>
        <w:t>Austria believes that s</w:t>
      </w:r>
      <w:r w:rsidR="00A87DE2" w:rsidRPr="000E2616">
        <w:rPr>
          <w:rFonts w:ascii="Calibri" w:eastAsia="Calibri" w:hAnsi="Calibri"/>
          <w:sz w:val="22"/>
          <w:szCs w:val="22"/>
          <w:lang w:val="en-AU" w:eastAsia="en-US"/>
        </w:rPr>
        <w:t>etting</w:t>
      </w:r>
      <w:r w:rsidR="00A87DE2">
        <w:rPr>
          <w:rFonts w:ascii="Calibri" w:eastAsia="Calibri" w:hAnsi="Calibri"/>
          <w:sz w:val="22"/>
          <w:szCs w:val="22"/>
          <w:lang w:val="en-AU" w:eastAsia="en-US"/>
        </w:rPr>
        <w:t xml:space="preserve"> harmonised science-based standards as well as </w:t>
      </w:r>
      <w:r w:rsidR="00A87DE2" w:rsidRPr="000E2616">
        <w:rPr>
          <w:rFonts w:ascii="Calibri" w:eastAsia="Calibri" w:hAnsi="Calibri"/>
          <w:sz w:val="22"/>
          <w:szCs w:val="22"/>
          <w:lang w:val="en-AU" w:eastAsia="en-US"/>
        </w:rPr>
        <w:t xml:space="preserve">monitoring </w:t>
      </w:r>
      <w:r w:rsidR="00A87DE2">
        <w:rPr>
          <w:rFonts w:ascii="Calibri" w:eastAsia="Calibri" w:hAnsi="Calibri"/>
          <w:sz w:val="22"/>
          <w:szCs w:val="22"/>
          <w:lang w:val="en-AU" w:eastAsia="en-US"/>
        </w:rPr>
        <w:t xml:space="preserve">their </w:t>
      </w:r>
      <w:r w:rsidR="00A87DE2" w:rsidRPr="000E2616">
        <w:rPr>
          <w:rFonts w:ascii="Calibri" w:eastAsia="Calibri" w:hAnsi="Calibri"/>
          <w:sz w:val="22"/>
          <w:szCs w:val="22"/>
          <w:lang w:val="en-AU" w:eastAsia="en-US"/>
        </w:rPr>
        <w:t>progress and implementation i</w:t>
      </w:r>
      <w:r w:rsidR="00A87DE2">
        <w:rPr>
          <w:rFonts w:ascii="Calibri" w:eastAsia="Calibri" w:hAnsi="Calibri"/>
          <w:sz w:val="22"/>
          <w:szCs w:val="22"/>
          <w:lang w:val="en-AU" w:eastAsia="en-US"/>
        </w:rPr>
        <w:t>s vital to prevent greenwashing. It supports</w:t>
      </w:r>
      <w:bookmarkStart w:id="3" w:name="_GoBack"/>
      <w:bookmarkEnd w:id="3"/>
      <w:r w:rsidR="00A87DE2">
        <w:rPr>
          <w:rFonts w:ascii="Calibri" w:eastAsia="Calibri" w:hAnsi="Calibri"/>
          <w:sz w:val="22"/>
          <w:szCs w:val="22"/>
          <w:lang w:val="en-AU" w:eastAsia="en-US"/>
        </w:rPr>
        <w:t xml:space="preserve"> a credible and sound system </w:t>
      </w:r>
      <w:proofErr w:type="gramStart"/>
      <w:r w:rsidR="00A87DE2">
        <w:rPr>
          <w:rFonts w:ascii="Calibri" w:eastAsia="Calibri" w:hAnsi="Calibri"/>
          <w:sz w:val="22"/>
          <w:szCs w:val="22"/>
          <w:lang w:val="en-AU" w:eastAsia="en-US"/>
        </w:rPr>
        <w:t>and also</w:t>
      </w:r>
      <w:proofErr w:type="gramEnd"/>
      <w:r w:rsidR="00A87DE2">
        <w:rPr>
          <w:rFonts w:ascii="Calibri" w:eastAsia="Calibri" w:hAnsi="Calibri"/>
          <w:sz w:val="22"/>
          <w:szCs w:val="22"/>
          <w:lang w:val="en-AU" w:eastAsia="en-US"/>
        </w:rPr>
        <w:t xml:space="preserve"> acknowledges</w:t>
      </w:r>
      <w:r w:rsidR="00477C73" w:rsidRPr="00477C73">
        <w:rPr>
          <w:rFonts w:ascii="Calibri" w:eastAsia="Calibri" w:hAnsi="Calibri"/>
          <w:sz w:val="22"/>
          <w:szCs w:val="22"/>
          <w:lang w:val="en-AU" w:eastAsia="en-US"/>
        </w:rPr>
        <w:t xml:space="preserve"> potential minimum criteria with regard to the classification of Art. 8/9 SFDR financial p</w:t>
      </w:r>
      <w:r w:rsidR="00A87DE2">
        <w:rPr>
          <w:rFonts w:ascii="Calibri" w:eastAsia="Calibri" w:hAnsi="Calibri"/>
          <w:sz w:val="22"/>
          <w:szCs w:val="22"/>
          <w:lang w:val="en-AU" w:eastAsia="en-US"/>
        </w:rPr>
        <w:t xml:space="preserve">roducts to increase reliability towards a more effective sustainable </w:t>
      </w:r>
      <w:r w:rsidR="00477C73" w:rsidRPr="00477C73">
        <w:rPr>
          <w:rFonts w:ascii="Calibri" w:eastAsia="Calibri" w:hAnsi="Calibri"/>
          <w:sz w:val="22"/>
          <w:szCs w:val="22"/>
          <w:lang w:val="en-AU" w:eastAsia="en-US"/>
        </w:rPr>
        <w:t>finance framework.</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522DBFEA" w14:textId="2E9495C8" w:rsidR="00537688" w:rsidRPr="00262BF5" w:rsidRDefault="00537688" w:rsidP="00537688">
      <w:pPr>
        <w:pStyle w:val="Default"/>
        <w:spacing w:after="175"/>
        <w:rPr>
          <w:rFonts w:ascii="Arial" w:hAnsi="Arial" w:cs="Arial"/>
          <w:iCs/>
          <w:color w:val="auto"/>
          <w:sz w:val="20"/>
          <w:szCs w:val="20"/>
          <w:lang w:val="en-US" w:eastAsia="en-US"/>
        </w:rPr>
      </w:pPr>
      <w:permStart w:id="1596738700" w:edGrp="everyone"/>
      <w:r w:rsidRPr="00262BF5">
        <w:rPr>
          <w:rFonts w:ascii="Arial" w:hAnsi="Arial" w:cs="Arial"/>
          <w:bCs/>
          <w:iCs/>
          <w:color w:val="auto"/>
          <w:sz w:val="20"/>
          <w:szCs w:val="20"/>
          <w:lang w:val="en-US"/>
        </w:rPr>
        <w:t xml:space="preserve">Yes, we do agree with the necessity to introduce minimum </w:t>
      </w:r>
      <w:r w:rsidR="00452419" w:rsidRPr="00262BF5">
        <w:rPr>
          <w:rFonts w:ascii="Arial" w:hAnsi="Arial" w:cs="Arial"/>
          <w:bCs/>
          <w:iCs/>
          <w:color w:val="auto"/>
          <w:sz w:val="20"/>
          <w:szCs w:val="20"/>
          <w:lang w:val="en-US"/>
        </w:rPr>
        <w:t xml:space="preserve">quantitative </w:t>
      </w:r>
      <w:r w:rsidRPr="00262BF5">
        <w:rPr>
          <w:rFonts w:ascii="Arial" w:hAnsi="Arial" w:cs="Arial"/>
          <w:bCs/>
          <w:iCs/>
          <w:color w:val="auto"/>
          <w:sz w:val="20"/>
          <w:szCs w:val="20"/>
          <w:lang w:val="en-US"/>
        </w:rPr>
        <w:t>thresholds.</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4"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4"/>
    <w:p w14:paraId="4F9400BD" w14:textId="77777777" w:rsidR="00B92885" w:rsidRDefault="00B92885" w:rsidP="00B92885">
      <w:r>
        <w:t>&lt;ESMA_QUESTION_FUNA_2&gt;</w:t>
      </w:r>
    </w:p>
    <w:p w14:paraId="6F28C9AE" w14:textId="77777777" w:rsidR="00262BF5" w:rsidRDefault="00262BF5" w:rsidP="00B92885">
      <w:pPr>
        <w:rPr>
          <w:rFonts w:cs="Arial"/>
          <w:bCs/>
          <w:iCs/>
          <w:szCs w:val="20"/>
          <w:lang w:val="en-US"/>
        </w:rPr>
      </w:pPr>
      <w:permStart w:id="1305634831" w:edGrp="everyone"/>
      <w:r>
        <w:rPr>
          <w:rFonts w:cs="Arial"/>
          <w:bCs/>
          <w:iCs/>
          <w:szCs w:val="20"/>
          <w:lang w:val="en-US"/>
        </w:rPr>
        <w:t>We agree with the proposed threshold.</w:t>
      </w:r>
    </w:p>
    <w:permEnd w:id="1305634831"/>
    <w:p w14:paraId="562CCC86" w14:textId="7A5021AC"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06A83F36" w14:textId="3AF24D97" w:rsidR="00842742" w:rsidRPr="00262BF5" w:rsidRDefault="00287E13" w:rsidP="00287E13">
      <w:pPr>
        <w:pStyle w:val="Default"/>
        <w:spacing w:after="175"/>
        <w:rPr>
          <w:rFonts w:ascii="Arial" w:hAnsi="Arial" w:cs="Arial"/>
          <w:bCs/>
          <w:iCs/>
          <w:color w:val="auto"/>
          <w:sz w:val="20"/>
          <w:szCs w:val="20"/>
          <w:lang w:val="en-US"/>
        </w:rPr>
      </w:pPr>
      <w:permStart w:id="347949177" w:edGrp="everyone"/>
      <w:r w:rsidRPr="00262BF5">
        <w:rPr>
          <w:rFonts w:ascii="Arial" w:hAnsi="Arial" w:cs="Arial"/>
          <w:bCs/>
          <w:iCs/>
          <w:color w:val="auto"/>
          <w:sz w:val="20"/>
          <w:szCs w:val="20"/>
          <w:lang w:val="en-US"/>
        </w:rPr>
        <w:t xml:space="preserve">We </w:t>
      </w:r>
      <w:r w:rsidR="00D14C9A">
        <w:rPr>
          <w:rFonts w:ascii="Arial" w:hAnsi="Arial" w:cs="Arial"/>
          <w:bCs/>
          <w:iCs/>
          <w:color w:val="auto"/>
          <w:sz w:val="20"/>
          <w:szCs w:val="20"/>
          <w:lang w:val="en-US"/>
        </w:rPr>
        <w:t xml:space="preserve">believe that the term </w:t>
      </w:r>
      <w:r w:rsidRPr="00262BF5">
        <w:rPr>
          <w:rFonts w:ascii="Arial" w:hAnsi="Arial" w:cs="Arial"/>
          <w:bCs/>
          <w:iCs/>
          <w:color w:val="auto"/>
          <w:sz w:val="20"/>
          <w:szCs w:val="20"/>
          <w:lang w:val="en-US"/>
        </w:rPr>
        <w:t xml:space="preserve">“sustainable” </w:t>
      </w:r>
      <w:r w:rsidR="00D14C9A">
        <w:rPr>
          <w:rFonts w:ascii="Arial" w:hAnsi="Arial" w:cs="Arial"/>
          <w:bCs/>
          <w:iCs/>
          <w:color w:val="auto"/>
          <w:sz w:val="20"/>
          <w:szCs w:val="20"/>
          <w:lang w:val="en-US"/>
        </w:rPr>
        <w:t xml:space="preserve">should refer </w:t>
      </w:r>
      <w:r w:rsidRPr="00262BF5">
        <w:rPr>
          <w:rFonts w:ascii="Arial" w:hAnsi="Arial" w:cs="Arial"/>
          <w:bCs/>
          <w:iCs/>
          <w:color w:val="auto"/>
          <w:sz w:val="20"/>
          <w:szCs w:val="20"/>
          <w:lang w:val="en-US"/>
        </w:rPr>
        <w:t>to a minimum threshold of Art.9 SFDR-</w:t>
      </w:r>
      <w:r w:rsidR="0015602C" w:rsidRPr="00262BF5">
        <w:rPr>
          <w:rFonts w:ascii="Arial" w:hAnsi="Arial" w:cs="Arial"/>
          <w:bCs/>
          <w:iCs/>
          <w:color w:val="auto"/>
          <w:sz w:val="20"/>
          <w:szCs w:val="20"/>
          <w:lang w:val="en-US"/>
        </w:rPr>
        <w:t xml:space="preserve">classified </w:t>
      </w:r>
      <w:r w:rsidRPr="00262BF5">
        <w:rPr>
          <w:rFonts w:ascii="Arial" w:hAnsi="Arial" w:cs="Arial"/>
          <w:bCs/>
          <w:iCs/>
          <w:color w:val="auto"/>
          <w:sz w:val="20"/>
          <w:szCs w:val="20"/>
          <w:lang w:val="en-US"/>
        </w:rPr>
        <w:t xml:space="preserve">investments. </w:t>
      </w:r>
      <w:r w:rsidR="00D14C9A">
        <w:rPr>
          <w:rFonts w:ascii="Arial" w:hAnsi="Arial" w:cs="Arial"/>
          <w:bCs/>
          <w:iCs/>
          <w:color w:val="auto"/>
          <w:sz w:val="20"/>
          <w:szCs w:val="20"/>
          <w:lang w:val="en-US"/>
        </w:rPr>
        <w:t xml:space="preserve">This link is decisive to prevent false assumptions as regards Art. </w:t>
      </w:r>
      <w:proofErr w:type="gramStart"/>
      <w:r w:rsidR="00D14C9A">
        <w:rPr>
          <w:rFonts w:ascii="Arial" w:hAnsi="Arial" w:cs="Arial"/>
          <w:bCs/>
          <w:iCs/>
          <w:color w:val="auto"/>
          <w:sz w:val="20"/>
          <w:szCs w:val="20"/>
          <w:lang w:val="en-US"/>
        </w:rPr>
        <w:t>9</w:t>
      </w:r>
      <w:proofErr w:type="gramEnd"/>
      <w:r w:rsidR="00D14C9A">
        <w:rPr>
          <w:rFonts w:ascii="Arial" w:hAnsi="Arial" w:cs="Arial"/>
          <w:bCs/>
          <w:iCs/>
          <w:color w:val="auto"/>
          <w:sz w:val="20"/>
          <w:szCs w:val="20"/>
          <w:lang w:val="en-US"/>
        </w:rPr>
        <w:t xml:space="preserve"> funds classifications. We also strongly support a minimum threshold for EU taxonomy aligned investments, as the EU taxonomy is an integral part of the EU sustainable finance framework. Whereas we agree with the proposed threshold of 50%, we believe that the threshold should relate to the whole investment instead of to only 80% </w:t>
      </w:r>
      <w:r w:rsidR="00284996" w:rsidRPr="00262BF5">
        <w:rPr>
          <w:rFonts w:ascii="Arial" w:hAnsi="Arial" w:cs="Arial"/>
          <w:bCs/>
          <w:iCs/>
          <w:color w:val="auto"/>
          <w:sz w:val="20"/>
          <w:szCs w:val="20"/>
          <w:lang w:val="en-US"/>
        </w:rPr>
        <w:t>of the minimum proportion of inv</w:t>
      </w:r>
      <w:r w:rsidR="00D14C9A">
        <w:rPr>
          <w:rFonts w:ascii="Arial" w:hAnsi="Arial" w:cs="Arial"/>
          <w:bCs/>
          <w:iCs/>
          <w:color w:val="auto"/>
          <w:sz w:val="20"/>
          <w:szCs w:val="20"/>
          <w:lang w:val="en-US"/>
        </w:rPr>
        <w:t>estments using ESG terms.</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16C417E6" w14:textId="77777777" w:rsidR="00D14C9A" w:rsidRDefault="00287E13" w:rsidP="00B92885">
      <w:pPr>
        <w:rPr>
          <w:rFonts w:cs="Arial"/>
          <w:bCs/>
          <w:iCs/>
          <w:szCs w:val="20"/>
          <w:lang w:val="en-US"/>
        </w:rPr>
      </w:pPr>
      <w:permStart w:id="351877901" w:edGrp="everyone"/>
      <w:r w:rsidRPr="00262BF5">
        <w:rPr>
          <w:rFonts w:cs="Arial"/>
          <w:bCs/>
          <w:iCs/>
          <w:szCs w:val="20"/>
          <w:lang w:val="en-US"/>
        </w:rPr>
        <w:t>No</w:t>
      </w:r>
    </w:p>
    <w:permEnd w:id="351877901"/>
    <w:p w14:paraId="29DD3DB8" w14:textId="3D238578"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5955A80B" w14:textId="5DEB8F81" w:rsidR="005B6B54" w:rsidRPr="00262BF5" w:rsidRDefault="00D14C9A" w:rsidP="005B6B54">
      <w:pPr>
        <w:pStyle w:val="Default"/>
        <w:spacing w:after="175"/>
        <w:rPr>
          <w:rFonts w:ascii="Arial" w:hAnsi="Arial" w:cs="Arial"/>
          <w:bCs/>
          <w:iCs/>
          <w:color w:val="auto"/>
          <w:sz w:val="20"/>
          <w:szCs w:val="20"/>
          <w:lang w:val="en-US"/>
        </w:rPr>
      </w:pPr>
      <w:permStart w:id="1539323392" w:edGrp="everyone"/>
      <w:r>
        <w:rPr>
          <w:rFonts w:ascii="Arial" w:hAnsi="Arial" w:cs="Arial"/>
          <w:bCs/>
          <w:iCs/>
          <w:color w:val="auto"/>
          <w:sz w:val="20"/>
          <w:szCs w:val="20"/>
          <w:lang w:val="en-US"/>
        </w:rPr>
        <w:t>No, we believe that quantitative thresholds are an adequate tool to reduce the risk of greenwashing, increase comparability and clarity for investors.</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4A565213" w14:textId="5DC3924B" w:rsidR="00262BF5" w:rsidRPr="00BC0182" w:rsidRDefault="00ED3542" w:rsidP="00BC0182">
      <w:pPr>
        <w:pStyle w:val="Default"/>
        <w:spacing w:after="175"/>
        <w:divId w:val="155271613"/>
        <w:rPr>
          <w:rFonts w:ascii="Arial" w:hAnsi="Arial" w:cs="Arial"/>
          <w:bCs/>
          <w:iCs/>
          <w:color w:val="auto"/>
          <w:sz w:val="20"/>
          <w:szCs w:val="20"/>
          <w:lang w:val="en-US"/>
        </w:rPr>
      </w:pPr>
      <w:permStart w:id="175976681" w:edGrp="everyone"/>
      <w:r>
        <w:rPr>
          <w:rFonts w:ascii="Arial" w:hAnsi="Arial" w:cs="Arial"/>
          <w:bCs/>
          <w:iCs/>
          <w:color w:val="auto"/>
          <w:sz w:val="20"/>
          <w:szCs w:val="20"/>
          <w:lang w:val="en-US"/>
        </w:rPr>
        <w:lastRenderedPageBreak/>
        <w:t xml:space="preserve">We generally </w:t>
      </w:r>
      <w:r w:rsidR="00BC0182">
        <w:rPr>
          <w:rFonts w:ascii="Arial" w:hAnsi="Arial" w:cs="Arial"/>
          <w:bCs/>
          <w:iCs/>
          <w:color w:val="auto"/>
          <w:sz w:val="20"/>
          <w:szCs w:val="20"/>
          <w:lang w:val="en-US"/>
        </w:rPr>
        <w:t xml:space="preserve">agree with the need for </w:t>
      </w:r>
      <w:r w:rsidR="005B6B54" w:rsidRPr="00262BF5">
        <w:rPr>
          <w:rFonts w:ascii="Arial" w:hAnsi="Arial" w:cs="Arial"/>
          <w:bCs/>
          <w:iCs/>
          <w:color w:val="auto"/>
          <w:sz w:val="20"/>
          <w:szCs w:val="20"/>
          <w:lang w:val="en-US"/>
        </w:rPr>
        <w:t xml:space="preserve">minimum safeguards. </w:t>
      </w:r>
      <w:r w:rsidR="00482C43">
        <w:rPr>
          <w:rFonts w:ascii="Arial" w:hAnsi="Arial" w:cs="Arial"/>
          <w:bCs/>
          <w:iCs/>
          <w:color w:val="auto"/>
          <w:sz w:val="20"/>
          <w:szCs w:val="20"/>
          <w:lang w:val="en-US"/>
        </w:rPr>
        <w:t>However, in order to broaden the possibilities of transition finance, reference to Article 12(1</w:t>
      </w:r>
      <w:proofErr w:type="gramStart"/>
      <w:r w:rsidR="00482C43">
        <w:rPr>
          <w:rFonts w:ascii="Arial" w:hAnsi="Arial" w:cs="Arial"/>
          <w:bCs/>
          <w:iCs/>
          <w:color w:val="auto"/>
          <w:sz w:val="20"/>
          <w:szCs w:val="20"/>
          <w:lang w:val="en-US"/>
        </w:rPr>
        <w:t>)d</w:t>
      </w:r>
      <w:proofErr w:type="gramEnd"/>
      <w:r w:rsidR="00482C43">
        <w:rPr>
          <w:rFonts w:ascii="Arial" w:hAnsi="Arial" w:cs="Arial"/>
          <w:bCs/>
          <w:iCs/>
          <w:color w:val="auto"/>
          <w:sz w:val="20"/>
          <w:szCs w:val="20"/>
          <w:lang w:val="en-US"/>
        </w:rPr>
        <w:t xml:space="preserve">-g of </w:t>
      </w:r>
      <w:r w:rsidR="00482C43" w:rsidRPr="00482C43">
        <w:rPr>
          <w:rFonts w:ascii="Arial" w:hAnsi="Arial" w:cs="Arial"/>
          <w:bCs/>
          <w:iCs/>
          <w:color w:val="auto"/>
          <w:sz w:val="20"/>
          <w:szCs w:val="20"/>
          <w:lang w:val="en-US"/>
        </w:rPr>
        <w:t>Commission Delegated Regulation (EU) 2020/1818</w:t>
      </w:r>
      <w:r w:rsidR="00482C43">
        <w:rPr>
          <w:rFonts w:ascii="Arial" w:hAnsi="Arial" w:cs="Arial"/>
          <w:bCs/>
          <w:iCs/>
          <w:color w:val="auto"/>
          <w:sz w:val="20"/>
          <w:szCs w:val="20"/>
          <w:lang w:val="en-US"/>
        </w:rPr>
        <w:t xml:space="preserve"> should be </w:t>
      </w:r>
      <w:r w:rsidR="00BC0182">
        <w:rPr>
          <w:rFonts w:ascii="Arial" w:hAnsi="Arial" w:cs="Arial"/>
          <w:bCs/>
          <w:iCs/>
          <w:color w:val="auto"/>
          <w:sz w:val="20"/>
          <w:szCs w:val="20"/>
          <w:lang w:val="en-US"/>
        </w:rPr>
        <w:t xml:space="preserve">made only regarding the exclusion of fossil fuel companies </w:t>
      </w:r>
      <w:r w:rsidR="005B6B54" w:rsidRPr="00262BF5">
        <w:rPr>
          <w:rFonts w:ascii="Arial" w:hAnsi="Arial" w:cs="Arial"/>
          <w:bCs/>
          <w:iCs/>
          <w:color w:val="auto"/>
          <w:sz w:val="20"/>
          <w:szCs w:val="20"/>
          <w:lang w:val="en-US"/>
        </w:rPr>
        <w:t xml:space="preserve">expanding their fossil fuel </w:t>
      </w:r>
      <w:r w:rsidR="00BC0182">
        <w:rPr>
          <w:rFonts w:ascii="Arial" w:hAnsi="Arial" w:cs="Arial"/>
          <w:bCs/>
          <w:iCs/>
          <w:color w:val="auto"/>
          <w:sz w:val="20"/>
          <w:szCs w:val="20"/>
          <w:lang w:val="en-US"/>
        </w:rPr>
        <w:t xml:space="preserve">activities </w:t>
      </w:r>
      <w:r w:rsidR="0015602C" w:rsidRPr="00262BF5">
        <w:rPr>
          <w:rFonts w:ascii="Arial" w:hAnsi="Arial" w:cs="Arial"/>
          <w:bCs/>
          <w:iCs/>
          <w:color w:val="auto"/>
          <w:sz w:val="20"/>
          <w:szCs w:val="20"/>
          <w:lang w:val="en-US"/>
        </w:rPr>
        <w:t xml:space="preserve">and those </w:t>
      </w:r>
      <w:r w:rsidR="00BC0182">
        <w:rPr>
          <w:rFonts w:ascii="Arial" w:hAnsi="Arial" w:cs="Arial"/>
          <w:bCs/>
          <w:iCs/>
          <w:color w:val="auto"/>
          <w:sz w:val="20"/>
          <w:szCs w:val="20"/>
          <w:lang w:val="en-US"/>
        </w:rPr>
        <w:t>not having Paris-</w:t>
      </w:r>
      <w:r w:rsidR="0015602C" w:rsidRPr="00262BF5">
        <w:rPr>
          <w:rFonts w:ascii="Arial" w:hAnsi="Arial" w:cs="Arial"/>
          <w:bCs/>
          <w:iCs/>
          <w:color w:val="auto"/>
          <w:sz w:val="20"/>
          <w:szCs w:val="20"/>
          <w:lang w:val="en-US"/>
        </w:rPr>
        <w:t xml:space="preserve">aligned transition plans </w:t>
      </w:r>
      <w:r w:rsidR="00BC0182">
        <w:rPr>
          <w:rFonts w:ascii="Arial" w:hAnsi="Arial" w:cs="Arial"/>
          <w:bCs/>
          <w:iCs/>
          <w:color w:val="auto"/>
          <w:sz w:val="20"/>
          <w:szCs w:val="20"/>
          <w:lang w:val="en-US"/>
        </w:rPr>
        <w:t>in place</w:t>
      </w:r>
      <w:r w:rsidR="005B6B54" w:rsidRPr="00262BF5">
        <w:rPr>
          <w:rFonts w:ascii="Arial" w:hAnsi="Arial" w:cs="Arial"/>
          <w:bCs/>
          <w:iCs/>
          <w:color w:val="auto"/>
          <w:sz w:val="20"/>
          <w:szCs w:val="20"/>
          <w:lang w:val="en-US"/>
        </w:rPr>
        <w:t>.</w:t>
      </w:r>
    </w:p>
    <w:permEnd w:id="175976681"/>
    <w:p w14:paraId="6EE97467" w14:textId="245ACC24"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33D374FB" w14:textId="0125DCC6" w:rsidR="00B92885" w:rsidRDefault="00B92885" w:rsidP="00B92885">
      <w:permStart w:id="576722602" w:edGrp="everyone"/>
      <w:r>
        <w:t>TYPE YOUR TEXT HERE</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30D774AE" w14:textId="5B5DD42F" w:rsidR="00DB76E3" w:rsidRPr="00262BF5" w:rsidRDefault="00D14C9A" w:rsidP="00DB76E3">
      <w:pPr>
        <w:pStyle w:val="Default"/>
        <w:spacing w:after="175"/>
        <w:rPr>
          <w:rFonts w:ascii="Arial" w:hAnsi="Arial" w:cs="Arial"/>
          <w:iCs/>
          <w:color w:val="auto"/>
          <w:sz w:val="20"/>
          <w:szCs w:val="20"/>
          <w:lang w:val="en-US" w:eastAsia="en-US"/>
        </w:rPr>
      </w:pPr>
      <w:permStart w:id="650455330" w:edGrp="everyone"/>
      <w:r>
        <w:rPr>
          <w:rFonts w:ascii="Arial" w:hAnsi="Arial" w:cs="Arial"/>
          <w:bCs/>
          <w:iCs/>
          <w:color w:val="auto"/>
          <w:sz w:val="20"/>
          <w:szCs w:val="20"/>
          <w:lang w:val="en-US"/>
        </w:rPr>
        <w:t>Yes</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674D0EDB"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43D08C6" w14:textId="0D0162B0" w:rsidR="004A68F9" w:rsidRPr="00262BF5" w:rsidRDefault="00DB76E3" w:rsidP="00DB76E3">
      <w:pPr>
        <w:pStyle w:val="Default"/>
        <w:spacing w:after="175"/>
        <w:rPr>
          <w:rFonts w:ascii="Arial" w:hAnsi="Arial" w:cs="Arial"/>
          <w:bCs/>
          <w:iCs/>
          <w:color w:val="auto"/>
          <w:sz w:val="20"/>
          <w:szCs w:val="20"/>
          <w:lang w:val="en-US"/>
        </w:rPr>
      </w:pPr>
      <w:permStart w:id="1992309739" w:edGrp="everyone"/>
      <w:r w:rsidRPr="00262BF5">
        <w:rPr>
          <w:rFonts w:ascii="Arial" w:hAnsi="Arial" w:cs="Arial"/>
          <w:bCs/>
          <w:iCs/>
          <w:color w:val="auto"/>
          <w:sz w:val="20"/>
          <w:szCs w:val="20"/>
          <w:lang w:val="en-US"/>
        </w:rPr>
        <w:t xml:space="preserve">No, </w:t>
      </w:r>
      <w:r w:rsidR="00BB0408">
        <w:rPr>
          <w:rFonts w:ascii="Arial" w:hAnsi="Arial" w:cs="Arial"/>
          <w:bCs/>
          <w:iCs/>
          <w:color w:val="auto"/>
          <w:sz w:val="20"/>
          <w:szCs w:val="20"/>
          <w:lang w:val="en-US"/>
        </w:rPr>
        <w:t>we do not see the need for separate impact-related provisions</w:t>
      </w:r>
      <w:r w:rsidR="00095931" w:rsidRPr="00262BF5">
        <w:rPr>
          <w:rFonts w:ascii="Arial" w:hAnsi="Arial" w:cs="Arial"/>
          <w:bCs/>
          <w:iCs/>
          <w:color w:val="auto"/>
          <w:sz w:val="20"/>
          <w:szCs w:val="20"/>
          <w:lang w:val="en-US"/>
        </w:rPr>
        <w:t>.</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lastRenderedPageBreak/>
        <w:t>&lt;ESMA_QUESTION_FUNA_11&gt;</w:t>
      </w:r>
    </w:p>
    <w:p w14:paraId="36E01E99" w14:textId="5330256C" w:rsidR="00A65E21" w:rsidRPr="00262BF5" w:rsidRDefault="00A65E21" w:rsidP="00A65E21">
      <w:pPr>
        <w:pStyle w:val="Default"/>
        <w:spacing w:after="175"/>
        <w:rPr>
          <w:rFonts w:ascii="Arial" w:hAnsi="Arial" w:cs="Arial"/>
          <w:bCs/>
          <w:iCs/>
          <w:color w:val="auto"/>
          <w:sz w:val="20"/>
          <w:szCs w:val="20"/>
          <w:lang w:val="en-US"/>
        </w:rPr>
      </w:pPr>
      <w:permStart w:id="1423966990" w:edGrp="everyone"/>
      <w:r w:rsidRPr="00262BF5">
        <w:rPr>
          <w:rFonts w:ascii="Arial" w:hAnsi="Arial" w:cs="Arial"/>
          <w:bCs/>
          <w:iCs/>
          <w:color w:val="auto"/>
          <w:sz w:val="20"/>
          <w:szCs w:val="20"/>
          <w:lang w:val="en-US"/>
        </w:rPr>
        <w:t xml:space="preserve">No, </w:t>
      </w:r>
      <w:r>
        <w:rPr>
          <w:rFonts w:ascii="Arial" w:hAnsi="Arial" w:cs="Arial"/>
          <w:bCs/>
          <w:iCs/>
          <w:color w:val="auto"/>
          <w:sz w:val="20"/>
          <w:szCs w:val="20"/>
          <w:lang w:val="en-US"/>
        </w:rPr>
        <w:t xml:space="preserve">we do not see the need for separate </w:t>
      </w:r>
      <w:r w:rsidR="00F85580">
        <w:rPr>
          <w:rFonts w:ascii="Arial" w:hAnsi="Arial" w:cs="Arial"/>
          <w:bCs/>
          <w:iCs/>
          <w:color w:val="auto"/>
          <w:sz w:val="20"/>
          <w:szCs w:val="20"/>
          <w:lang w:val="en-US"/>
        </w:rPr>
        <w:t>transition</w:t>
      </w:r>
      <w:r>
        <w:rPr>
          <w:rFonts w:ascii="Arial" w:hAnsi="Arial" w:cs="Arial"/>
          <w:bCs/>
          <w:iCs/>
          <w:color w:val="auto"/>
          <w:sz w:val="20"/>
          <w:szCs w:val="20"/>
          <w:lang w:val="en-US"/>
        </w:rPr>
        <w:t>-related provisions</w:t>
      </w:r>
      <w:r w:rsidRPr="00262BF5">
        <w:rPr>
          <w:rFonts w:ascii="Arial" w:hAnsi="Arial" w:cs="Arial"/>
          <w:bCs/>
          <w:iCs/>
          <w:color w:val="auto"/>
          <w:sz w:val="20"/>
          <w:szCs w:val="20"/>
          <w:lang w:val="en-US"/>
        </w:rPr>
        <w:t>.</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60CFB1C1" w14:textId="5F6D0128" w:rsidR="00262BF5" w:rsidRDefault="00DB76E3" w:rsidP="00B92885">
      <w:pPr>
        <w:rPr>
          <w:rFonts w:cs="Arial"/>
          <w:bCs/>
          <w:iCs/>
          <w:szCs w:val="20"/>
          <w:lang w:val="en-US"/>
        </w:rPr>
      </w:pPr>
      <w:permStart w:id="1434478937" w:edGrp="everyone"/>
      <w:r w:rsidRPr="00262BF5">
        <w:rPr>
          <w:rFonts w:cs="Arial"/>
          <w:bCs/>
          <w:iCs/>
          <w:szCs w:val="20"/>
          <w:lang w:val="en-US"/>
        </w:rPr>
        <w:t>Yes,</w:t>
      </w:r>
      <w:r w:rsidR="00BB0408">
        <w:rPr>
          <w:rFonts w:cs="Arial"/>
          <w:bCs/>
          <w:iCs/>
          <w:szCs w:val="20"/>
          <w:lang w:val="en-US"/>
        </w:rPr>
        <w:t xml:space="preserve"> due to the direct link to the SFDR, the scope should simultaneously cover other sectors.</w:t>
      </w:r>
    </w:p>
    <w:permEnd w:id="1434478937"/>
    <w:p w14:paraId="70EEE415" w14:textId="37A21A1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0FB93389" w14:textId="4299AD4A" w:rsidR="00BB0408" w:rsidRDefault="00DB76E3" w:rsidP="00B92885">
      <w:pPr>
        <w:rPr>
          <w:bCs/>
          <w:iCs/>
          <w:lang w:val="en-US"/>
        </w:rPr>
      </w:pPr>
      <w:permStart w:id="489244833" w:edGrp="everyone"/>
      <w:r w:rsidRPr="00262BF5">
        <w:rPr>
          <w:bCs/>
          <w:iCs/>
          <w:lang w:val="en-US"/>
        </w:rPr>
        <w:t xml:space="preserve">Yes, we agree </w:t>
      </w:r>
      <w:r w:rsidR="00BB0408">
        <w:rPr>
          <w:bCs/>
          <w:iCs/>
          <w:lang w:val="en-US"/>
        </w:rPr>
        <w:t>that there can be a transitional period, even though it should not exceed 6 months to prevent confusion for market participants.</w:t>
      </w:r>
    </w:p>
    <w:permEnd w:id="489244833"/>
    <w:p w14:paraId="739467F4" w14:textId="3388E12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679E7942" w:rsidR="00B92885" w:rsidRPr="00262BF5" w:rsidRDefault="0015602C" w:rsidP="00B92885">
      <w:pPr>
        <w:rPr>
          <w:bCs/>
          <w:iCs/>
          <w:lang w:val="en-US"/>
        </w:rPr>
      </w:pPr>
      <w:permStart w:id="1766353355" w:edGrp="everyone"/>
      <w:r w:rsidRPr="00262BF5">
        <w:rPr>
          <w:bCs/>
          <w:iCs/>
          <w:lang w:val="en-US"/>
        </w:rPr>
        <w:t>Y</w:t>
      </w:r>
      <w:r w:rsidR="004B0C2E" w:rsidRPr="00262BF5">
        <w:rPr>
          <w:bCs/>
          <w:iCs/>
          <w:lang w:val="en-US"/>
        </w:rPr>
        <w:t>es</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30A99477" w14:textId="1BA65C2E" w:rsidR="00DB76E3" w:rsidRPr="00BB0408" w:rsidRDefault="00BB0408" w:rsidP="00DB76E3">
      <w:pPr>
        <w:pStyle w:val="Default"/>
        <w:spacing w:after="173"/>
        <w:rPr>
          <w:rFonts w:ascii="Arial" w:hAnsi="Arial" w:cs="Arial"/>
          <w:bCs/>
          <w:iCs/>
          <w:color w:val="auto"/>
          <w:sz w:val="20"/>
          <w:szCs w:val="22"/>
          <w:lang w:val="en-GB" w:eastAsia="en-US"/>
        </w:rPr>
      </w:pPr>
      <w:permStart w:id="929254269" w:edGrp="everyone"/>
      <w:r w:rsidRPr="00BB0408">
        <w:rPr>
          <w:rFonts w:ascii="Arial" w:hAnsi="Arial" w:cs="Arial"/>
          <w:bCs/>
          <w:iCs/>
          <w:color w:val="auto"/>
          <w:sz w:val="20"/>
          <w:szCs w:val="22"/>
          <w:lang w:val="en-GB"/>
        </w:rPr>
        <w:t>We expect that the Guidelines will increase transparency, comparability and investors’ confidence in the markets, which will ultimately support the goal of steering capital flows towards sustainable investments.</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866A6F6" w14:textId="77777777" w:rsidR="00B92885" w:rsidRDefault="00B92885" w:rsidP="00B92885">
      <w:permStart w:id="878708964" w:edGrp="everyone"/>
      <w:r>
        <w:t>TYPE YOUR TEXT HERE</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5EE31756"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27F73">
            <w:rPr>
              <w:rFonts w:cs="Arial"/>
              <w:noProof/>
              <w:sz w:val="22"/>
              <w:szCs w:val="22"/>
            </w:rPr>
            <w:t>4</w:t>
          </w:r>
          <w:r w:rsidRPr="00616B9B">
            <w:rPr>
              <w:rFonts w:cs="Arial"/>
              <w:noProof/>
              <w:sz w:val="22"/>
              <w:szCs w:val="22"/>
            </w:rPr>
            <w:fldChar w:fldCharType="end"/>
          </w:r>
        </w:p>
      </w:tc>
    </w:tr>
  </w:tbl>
  <w:p w14:paraId="7306E326" w14:textId="77777777" w:rsidR="00267551" w:rsidRDefault="0026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5726" w14:textId="4CF051A6" w:rsidR="00267551" w:rsidRDefault="00267551" w:rsidP="00B92885">
    <w:pPr>
      <w:pStyle w:val="Fuzeile"/>
      <w:tabs>
        <w:tab w:val="clear" w:pos="4536"/>
        <w:tab w:val="clear" w:pos="9072"/>
        <w:tab w:val="left" w:pos="8227"/>
        <w:tab w:val="right" w:pos="9412"/>
      </w:tabs>
    </w:pPr>
    <w:r>
      <w:tab/>
    </w:r>
    <w:r w:rsidR="00B92885">
      <w:tab/>
    </w:r>
  </w:p>
  <w:p w14:paraId="3A793707" w14:textId="084F8123" w:rsidR="00B92885" w:rsidRDefault="00B92885" w:rsidP="00B92885">
    <w:pPr>
      <w:pStyle w:val="Fuzeile"/>
      <w:tabs>
        <w:tab w:val="clear" w:pos="4536"/>
        <w:tab w:val="clear" w:pos="9072"/>
        <w:tab w:val="left" w:pos="8227"/>
        <w:tab w:val="right" w:pos="9412"/>
      </w:tabs>
    </w:pPr>
    <w:r>
      <w:tab/>
    </w:r>
    <w:r>
      <w:tab/>
    </w:r>
    <w:r>
      <w:tab/>
    </w:r>
  </w:p>
  <w:p w14:paraId="6D19C66C" w14:textId="10DE0B9B" w:rsidR="00B92885" w:rsidRDefault="00B92885" w:rsidP="00B92885">
    <w:pPr>
      <w:pStyle w:val="Fuzeile"/>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22F5" w14:textId="77777777" w:rsidR="00267551" w:rsidRDefault="00267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7985" w14:textId="77777777" w:rsidR="00267551" w:rsidRDefault="00267551">
    <w:pPr>
      <w:pStyle w:val="Kopfzeile"/>
    </w:pPr>
    <w:r>
      <w:rPr>
        <w:noProof/>
        <w:lang w:val="de-DE"/>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EEA6" w14:textId="77777777" w:rsidR="00267551" w:rsidRDefault="00267551" w:rsidP="00013CCE">
    <w:pPr>
      <w:pStyle w:val="Kopfzeile"/>
      <w:jc w:val="right"/>
    </w:pPr>
    <w:r>
      <w:rPr>
        <w:noProof/>
        <w:lang w:val="de-DE"/>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Kopfzeile"/>
      <w:rPr>
        <w:lang w:val="fr-FR"/>
      </w:rPr>
    </w:pPr>
  </w:p>
  <w:p w14:paraId="3F30C70B" w14:textId="77777777" w:rsidR="00267551" w:rsidRPr="002F4496" w:rsidRDefault="00267551" w:rsidP="000C06C9">
    <w:pPr>
      <w:pStyle w:val="Kopfzeile"/>
      <w:tabs>
        <w:tab w:val="clear" w:pos="4536"/>
        <w:tab w:val="clear" w:pos="9072"/>
        <w:tab w:val="left" w:pos="8227"/>
      </w:tabs>
      <w:rPr>
        <w:lang w:val="fr-FR"/>
      </w:rPr>
    </w:pPr>
  </w:p>
  <w:p w14:paraId="4D50BC39" w14:textId="77777777" w:rsidR="00267551" w:rsidRPr="002F4496" w:rsidRDefault="00267551" w:rsidP="00583885">
    <w:pPr>
      <w:pStyle w:val="Kopfzeile"/>
      <w:jc w:val="right"/>
      <w:rPr>
        <w:lang w:val="fr-FR"/>
      </w:rPr>
    </w:pPr>
  </w:p>
  <w:p w14:paraId="2D51BEA2" w14:textId="77777777" w:rsidR="00267551" w:rsidRPr="002F4496" w:rsidRDefault="00267551">
    <w:pPr>
      <w:pStyle w:val="Kopfzeile"/>
      <w:rPr>
        <w:lang w:val="fr-FR"/>
      </w:rPr>
    </w:pPr>
  </w:p>
  <w:p w14:paraId="340B2438" w14:textId="77777777" w:rsidR="00267551" w:rsidRPr="002F4496" w:rsidRDefault="00267551">
    <w:pPr>
      <w:pStyle w:val="Kopfzeile"/>
      <w:rPr>
        <w:lang w:val="fr-FR"/>
      </w:rPr>
    </w:pPr>
  </w:p>
  <w:p w14:paraId="2A794A3E" w14:textId="77777777" w:rsidR="00267551" w:rsidRPr="002F4496" w:rsidRDefault="00267551">
    <w:pPr>
      <w:pStyle w:val="Kopfzeile"/>
      <w:rPr>
        <w:lang w:val="fr-FR"/>
      </w:rPr>
    </w:pPr>
  </w:p>
  <w:p w14:paraId="0A21F475" w14:textId="77777777" w:rsidR="00267551" w:rsidRPr="002F4496" w:rsidRDefault="00267551">
    <w:pPr>
      <w:pStyle w:val="Kopfzeile"/>
      <w:rPr>
        <w:highlight w:val="yellow"/>
        <w:lang w:val="fr-FR"/>
      </w:rPr>
    </w:pPr>
  </w:p>
  <w:p w14:paraId="53ABEE5D" w14:textId="77777777" w:rsidR="00267551" w:rsidRDefault="00267551">
    <w:pPr>
      <w:pStyle w:val="Kopfzeile"/>
    </w:pPr>
    <w:r>
      <w:rPr>
        <w:noProof/>
        <w:lang w:val="de-DE"/>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val="de-DE"/>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CB599C"/>
    <w:multiLevelType w:val="hybridMultilevel"/>
    <w:tmpl w:val="FAD67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ED183D"/>
    <w:multiLevelType w:val="hybridMultilevel"/>
    <w:tmpl w:val="0E5A11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40"/>
  </w:num>
  <w:num w:numId="29">
    <w:abstractNumId w:val="8"/>
  </w:num>
  <w:num w:numId="30">
    <w:abstractNumId w:val="3"/>
  </w:num>
  <w:num w:numId="31">
    <w:abstractNumId w:val="22"/>
  </w:num>
  <w:num w:numId="32">
    <w:abstractNumId w:val="21"/>
  </w:num>
  <w:num w:numId="33">
    <w:abstractNumId w:val="35"/>
  </w:num>
  <w:num w:numId="34">
    <w:abstractNumId w:val="34"/>
  </w:num>
  <w:num w:numId="35">
    <w:abstractNumId w:val="5"/>
  </w:num>
  <w:num w:numId="36">
    <w:abstractNumId w:val="36"/>
  </w:num>
  <w:num w:numId="37">
    <w:abstractNumId w:val="21"/>
    <w:lvlOverride w:ilvl="0">
      <w:startOverride w:val="1"/>
    </w:lvlOverride>
  </w:num>
  <w:num w:numId="38">
    <w:abstractNumId w:val="21"/>
  </w:num>
  <w:num w:numId="39">
    <w:abstractNumId w:val="13"/>
  </w:num>
  <w:num w:numId="40">
    <w:abstractNumId w:val="6"/>
  </w:num>
  <w:num w:numId="41">
    <w:abstractNumId w:val="38"/>
  </w:num>
  <w:num w:numId="42">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5931"/>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2616"/>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02C"/>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2BF5"/>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4996"/>
    <w:rsid w:val="00286064"/>
    <w:rsid w:val="002867B1"/>
    <w:rsid w:val="002868FC"/>
    <w:rsid w:val="00287BBB"/>
    <w:rsid w:val="00287E13"/>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2419"/>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77C73"/>
    <w:rsid w:val="0048104E"/>
    <w:rsid w:val="004814BB"/>
    <w:rsid w:val="004815DA"/>
    <w:rsid w:val="00482458"/>
    <w:rsid w:val="00482C43"/>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68F9"/>
    <w:rsid w:val="004B0335"/>
    <w:rsid w:val="004B0C2E"/>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688"/>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6BE4"/>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6B54"/>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8D7"/>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053"/>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2742"/>
    <w:rsid w:val="00844515"/>
    <w:rsid w:val="0084465A"/>
    <w:rsid w:val="00844DFF"/>
    <w:rsid w:val="00845D87"/>
    <w:rsid w:val="00846C3A"/>
    <w:rsid w:val="008477BF"/>
    <w:rsid w:val="008503DA"/>
    <w:rsid w:val="00850B68"/>
    <w:rsid w:val="00850E82"/>
    <w:rsid w:val="0085122D"/>
    <w:rsid w:val="008519E8"/>
    <w:rsid w:val="008525FF"/>
    <w:rsid w:val="00852C03"/>
    <w:rsid w:val="00854A2F"/>
    <w:rsid w:val="0085590C"/>
    <w:rsid w:val="008575EB"/>
    <w:rsid w:val="00862DDD"/>
    <w:rsid w:val="0086326D"/>
    <w:rsid w:val="00863CC1"/>
    <w:rsid w:val="00865B01"/>
    <w:rsid w:val="00866D7A"/>
    <w:rsid w:val="00866EE3"/>
    <w:rsid w:val="00867921"/>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C94"/>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47C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5E21"/>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644F"/>
    <w:rsid w:val="00A8728B"/>
    <w:rsid w:val="00A87DE2"/>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25A"/>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5F64"/>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27F73"/>
    <w:rsid w:val="00B306FC"/>
    <w:rsid w:val="00B309D2"/>
    <w:rsid w:val="00B30E4F"/>
    <w:rsid w:val="00B3124F"/>
    <w:rsid w:val="00B33294"/>
    <w:rsid w:val="00B33657"/>
    <w:rsid w:val="00B347C6"/>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3F41"/>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408"/>
    <w:rsid w:val="00BB09FB"/>
    <w:rsid w:val="00BB238D"/>
    <w:rsid w:val="00BB37CC"/>
    <w:rsid w:val="00BB48C4"/>
    <w:rsid w:val="00BB6907"/>
    <w:rsid w:val="00BB7A20"/>
    <w:rsid w:val="00BC0182"/>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3AA"/>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0DAE"/>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C9A"/>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CFD"/>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B76E3"/>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1F4E"/>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0D34"/>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E9A"/>
    <w:rsid w:val="00EC3CB4"/>
    <w:rsid w:val="00EC443E"/>
    <w:rsid w:val="00EC4D83"/>
    <w:rsid w:val="00EC4EEE"/>
    <w:rsid w:val="00EC634F"/>
    <w:rsid w:val="00EC6848"/>
    <w:rsid w:val="00EC6C6E"/>
    <w:rsid w:val="00EC7B97"/>
    <w:rsid w:val="00ED049C"/>
    <w:rsid w:val="00ED07B7"/>
    <w:rsid w:val="00ED19D7"/>
    <w:rsid w:val="00ED2167"/>
    <w:rsid w:val="00ED351E"/>
    <w:rsid w:val="00ED3542"/>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21D"/>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37D68"/>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46D"/>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5580"/>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6A0"/>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0830470">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527161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1714550">
      <w:bodyDiv w:val="1"/>
      <w:marLeft w:val="0"/>
      <w:marRight w:val="0"/>
      <w:marTop w:val="0"/>
      <w:marBottom w:val="0"/>
      <w:divBdr>
        <w:top w:val="none" w:sz="0" w:space="0" w:color="auto"/>
        <w:left w:val="none" w:sz="0" w:space="0" w:color="auto"/>
        <w:bottom w:val="none" w:sz="0" w:space="0" w:color="auto"/>
        <w:right w:val="none" w:sz="0" w:space="0" w:color="auto"/>
      </w:divBdr>
    </w:div>
    <w:div w:id="296760294">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09747063">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70233293">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2700141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1281903">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9505536">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777772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29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http://schemas.microsoft.com/office/2006/documentManagement/types"/>
    <ds:schemaRef ds:uri="35c8e399-07b8-49e4-91bf-01a20105d4d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E3498-C8E7-4E38-B430-1480BBDE7D0B}">
  <ds:schemaRefs>
    <ds:schemaRef ds:uri="http://schemas.openxmlformats.org/officeDocument/2006/bibliography"/>
  </ds:schemaRefs>
</ds:datastoreItem>
</file>

<file path=customXml/itemProps6.xml><?xml version="1.0" encoding="utf-8"?>
<ds:datastoreItem xmlns:ds="http://schemas.openxmlformats.org/officeDocument/2006/customXml" ds:itemID="{FE84D19B-E43D-4AF7-BC79-3A0C94E1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1441</Words>
  <Characters>8548</Characters>
  <Application>Microsoft Office Word</Application>
  <DocSecurity>8</DocSecurity>
  <Lines>71</Lines>
  <Paragraphs>19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 CP on Guidelines on funds’ names using ESG or sustainability-related terms</vt:lpstr>
      <vt:lpstr>Reply form for the MiFID II/MiFIR Consultation Paper</vt:lpstr>
      <vt:lpstr>20110000</vt:lpstr>
      <vt:lpstr>20110000</vt:lpstr>
      <vt:lpstr>20110000</vt:lpstr>
    </vt:vector>
  </TitlesOfParts>
  <Company>ESMA</Company>
  <LinksUpToDate>false</LinksUpToDate>
  <CharactersWithSpaces>9970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Baldinger Marlene</cp:lastModifiedBy>
  <cp:revision>8</cp:revision>
  <cp:lastPrinted>2015-02-18T11:01:00Z</cp:lastPrinted>
  <dcterms:created xsi:type="dcterms:W3CDTF">2023-02-17T09:02:00Z</dcterms:created>
  <dcterms:modified xsi:type="dcterms:W3CDTF">2023-02-20T14:48:00Z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