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Sidfot"/>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nk"/>
        </w:rPr>
        <w:t>www.esma.europa.eu</w:t>
      </w:r>
      <w:r w:rsidR="0066246A">
        <w:rPr>
          <w:rStyle w:val="Hyperl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Rubrik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tshllartext"/>
              <w:rFonts w:cs="Arial"/>
            </w:rPr>
            <w:id w:val="651570699"/>
            <w:text/>
          </w:sdtPr>
          <w:sdtEndPr>
            <w:rPr>
              <w:rStyle w:val="Platshllartext"/>
            </w:rPr>
          </w:sdtEndPr>
          <w:sdtContent>
            <w:tc>
              <w:tcPr>
                <w:tcW w:w="5595" w:type="dxa"/>
                <w:shd w:val="clear" w:color="auto" w:fill="auto"/>
              </w:tcPr>
              <w:p w14:paraId="7A68491E" w14:textId="6FDBC5F0" w:rsidR="00C2682A" w:rsidRPr="00AB6D88" w:rsidRDefault="008D6FCE" w:rsidP="00FA5524">
                <w:pPr>
                  <w:rPr>
                    <w:rStyle w:val="Platshllartext"/>
                    <w:rFonts w:cs="Arial"/>
                  </w:rPr>
                </w:pPr>
                <w:r>
                  <w:rPr>
                    <w:rStyle w:val="Platshllartext"/>
                    <w:rFonts w:cs="Arial"/>
                  </w:rPr>
                  <w:t xml:space="preserve">The </w:t>
                </w:r>
                <w:r w:rsidR="00766E96">
                  <w:rPr>
                    <w:rStyle w:val="Platshllartext"/>
                    <w:rFonts w:cs="Arial"/>
                  </w:rPr>
                  <w:t>Swedish Consumer Agency</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1A78CE9D" w:rsidR="00C2682A" w:rsidRPr="00AB6D88" w:rsidRDefault="008D6FCE"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66E96">
                  <w:rPr>
                    <w:rFonts w:cs="Arial"/>
                  </w:rPr>
                  <w:t>Government, Regulatory and Enforcement</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1572D77E" w:rsidR="00C2682A" w:rsidRPr="00AB6D88" w:rsidRDefault="00D8717D"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58897A7D" w:rsidR="00C2682A" w:rsidRPr="00AB6D88" w:rsidRDefault="00766E96" w:rsidP="00FA5524">
                <w:pPr>
                  <w:rPr>
                    <w:rFonts w:cs="Arial"/>
                  </w:rPr>
                </w:pPr>
                <w:r>
                  <w:rPr>
                    <w:rFonts w:cs="Arial"/>
                  </w:rPr>
                  <w:t>Sweden</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Rubrik1"/>
        <w:numPr>
          <w:ilvl w:val="0"/>
          <w:numId w:val="0"/>
        </w:numPr>
        <w:ind w:left="431" w:hanging="431"/>
      </w:pPr>
      <w:r>
        <w:t>Introduction</w:t>
      </w:r>
    </w:p>
    <w:p w14:paraId="0A354328" w14:textId="77777777" w:rsidR="00F87897" w:rsidRPr="001D47A5" w:rsidRDefault="00F87897" w:rsidP="00F87897">
      <w:pPr>
        <w:rPr>
          <w:rStyle w:val="Starkbetoning"/>
        </w:rPr>
      </w:pPr>
      <w:r w:rsidRPr="001D47A5">
        <w:rPr>
          <w:rStyle w:val="Starkbetoning"/>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08C6541E" w14:textId="77777777" w:rsidR="00B92885" w:rsidRPr="00B92885" w:rsidRDefault="00B92885" w:rsidP="00B92885">
      <w:pPr>
        <w:spacing w:after="160" w:line="259" w:lineRule="auto"/>
        <w:rPr>
          <w:rFonts w:ascii="Calibri" w:eastAsia="Calibri" w:hAnsi="Calibri"/>
          <w:sz w:val="22"/>
          <w:szCs w:val="22"/>
          <w:lang w:eastAsia="en-US"/>
        </w:rPr>
      </w:pPr>
      <w:permStart w:id="1100430741" w:edGrp="everyone"/>
      <w:r w:rsidRPr="00B92885">
        <w:rPr>
          <w:rFonts w:ascii="Calibri" w:eastAsia="Calibri" w:hAnsi="Calibri"/>
          <w:sz w:val="22"/>
          <w:szCs w:val="22"/>
          <w:lang w:eastAsia="en-US"/>
        </w:rPr>
        <w:t>TYPE YOUR TEXT HERE</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7AA8097D" w14:textId="77777777" w:rsidR="00766E96" w:rsidRDefault="00766E96" w:rsidP="00B92885">
      <w:pPr>
        <w:rPr>
          <w:lang w:val="en-US"/>
        </w:rPr>
      </w:pPr>
      <w:permStart w:id="1596738700" w:edGrp="everyone"/>
      <w:r w:rsidRPr="007F114C">
        <w:rPr>
          <w:lang w:val="en-US"/>
        </w:rPr>
        <w:t xml:space="preserve">From a Swedish perspective, </w:t>
      </w:r>
      <w:r>
        <w:rPr>
          <w:lang w:val="en-US"/>
        </w:rPr>
        <w:t>the Agency does not consider it necessary</w:t>
      </w:r>
      <w:r w:rsidRPr="007F114C">
        <w:rPr>
          <w:lang w:val="en-US"/>
        </w:rPr>
        <w:t xml:space="preserve"> to introduce any threshold</w:t>
      </w:r>
      <w:r>
        <w:rPr>
          <w:lang w:val="en-US"/>
        </w:rPr>
        <w:t>s</w:t>
      </w:r>
      <w:r w:rsidRPr="007F114C">
        <w:rPr>
          <w:lang w:val="en-US"/>
        </w:rPr>
        <w:t xml:space="preserve">, as </w:t>
      </w:r>
      <w:r>
        <w:rPr>
          <w:lang w:val="en-US"/>
        </w:rPr>
        <w:t>current EU legislation already place</w:t>
      </w:r>
      <w:r w:rsidRPr="007F114C">
        <w:rPr>
          <w:lang w:val="en-US"/>
        </w:rPr>
        <w:t xml:space="preserve"> very high requirements regarding marketing with various types of sustainability claims (</w:t>
      </w:r>
      <w:r>
        <w:rPr>
          <w:lang w:val="en-US"/>
        </w:rPr>
        <w:t>in which</w:t>
      </w:r>
      <w:r w:rsidRPr="007F114C">
        <w:rPr>
          <w:lang w:val="en-US"/>
        </w:rPr>
        <w:t xml:space="preserve"> fund names are included). The assessment of all types of sustainability claims</w:t>
      </w:r>
      <w:r>
        <w:rPr>
          <w:lang w:val="en-US"/>
        </w:rPr>
        <w:t xml:space="preserve"> in marketing</w:t>
      </w:r>
      <w:r w:rsidRPr="007F114C">
        <w:rPr>
          <w:lang w:val="en-US"/>
        </w:rPr>
        <w:t xml:space="preserve"> is based on the </w:t>
      </w:r>
      <w:r>
        <w:rPr>
          <w:lang w:val="en-US"/>
        </w:rPr>
        <w:t>Directive 2005/29/EC on unfair commercial practices (</w:t>
      </w:r>
      <w:r w:rsidRPr="007F114C">
        <w:rPr>
          <w:lang w:val="en-US"/>
        </w:rPr>
        <w:t>UCPD</w:t>
      </w:r>
      <w:r>
        <w:rPr>
          <w:lang w:val="en-US"/>
        </w:rPr>
        <w:t>)</w:t>
      </w:r>
      <w:r w:rsidRPr="007F114C">
        <w:rPr>
          <w:lang w:val="en-US"/>
        </w:rPr>
        <w:t xml:space="preserve">. </w:t>
      </w:r>
      <w:r>
        <w:rPr>
          <w:lang w:val="en-US"/>
        </w:rPr>
        <w:t>The Agency is</w:t>
      </w:r>
      <w:r w:rsidRPr="007F114C">
        <w:rPr>
          <w:lang w:val="en-US"/>
        </w:rPr>
        <w:t xml:space="preserve"> generally set</w:t>
      </w:r>
      <w:r>
        <w:rPr>
          <w:lang w:val="en-US"/>
        </w:rPr>
        <w:t>ting</w:t>
      </w:r>
      <w:r w:rsidRPr="007F114C">
        <w:rPr>
          <w:lang w:val="en-US"/>
        </w:rPr>
        <w:t xml:space="preserve"> higher requirements </w:t>
      </w:r>
      <w:r>
        <w:rPr>
          <w:lang w:val="en-US"/>
        </w:rPr>
        <w:t xml:space="preserve">when enforcing current legislation on sustainability claims </w:t>
      </w:r>
      <w:r w:rsidRPr="007F114C">
        <w:rPr>
          <w:lang w:val="en-US"/>
        </w:rPr>
        <w:t>than the proposed threshold values</w:t>
      </w:r>
      <w:r>
        <w:rPr>
          <w:lang w:val="en-US"/>
        </w:rPr>
        <w:t>.</w:t>
      </w:r>
    </w:p>
    <w:p w14:paraId="3B9A5FE5" w14:textId="77777777" w:rsidR="00766E96" w:rsidRDefault="00766E96" w:rsidP="00B92885">
      <w:pPr>
        <w:rPr>
          <w:lang w:val="en-US"/>
        </w:rPr>
      </w:pPr>
    </w:p>
    <w:p w14:paraId="2C5D9C46" w14:textId="77777777" w:rsidR="00766E96" w:rsidRPr="007F114C" w:rsidRDefault="00766E96" w:rsidP="00766E96">
      <w:pPr>
        <w:rPr>
          <w:lang w:val="en-US"/>
        </w:rPr>
      </w:pPr>
      <w:r>
        <w:rPr>
          <w:lang w:val="en-US"/>
        </w:rPr>
        <w:t>However, f</w:t>
      </w:r>
      <w:r w:rsidRPr="007F114C">
        <w:rPr>
          <w:lang w:val="en-US"/>
        </w:rPr>
        <w:t xml:space="preserve">rom a comparability perspective at EU level, </w:t>
      </w:r>
      <w:r>
        <w:rPr>
          <w:lang w:val="en-US"/>
        </w:rPr>
        <w:t>thresholds could be of value. However, if such an initiative should be introduced, a pre-requisite is</w:t>
      </w:r>
      <w:r w:rsidRPr="007F114C">
        <w:rPr>
          <w:lang w:val="en-US"/>
        </w:rPr>
        <w:t xml:space="preserve"> to ensure that very high requirements are placed on the funds that want to use ESG or sustainability-related terms, so that consumers are not misled </w:t>
      </w:r>
      <w:r>
        <w:rPr>
          <w:lang w:val="en-US"/>
        </w:rPr>
        <w:t xml:space="preserve">regarding </w:t>
      </w:r>
      <w:r w:rsidRPr="007F114C">
        <w:rPr>
          <w:lang w:val="en-US"/>
        </w:rPr>
        <w:t>the sustainability work of the funds and to prevent greenwashing</w:t>
      </w:r>
      <w:r>
        <w:rPr>
          <w:lang w:val="en-US"/>
        </w:rPr>
        <w:t>.</w:t>
      </w:r>
    </w:p>
    <w:permEnd w:id="1596738700"/>
    <w:p w14:paraId="088B5A4D" w14:textId="34D68C12"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4F69D0A1" w14:textId="77777777" w:rsidR="00766E96" w:rsidRPr="00766E96" w:rsidRDefault="00766E96" w:rsidP="00766E96">
      <w:pPr>
        <w:pStyle w:val="Default"/>
        <w:spacing w:line="300" w:lineRule="auto"/>
        <w:rPr>
          <w:rFonts w:ascii="Arial" w:hAnsi="Arial" w:cs="Arial"/>
          <w:sz w:val="20"/>
          <w:szCs w:val="20"/>
          <w:lang w:val="en-US"/>
        </w:rPr>
      </w:pPr>
      <w:permStart w:id="1305634831" w:edGrp="everyone"/>
      <w:r w:rsidRPr="00766E96">
        <w:rPr>
          <w:rFonts w:ascii="Arial" w:hAnsi="Arial" w:cs="Arial"/>
          <w:sz w:val="20"/>
          <w:szCs w:val="20"/>
          <w:lang w:val="en-US"/>
        </w:rPr>
        <w:t xml:space="preserve">When assessing sustainability claims in marketing according to the UCPD, the starting point must be how an average consumer perceives a sustainability claim. In these cases, the Swedish Consumer Agency's general assessment of the average consumer's perception of the term "sustainable" is that 100% of the product in question must meet the requirements set for it to be considered sustainable. In the case of funds, the assessment is different, as the fund's total balance also consists of uninvested assets (liquid assets). </w:t>
      </w:r>
    </w:p>
    <w:p w14:paraId="2975A36E" w14:textId="77777777" w:rsidR="00766E96" w:rsidRPr="00766E96" w:rsidRDefault="00766E96" w:rsidP="00766E96">
      <w:pPr>
        <w:rPr>
          <w:rFonts w:cs="Arial"/>
          <w:szCs w:val="20"/>
          <w:lang w:val="en-US"/>
        </w:rPr>
      </w:pPr>
    </w:p>
    <w:p w14:paraId="210B7EDE" w14:textId="77777777" w:rsidR="00766E96" w:rsidRPr="00766E96" w:rsidRDefault="00766E96" w:rsidP="00766E96">
      <w:pPr>
        <w:rPr>
          <w:rFonts w:cs="Arial"/>
          <w:szCs w:val="20"/>
          <w:lang w:val="en-US"/>
        </w:rPr>
      </w:pPr>
      <w:r w:rsidRPr="00766E96">
        <w:rPr>
          <w:rFonts w:cs="Arial"/>
          <w:szCs w:val="20"/>
          <w:lang w:val="en-US"/>
        </w:rPr>
        <w:t>Since it can be assumed that the proportion of liquid assets can vary between different funds, a threshold does not necessarily give a clear and fair result. If 20% of a company's total assets consists of uninvested assets (cash or assets that do not constitute any form of financial instrument with underlying assets) and the remaining 80% is placed in investments that meet the requirements of being a "sustainable" investment, this company can still (as far as the Agency understands it) appear as a less "sustainable" option than a company that has 0% of its assets in cash, 90% in "sustainable" investments and 10% in "non-sustainable" investments. Taking this into account, the Swedish Consumer Agency questions the appropriateness of the proposed use of thresholds.</w:t>
      </w:r>
    </w:p>
    <w:p w14:paraId="510EBE33" w14:textId="77777777" w:rsidR="00766E96" w:rsidRPr="00766E96" w:rsidRDefault="00766E96" w:rsidP="00766E96">
      <w:pPr>
        <w:rPr>
          <w:rFonts w:cs="Arial"/>
          <w:szCs w:val="20"/>
          <w:lang w:val="en-US"/>
        </w:rPr>
      </w:pPr>
    </w:p>
    <w:p w14:paraId="7BED3590" w14:textId="6C6BBEA5" w:rsidR="00B92885" w:rsidRDefault="00766E96" w:rsidP="00766E96">
      <w:pPr>
        <w:pStyle w:val="Default"/>
        <w:spacing w:line="300" w:lineRule="auto"/>
      </w:pPr>
      <w:r w:rsidRPr="00766E96">
        <w:rPr>
          <w:rFonts w:ascii="Arial" w:hAnsi="Arial" w:cs="Arial"/>
          <w:sz w:val="20"/>
          <w:szCs w:val="20"/>
          <w:lang w:val="en-US"/>
        </w:rPr>
        <w:t xml:space="preserve">Should thresholds nevertheless be introduced, it is, according to the Agency, very important that the thresholds are set as high as possible. In that case, a threshold of 80% </w:t>
      </w:r>
      <w:bookmarkStart w:id="4" w:name="_Hlk127799903"/>
      <w:r w:rsidRPr="00766E96">
        <w:rPr>
          <w:rFonts w:ascii="Arial" w:hAnsi="Arial" w:cs="Arial"/>
          <w:sz w:val="20"/>
          <w:szCs w:val="20"/>
          <w:lang w:val="en-US"/>
        </w:rPr>
        <w:t>investments to meet the environmental or social characteristics or sustainable investment objectives in accordance with the binding elements of the investment strategy, as disclosed in Annexes II and III of SFDR Delegated Regulatio</w:t>
      </w:r>
      <w:bookmarkEnd w:id="4"/>
      <w:r w:rsidRPr="00766E96">
        <w:rPr>
          <w:rFonts w:ascii="Arial" w:hAnsi="Arial" w:cs="Arial"/>
          <w:sz w:val="20"/>
          <w:szCs w:val="20"/>
          <w:lang w:val="en-US"/>
        </w:rPr>
        <w:t>n should be an absolute minimum.</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3BBC8642" w14:textId="77777777" w:rsidR="00766E96" w:rsidRPr="00766E96" w:rsidRDefault="00766E96" w:rsidP="00766E96">
      <w:pPr>
        <w:pStyle w:val="Default"/>
        <w:spacing w:line="300" w:lineRule="auto"/>
        <w:rPr>
          <w:rFonts w:ascii="Arial" w:hAnsi="Arial" w:cs="Arial"/>
          <w:sz w:val="20"/>
          <w:szCs w:val="20"/>
          <w:lang w:val="en-US"/>
        </w:rPr>
      </w:pPr>
      <w:permStart w:id="347949177" w:edGrp="everyone"/>
      <w:r w:rsidRPr="00766E96">
        <w:rPr>
          <w:rFonts w:ascii="Arial" w:hAnsi="Arial" w:cs="Arial"/>
          <w:sz w:val="20"/>
          <w:szCs w:val="20"/>
          <w:lang w:val="en-US"/>
        </w:rPr>
        <w:lastRenderedPageBreak/>
        <w:t>The Swedish Consumer Agency finds it difficult to understand the purpose of a division into different thresholds between the different categories and advocates for an identical approach regarding the requirements for fund names, whether they contain ESG or sustainability-related terms. According to the Agency, it is also difficult to see how the various requirements will differ in practice.</w:t>
      </w:r>
    </w:p>
    <w:p w14:paraId="4A7774CF" w14:textId="77777777" w:rsidR="00766E96" w:rsidRPr="00766E96" w:rsidRDefault="00766E96" w:rsidP="00766E96">
      <w:pPr>
        <w:pStyle w:val="Default"/>
        <w:spacing w:line="300" w:lineRule="auto"/>
        <w:rPr>
          <w:rFonts w:ascii="Arial" w:hAnsi="Arial" w:cs="Arial"/>
          <w:sz w:val="20"/>
          <w:szCs w:val="20"/>
          <w:lang w:val="en-US"/>
        </w:rPr>
      </w:pPr>
      <w:r w:rsidRPr="00766E96">
        <w:rPr>
          <w:rFonts w:ascii="Arial" w:hAnsi="Arial" w:cs="Arial"/>
          <w:sz w:val="20"/>
          <w:szCs w:val="20"/>
          <w:lang w:val="en-US"/>
        </w:rPr>
        <w:t>Since the Agency advocates that the thresholds should be as high as possible, it should be considered most appropriate that all funds, regardless of which category they belong to, must meet both the requirements placed on funds with ESG terms in its name and those with sustainability-related terms.</w:t>
      </w:r>
    </w:p>
    <w:p w14:paraId="63C8F314" w14:textId="77777777" w:rsidR="00766E96" w:rsidRPr="00766E96" w:rsidRDefault="00766E96" w:rsidP="00766E96">
      <w:pPr>
        <w:pStyle w:val="Default"/>
        <w:spacing w:line="300" w:lineRule="auto"/>
        <w:rPr>
          <w:rFonts w:ascii="Arial" w:hAnsi="Arial" w:cs="Arial"/>
          <w:sz w:val="20"/>
          <w:szCs w:val="20"/>
          <w:lang w:val="en-US"/>
        </w:rPr>
      </w:pPr>
      <w:r w:rsidRPr="00766E96">
        <w:rPr>
          <w:rFonts w:ascii="Arial" w:hAnsi="Arial" w:cs="Arial"/>
          <w:sz w:val="20"/>
          <w:szCs w:val="20"/>
          <w:lang w:val="en-US"/>
        </w:rPr>
        <w:t>If a division into the various categories is made, the Agency agrees that the sustainability-related terms should be prioritized, as they are common in greenwashing.</w:t>
      </w:r>
    </w:p>
    <w:p w14:paraId="2F2223DA" w14:textId="77777777" w:rsidR="00766E96" w:rsidRPr="00766E96" w:rsidRDefault="00766E96" w:rsidP="00766E96">
      <w:pPr>
        <w:pStyle w:val="Default"/>
        <w:spacing w:line="300" w:lineRule="auto"/>
        <w:rPr>
          <w:rFonts w:ascii="Arial" w:hAnsi="Arial" w:cs="Arial"/>
          <w:sz w:val="20"/>
          <w:szCs w:val="20"/>
          <w:lang w:val="en-US"/>
        </w:rPr>
      </w:pPr>
    </w:p>
    <w:p w14:paraId="4BC63704" w14:textId="77777777" w:rsidR="00766E96" w:rsidRPr="00766E96" w:rsidRDefault="00766E96" w:rsidP="00766E96">
      <w:pPr>
        <w:pStyle w:val="Default"/>
        <w:spacing w:line="300" w:lineRule="auto"/>
        <w:rPr>
          <w:rFonts w:ascii="Arial" w:hAnsi="Arial" w:cs="Arial"/>
          <w:sz w:val="20"/>
          <w:szCs w:val="20"/>
          <w:lang w:val="en-US"/>
        </w:rPr>
      </w:pPr>
      <w:r w:rsidRPr="00766E96">
        <w:rPr>
          <w:rFonts w:ascii="Arial" w:hAnsi="Arial" w:cs="Arial"/>
          <w:sz w:val="20"/>
          <w:szCs w:val="20"/>
          <w:lang w:val="en-US"/>
        </w:rPr>
        <w:t>The Swedish Consumer Agency questions the division between environmental and sustainability-related terms. The Agency considers that these terms should fall under the same threshold, as they are very difficult to differentiate. Environment-related terms, such as "environmentally friendly", "climate-smart" or "green" can give an average consumer a similar impression as if a sustainability-related term were used.</w:t>
      </w:r>
    </w:p>
    <w:p w14:paraId="3F3E1763" w14:textId="63B2E688" w:rsidR="00B92885" w:rsidRPr="00766E96" w:rsidRDefault="00766E96" w:rsidP="00766E96">
      <w:pPr>
        <w:pStyle w:val="Default"/>
        <w:spacing w:line="300" w:lineRule="auto"/>
        <w:rPr>
          <w:rFonts w:ascii="Arial" w:hAnsi="Arial" w:cs="Arial"/>
          <w:sz w:val="20"/>
          <w:szCs w:val="20"/>
        </w:rPr>
      </w:pPr>
      <w:r w:rsidRPr="00766E96">
        <w:rPr>
          <w:rFonts w:ascii="Arial" w:hAnsi="Arial" w:cs="Arial"/>
          <w:sz w:val="20"/>
          <w:szCs w:val="20"/>
          <w:lang w:val="en-US"/>
        </w:rPr>
        <w:t>Finally, it should once again be pointed out that whatever possible thresholds are finally adopted, it is very important that these are set high.</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16A02701" w14:textId="77777777" w:rsidR="00766E96" w:rsidRPr="00766E96" w:rsidRDefault="00766E96" w:rsidP="00766E96">
      <w:pPr>
        <w:pStyle w:val="Default"/>
        <w:spacing w:line="300" w:lineRule="auto"/>
        <w:rPr>
          <w:rFonts w:ascii="Arial" w:hAnsi="Arial" w:cs="Arial"/>
          <w:sz w:val="20"/>
          <w:szCs w:val="20"/>
          <w:lang w:val="en-US"/>
        </w:rPr>
      </w:pPr>
      <w:permStart w:id="351877901" w:edGrp="everyone"/>
      <w:r w:rsidRPr="00766E96">
        <w:rPr>
          <w:rFonts w:ascii="Arial" w:hAnsi="Arial" w:cs="Arial"/>
          <w:sz w:val="20"/>
          <w:szCs w:val="20"/>
          <w:lang w:val="en-US"/>
        </w:rPr>
        <w:t>As previously mentioned, the Swedish Consumer Agency believes that there are already sufficient supervisory possibilities at hand with existing legislation, but if comparability is what is sought, some form of threshold may be a solution.</w:t>
      </w: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29ABEB43" w14:textId="7843D357" w:rsidR="00B92885" w:rsidRPr="00766E96" w:rsidRDefault="00766E96" w:rsidP="00766E96">
      <w:pPr>
        <w:pStyle w:val="Default"/>
        <w:spacing w:line="300" w:lineRule="auto"/>
        <w:rPr>
          <w:rFonts w:ascii="Arial" w:hAnsi="Arial" w:cs="Arial"/>
          <w:sz w:val="20"/>
          <w:szCs w:val="20"/>
          <w:lang w:val="en-US"/>
        </w:rPr>
      </w:pPr>
      <w:permStart w:id="1539323392" w:edGrp="everyone"/>
      <w:r w:rsidRPr="00766E96">
        <w:rPr>
          <w:rFonts w:ascii="Arial" w:hAnsi="Arial" w:cs="Arial"/>
          <w:sz w:val="20"/>
          <w:szCs w:val="20"/>
          <w:lang w:val="en-US"/>
        </w:rPr>
        <w:t>According to the Agency, there is already a functioning legislation that can be used to address these issues, the consumer protection legislation based on the UCPD. This is also a Union-wide legal act and therefore all Member States should have the opportunity to apply these rules on sustainability claims in fund names.</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7C9157FD" w14:textId="764454B9" w:rsidR="00B92885" w:rsidRPr="00766E96" w:rsidRDefault="00766E96" w:rsidP="00766E96">
      <w:pPr>
        <w:pStyle w:val="Default"/>
        <w:spacing w:line="300" w:lineRule="auto"/>
        <w:rPr>
          <w:rFonts w:ascii="Arial" w:hAnsi="Arial" w:cs="Arial"/>
          <w:sz w:val="20"/>
          <w:szCs w:val="20"/>
        </w:rPr>
      </w:pPr>
      <w:permStart w:id="175976681" w:edGrp="everyone"/>
      <w:r w:rsidRPr="00766E96">
        <w:rPr>
          <w:rFonts w:ascii="Arial" w:hAnsi="Arial" w:cs="Arial"/>
          <w:sz w:val="20"/>
          <w:szCs w:val="20"/>
          <w:lang w:val="en-US"/>
        </w:rPr>
        <w:t xml:space="preserve">It is of utmost importance that consumers are not misled about the sustainability work of funds, this to ensure that the products meet their expectations and to minimize the risks of greenwashing. It is difficult to </w:t>
      </w:r>
      <w:r w:rsidRPr="00766E96">
        <w:rPr>
          <w:rFonts w:ascii="Arial" w:hAnsi="Arial" w:cs="Arial"/>
          <w:sz w:val="20"/>
          <w:szCs w:val="20"/>
          <w:lang w:val="en-US"/>
        </w:rPr>
        <w:lastRenderedPageBreak/>
        <w:t>assess whether safeguards based on the exclusion criteria as stated above is the most appropriate way to go.</w:t>
      </w:r>
    </w:p>
    <w:permEnd w:id="175976681"/>
    <w:p w14:paraId="6EE97467" w14:textId="77777777"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33D374FB" w14:textId="3D605D96" w:rsidR="00B92885" w:rsidRPr="00766E96" w:rsidRDefault="00766E96" w:rsidP="00766E96">
      <w:pPr>
        <w:pStyle w:val="Default"/>
        <w:spacing w:line="300" w:lineRule="auto"/>
        <w:rPr>
          <w:rFonts w:ascii="Arial" w:hAnsi="Arial" w:cs="Arial"/>
          <w:sz w:val="20"/>
          <w:szCs w:val="20"/>
          <w:lang w:val="en-US"/>
        </w:rPr>
      </w:pPr>
      <w:permStart w:id="576722602" w:edGrp="everyone"/>
      <w:r w:rsidRPr="00766E96">
        <w:rPr>
          <w:rFonts w:ascii="Arial" w:hAnsi="Arial" w:cs="Arial"/>
          <w:sz w:val="20"/>
          <w:szCs w:val="20"/>
          <w:lang w:val="en-US"/>
        </w:rPr>
        <w:t>The Swedish Consumer Agency has no opinion on this matter.</w:t>
      </w: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1A1FEC35" w:rsidR="00B92885" w:rsidRDefault="00766E96" w:rsidP="00B92885">
      <w:permStart w:id="1071974531" w:edGrp="everyone"/>
      <w:r w:rsidRPr="00766E96">
        <w:rPr>
          <w:rFonts w:cs="Arial"/>
          <w:szCs w:val="20"/>
          <w:lang w:val="en-US"/>
        </w:rPr>
        <w:t>The Swedish Consumer Agency has no opinion on this matter</w:t>
      </w:r>
      <w:r>
        <w:t>.</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0DBBE47C" w:rsidR="00B92885" w:rsidRDefault="00766E96" w:rsidP="00B92885">
      <w:permStart w:id="1162834929" w:edGrp="everyone"/>
      <w:r w:rsidRPr="00766E96">
        <w:rPr>
          <w:rFonts w:cs="Arial"/>
          <w:szCs w:val="20"/>
          <w:lang w:val="en-US"/>
        </w:rPr>
        <w:t>The Swedish Consumer Agency has no opinion on this matter</w:t>
      </w:r>
      <w:r>
        <w:t>.</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2BABA8E0" w14:textId="0FD1C72E" w:rsidR="00B92885" w:rsidRPr="00562566" w:rsidRDefault="00562566" w:rsidP="00562566">
      <w:pPr>
        <w:pStyle w:val="Default"/>
        <w:spacing w:line="300" w:lineRule="auto"/>
        <w:rPr>
          <w:rFonts w:ascii="Arial" w:hAnsi="Arial" w:cs="Arial"/>
          <w:sz w:val="20"/>
          <w:szCs w:val="20"/>
          <w:lang w:val="en-US"/>
        </w:rPr>
      </w:pPr>
      <w:permStart w:id="650455330" w:edGrp="everyone"/>
      <w:r w:rsidRPr="00562566">
        <w:rPr>
          <w:rFonts w:ascii="Arial" w:hAnsi="Arial" w:cs="Arial"/>
          <w:sz w:val="20"/>
          <w:szCs w:val="20"/>
          <w:lang w:val="en-US"/>
        </w:rPr>
        <w:t>If thresholds would be introduced within the Union, the Swedish Consumer Agency consider it appropriate that index funds are also included in these to enable easier comparability between funds' sustainability work.</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08901A8C" w14:textId="16952250" w:rsidR="00B92885" w:rsidRPr="00562566" w:rsidRDefault="00562566" w:rsidP="00562566">
      <w:pPr>
        <w:pStyle w:val="Default"/>
        <w:spacing w:line="300" w:lineRule="auto"/>
        <w:rPr>
          <w:rFonts w:ascii="Arial" w:hAnsi="Arial" w:cs="Arial"/>
          <w:sz w:val="20"/>
          <w:szCs w:val="20"/>
          <w:lang w:val="en-US"/>
        </w:rPr>
      </w:pPr>
      <w:permStart w:id="1876589445" w:edGrp="everyone"/>
      <w:r w:rsidRPr="00562566">
        <w:rPr>
          <w:rFonts w:ascii="Arial" w:hAnsi="Arial" w:cs="Arial"/>
          <w:sz w:val="20"/>
          <w:szCs w:val="20"/>
          <w:lang w:val="en-US"/>
        </w:rPr>
        <w:t xml:space="preserve">The Swedish Consumer Agency has no opinion on this matter. </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09441A21" w14:textId="4EBCC21D" w:rsidR="00B92885" w:rsidRPr="00562566" w:rsidRDefault="00562566" w:rsidP="00562566">
      <w:pPr>
        <w:pStyle w:val="Default"/>
        <w:spacing w:line="300" w:lineRule="auto"/>
        <w:rPr>
          <w:rFonts w:ascii="Arial" w:hAnsi="Arial" w:cs="Arial"/>
          <w:sz w:val="20"/>
          <w:szCs w:val="20"/>
        </w:rPr>
      </w:pPr>
      <w:permStart w:id="1992309739" w:edGrp="everyone"/>
      <w:r w:rsidRPr="00562566">
        <w:rPr>
          <w:rFonts w:ascii="Arial" w:hAnsi="Arial" w:cs="Arial"/>
          <w:sz w:val="20"/>
          <w:szCs w:val="20"/>
          <w:lang w:val="en-US"/>
        </w:rPr>
        <w:t>As previously mentioned, the Agency considers that there are already sufficient tools at hand to assess the potential misleading of fund names, but if the thresholds were to be used, the same rules should apply also for funds with names containing "impact" or impact-related terms. Otherwise, the Swedish Consumer Agency fears that there is a risk that companies may use this alternative to avoid the high thresholds.</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61188F70" w14:textId="282ADEEB" w:rsidR="00B92885" w:rsidRPr="00562566" w:rsidRDefault="00562566" w:rsidP="00562566">
      <w:pPr>
        <w:pStyle w:val="Default"/>
        <w:spacing w:line="300" w:lineRule="auto"/>
        <w:rPr>
          <w:rFonts w:ascii="Arial" w:hAnsi="Arial" w:cs="Arial"/>
          <w:sz w:val="20"/>
          <w:szCs w:val="20"/>
          <w:lang w:val="en-US"/>
        </w:rPr>
      </w:pPr>
      <w:permStart w:id="1423966990" w:edGrp="everyone"/>
      <w:r w:rsidRPr="00562566">
        <w:rPr>
          <w:rFonts w:ascii="Arial" w:hAnsi="Arial" w:cs="Arial"/>
          <w:sz w:val="20"/>
          <w:szCs w:val="20"/>
          <w:lang w:val="en-US"/>
        </w:rPr>
        <w:t>As previously mentioned, the Agency considers that there are already sufficient tools at hand to assess the potential misleading of fund names, but if the thresholds were to be used, the same rules should apply also for funds with names containing "</w:t>
      </w:r>
      <w:proofErr w:type="spellStart"/>
      <w:r w:rsidRPr="00562566">
        <w:rPr>
          <w:rFonts w:ascii="Arial" w:hAnsi="Arial" w:cs="Arial"/>
          <w:sz w:val="20"/>
          <w:szCs w:val="20"/>
          <w:lang w:val="en-US"/>
        </w:rPr>
        <w:t>transistion</w:t>
      </w:r>
      <w:proofErr w:type="spellEnd"/>
      <w:r w:rsidRPr="00562566">
        <w:rPr>
          <w:rFonts w:ascii="Arial" w:hAnsi="Arial" w:cs="Arial"/>
          <w:sz w:val="20"/>
          <w:szCs w:val="20"/>
          <w:lang w:val="en-US"/>
        </w:rPr>
        <w:t>" or transition-related terms. Otherwise, the Swedish Consumer Agency fears that there is a risk that companies may use this alternative to avoid the high thresholds.</w:t>
      </w: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54FC5FAA" w14:textId="342F589E" w:rsidR="00B92885" w:rsidRPr="00562566" w:rsidRDefault="00562566" w:rsidP="00562566">
      <w:pPr>
        <w:pStyle w:val="Default"/>
        <w:spacing w:line="300" w:lineRule="auto"/>
        <w:rPr>
          <w:rFonts w:ascii="Arial" w:hAnsi="Arial" w:cs="Arial"/>
          <w:color w:val="auto"/>
          <w:sz w:val="20"/>
          <w:szCs w:val="20"/>
          <w:lang w:val="en-US"/>
        </w:rPr>
      </w:pPr>
      <w:permStart w:id="1434478937" w:edGrp="everyone"/>
      <w:r w:rsidRPr="00562566">
        <w:rPr>
          <w:rFonts w:ascii="Arial" w:hAnsi="Arial" w:cs="Arial"/>
          <w:color w:val="auto"/>
          <w:sz w:val="20"/>
          <w:szCs w:val="20"/>
          <w:lang w:val="en-US"/>
        </w:rPr>
        <w:t xml:space="preserve">It is difficult to assess how suitable the proposed rules are for other types of financial instruments. It could be positive from a comparability perspective, but the Swedish Consumer Agency cannot, </w:t>
      </w:r>
      <w:proofErr w:type="gramStart"/>
      <w:r w:rsidRPr="00562566">
        <w:rPr>
          <w:rFonts w:ascii="Arial" w:hAnsi="Arial" w:cs="Arial"/>
          <w:color w:val="auto"/>
          <w:sz w:val="20"/>
          <w:szCs w:val="20"/>
          <w:lang w:val="en-US"/>
        </w:rPr>
        <w:t>on the basis of</w:t>
      </w:r>
      <w:proofErr w:type="gramEnd"/>
      <w:r w:rsidRPr="00562566">
        <w:rPr>
          <w:rFonts w:ascii="Arial" w:hAnsi="Arial" w:cs="Arial"/>
          <w:color w:val="auto"/>
          <w:sz w:val="20"/>
          <w:szCs w:val="20"/>
          <w:lang w:val="en-US"/>
        </w:rPr>
        <w:t xml:space="preserve"> the current information, assess whether the rules are otherwise suitable for this.</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68ED52F5" w14:textId="7BA52C94" w:rsidR="00B92885" w:rsidRPr="00562566" w:rsidRDefault="00562566" w:rsidP="00562566">
      <w:pPr>
        <w:pStyle w:val="Default"/>
        <w:spacing w:line="300" w:lineRule="auto"/>
        <w:rPr>
          <w:rFonts w:ascii="Arial" w:hAnsi="Arial" w:cs="Arial"/>
          <w:sz w:val="20"/>
          <w:szCs w:val="20"/>
          <w:lang w:val="en-US"/>
        </w:rPr>
      </w:pPr>
      <w:permStart w:id="489244833" w:edGrp="everyone"/>
      <w:r w:rsidRPr="00562566">
        <w:rPr>
          <w:rFonts w:ascii="Arial" w:hAnsi="Arial" w:cs="Arial"/>
          <w:sz w:val="20"/>
          <w:szCs w:val="20"/>
          <w:lang w:val="en-US"/>
        </w:rPr>
        <w:t>The Swedish Consumer Agency has no opinion on this matter.</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3752B71" w14:textId="5B4F5BFE" w:rsidR="00B92885" w:rsidRPr="00562566" w:rsidRDefault="00562566" w:rsidP="00562566">
      <w:pPr>
        <w:pStyle w:val="Default"/>
        <w:spacing w:line="300" w:lineRule="auto"/>
        <w:rPr>
          <w:rFonts w:ascii="Arial" w:hAnsi="Arial" w:cs="Arial"/>
          <w:sz w:val="20"/>
          <w:szCs w:val="20"/>
          <w:lang w:val="en-US"/>
        </w:rPr>
      </w:pPr>
      <w:permStart w:id="1766353355" w:edGrp="everyone"/>
      <w:r w:rsidRPr="00562566">
        <w:rPr>
          <w:rFonts w:ascii="Arial" w:hAnsi="Arial" w:cs="Arial"/>
          <w:sz w:val="20"/>
          <w:szCs w:val="20"/>
          <w:lang w:val="en-US"/>
        </w:rPr>
        <w:t>The Swedish Consumer Agency has no opinion on this matter.</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6F6494D0" w14:textId="0F65935C" w:rsidR="00B92885" w:rsidRPr="00562566" w:rsidRDefault="00562566" w:rsidP="00562566">
      <w:pPr>
        <w:pStyle w:val="Default"/>
        <w:spacing w:line="300" w:lineRule="auto"/>
        <w:rPr>
          <w:rFonts w:ascii="Arial" w:hAnsi="Arial" w:cs="Arial"/>
          <w:color w:val="auto"/>
          <w:sz w:val="20"/>
          <w:szCs w:val="20"/>
          <w:lang w:val="en-US"/>
        </w:rPr>
      </w:pPr>
      <w:permStart w:id="929254269" w:edGrp="everyone"/>
      <w:r w:rsidRPr="00562566">
        <w:rPr>
          <w:rFonts w:ascii="Arial" w:hAnsi="Arial" w:cs="Arial"/>
          <w:color w:val="auto"/>
          <w:sz w:val="20"/>
          <w:szCs w:val="20"/>
          <w:lang w:val="en-US"/>
        </w:rPr>
        <w:t xml:space="preserve">It is difficult to determine, </w:t>
      </w:r>
      <w:proofErr w:type="gramStart"/>
      <w:r w:rsidRPr="00562566">
        <w:rPr>
          <w:rFonts w:ascii="Arial" w:hAnsi="Arial" w:cs="Arial"/>
          <w:color w:val="auto"/>
          <w:sz w:val="20"/>
          <w:szCs w:val="20"/>
          <w:lang w:val="en-US"/>
        </w:rPr>
        <w:t>at this point in time</w:t>
      </w:r>
      <w:proofErr w:type="gramEnd"/>
      <w:r w:rsidRPr="00562566">
        <w:rPr>
          <w:rFonts w:ascii="Arial" w:hAnsi="Arial" w:cs="Arial"/>
          <w:color w:val="auto"/>
          <w:sz w:val="20"/>
          <w:szCs w:val="20"/>
          <w:lang w:val="en-US"/>
        </w:rPr>
        <w:t>, but as previously mentioned, the Swedish Consumer Agency does not consider that there is any need for these thresholds.</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lastRenderedPageBreak/>
        <w:t>&lt;ESMA_QUESTION_FUNA_16&gt;</w:t>
      </w:r>
    </w:p>
    <w:p w14:paraId="0866A6F6" w14:textId="5990E450" w:rsidR="00B92885" w:rsidRPr="00562566" w:rsidRDefault="00562566" w:rsidP="00562566">
      <w:pPr>
        <w:pStyle w:val="Default"/>
        <w:spacing w:line="300" w:lineRule="auto"/>
        <w:rPr>
          <w:rFonts w:ascii="Arial" w:hAnsi="Arial" w:cs="Arial"/>
          <w:color w:val="auto"/>
          <w:sz w:val="20"/>
          <w:szCs w:val="20"/>
          <w:lang w:val="en-US"/>
        </w:rPr>
      </w:pPr>
      <w:permStart w:id="878708964" w:edGrp="everyone"/>
      <w:r w:rsidRPr="00562566">
        <w:rPr>
          <w:rFonts w:ascii="Arial" w:hAnsi="Arial" w:cs="Arial"/>
          <w:color w:val="auto"/>
          <w:sz w:val="20"/>
          <w:szCs w:val="20"/>
          <w:lang w:val="en-US"/>
        </w:rPr>
        <w:t>The Swedish Consumer Agency has no comments on this matter.</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599F4" w14:textId="77777777" w:rsidR="00261FBB" w:rsidRDefault="00261FBB">
      <w:r>
        <w:separator/>
      </w:r>
    </w:p>
    <w:p w14:paraId="29AFD3CC" w14:textId="77777777" w:rsidR="00261FBB" w:rsidRDefault="00261FBB"/>
  </w:endnote>
  <w:endnote w:type="continuationSeparator" w:id="0">
    <w:p w14:paraId="620BCD31" w14:textId="77777777" w:rsidR="00261FBB" w:rsidRDefault="00261FBB">
      <w:r>
        <w:continuationSeparator/>
      </w:r>
    </w:p>
    <w:p w14:paraId="79CBAAC9" w14:textId="77777777" w:rsidR="00261FBB" w:rsidRDefault="00261FBB"/>
  </w:endnote>
  <w:endnote w:type="continuationNotice" w:id="1">
    <w:p w14:paraId="34A16F6C" w14:textId="77777777" w:rsidR="00261FBB" w:rsidRDefault="00261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Sidfot"/>
      <w:tabs>
        <w:tab w:val="clear" w:pos="4536"/>
        <w:tab w:val="clear" w:pos="9072"/>
        <w:tab w:val="left" w:pos="8227"/>
        <w:tab w:val="right" w:pos="9412"/>
      </w:tabs>
    </w:pPr>
    <w:r>
      <w:tab/>
    </w:r>
    <w:r w:rsidR="00B92885">
      <w:tab/>
    </w:r>
  </w:p>
  <w:p w14:paraId="3A793707" w14:textId="084F8123" w:rsidR="00B92885" w:rsidRDefault="00B92885" w:rsidP="00B92885">
    <w:pPr>
      <w:pStyle w:val="Sidfot"/>
      <w:tabs>
        <w:tab w:val="clear" w:pos="4536"/>
        <w:tab w:val="clear" w:pos="9072"/>
        <w:tab w:val="left" w:pos="8227"/>
        <w:tab w:val="right" w:pos="9412"/>
      </w:tabs>
    </w:pPr>
    <w:r>
      <w:tab/>
    </w:r>
    <w:r>
      <w:tab/>
    </w:r>
    <w:r>
      <w:tab/>
    </w:r>
  </w:p>
  <w:p w14:paraId="6D19C66C" w14:textId="10DE0B9B" w:rsidR="00B92885" w:rsidRDefault="00B92885" w:rsidP="00B92885">
    <w:pPr>
      <w:pStyle w:val="Sidfot"/>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DF193" w14:textId="77777777" w:rsidR="00261FBB" w:rsidRDefault="00261FBB">
      <w:r>
        <w:separator/>
      </w:r>
    </w:p>
    <w:p w14:paraId="3A493ED0" w14:textId="77777777" w:rsidR="00261FBB" w:rsidRDefault="00261FBB"/>
  </w:footnote>
  <w:footnote w:type="continuationSeparator" w:id="0">
    <w:p w14:paraId="1A060CC4" w14:textId="77777777" w:rsidR="00261FBB" w:rsidRDefault="00261FBB">
      <w:r>
        <w:continuationSeparator/>
      </w:r>
    </w:p>
    <w:p w14:paraId="75248275" w14:textId="77777777" w:rsidR="00261FBB" w:rsidRDefault="00261FBB"/>
  </w:footnote>
  <w:footnote w:type="continuationNotice" w:id="1">
    <w:p w14:paraId="67951CC6" w14:textId="77777777" w:rsidR="00261FBB" w:rsidRDefault="00261F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Sidhuvud"/>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Sidhuvud"/>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Sidhuvud"/>
      <w:rPr>
        <w:lang w:val="fr-FR"/>
      </w:rPr>
    </w:pPr>
  </w:p>
  <w:p w14:paraId="3F30C70B" w14:textId="77777777" w:rsidR="00267551" w:rsidRPr="002F4496" w:rsidRDefault="00267551" w:rsidP="000C06C9">
    <w:pPr>
      <w:pStyle w:val="Sidhuvud"/>
      <w:tabs>
        <w:tab w:val="clear" w:pos="4536"/>
        <w:tab w:val="clear" w:pos="9072"/>
        <w:tab w:val="left" w:pos="8227"/>
      </w:tabs>
      <w:rPr>
        <w:lang w:val="fr-FR"/>
      </w:rPr>
    </w:pPr>
  </w:p>
  <w:p w14:paraId="4D50BC39" w14:textId="77777777" w:rsidR="00267551" w:rsidRPr="002F4496" w:rsidRDefault="00267551" w:rsidP="00583885">
    <w:pPr>
      <w:pStyle w:val="Sidhuvud"/>
      <w:jc w:val="right"/>
      <w:rPr>
        <w:lang w:val="fr-FR"/>
      </w:rPr>
    </w:pPr>
  </w:p>
  <w:p w14:paraId="2D51BEA2" w14:textId="77777777" w:rsidR="00267551" w:rsidRPr="002F4496" w:rsidRDefault="00267551">
    <w:pPr>
      <w:pStyle w:val="Sidhuvud"/>
      <w:rPr>
        <w:lang w:val="fr-FR"/>
      </w:rPr>
    </w:pPr>
  </w:p>
  <w:p w14:paraId="340B2438" w14:textId="77777777" w:rsidR="00267551" w:rsidRPr="002F4496" w:rsidRDefault="00267551">
    <w:pPr>
      <w:pStyle w:val="Sidhuvud"/>
      <w:rPr>
        <w:lang w:val="fr-FR"/>
      </w:rPr>
    </w:pPr>
  </w:p>
  <w:p w14:paraId="2A794A3E" w14:textId="77777777" w:rsidR="00267551" w:rsidRPr="002F4496" w:rsidRDefault="00267551">
    <w:pPr>
      <w:pStyle w:val="Sidhuvud"/>
      <w:rPr>
        <w:lang w:val="fr-FR"/>
      </w:rPr>
    </w:pPr>
  </w:p>
  <w:p w14:paraId="0A21F475" w14:textId="77777777" w:rsidR="00267551" w:rsidRPr="002F4496" w:rsidRDefault="00267551">
    <w:pPr>
      <w:pStyle w:val="Sidhuvud"/>
      <w:rPr>
        <w:highlight w:val="yellow"/>
        <w:lang w:val="fr-FR"/>
      </w:rPr>
    </w:pPr>
  </w:p>
  <w:p w14:paraId="53ABEE5D" w14:textId="77777777" w:rsidR="00267551" w:rsidRDefault="00267551">
    <w:pPr>
      <w:pStyle w:val="Sidhuvud"/>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677199230">
    <w:abstractNumId w:val="16"/>
  </w:num>
  <w:num w:numId="2" w16cid:durableId="1893880772">
    <w:abstractNumId w:val="18"/>
  </w:num>
  <w:num w:numId="3" w16cid:durableId="842552827">
    <w:abstractNumId w:val="11"/>
  </w:num>
  <w:num w:numId="4" w16cid:durableId="985016821">
    <w:abstractNumId w:val="23"/>
  </w:num>
  <w:num w:numId="5" w16cid:durableId="1703944691">
    <w:abstractNumId w:val="25"/>
  </w:num>
  <w:num w:numId="6" w16cid:durableId="675040182">
    <w:abstractNumId w:val="0"/>
  </w:num>
  <w:num w:numId="7" w16cid:durableId="468281928">
    <w:abstractNumId w:val="3"/>
  </w:num>
  <w:num w:numId="8" w16cid:durableId="450127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4432028">
    <w:abstractNumId w:val="31"/>
  </w:num>
  <w:num w:numId="10" w16cid:durableId="17761681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4803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025127">
    <w:abstractNumId w:val="27"/>
  </w:num>
  <w:num w:numId="13" w16cid:durableId="2091467042">
    <w:abstractNumId w:val="30"/>
  </w:num>
  <w:num w:numId="14" w16cid:durableId="500968134">
    <w:abstractNumId w:val="22"/>
  </w:num>
  <w:num w:numId="15" w16cid:durableId="1769161067">
    <w:abstractNumId w:val="10"/>
  </w:num>
  <w:num w:numId="16" w16cid:durableId="1479608479">
    <w:abstractNumId w:val="1"/>
  </w:num>
  <w:num w:numId="17" w16cid:durableId="732894972">
    <w:abstractNumId w:val="14"/>
  </w:num>
  <w:num w:numId="18" w16cid:durableId="1901281647">
    <w:abstractNumId w:val="15"/>
  </w:num>
  <w:num w:numId="19" w16cid:durableId="296841519">
    <w:abstractNumId w:val="17"/>
  </w:num>
  <w:num w:numId="20" w16cid:durableId="1134760885">
    <w:abstractNumId w:val="26"/>
  </w:num>
  <w:num w:numId="21" w16cid:durableId="2081319556">
    <w:abstractNumId w:val="36"/>
  </w:num>
  <w:num w:numId="22" w16cid:durableId="1172329471">
    <w:abstractNumId w:val="24"/>
  </w:num>
  <w:num w:numId="23" w16cid:durableId="739911387">
    <w:abstractNumId w:val="9"/>
  </w:num>
  <w:num w:numId="24" w16cid:durableId="1244099552">
    <w:abstractNumId w:val="29"/>
  </w:num>
  <w:num w:numId="25" w16cid:durableId="505050881">
    <w:abstractNumId w:val="28"/>
  </w:num>
  <w:num w:numId="26" w16cid:durableId="1060591653">
    <w:abstractNumId w:val="19"/>
  </w:num>
  <w:num w:numId="27" w16cid:durableId="1781026380">
    <w:abstractNumId w:val="32"/>
  </w:num>
  <w:num w:numId="28" w16cid:durableId="611013298">
    <w:abstractNumId w:val="38"/>
  </w:num>
  <w:num w:numId="29" w16cid:durableId="748118423">
    <w:abstractNumId w:val="7"/>
  </w:num>
  <w:num w:numId="30" w16cid:durableId="2099673654">
    <w:abstractNumId w:val="2"/>
  </w:num>
  <w:num w:numId="31" w16cid:durableId="2112508322">
    <w:abstractNumId w:val="21"/>
  </w:num>
  <w:num w:numId="32" w16cid:durableId="746421848">
    <w:abstractNumId w:val="20"/>
  </w:num>
  <w:num w:numId="33" w16cid:durableId="1521893090">
    <w:abstractNumId w:val="34"/>
  </w:num>
  <w:num w:numId="34" w16cid:durableId="157233872">
    <w:abstractNumId w:val="33"/>
  </w:num>
  <w:num w:numId="35" w16cid:durableId="1303270730">
    <w:abstractNumId w:val="4"/>
  </w:num>
  <w:num w:numId="36" w16cid:durableId="819275587">
    <w:abstractNumId w:val="35"/>
  </w:num>
  <w:num w:numId="37" w16cid:durableId="615869191">
    <w:abstractNumId w:val="20"/>
    <w:lvlOverride w:ilvl="0">
      <w:startOverride w:val="1"/>
    </w:lvlOverride>
  </w:num>
  <w:num w:numId="38" w16cid:durableId="1618439936">
    <w:abstractNumId w:val="20"/>
  </w:num>
  <w:num w:numId="39" w16cid:durableId="1561360143">
    <w:abstractNumId w:val="12"/>
  </w:num>
  <w:num w:numId="40" w16cid:durableId="1838760727">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BB"/>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2566"/>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E96"/>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D6FCE"/>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7D"/>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Rubrik1">
    <w:name w:val="heading 1"/>
    <w:basedOn w:val="Normal"/>
    <w:next w:val="Normal"/>
    <w:link w:val="Rubrik1Char"/>
    <w:qFormat/>
    <w:locked/>
    <w:rsid w:val="009E7724"/>
    <w:pPr>
      <w:keepNext/>
      <w:numPr>
        <w:numId w:val="5"/>
      </w:numPr>
      <w:spacing w:before="240" w:after="60"/>
      <w:outlineLvl w:val="0"/>
    </w:pPr>
    <w:rPr>
      <w:rFonts w:cs="Arial"/>
      <w:b/>
      <w:bCs/>
      <w:kern w:val="32"/>
      <w:sz w:val="24"/>
      <w:szCs w:val="32"/>
    </w:rPr>
  </w:style>
  <w:style w:type="paragraph" w:styleId="Rubrik2">
    <w:name w:val="heading 2"/>
    <w:basedOn w:val="Normal"/>
    <w:next w:val="Normal"/>
    <w:link w:val="Rubrik2Char"/>
    <w:qFormat/>
    <w:locked/>
    <w:rsid w:val="00886A60"/>
    <w:pPr>
      <w:keepNext/>
      <w:keepLines/>
      <w:spacing w:before="200" w:after="120"/>
      <w:outlineLvl w:val="1"/>
    </w:pPr>
    <w:rPr>
      <w:b/>
      <w:bCs/>
      <w:szCs w:val="26"/>
    </w:rPr>
  </w:style>
  <w:style w:type="paragraph" w:styleId="Rubrik3">
    <w:name w:val="heading 3"/>
    <w:basedOn w:val="Normal"/>
    <w:next w:val="Normal"/>
    <w:link w:val="Rubrik3Char"/>
    <w:qFormat/>
    <w:locked/>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uiPriority w:val="9"/>
    <w:qFormat/>
    <w:locked/>
    <w:rsid w:val="00E9344E"/>
    <w:pPr>
      <w:keepNext/>
      <w:keepLines/>
      <w:numPr>
        <w:numId w:val="13"/>
      </w:numPr>
      <w:spacing w:before="200"/>
      <w:jc w:val="both"/>
      <w:outlineLvl w:val="4"/>
    </w:pPr>
    <w:rPr>
      <w:b/>
    </w:rPr>
  </w:style>
  <w:style w:type="paragraph" w:styleId="Rubrik6">
    <w:name w:val="heading 6"/>
    <w:basedOn w:val="Normal"/>
    <w:next w:val="Normal"/>
    <w:link w:val="Rubrik6Char"/>
    <w:qFormat/>
    <w:locked/>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locked/>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locked/>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locked/>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locked/>
    <w:rsid w:val="005B64CB"/>
    <w:pPr>
      <w:tabs>
        <w:tab w:val="center" w:pos="4536"/>
        <w:tab w:val="right" w:pos="9072"/>
      </w:tabs>
    </w:pPr>
  </w:style>
  <w:style w:type="paragraph" w:styleId="Sidfot">
    <w:name w:val="footer"/>
    <w:basedOn w:val="Normal"/>
    <w:link w:val="SidfotChar"/>
    <w:uiPriority w:val="99"/>
    <w:locked/>
    <w:rsid w:val="005B64CB"/>
    <w:pPr>
      <w:tabs>
        <w:tab w:val="center" w:pos="4536"/>
        <w:tab w:val="right" w:pos="9072"/>
      </w:tabs>
    </w:pPr>
  </w:style>
  <w:style w:type="table" w:styleId="Tabellrutnt">
    <w:name w:val="Table Grid"/>
    <w:basedOn w:val="Normaltabel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idnummer">
    <w:name w:val="page number"/>
    <w:basedOn w:val="Standardstycketeckensnit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tnotstextChar"/>
    <w:qFormat/>
    <w:locked/>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Innehll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sreferens">
    <w:name w:val="annotation reference"/>
    <w:locked/>
    <w:rsid w:val="004B1E61"/>
    <w:rPr>
      <w:sz w:val="16"/>
      <w:szCs w:val="16"/>
    </w:rPr>
  </w:style>
  <w:style w:type="paragraph" w:styleId="Kommentarer">
    <w:name w:val="annotation text"/>
    <w:basedOn w:val="Normal"/>
    <w:link w:val="KommentarerChar"/>
    <w:locked/>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locked/>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locked/>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Paragraphe de liste"/>
    <w:basedOn w:val="Normal"/>
    <w:link w:val="ListstyckeChar"/>
    <w:uiPriority w:val="34"/>
    <w:qFormat/>
    <w:locked/>
    <w:rsid w:val="002A0C82"/>
    <w:pPr>
      <w:ind w:left="720"/>
      <w:contextualSpacing/>
    </w:pPr>
  </w:style>
  <w:style w:type="paragraph" w:styleId="Innehllsfrteckningsrubrik">
    <w:name w:val="TOC Heading"/>
    <w:basedOn w:val="Rubrik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Betoning">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krivning">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versikt">
    <w:name w:val="Document Map"/>
    <w:basedOn w:val="Normal"/>
    <w:link w:val="DokumentversiktChar"/>
    <w:locked/>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lock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lock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ark">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locked/>
    <w:rsid w:val="002D6E1A"/>
  </w:style>
  <w:style w:type="character" w:styleId="AnvndHyperlnk">
    <w:name w:val="FollowedHyperlink"/>
    <w:unhideWhenUsed/>
    <w:locked/>
    <w:rsid w:val="002D6E1A"/>
    <w:rPr>
      <w:color w:val="800080"/>
      <w:u w:val="single"/>
    </w:rPr>
  </w:style>
  <w:style w:type="character" w:customStyle="1" w:styleId="SidhuvudChar">
    <w:name w:val="Sidhuvud Char"/>
    <w:link w:val="Sidhuvud"/>
    <w:rsid w:val="002D6E1A"/>
    <w:rPr>
      <w:rFonts w:ascii="Georgia" w:hAnsi="Georgia"/>
      <w:sz w:val="22"/>
      <w:szCs w:val="24"/>
      <w:lang w:eastAsia="de-DE"/>
    </w:rPr>
  </w:style>
  <w:style w:type="character" w:customStyle="1" w:styleId="SidfotChar">
    <w:name w:val="Sidfot Char"/>
    <w:link w:val="Sidfot"/>
    <w:uiPriority w:val="99"/>
    <w:rsid w:val="002D6E1A"/>
    <w:rPr>
      <w:rFonts w:ascii="Georgia" w:hAnsi="Georgia"/>
      <w:sz w:val="22"/>
      <w:szCs w:val="24"/>
      <w:lang w:eastAsia="de-DE"/>
    </w:rPr>
  </w:style>
  <w:style w:type="paragraph" w:styleId="Slutnotstext">
    <w:name w:val="endnote text"/>
    <w:basedOn w:val="Normal"/>
    <w:link w:val="SlutnotstextChar"/>
    <w:unhideWhenUsed/>
    <w:locked/>
    <w:rsid w:val="002D6E1A"/>
    <w:rPr>
      <w:szCs w:val="20"/>
    </w:rPr>
  </w:style>
  <w:style w:type="character" w:customStyle="1" w:styleId="SlutnotstextChar">
    <w:name w:val="Slutnotstext Char"/>
    <w:link w:val="Slutnotstext"/>
    <w:rsid w:val="002D6E1A"/>
    <w:rPr>
      <w:rFonts w:ascii="Georgia" w:hAnsi="Georgia"/>
      <w:lang w:eastAsia="de-DE"/>
    </w:rPr>
  </w:style>
  <w:style w:type="paragraph" w:styleId="Numreradlista">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Paragraphe de liste Char"/>
    <w:link w:val="Liststyck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Slutnotsreferens">
    <w:name w:val="endnote reference"/>
    <w:unhideWhenUsed/>
    <w:locked/>
    <w:rsid w:val="002D6E1A"/>
    <w:rPr>
      <w:vertAlign w:val="superscript"/>
    </w:rPr>
  </w:style>
  <w:style w:type="character" w:styleId="Platshlla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tabel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Rubrik5Char">
    <w:name w:val="Rubrik 5 Char"/>
    <w:aliases w:val="Questions Char7"/>
    <w:link w:val="Rubrik5"/>
    <w:uiPriority w:val="9"/>
    <w:rsid w:val="00E9344E"/>
    <w:rPr>
      <w:rFonts w:ascii="Arial" w:hAnsi="Arial"/>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Rubrik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Rubrik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Numreradlista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Rubrik">
    <w:name w:val="Title"/>
    <w:basedOn w:val="Normal"/>
    <w:next w:val="Normal"/>
    <w:link w:val="Rubrik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locked/>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Standardstycketeckensnit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2.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35c8e399-07b8-49e4-91bf-01a20105d4df"/>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6.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2106</Words>
  <Characters>12111</Characters>
  <Application>Microsoft Office Word</Application>
  <DocSecurity>12</DocSecurity>
  <Lines>100</Lines>
  <Paragraphs>28</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 CP on Guidelines on funds’ names using ESG or sustainability-related terms</vt:lpstr>
      <vt:lpstr>Reply form for the MiFID II/MiFIR Consultation Paper</vt:lpstr>
      <vt:lpstr>20110000</vt:lpstr>
      <vt:lpstr>20110000</vt:lpstr>
      <vt:lpstr>20110000</vt:lpstr>
      <vt:lpstr>20110000</vt:lpstr>
    </vt:vector>
  </TitlesOfParts>
  <Company>ESMA</Company>
  <LinksUpToDate>false</LinksUpToDate>
  <CharactersWithSpaces>14189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Anna Gunnarsson</cp:lastModifiedBy>
  <cp:revision>2</cp:revision>
  <cp:lastPrinted>2015-02-18T11:01:00Z</cp:lastPrinted>
  <dcterms:created xsi:type="dcterms:W3CDTF">2023-02-20T15:20:00Z</dcterms:created>
  <dcterms:modified xsi:type="dcterms:W3CDTF">2023-02-20T15:20:00Z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