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Piedepgina"/>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ipervnculo"/>
        </w:rPr>
        <w:t>www.esma.europa.eu</w:t>
      </w:r>
      <w:r w:rsidR="0066246A">
        <w:rPr>
          <w:rStyle w:val="Hipervnculo"/>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ipervnculo"/>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Ttulo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Textodelmarcadordeposicin"/>
              <w:rFonts w:cs="Arial"/>
            </w:rPr>
            <w:id w:val="651570699"/>
            <w:showingPlcHdr/>
            <w:text/>
          </w:sdtPr>
          <w:sdtEndPr>
            <w:rPr>
              <w:rStyle w:val="Textodelmarcadordeposicin"/>
            </w:rPr>
          </w:sdtEndPr>
          <w:sdtContent>
            <w:tc>
              <w:tcPr>
                <w:tcW w:w="5595" w:type="dxa"/>
                <w:shd w:val="clear" w:color="auto" w:fill="auto"/>
              </w:tcPr>
              <w:p w14:paraId="7A68491E" w14:textId="0B94A4FB" w:rsidR="00C2682A" w:rsidRPr="00AB6D88" w:rsidRDefault="00B92885" w:rsidP="00FA5524">
                <w:pPr>
                  <w:rPr>
                    <w:rStyle w:val="Textodelmarcadordeposicin"/>
                    <w:rFonts w:cs="Arial"/>
                  </w:rPr>
                </w:pPr>
                <w:r>
                  <w:rPr>
                    <w:rStyle w:val="Textodelmarcadordeposicin"/>
                    <w:rFonts w:cs="Arial"/>
                  </w:rPr>
                  <w:t xml:space="preserve">     </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42B56FA4" w:rsidR="00C2682A" w:rsidRPr="00AB6D88" w:rsidRDefault="00925149"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4017D">
                  <w:rPr>
                    <w:rFonts w:cs="Arial"/>
                  </w:rPr>
                  <w:t>Banking sector</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41F79C44" w:rsidR="00C2682A" w:rsidRPr="00AB6D88" w:rsidRDefault="00D4017D"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53E66A9C" w:rsidR="00C2682A" w:rsidRPr="00AB6D88" w:rsidRDefault="0060161A" w:rsidP="00FA5524">
                <w:pPr>
                  <w:rPr>
                    <w:rFonts w:cs="Arial"/>
                  </w:rPr>
                </w:pPr>
                <w:r>
                  <w:rPr>
                    <w:rFonts w:cs="Arial"/>
                  </w:rPr>
                  <w:t xml:space="preserve">     </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Ttulo1"/>
        <w:numPr>
          <w:ilvl w:val="0"/>
          <w:numId w:val="0"/>
        </w:numPr>
        <w:ind w:left="431" w:hanging="431"/>
      </w:pPr>
      <w:r>
        <w:t>Introduction</w:t>
      </w:r>
    </w:p>
    <w:p w14:paraId="0A354328" w14:textId="77777777" w:rsidR="00F87897" w:rsidRPr="001D47A5" w:rsidRDefault="00F87897" w:rsidP="00F87897">
      <w:pPr>
        <w:rPr>
          <w:rStyle w:val="nfasisintenso"/>
        </w:rPr>
      </w:pPr>
      <w:r w:rsidRPr="001D47A5">
        <w:rPr>
          <w:rStyle w:val="nfasisintenso"/>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4BDA0C17" w14:textId="77777777" w:rsidR="00925149" w:rsidRDefault="00925149" w:rsidP="006E59DD">
      <w:pPr>
        <w:tabs>
          <w:tab w:val="left" w:pos="1200"/>
        </w:tabs>
        <w:spacing w:after="160" w:line="259" w:lineRule="auto"/>
        <w:ind w:right="-177"/>
        <w:jc w:val="both"/>
        <w:rPr>
          <w:rFonts w:ascii="Arial Narrow" w:eastAsia="Calibri" w:hAnsi="Arial Narrow"/>
          <w:sz w:val="22"/>
          <w:szCs w:val="22"/>
          <w:lang w:val="en-US" w:eastAsia="en-US"/>
        </w:rPr>
      </w:pPr>
      <w:permStart w:id="1100430741" w:edGrp="everyone"/>
    </w:p>
    <w:p w14:paraId="063C4218" w14:textId="335E8326" w:rsidR="006E59DD" w:rsidRPr="006E59DD" w:rsidRDefault="006E59DD" w:rsidP="006E59DD">
      <w:pPr>
        <w:tabs>
          <w:tab w:val="left" w:pos="1200"/>
        </w:tabs>
        <w:spacing w:after="160" w:line="259" w:lineRule="auto"/>
        <w:ind w:right="-177"/>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INVERCO is the Spanish Association </w:t>
      </w:r>
      <w:r w:rsidR="006D0F67">
        <w:rPr>
          <w:rFonts w:ascii="Arial Narrow" w:eastAsia="Calibri" w:hAnsi="Arial Narrow"/>
          <w:sz w:val="22"/>
          <w:szCs w:val="22"/>
          <w:lang w:val="en-US" w:eastAsia="en-US"/>
        </w:rPr>
        <w:t>that brin</w:t>
      </w:r>
      <w:r w:rsidRPr="006E59DD">
        <w:rPr>
          <w:rFonts w:ascii="Arial Narrow" w:eastAsia="Calibri" w:hAnsi="Arial Narrow"/>
          <w:sz w:val="22"/>
          <w:szCs w:val="22"/>
          <w:lang w:val="en-US" w:eastAsia="en-US"/>
        </w:rPr>
        <w:t xml:space="preserve">gs together the Spanish </w:t>
      </w:r>
      <w:r w:rsidR="004E35F6" w:rsidRPr="004E35F6">
        <w:rPr>
          <w:rFonts w:ascii="Arial Narrow" w:eastAsia="Calibri" w:hAnsi="Arial Narrow"/>
          <w:sz w:val="22"/>
          <w:szCs w:val="22"/>
          <w:lang w:val="en-US" w:eastAsia="en-US"/>
        </w:rPr>
        <w:t xml:space="preserve">Collective Investment Schemes (“CIS”) </w:t>
      </w:r>
      <w:r w:rsidRPr="006E59DD">
        <w:rPr>
          <w:rFonts w:ascii="Arial Narrow" w:eastAsia="Calibri" w:hAnsi="Arial Narrow"/>
          <w:sz w:val="22"/>
          <w:szCs w:val="22"/>
          <w:lang w:val="en-US" w:eastAsia="en-US"/>
        </w:rPr>
        <w:t>(both Funds and Companies), the Spanish Pension Plans and Funds (“PFP”) and the foreign CIS registered with the Spanish Securities and Markets Commission (hereinafter, the “CNMV”) for them to be marketed in Spain, as well as various Associate Members.</w:t>
      </w:r>
    </w:p>
    <w:p w14:paraId="50C050FC" w14:textId="0698C330" w:rsidR="006E59DD" w:rsidRPr="006E59DD" w:rsidRDefault="006E59DD" w:rsidP="006E59DD">
      <w:pPr>
        <w:spacing w:after="160" w:line="259" w:lineRule="auto"/>
        <w:ind w:right="-177"/>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INVERCO appreciates ESMA's efforts to provide harmonized criteria for the naming of Funds and welcomes the opportunity to participate in this Consultation. </w:t>
      </w:r>
      <w:r w:rsidR="006D0F67">
        <w:rPr>
          <w:rFonts w:ascii="Arial Narrow" w:eastAsia="Calibri" w:hAnsi="Arial Narrow"/>
          <w:sz w:val="22"/>
          <w:szCs w:val="22"/>
          <w:lang w:val="en-US" w:eastAsia="en-US"/>
        </w:rPr>
        <w:t xml:space="preserve">Likewise, </w:t>
      </w:r>
      <w:r w:rsidRPr="006E59DD">
        <w:rPr>
          <w:rFonts w:ascii="Arial Narrow" w:eastAsia="Calibri" w:hAnsi="Arial Narrow"/>
          <w:sz w:val="22"/>
          <w:szCs w:val="22"/>
          <w:lang w:val="en-US" w:eastAsia="en-US"/>
        </w:rPr>
        <w:t xml:space="preserve">we </w:t>
      </w:r>
      <w:r w:rsidR="006D0F67">
        <w:rPr>
          <w:rFonts w:ascii="Arial Narrow" w:eastAsia="Calibri" w:hAnsi="Arial Narrow"/>
          <w:sz w:val="22"/>
          <w:szCs w:val="22"/>
          <w:lang w:val="en-US" w:eastAsia="en-US"/>
        </w:rPr>
        <w:t>hope</w:t>
      </w:r>
      <w:r w:rsidRPr="006E59DD">
        <w:rPr>
          <w:rFonts w:ascii="Arial Narrow" w:eastAsia="Calibri" w:hAnsi="Arial Narrow"/>
          <w:sz w:val="22"/>
          <w:szCs w:val="22"/>
          <w:lang w:val="en-US" w:eastAsia="en-US"/>
        </w:rPr>
        <w:t xml:space="preserve"> that ESMA </w:t>
      </w:r>
      <w:r w:rsidR="004E35F6">
        <w:rPr>
          <w:rFonts w:ascii="Arial Narrow" w:eastAsia="Calibri" w:hAnsi="Arial Narrow"/>
          <w:sz w:val="22"/>
          <w:szCs w:val="22"/>
          <w:lang w:val="en-US" w:eastAsia="en-US"/>
        </w:rPr>
        <w:t>considers</w:t>
      </w:r>
      <w:r w:rsidRPr="006E59DD">
        <w:rPr>
          <w:rFonts w:ascii="Arial Narrow" w:eastAsia="Calibri" w:hAnsi="Arial Narrow"/>
          <w:sz w:val="22"/>
          <w:szCs w:val="22"/>
          <w:lang w:val="en-US" w:eastAsia="en-US"/>
        </w:rPr>
        <w:t xml:space="preserve"> the comments below and re</w:t>
      </w:r>
      <w:r w:rsidR="004E35F6">
        <w:rPr>
          <w:rFonts w:ascii="Arial Narrow" w:eastAsia="Calibri" w:hAnsi="Arial Narrow"/>
          <w:sz w:val="22"/>
          <w:szCs w:val="22"/>
          <w:lang w:val="en-US" w:eastAsia="en-US"/>
        </w:rPr>
        <w:t>think</w:t>
      </w:r>
      <w:r w:rsidRPr="006E59DD">
        <w:rPr>
          <w:rFonts w:ascii="Arial Narrow" w:eastAsia="Calibri" w:hAnsi="Arial Narrow"/>
          <w:sz w:val="22"/>
          <w:szCs w:val="22"/>
          <w:lang w:val="en-US" w:eastAsia="en-US"/>
        </w:rPr>
        <w:t xml:space="preserve"> the content of the proposed Guidelines to avoid negative impacts on the credibility of Funds, the </w:t>
      </w:r>
      <w:r w:rsidR="006D0F67">
        <w:rPr>
          <w:rFonts w:ascii="Arial Narrow" w:eastAsia="Calibri" w:hAnsi="Arial Narrow"/>
          <w:sz w:val="22"/>
          <w:szCs w:val="22"/>
          <w:lang w:val="en-US" w:eastAsia="en-US"/>
        </w:rPr>
        <w:t xml:space="preserve">European </w:t>
      </w:r>
      <w:r w:rsidRPr="006E59DD">
        <w:rPr>
          <w:rFonts w:ascii="Arial Narrow" w:eastAsia="Calibri" w:hAnsi="Arial Narrow"/>
          <w:sz w:val="22"/>
          <w:szCs w:val="22"/>
          <w:lang w:val="en-US" w:eastAsia="en-US"/>
        </w:rPr>
        <w:t>sustainable finance package</w:t>
      </w:r>
      <w:r w:rsidR="004E35F6">
        <w:rPr>
          <w:rFonts w:ascii="Arial Narrow" w:eastAsia="Calibri" w:hAnsi="Arial Narrow"/>
          <w:sz w:val="22"/>
          <w:szCs w:val="22"/>
          <w:lang w:val="en-US" w:eastAsia="en-US"/>
        </w:rPr>
        <w:t xml:space="preserve"> itself</w:t>
      </w:r>
      <w:r w:rsidRPr="006E59DD">
        <w:rPr>
          <w:rFonts w:ascii="Arial Narrow" w:eastAsia="Calibri" w:hAnsi="Arial Narrow"/>
          <w:sz w:val="22"/>
          <w:szCs w:val="22"/>
          <w:lang w:val="en-US" w:eastAsia="en-US"/>
        </w:rPr>
        <w:t>, as well as investor confidence (which is key for the effective redirection of capital to investments enabling the green transition).</w:t>
      </w:r>
    </w:p>
    <w:p w14:paraId="7CEFAB36" w14:textId="45A5A315" w:rsidR="006E59DD" w:rsidRPr="006E59DD" w:rsidRDefault="004E35F6" w:rsidP="006E59DD">
      <w:pPr>
        <w:spacing w:after="160" w:line="259" w:lineRule="auto"/>
        <w:jc w:val="both"/>
        <w:rPr>
          <w:rFonts w:ascii="Arial Narrow" w:eastAsia="Calibri" w:hAnsi="Arial Narrow"/>
          <w:sz w:val="22"/>
          <w:szCs w:val="22"/>
          <w:lang w:val="en-US" w:eastAsia="en-US"/>
        </w:rPr>
      </w:pPr>
      <w:r w:rsidRPr="004E35F6">
        <w:rPr>
          <w:rFonts w:ascii="Arial Narrow" w:eastAsia="Calibri" w:hAnsi="Arial Narrow"/>
          <w:sz w:val="22"/>
          <w:szCs w:val="22"/>
          <w:lang w:val="en-US" w:eastAsia="en-US"/>
        </w:rPr>
        <w:t>Before going into more detail on the content of the Consultation</w:t>
      </w:r>
      <w:r w:rsidR="006D0F67">
        <w:rPr>
          <w:rFonts w:ascii="Arial Narrow" w:eastAsia="Calibri" w:hAnsi="Arial Narrow"/>
          <w:sz w:val="22"/>
          <w:szCs w:val="22"/>
          <w:lang w:val="en-US" w:eastAsia="en-US"/>
        </w:rPr>
        <w:t>, t</w:t>
      </w:r>
      <w:r w:rsidR="006E59DD" w:rsidRPr="006E59DD">
        <w:rPr>
          <w:rFonts w:ascii="Arial Narrow" w:eastAsia="Calibri" w:hAnsi="Arial Narrow"/>
          <w:sz w:val="22"/>
          <w:szCs w:val="22"/>
          <w:lang w:val="en-US" w:eastAsia="en-US"/>
        </w:rPr>
        <w:t xml:space="preserve">his introduction includes preliminary considerations that should help </w:t>
      </w:r>
      <w:r>
        <w:rPr>
          <w:rFonts w:ascii="Arial Narrow" w:eastAsia="Calibri" w:hAnsi="Arial Narrow"/>
          <w:sz w:val="22"/>
          <w:szCs w:val="22"/>
          <w:lang w:val="en-US" w:eastAsia="en-US"/>
        </w:rPr>
        <w:t xml:space="preserve">putting </w:t>
      </w:r>
      <w:r w:rsidR="006E59DD" w:rsidRPr="006E59DD">
        <w:rPr>
          <w:rFonts w:ascii="Arial Narrow" w:eastAsia="Calibri" w:hAnsi="Arial Narrow"/>
          <w:sz w:val="22"/>
          <w:szCs w:val="22"/>
          <w:lang w:val="en-US" w:eastAsia="en-US"/>
        </w:rPr>
        <w:t>the following answers</w:t>
      </w:r>
      <w:r>
        <w:rPr>
          <w:rFonts w:ascii="Arial Narrow" w:eastAsia="Calibri" w:hAnsi="Arial Narrow"/>
          <w:sz w:val="22"/>
          <w:szCs w:val="22"/>
          <w:lang w:val="en-US" w:eastAsia="en-US"/>
        </w:rPr>
        <w:t xml:space="preserve"> into context</w:t>
      </w:r>
      <w:r w:rsidR="006E59DD" w:rsidRPr="006E59DD">
        <w:rPr>
          <w:rFonts w:ascii="Arial Narrow" w:eastAsia="Calibri" w:hAnsi="Arial Narrow"/>
          <w:sz w:val="22"/>
          <w:szCs w:val="22"/>
          <w:lang w:val="en-US" w:eastAsia="en-US"/>
        </w:rPr>
        <w:t xml:space="preserve">: </w:t>
      </w:r>
    </w:p>
    <w:p w14:paraId="11882464" w14:textId="5F45059A" w:rsidR="006E59DD" w:rsidRDefault="006E59DD" w:rsidP="00057085">
      <w:pPr>
        <w:numPr>
          <w:ilvl w:val="0"/>
          <w:numId w:val="39"/>
        </w:numPr>
        <w:spacing w:after="160" w:line="259" w:lineRule="auto"/>
        <w:contextualSpacing/>
        <w:jc w:val="both"/>
        <w:rPr>
          <w:rFonts w:ascii="Arial Narrow" w:eastAsia="Calibri" w:hAnsi="Arial Narrow"/>
          <w:b/>
          <w:bCs/>
          <w:sz w:val="22"/>
          <w:szCs w:val="22"/>
          <w:lang w:val="en-US" w:eastAsia="en-US"/>
        </w:rPr>
      </w:pPr>
      <w:r w:rsidRPr="006E59DD">
        <w:rPr>
          <w:rFonts w:ascii="Arial Narrow" w:eastAsia="Calibri" w:hAnsi="Arial Narrow"/>
          <w:b/>
          <w:bCs/>
          <w:sz w:val="22"/>
          <w:szCs w:val="22"/>
          <w:lang w:val="en-US" w:eastAsia="en-US"/>
        </w:rPr>
        <w:t>The role of ESMA Guidelines in the current sustainable finance framework</w:t>
      </w:r>
      <w:r w:rsidRPr="006E59DD">
        <w:rPr>
          <w:rFonts w:ascii="Arial Narrow" w:eastAsia="Calibri" w:hAnsi="Arial Narrow"/>
          <w:sz w:val="22"/>
          <w:szCs w:val="22"/>
          <w:lang w:val="en-US" w:eastAsia="en-US"/>
        </w:rPr>
        <w:t>:</w:t>
      </w:r>
      <w:r w:rsidRPr="006E59DD">
        <w:rPr>
          <w:rFonts w:ascii="Arial Narrow" w:eastAsia="Calibri" w:hAnsi="Arial Narrow"/>
          <w:b/>
          <w:bCs/>
          <w:sz w:val="22"/>
          <w:szCs w:val="22"/>
          <w:lang w:val="en-US" w:eastAsia="en-US"/>
        </w:rPr>
        <w:t xml:space="preserve"> </w:t>
      </w:r>
    </w:p>
    <w:p w14:paraId="75F4C8F9" w14:textId="77777777" w:rsidR="006E59DD" w:rsidRPr="006E59DD" w:rsidRDefault="006E59DD" w:rsidP="006E59DD">
      <w:pPr>
        <w:spacing w:after="160" w:line="259" w:lineRule="auto"/>
        <w:ind w:left="360"/>
        <w:contextualSpacing/>
        <w:jc w:val="both"/>
        <w:rPr>
          <w:rFonts w:ascii="Arial Narrow" w:eastAsia="Calibri" w:hAnsi="Arial Narrow"/>
          <w:b/>
          <w:bCs/>
          <w:sz w:val="22"/>
          <w:szCs w:val="22"/>
          <w:lang w:val="en-US" w:eastAsia="en-US"/>
        </w:rPr>
      </w:pPr>
    </w:p>
    <w:p w14:paraId="2EE8C7DA" w14:textId="0ED3C3FE" w:rsidR="006E59DD" w:rsidRPr="006E59DD" w:rsidRDefault="006E59DD" w:rsidP="006E59DD">
      <w:pPr>
        <w:spacing w:after="160" w:line="259" w:lineRule="auto"/>
        <w:ind w:lef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The European Commission's (EC) Sustainable Finance Action Plan has sponsored the development of a complex regulatory package that</w:t>
      </w:r>
      <w:r w:rsidR="004E35F6">
        <w:rPr>
          <w:rFonts w:ascii="Arial Narrow" w:eastAsia="Calibri" w:hAnsi="Arial Narrow"/>
          <w:sz w:val="22"/>
          <w:szCs w:val="22"/>
          <w:lang w:val="en-US" w:eastAsia="en-US"/>
        </w:rPr>
        <w:t xml:space="preserve"> pivots </w:t>
      </w:r>
      <w:r w:rsidRPr="006E59DD">
        <w:rPr>
          <w:rFonts w:ascii="Arial Narrow" w:eastAsia="Calibri" w:hAnsi="Arial Narrow"/>
          <w:sz w:val="22"/>
          <w:szCs w:val="22"/>
          <w:lang w:val="en-US" w:eastAsia="en-US"/>
        </w:rPr>
        <w:t xml:space="preserve">around the </w:t>
      </w:r>
      <w:r w:rsidR="004E35F6">
        <w:rPr>
          <w:rFonts w:ascii="Arial Narrow" w:eastAsia="Calibri" w:hAnsi="Arial Narrow"/>
          <w:sz w:val="22"/>
          <w:szCs w:val="22"/>
          <w:lang w:val="en-US" w:eastAsia="en-US"/>
        </w:rPr>
        <w:t xml:space="preserve">application </w:t>
      </w:r>
      <w:r w:rsidRPr="006E59DD">
        <w:rPr>
          <w:rFonts w:ascii="Arial Narrow" w:eastAsia="Calibri" w:hAnsi="Arial Narrow"/>
          <w:sz w:val="22"/>
          <w:szCs w:val="22"/>
          <w:lang w:val="en-US" w:eastAsia="en-US"/>
        </w:rPr>
        <w:t>of SFDR, as of March 2021.</w:t>
      </w:r>
    </w:p>
    <w:p w14:paraId="3347C086" w14:textId="77777777" w:rsidR="006E59DD" w:rsidRPr="006E59DD" w:rsidRDefault="006E59DD" w:rsidP="006E59DD">
      <w:pPr>
        <w:spacing w:after="160" w:line="259" w:lineRule="auto"/>
        <w:ind w:lef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Although the initial objective of SFDR was not to classify investment products according to their ESG commitment, the delay in the approval of a harmonized ecolabel (or similar regime) has led Articles 8 and 9 of the SFDR to act as a substitute for the latter.</w:t>
      </w:r>
    </w:p>
    <w:p w14:paraId="62B1B5B6" w14:textId="6FD5E8EE" w:rsidR="006E59DD" w:rsidRPr="006E59DD" w:rsidRDefault="006E59DD" w:rsidP="006E59DD">
      <w:pPr>
        <w:spacing w:after="160" w:line="259" w:lineRule="auto"/>
        <w:ind w:lef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That is, in the absence of better regulation, both financial industry and investors have been using SFDR as an ESG product classification system (non-green, light green, dark green products). For that reason, it is </w:t>
      </w:r>
      <w:r w:rsidR="000A3C4A">
        <w:rPr>
          <w:rFonts w:ascii="Arial Narrow" w:eastAsia="Calibri" w:hAnsi="Arial Narrow"/>
          <w:sz w:val="22"/>
          <w:szCs w:val="22"/>
          <w:lang w:val="en-US" w:eastAsia="en-US"/>
        </w:rPr>
        <w:t>inappropriate t</w:t>
      </w:r>
      <w:r w:rsidRPr="006E59DD">
        <w:rPr>
          <w:rFonts w:ascii="Arial Narrow" w:eastAsia="Calibri" w:hAnsi="Arial Narrow"/>
          <w:sz w:val="22"/>
          <w:szCs w:val="22"/>
          <w:lang w:val="en-US" w:eastAsia="en-US"/>
        </w:rPr>
        <w:t xml:space="preserve">hat </w:t>
      </w:r>
      <w:r w:rsidR="000A3C4A">
        <w:rPr>
          <w:rFonts w:ascii="Arial Narrow" w:eastAsia="Calibri" w:hAnsi="Arial Narrow"/>
          <w:sz w:val="22"/>
          <w:szCs w:val="22"/>
          <w:lang w:val="en-US" w:eastAsia="en-US"/>
        </w:rPr>
        <w:t xml:space="preserve">at this stage </w:t>
      </w:r>
      <w:r w:rsidRPr="006E59DD">
        <w:rPr>
          <w:rFonts w:ascii="Arial Narrow" w:eastAsia="Calibri" w:hAnsi="Arial Narrow"/>
          <w:sz w:val="22"/>
          <w:szCs w:val="22"/>
          <w:lang w:val="en-US" w:eastAsia="en-US"/>
        </w:rPr>
        <w:t>ESMA Guidelines provisionally change the rules of the game</w:t>
      </w:r>
      <w:r w:rsidR="000A3C4A">
        <w:rPr>
          <w:rFonts w:ascii="Arial Narrow" w:eastAsia="Calibri" w:hAnsi="Arial Narrow"/>
          <w:sz w:val="22"/>
          <w:szCs w:val="22"/>
          <w:lang w:val="en-US" w:eastAsia="en-US"/>
        </w:rPr>
        <w:t xml:space="preserve">. </w:t>
      </w:r>
    </w:p>
    <w:p w14:paraId="5694E992" w14:textId="14998BDF" w:rsidR="006E59DD" w:rsidRPr="006E59DD" w:rsidRDefault="006E59DD" w:rsidP="006E59DD">
      <w:pPr>
        <w:spacing w:after="160" w:line="259" w:lineRule="auto"/>
        <w:ind w:lef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The green transition needs investment. However, fragmented, incoherent and changing regulation works against investor certainty. In that sense, </w:t>
      </w:r>
      <w:r w:rsidRPr="006E59DD">
        <w:rPr>
          <w:rFonts w:ascii="Arial Narrow" w:eastAsia="Calibri" w:hAnsi="Arial Narrow"/>
          <w:b/>
          <w:bCs/>
          <w:sz w:val="22"/>
          <w:szCs w:val="22"/>
          <w:lang w:val="en-US" w:eastAsia="en-US"/>
        </w:rPr>
        <w:t>ESMA</w:t>
      </w:r>
      <w:r w:rsidRPr="006E59DD">
        <w:rPr>
          <w:rFonts w:ascii="Arial Narrow" w:eastAsia="Calibri" w:hAnsi="Arial Narrow"/>
          <w:sz w:val="22"/>
          <w:szCs w:val="22"/>
          <w:lang w:val="en-US" w:eastAsia="en-US"/>
        </w:rPr>
        <w:t xml:space="preserve"> </w:t>
      </w:r>
      <w:r w:rsidRPr="006E59DD">
        <w:rPr>
          <w:rFonts w:ascii="Arial Narrow" w:eastAsia="Calibri" w:hAnsi="Arial Narrow"/>
          <w:b/>
          <w:bCs/>
          <w:sz w:val="22"/>
          <w:szCs w:val="22"/>
          <w:lang w:val="en-US" w:eastAsia="en-US"/>
        </w:rPr>
        <w:t>has a fundamental role to play in providing guidance that promotes uniform compliance with regulations, but</w:t>
      </w:r>
      <w:r w:rsidRPr="006E59DD">
        <w:rPr>
          <w:rFonts w:ascii="Arial Narrow" w:eastAsia="Calibri" w:hAnsi="Arial Narrow"/>
          <w:sz w:val="22"/>
          <w:szCs w:val="22"/>
          <w:lang w:val="en-US" w:eastAsia="en-US"/>
        </w:rPr>
        <w:t xml:space="preserve"> </w:t>
      </w:r>
      <w:r w:rsidRPr="006E59DD">
        <w:rPr>
          <w:rFonts w:ascii="Arial Narrow" w:eastAsia="Calibri" w:hAnsi="Arial Narrow"/>
          <w:b/>
          <w:bCs/>
          <w:sz w:val="22"/>
          <w:szCs w:val="22"/>
          <w:lang w:val="en-US" w:eastAsia="en-US"/>
        </w:rPr>
        <w:t xml:space="preserve">it should avoid introducing new, </w:t>
      </w:r>
      <w:r w:rsidR="00925149" w:rsidRPr="006E59DD">
        <w:rPr>
          <w:rFonts w:ascii="Arial Narrow" w:eastAsia="Calibri" w:hAnsi="Arial Narrow"/>
          <w:b/>
          <w:bCs/>
          <w:sz w:val="22"/>
          <w:szCs w:val="22"/>
          <w:lang w:val="en-US" w:eastAsia="en-US"/>
        </w:rPr>
        <w:t>overlapping,</w:t>
      </w:r>
      <w:r w:rsidRPr="006E59DD">
        <w:rPr>
          <w:rFonts w:ascii="Arial Narrow" w:eastAsia="Calibri" w:hAnsi="Arial Narrow"/>
          <w:b/>
          <w:bCs/>
          <w:sz w:val="22"/>
          <w:szCs w:val="22"/>
          <w:lang w:val="en-US" w:eastAsia="en-US"/>
        </w:rPr>
        <w:t xml:space="preserve"> and inconsistent criteria</w:t>
      </w:r>
      <w:r w:rsidR="000A3C4A" w:rsidRPr="004E7437">
        <w:rPr>
          <w:rFonts w:ascii="Arial Narrow" w:eastAsia="Calibri" w:hAnsi="Arial Narrow"/>
          <w:b/>
          <w:bCs/>
          <w:sz w:val="22"/>
          <w:szCs w:val="22"/>
          <w:lang w:val="en-US" w:eastAsia="en-US"/>
        </w:rPr>
        <w:t xml:space="preserve"> due to delays of the </w:t>
      </w:r>
      <w:r w:rsidR="000A3C4A" w:rsidRPr="006E59DD">
        <w:rPr>
          <w:rFonts w:ascii="Arial Narrow" w:eastAsia="Calibri" w:hAnsi="Arial Narrow"/>
          <w:b/>
          <w:bCs/>
          <w:sz w:val="22"/>
          <w:szCs w:val="22"/>
          <w:lang w:val="en-US" w:eastAsia="en-US"/>
        </w:rPr>
        <w:t>European legislator</w:t>
      </w:r>
      <w:r w:rsidR="000A3C4A" w:rsidRPr="004E7437">
        <w:rPr>
          <w:rFonts w:ascii="Arial Narrow" w:eastAsia="Calibri" w:hAnsi="Arial Narrow"/>
          <w:b/>
          <w:bCs/>
          <w:sz w:val="22"/>
          <w:szCs w:val="22"/>
          <w:lang w:val="en-US" w:eastAsia="en-US"/>
        </w:rPr>
        <w:t xml:space="preserve"> </w:t>
      </w:r>
      <w:r w:rsidR="000A3C4A" w:rsidRPr="006E59DD">
        <w:rPr>
          <w:rFonts w:ascii="Arial Narrow" w:eastAsia="Calibri" w:hAnsi="Arial Narrow"/>
          <w:b/>
          <w:bCs/>
          <w:sz w:val="22"/>
          <w:szCs w:val="22"/>
          <w:lang w:val="en-US" w:eastAsia="en-US"/>
        </w:rPr>
        <w:t xml:space="preserve">in </w:t>
      </w:r>
      <w:r w:rsidR="00925149" w:rsidRPr="004E7437">
        <w:rPr>
          <w:rFonts w:ascii="Arial Narrow" w:eastAsia="Calibri" w:hAnsi="Arial Narrow"/>
          <w:b/>
          <w:bCs/>
          <w:sz w:val="22"/>
          <w:szCs w:val="22"/>
          <w:lang w:val="en-US" w:eastAsia="en-US"/>
        </w:rPr>
        <w:t>e.g.,</w:t>
      </w:r>
      <w:r w:rsidR="000A3C4A" w:rsidRPr="004E7437">
        <w:rPr>
          <w:rFonts w:ascii="Arial Narrow" w:eastAsia="Calibri" w:hAnsi="Arial Narrow"/>
          <w:b/>
          <w:bCs/>
          <w:sz w:val="22"/>
          <w:szCs w:val="22"/>
          <w:lang w:val="en-US" w:eastAsia="en-US"/>
        </w:rPr>
        <w:t xml:space="preserve"> </w:t>
      </w:r>
      <w:r w:rsidR="000A3C4A" w:rsidRPr="006E59DD">
        <w:rPr>
          <w:rFonts w:ascii="Arial Narrow" w:eastAsia="Calibri" w:hAnsi="Arial Narrow"/>
          <w:b/>
          <w:bCs/>
          <w:sz w:val="22"/>
          <w:szCs w:val="22"/>
          <w:lang w:val="en-US" w:eastAsia="en-US"/>
        </w:rPr>
        <w:t>specifying which products should be subject to Articles 8 and 9 of SFDR</w:t>
      </w:r>
      <w:r w:rsidRPr="006E59DD">
        <w:rPr>
          <w:rFonts w:ascii="Arial Narrow" w:eastAsia="Calibri" w:hAnsi="Arial Narrow"/>
          <w:sz w:val="22"/>
          <w:szCs w:val="22"/>
          <w:lang w:val="en-US" w:eastAsia="en-US"/>
        </w:rPr>
        <w:t xml:space="preserve">. </w:t>
      </w:r>
    </w:p>
    <w:p w14:paraId="29D179CE" w14:textId="5305EF85" w:rsidR="006E59DD" w:rsidRPr="006E59DD" w:rsidRDefault="006E59DD" w:rsidP="006E59DD">
      <w:pPr>
        <w:spacing w:after="160" w:line="259" w:lineRule="auto"/>
        <w:ind w:lef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Finally, in relation to the </w:t>
      </w:r>
      <w:r w:rsidR="004E7437">
        <w:rPr>
          <w:rFonts w:ascii="Arial Narrow" w:eastAsia="Calibri" w:hAnsi="Arial Narrow"/>
          <w:sz w:val="22"/>
          <w:szCs w:val="22"/>
          <w:lang w:val="en-US" w:eastAsia="en-US"/>
        </w:rPr>
        <w:t>“</w:t>
      </w:r>
      <w:r w:rsidRPr="006E59DD">
        <w:rPr>
          <w:rFonts w:ascii="Arial Narrow" w:eastAsia="Calibri" w:hAnsi="Arial Narrow"/>
          <w:sz w:val="22"/>
          <w:szCs w:val="22"/>
          <w:lang w:val="en-US" w:eastAsia="en-US"/>
        </w:rPr>
        <w:t>risk of greenwashing</w:t>
      </w:r>
      <w:r w:rsidR="004E7437">
        <w:rPr>
          <w:rFonts w:ascii="Arial Narrow" w:eastAsia="Calibri" w:hAnsi="Arial Narrow"/>
          <w:sz w:val="22"/>
          <w:szCs w:val="22"/>
          <w:lang w:val="en-US" w:eastAsia="en-US"/>
        </w:rPr>
        <w:t>”</w:t>
      </w:r>
      <w:r w:rsidRPr="006E59DD">
        <w:rPr>
          <w:rFonts w:ascii="Arial Narrow" w:eastAsia="Calibri" w:hAnsi="Arial Narrow"/>
          <w:sz w:val="22"/>
          <w:szCs w:val="22"/>
          <w:lang w:val="en-US" w:eastAsia="en-US"/>
        </w:rPr>
        <w:t xml:space="preserve"> referred to by ESMA in the Consultation, it should be recalled that the European Supervisory Authorities (hereinafter, the “ESAs”) have just published a call for evidence to define this concept, to comply with </w:t>
      </w:r>
      <w:r w:rsidR="004E7437">
        <w:rPr>
          <w:rFonts w:ascii="Arial Narrow" w:eastAsia="Calibri" w:hAnsi="Arial Narrow"/>
          <w:sz w:val="22"/>
          <w:szCs w:val="22"/>
          <w:lang w:val="en-US" w:eastAsia="en-US"/>
        </w:rPr>
        <w:t>an</w:t>
      </w:r>
      <w:r w:rsidRPr="006E59DD">
        <w:rPr>
          <w:rFonts w:ascii="Arial Narrow" w:eastAsia="Calibri" w:hAnsi="Arial Narrow"/>
          <w:sz w:val="22"/>
          <w:szCs w:val="22"/>
          <w:lang w:val="en-US" w:eastAsia="en-US"/>
        </w:rPr>
        <w:t xml:space="preserve"> EC mandate </w:t>
      </w:r>
      <w:r w:rsidR="004E7437">
        <w:rPr>
          <w:rFonts w:ascii="Arial Narrow" w:eastAsia="Calibri" w:hAnsi="Arial Narrow"/>
          <w:sz w:val="22"/>
          <w:szCs w:val="22"/>
          <w:lang w:val="en-US" w:eastAsia="en-US"/>
        </w:rPr>
        <w:t xml:space="preserve">of </w:t>
      </w:r>
      <w:r w:rsidRPr="006E59DD">
        <w:rPr>
          <w:rFonts w:ascii="Arial Narrow" w:eastAsia="Calibri" w:hAnsi="Arial Narrow"/>
          <w:sz w:val="22"/>
          <w:szCs w:val="22"/>
          <w:lang w:val="en-US" w:eastAsia="en-US"/>
        </w:rPr>
        <w:t>23 of May 2022. Thus, it would be advisable that, as long as it is not legally defined, any ESMA rule or Guideline should avoid making reference to possible greenwashing risks or practices by Fund Managers in order not to undeservedly jeopardize the reputation of this sector.</w:t>
      </w:r>
    </w:p>
    <w:p w14:paraId="643A9FA9" w14:textId="35B8BFDA" w:rsidR="006E59DD" w:rsidRPr="006E59DD" w:rsidRDefault="006E59DD" w:rsidP="00057085">
      <w:pPr>
        <w:numPr>
          <w:ilvl w:val="0"/>
          <w:numId w:val="39"/>
        </w:numPr>
        <w:spacing w:after="160" w:line="259" w:lineRule="auto"/>
        <w:contextualSpacing/>
        <w:jc w:val="both"/>
        <w:rPr>
          <w:rFonts w:ascii="Arial Narrow" w:eastAsia="Calibri" w:hAnsi="Arial Narrow"/>
          <w:sz w:val="22"/>
          <w:szCs w:val="22"/>
          <w:u w:val="single"/>
          <w:lang w:val="en-US" w:eastAsia="en-US"/>
        </w:rPr>
      </w:pPr>
      <w:r w:rsidRPr="006E59DD">
        <w:rPr>
          <w:rFonts w:ascii="Arial Narrow" w:eastAsia="Calibri" w:hAnsi="Arial Narrow"/>
          <w:b/>
          <w:bCs/>
          <w:sz w:val="22"/>
          <w:szCs w:val="22"/>
          <w:lang w:val="en-US" w:eastAsia="en-US"/>
        </w:rPr>
        <w:lastRenderedPageBreak/>
        <w:t xml:space="preserve">The need for rules for the naming of Funds: </w:t>
      </w:r>
    </w:p>
    <w:p w14:paraId="490D5B29" w14:textId="77777777" w:rsidR="006E59DD" w:rsidRDefault="006E59DD" w:rsidP="006E59DD">
      <w:pPr>
        <w:spacing w:after="160" w:line="259" w:lineRule="auto"/>
        <w:ind w:left="284"/>
        <w:jc w:val="both"/>
        <w:rPr>
          <w:rFonts w:ascii="Arial Narrow" w:eastAsia="Calibri" w:hAnsi="Arial Narrow"/>
          <w:sz w:val="22"/>
          <w:szCs w:val="22"/>
          <w:lang w:val="en-US" w:eastAsia="en-US"/>
        </w:rPr>
      </w:pPr>
    </w:p>
    <w:p w14:paraId="380C0FB4" w14:textId="392B3141" w:rsidR="006E59DD" w:rsidRPr="006E59DD" w:rsidRDefault="006E59DD" w:rsidP="006E59DD">
      <w:pPr>
        <w:spacing w:after="160" w:line="259" w:lineRule="auto"/>
        <w:ind w:lef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Funds are subject to authorization and supervision requirements so that the information provided to investors is fair, clear and not misleading. It is, in fact, the most transparent product offered to investors, with information previously scrutinized by National Competent Authorities (NCA). </w:t>
      </w:r>
    </w:p>
    <w:p w14:paraId="41C34927" w14:textId="1571EF02" w:rsidR="006E59DD" w:rsidRPr="006E59DD" w:rsidRDefault="006E59DD" w:rsidP="006E59DD">
      <w:pPr>
        <w:spacing w:after="160" w:line="259" w:lineRule="auto"/>
        <w:ind w:lef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In particular, the marketing of Funds in the EU requires the prior completion of a registration process that affects, among others, the</w:t>
      </w:r>
      <w:r w:rsidR="004E7437">
        <w:rPr>
          <w:rFonts w:ascii="Arial Narrow" w:eastAsia="Calibri" w:hAnsi="Arial Narrow"/>
          <w:sz w:val="22"/>
          <w:szCs w:val="22"/>
          <w:lang w:val="en-US" w:eastAsia="en-US"/>
        </w:rPr>
        <w:t>ir</w:t>
      </w:r>
      <w:r w:rsidRPr="006E59DD">
        <w:rPr>
          <w:rFonts w:ascii="Arial Narrow" w:eastAsia="Calibri" w:hAnsi="Arial Narrow"/>
          <w:sz w:val="22"/>
          <w:szCs w:val="22"/>
          <w:lang w:val="en-US" w:eastAsia="en-US"/>
        </w:rPr>
        <w:t xml:space="preserve"> denomination. Thus, </w:t>
      </w:r>
      <w:r w:rsidRPr="006E59DD">
        <w:rPr>
          <w:rFonts w:ascii="Arial Narrow" w:eastAsia="Calibri" w:hAnsi="Arial Narrow"/>
          <w:b/>
          <w:bCs/>
          <w:sz w:val="22"/>
          <w:szCs w:val="22"/>
          <w:lang w:val="en-US" w:eastAsia="en-US"/>
        </w:rPr>
        <w:t>the name of a Fund should have all the credibility that is linked to an authorization granted by a</w:t>
      </w:r>
      <w:r w:rsidR="004E7437" w:rsidRPr="004E7437">
        <w:rPr>
          <w:rFonts w:ascii="Arial Narrow" w:eastAsia="Calibri" w:hAnsi="Arial Narrow"/>
          <w:b/>
          <w:bCs/>
          <w:sz w:val="22"/>
          <w:szCs w:val="22"/>
          <w:lang w:val="en-US" w:eastAsia="en-US"/>
        </w:rPr>
        <w:t>n</w:t>
      </w:r>
      <w:r w:rsidRPr="006E59DD">
        <w:rPr>
          <w:rFonts w:ascii="Arial Narrow" w:eastAsia="Calibri" w:hAnsi="Arial Narrow"/>
          <w:b/>
          <w:bCs/>
          <w:sz w:val="22"/>
          <w:szCs w:val="22"/>
          <w:lang w:val="en-US" w:eastAsia="en-US"/>
        </w:rPr>
        <w:t xml:space="preserve"> </w:t>
      </w:r>
      <w:r w:rsidR="004E7437" w:rsidRPr="004E7437">
        <w:rPr>
          <w:rFonts w:ascii="Arial Narrow" w:eastAsia="Calibri" w:hAnsi="Arial Narrow"/>
          <w:b/>
          <w:bCs/>
          <w:sz w:val="22"/>
          <w:szCs w:val="22"/>
          <w:lang w:val="en-US" w:eastAsia="en-US"/>
        </w:rPr>
        <w:t>NCA</w:t>
      </w:r>
      <w:r w:rsidRPr="006E59DD">
        <w:rPr>
          <w:rFonts w:ascii="Arial Narrow" w:eastAsia="Calibri" w:hAnsi="Arial Narrow"/>
          <w:sz w:val="22"/>
          <w:szCs w:val="22"/>
          <w:lang w:val="en-US" w:eastAsia="en-US"/>
        </w:rPr>
        <w:t xml:space="preserve">. </w:t>
      </w:r>
    </w:p>
    <w:p w14:paraId="264D2F33" w14:textId="77777777" w:rsidR="004E7437" w:rsidRPr="004E7437" w:rsidRDefault="006E59DD" w:rsidP="006E59DD">
      <w:pPr>
        <w:spacing w:after="160" w:line="259" w:lineRule="auto"/>
        <w:ind w:lef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In </w:t>
      </w:r>
      <w:r w:rsidR="004E7437" w:rsidRPr="004E7437">
        <w:rPr>
          <w:rFonts w:ascii="Arial Narrow" w:eastAsia="Calibri" w:hAnsi="Arial Narrow"/>
          <w:sz w:val="22"/>
          <w:szCs w:val="22"/>
          <w:lang w:val="en-US" w:eastAsia="en-US"/>
        </w:rPr>
        <w:t>fact</w:t>
      </w:r>
      <w:r w:rsidRPr="006E59DD">
        <w:rPr>
          <w:rFonts w:ascii="Arial Narrow" w:eastAsia="Calibri" w:hAnsi="Arial Narrow"/>
          <w:sz w:val="22"/>
          <w:szCs w:val="22"/>
          <w:lang w:val="en-US" w:eastAsia="en-US"/>
        </w:rPr>
        <w:t xml:space="preserve">, it seems that the focus has been placed on the name of Funds precisely because of the high level of transparency and supervision that the product offers. In this sense, Funds are an ideal testing ground for this kind of requirements: ESMA can conduct immediate analysis of samples, draft new rules and, if those work properly in practice, propose their application to other saving or investment products. </w:t>
      </w:r>
    </w:p>
    <w:p w14:paraId="7BDA320F" w14:textId="1D77FECB" w:rsidR="006E59DD" w:rsidRPr="006E59DD" w:rsidRDefault="006E59DD" w:rsidP="006E59DD">
      <w:pPr>
        <w:spacing w:after="160" w:line="259" w:lineRule="auto"/>
        <w:ind w:lef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However, th</w:t>
      </w:r>
      <w:r w:rsidR="004E7437" w:rsidRPr="00F14C02">
        <w:rPr>
          <w:rFonts w:ascii="Arial Narrow" w:eastAsia="Calibri" w:hAnsi="Arial Narrow"/>
          <w:sz w:val="22"/>
          <w:szCs w:val="22"/>
          <w:lang w:val="en-US" w:eastAsia="en-US"/>
        </w:rPr>
        <w:t xml:space="preserve">e above </w:t>
      </w:r>
      <w:r w:rsidRPr="006E59DD">
        <w:rPr>
          <w:rFonts w:ascii="Arial Narrow" w:eastAsia="Calibri" w:hAnsi="Arial Narrow"/>
          <w:sz w:val="22"/>
          <w:szCs w:val="22"/>
          <w:lang w:val="en-US" w:eastAsia="en-US"/>
        </w:rPr>
        <w:t xml:space="preserve">way of proceeding </w:t>
      </w:r>
      <w:r w:rsidR="004E7437" w:rsidRPr="00F14C02">
        <w:rPr>
          <w:rFonts w:ascii="Arial Narrow" w:eastAsia="Calibri" w:hAnsi="Arial Narrow"/>
          <w:sz w:val="22"/>
          <w:szCs w:val="22"/>
          <w:lang w:val="en-US" w:eastAsia="en-US"/>
        </w:rPr>
        <w:t>may u</w:t>
      </w:r>
      <w:r w:rsidRPr="006E59DD">
        <w:rPr>
          <w:rFonts w:ascii="Arial Narrow" w:eastAsia="Calibri" w:hAnsi="Arial Narrow"/>
          <w:sz w:val="22"/>
          <w:szCs w:val="22"/>
          <w:lang w:val="en-US" w:eastAsia="en-US"/>
        </w:rPr>
        <w:t xml:space="preserve">nintentionally become a threat to the confidence that </w:t>
      </w:r>
      <w:r w:rsidR="004E7437" w:rsidRPr="00F14C02">
        <w:rPr>
          <w:rFonts w:ascii="Arial Narrow" w:eastAsia="Calibri" w:hAnsi="Arial Narrow"/>
          <w:sz w:val="22"/>
          <w:szCs w:val="22"/>
          <w:lang w:val="en-US" w:eastAsia="en-US"/>
        </w:rPr>
        <w:t xml:space="preserve">investors have </w:t>
      </w:r>
      <w:r w:rsidRPr="006E59DD">
        <w:rPr>
          <w:rFonts w:ascii="Arial Narrow" w:eastAsia="Calibri" w:hAnsi="Arial Narrow"/>
          <w:sz w:val="22"/>
          <w:szCs w:val="22"/>
          <w:lang w:val="en-US" w:eastAsia="en-US"/>
        </w:rPr>
        <w:t>in Funds</w:t>
      </w:r>
      <w:r w:rsidR="00FE1265">
        <w:rPr>
          <w:rFonts w:ascii="Arial Narrow" w:eastAsia="Calibri" w:hAnsi="Arial Narrow"/>
          <w:sz w:val="22"/>
          <w:szCs w:val="22"/>
          <w:lang w:val="en-US" w:eastAsia="en-US"/>
        </w:rPr>
        <w:t xml:space="preserve">. That is, </w:t>
      </w:r>
      <w:r w:rsidR="004E7437" w:rsidRPr="00F14C02">
        <w:rPr>
          <w:rFonts w:ascii="Arial Narrow" w:eastAsia="Calibri" w:hAnsi="Arial Narrow"/>
          <w:b/>
          <w:bCs/>
          <w:sz w:val="22"/>
          <w:szCs w:val="22"/>
          <w:lang w:val="en-US" w:eastAsia="en-US"/>
        </w:rPr>
        <w:t>s</w:t>
      </w:r>
      <w:r w:rsidRPr="006E59DD">
        <w:rPr>
          <w:rFonts w:ascii="Arial Narrow" w:eastAsia="Calibri" w:hAnsi="Arial Narrow"/>
          <w:b/>
          <w:bCs/>
          <w:sz w:val="22"/>
          <w:szCs w:val="22"/>
          <w:lang w:val="en-US" w:eastAsia="en-US"/>
        </w:rPr>
        <w:t xml:space="preserve">uch a change in </w:t>
      </w:r>
      <w:r w:rsidR="00FE1265" w:rsidRPr="00F14C02">
        <w:rPr>
          <w:rFonts w:ascii="Arial Narrow" w:eastAsia="Calibri" w:hAnsi="Arial Narrow"/>
          <w:b/>
          <w:bCs/>
          <w:sz w:val="22"/>
          <w:szCs w:val="22"/>
          <w:lang w:val="en-US" w:eastAsia="en-US"/>
        </w:rPr>
        <w:t xml:space="preserve">Funds’ naming requirements </w:t>
      </w:r>
      <w:r w:rsidRPr="006E59DD">
        <w:rPr>
          <w:rFonts w:ascii="Arial Narrow" w:eastAsia="Calibri" w:hAnsi="Arial Narrow"/>
          <w:b/>
          <w:bCs/>
          <w:sz w:val="22"/>
          <w:szCs w:val="22"/>
          <w:lang w:val="en-US" w:eastAsia="en-US"/>
        </w:rPr>
        <w:t xml:space="preserve">may be understood as a problem of </w:t>
      </w:r>
      <w:r w:rsidR="004E7437" w:rsidRPr="00F14C02">
        <w:rPr>
          <w:rFonts w:ascii="Arial Narrow" w:eastAsia="Calibri" w:hAnsi="Arial Narrow"/>
          <w:b/>
          <w:bCs/>
          <w:sz w:val="22"/>
          <w:szCs w:val="22"/>
          <w:lang w:val="en-US" w:eastAsia="en-US"/>
        </w:rPr>
        <w:t xml:space="preserve">the </w:t>
      </w:r>
      <w:r w:rsidRPr="006E59DD">
        <w:rPr>
          <w:rFonts w:ascii="Arial Narrow" w:eastAsia="Calibri" w:hAnsi="Arial Narrow"/>
          <w:b/>
          <w:bCs/>
          <w:sz w:val="22"/>
          <w:szCs w:val="22"/>
          <w:lang w:val="en-US" w:eastAsia="en-US"/>
        </w:rPr>
        <w:t xml:space="preserve">product and not of </w:t>
      </w:r>
      <w:r w:rsidR="00F14C02">
        <w:rPr>
          <w:rFonts w:ascii="Arial Narrow" w:eastAsia="Calibri" w:hAnsi="Arial Narrow"/>
          <w:b/>
          <w:bCs/>
          <w:sz w:val="22"/>
          <w:szCs w:val="22"/>
          <w:lang w:val="en-US" w:eastAsia="en-US"/>
        </w:rPr>
        <w:t xml:space="preserve">prior </w:t>
      </w:r>
      <w:r w:rsidRPr="006E59DD">
        <w:rPr>
          <w:rFonts w:ascii="Arial Narrow" w:eastAsia="Calibri" w:hAnsi="Arial Narrow"/>
          <w:b/>
          <w:bCs/>
          <w:sz w:val="22"/>
          <w:szCs w:val="22"/>
          <w:lang w:val="en-US" w:eastAsia="en-US"/>
        </w:rPr>
        <w:t>applicable regulations</w:t>
      </w:r>
      <w:r w:rsidRPr="006E59DD">
        <w:rPr>
          <w:rFonts w:ascii="Arial Narrow" w:eastAsia="Calibri" w:hAnsi="Arial Narrow"/>
          <w:sz w:val="22"/>
          <w:szCs w:val="22"/>
          <w:lang w:val="en-US" w:eastAsia="en-US"/>
        </w:rPr>
        <w:t>.</w:t>
      </w:r>
    </w:p>
    <w:p w14:paraId="7CBF61EE" w14:textId="567B9E94" w:rsidR="006E59DD" w:rsidRPr="006E59DD" w:rsidRDefault="006E59DD" w:rsidP="006E59DD">
      <w:pPr>
        <w:spacing w:after="160" w:line="259" w:lineRule="auto"/>
        <w:ind w:lef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It is therefore important that the final Guidelines are framed in terms that adequately gauge the cost-benefit of new requirements.</w:t>
      </w:r>
    </w:p>
    <w:p w14:paraId="551CEAA9" w14:textId="77777777" w:rsidR="006E59DD" w:rsidRPr="006E59DD" w:rsidRDefault="006E59DD" w:rsidP="00057085">
      <w:pPr>
        <w:numPr>
          <w:ilvl w:val="0"/>
          <w:numId w:val="39"/>
        </w:numPr>
        <w:tabs>
          <w:tab w:val="left" w:pos="-284"/>
        </w:tabs>
        <w:spacing w:after="160" w:line="259" w:lineRule="auto"/>
        <w:ind w:right="-284"/>
        <w:contextualSpacing/>
        <w:jc w:val="both"/>
        <w:rPr>
          <w:rFonts w:ascii="Arial Narrow" w:eastAsia="Calibri" w:hAnsi="Arial Narrow"/>
          <w:b/>
          <w:bCs/>
          <w:sz w:val="22"/>
          <w:szCs w:val="22"/>
          <w:lang w:val="en-US" w:eastAsia="en-US"/>
        </w:rPr>
      </w:pPr>
      <w:r w:rsidRPr="006E59DD">
        <w:rPr>
          <w:rFonts w:ascii="Arial Narrow" w:eastAsia="Calibri" w:hAnsi="Arial Narrow"/>
          <w:b/>
          <w:bCs/>
          <w:sz w:val="22"/>
          <w:szCs w:val="22"/>
          <w:lang w:val="en-US" w:eastAsia="en-US"/>
        </w:rPr>
        <w:t>The appropriateness and urgency of the proposed Guidelines</w:t>
      </w:r>
    </w:p>
    <w:p w14:paraId="1A45ABA6" w14:textId="77777777" w:rsidR="006E59DD" w:rsidRDefault="006E59DD" w:rsidP="006E59DD">
      <w:pPr>
        <w:tabs>
          <w:tab w:val="left" w:pos="-284"/>
        </w:tabs>
        <w:spacing w:after="160" w:line="259" w:lineRule="auto"/>
        <w:ind w:left="284" w:right="-284"/>
        <w:jc w:val="both"/>
        <w:rPr>
          <w:rFonts w:ascii="Arial Narrow" w:eastAsia="Calibri" w:hAnsi="Arial Narrow"/>
          <w:sz w:val="22"/>
          <w:szCs w:val="22"/>
          <w:lang w:val="en-US" w:eastAsia="en-US"/>
        </w:rPr>
      </w:pPr>
    </w:p>
    <w:p w14:paraId="51633155" w14:textId="1C5615BD" w:rsidR="006E59DD" w:rsidRPr="006E59DD" w:rsidRDefault="006E59DD" w:rsidP="006E59DD">
      <w:pPr>
        <w:tabs>
          <w:tab w:val="left" w:pos="-284"/>
        </w:tabs>
        <w:spacing w:after="160" w:line="259" w:lineRule="auto"/>
        <w:ind w:left="284" w:right="-284"/>
        <w:jc w:val="both"/>
        <w:rPr>
          <w:rFonts w:ascii="Arial Narrow" w:eastAsia="Calibri" w:hAnsi="Arial Narrow"/>
          <w:sz w:val="22"/>
          <w:szCs w:val="22"/>
          <w:lang w:val="en-US" w:eastAsia="en-US"/>
        </w:rPr>
      </w:pPr>
      <w:r w:rsidRPr="006E59DD">
        <w:rPr>
          <w:rFonts w:ascii="Arial Narrow" w:eastAsia="Calibri" w:hAnsi="Arial Narrow"/>
          <w:b/>
          <w:bCs/>
          <w:sz w:val="22"/>
          <w:szCs w:val="22"/>
          <w:lang w:val="en-US" w:eastAsia="en-US"/>
        </w:rPr>
        <w:t>The naming of products according to their ESG bias would merit a calm debate at ESAs level to comprehensively address the costs and benefits of establishing this type of rules for all kind of investment and saving products that are marketed to consumers</w:t>
      </w:r>
      <w:r w:rsidR="00FE1265">
        <w:rPr>
          <w:rFonts w:ascii="Arial Narrow" w:eastAsia="Calibri" w:hAnsi="Arial Narrow"/>
          <w:sz w:val="22"/>
          <w:szCs w:val="22"/>
          <w:lang w:val="en-US" w:eastAsia="en-US"/>
        </w:rPr>
        <w:t>. Then,</w:t>
      </w:r>
      <w:r w:rsidRPr="006E59DD">
        <w:rPr>
          <w:rFonts w:ascii="Arial Narrow" w:eastAsia="Calibri" w:hAnsi="Arial Narrow"/>
          <w:sz w:val="22"/>
          <w:szCs w:val="22"/>
          <w:lang w:val="en-US" w:eastAsia="en-US"/>
        </w:rPr>
        <w:t xml:space="preserve"> </w:t>
      </w:r>
      <w:r w:rsidR="00FE1265">
        <w:rPr>
          <w:rFonts w:ascii="Arial Narrow" w:eastAsia="Calibri" w:hAnsi="Arial Narrow"/>
          <w:sz w:val="22"/>
          <w:szCs w:val="22"/>
          <w:lang w:val="en-US" w:eastAsia="en-US"/>
        </w:rPr>
        <w:t xml:space="preserve">the ESAs may </w:t>
      </w:r>
      <w:r w:rsidRPr="006E59DD">
        <w:rPr>
          <w:rFonts w:ascii="Arial Narrow" w:eastAsia="Calibri" w:hAnsi="Arial Narrow"/>
          <w:sz w:val="22"/>
          <w:szCs w:val="22"/>
          <w:lang w:val="en-US" w:eastAsia="en-US"/>
        </w:rPr>
        <w:t>propose the adoption</w:t>
      </w:r>
      <w:r w:rsidR="00FE1265">
        <w:rPr>
          <w:rFonts w:ascii="Arial Narrow" w:eastAsia="Calibri" w:hAnsi="Arial Narrow"/>
          <w:sz w:val="22"/>
          <w:szCs w:val="22"/>
          <w:lang w:val="en-US" w:eastAsia="en-US"/>
        </w:rPr>
        <w:t xml:space="preserve"> of new financial products naming rules </w:t>
      </w:r>
      <w:r w:rsidRPr="006E59DD">
        <w:rPr>
          <w:rFonts w:ascii="Arial Narrow" w:eastAsia="Calibri" w:hAnsi="Arial Narrow"/>
          <w:sz w:val="22"/>
          <w:szCs w:val="22"/>
          <w:lang w:val="en-US" w:eastAsia="en-US"/>
        </w:rPr>
        <w:t>in the context of the ordinary European legislative procedure</w:t>
      </w:r>
      <w:r w:rsidRPr="006E59DD">
        <w:rPr>
          <w:rFonts w:ascii="Arial Narrow" w:eastAsia="Calibri" w:hAnsi="Arial Narrow"/>
          <w:sz w:val="22"/>
          <w:szCs w:val="22"/>
          <w:vertAlign w:val="superscript"/>
          <w:lang w:val="en-US" w:eastAsia="en-US"/>
        </w:rPr>
        <w:footnoteReference w:id="2"/>
      </w:r>
      <w:r w:rsidRPr="006E59DD">
        <w:rPr>
          <w:rFonts w:ascii="Arial Narrow" w:eastAsia="Calibri" w:hAnsi="Arial Narrow"/>
          <w:sz w:val="22"/>
          <w:szCs w:val="22"/>
          <w:lang w:val="en-US" w:eastAsia="en-US"/>
        </w:rPr>
        <w:t xml:space="preserve">. </w:t>
      </w:r>
    </w:p>
    <w:p w14:paraId="65685ED8" w14:textId="29830FB1" w:rsidR="006E59DD" w:rsidRPr="006E59DD" w:rsidRDefault="00FE1265" w:rsidP="006E59DD">
      <w:pPr>
        <w:tabs>
          <w:tab w:val="left" w:pos="-284"/>
        </w:tabs>
        <w:spacing w:after="160" w:line="259" w:lineRule="auto"/>
        <w:ind w:left="284" w:right="-284"/>
        <w:jc w:val="both"/>
        <w:rPr>
          <w:rFonts w:ascii="Arial Narrow" w:eastAsia="Calibri" w:hAnsi="Arial Narrow"/>
          <w:sz w:val="22"/>
          <w:szCs w:val="22"/>
          <w:lang w:val="en-US" w:eastAsia="en-US"/>
        </w:rPr>
      </w:pPr>
      <w:r>
        <w:rPr>
          <w:rFonts w:ascii="Arial Narrow" w:eastAsia="Calibri" w:hAnsi="Arial Narrow"/>
          <w:sz w:val="22"/>
          <w:szCs w:val="22"/>
          <w:lang w:val="en-US" w:eastAsia="en-US"/>
        </w:rPr>
        <w:t xml:space="preserve">The proposed </w:t>
      </w:r>
      <w:r w:rsidR="00F42A47">
        <w:rPr>
          <w:rFonts w:ascii="Arial Narrow" w:eastAsia="Calibri" w:hAnsi="Arial Narrow"/>
          <w:sz w:val="22"/>
          <w:szCs w:val="22"/>
          <w:lang w:val="en-US" w:eastAsia="en-US"/>
        </w:rPr>
        <w:t xml:space="preserve">Guidelines </w:t>
      </w:r>
      <w:r w:rsidR="006E59DD" w:rsidRPr="006E59DD">
        <w:rPr>
          <w:rFonts w:ascii="Arial Narrow" w:eastAsia="Calibri" w:hAnsi="Arial Narrow"/>
          <w:sz w:val="22"/>
          <w:szCs w:val="22"/>
          <w:lang w:val="en-US" w:eastAsia="en-US"/>
        </w:rPr>
        <w:t xml:space="preserve">are not consistent, efficient, and effective supervisory practices ensuring the common, uniform and consistent application of Union law, as provided for in Article 16 of Regulation (EU) No 1095/2010 establishing ESMA (hereinafter the "ESMA Regulation") but goes much further. </w:t>
      </w:r>
      <w:r w:rsidR="006E59DD" w:rsidRPr="006E59DD">
        <w:rPr>
          <w:rFonts w:ascii="Arial Narrow" w:eastAsia="Calibri" w:hAnsi="Arial Narrow"/>
          <w:b/>
          <w:bCs/>
          <w:sz w:val="22"/>
          <w:szCs w:val="22"/>
          <w:lang w:val="en-US" w:eastAsia="en-US"/>
        </w:rPr>
        <w:t>Thresholds and additional minimum safeguards to use sustainability or ESG related terms in Funds’ names, if adopted, would constitute substantive regulation</w:t>
      </w:r>
      <w:r w:rsidR="006E59DD" w:rsidRPr="006E59DD">
        <w:rPr>
          <w:rFonts w:ascii="Arial Narrow" w:eastAsia="Calibri" w:hAnsi="Arial Narrow"/>
          <w:sz w:val="22"/>
          <w:szCs w:val="22"/>
          <w:lang w:val="en-US" w:eastAsia="en-US"/>
        </w:rPr>
        <w:t xml:space="preserve"> </w:t>
      </w:r>
      <w:r w:rsidR="006E59DD" w:rsidRPr="006E59DD">
        <w:rPr>
          <w:rFonts w:ascii="Arial Narrow" w:eastAsia="Calibri" w:hAnsi="Arial Narrow"/>
          <w:b/>
          <w:bCs/>
          <w:sz w:val="22"/>
          <w:szCs w:val="22"/>
          <w:lang w:val="en-US" w:eastAsia="en-US"/>
        </w:rPr>
        <w:t xml:space="preserve">that should be addressed by EU co-legislators when </w:t>
      </w:r>
      <w:r w:rsidR="00F42A47">
        <w:rPr>
          <w:rFonts w:ascii="Arial Narrow" w:eastAsia="Calibri" w:hAnsi="Arial Narrow"/>
          <w:b/>
          <w:bCs/>
          <w:sz w:val="22"/>
          <w:szCs w:val="22"/>
          <w:lang w:val="en-US" w:eastAsia="en-US"/>
        </w:rPr>
        <w:t xml:space="preserve">providing for new </w:t>
      </w:r>
      <w:r w:rsidR="006E59DD" w:rsidRPr="006E59DD">
        <w:rPr>
          <w:rFonts w:ascii="Arial Narrow" w:eastAsia="Calibri" w:hAnsi="Arial Narrow"/>
          <w:b/>
          <w:bCs/>
          <w:sz w:val="22"/>
          <w:szCs w:val="22"/>
          <w:lang w:val="en-US" w:eastAsia="en-US"/>
        </w:rPr>
        <w:t>ec</w:t>
      </w:r>
      <w:r w:rsidR="00F42A47">
        <w:rPr>
          <w:rFonts w:ascii="Arial Narrow" w:eastAsia="Calibri" w:hAnsi="Arial Narrow"/>
          <w:b/>
          <w:bCs/>
          <w:sz w:val="22"/>
          <w:szCs w:val="22"/>
          <w:lang w:val="en-US" w:eastAsia="en-US"/>
        </w:rPr>
        <w:t>o-</w:t>
      </w:r>
      <w:r w:rsidR="006E59DD" w:rsidRPr="006E59DD">
        <w:rPr>
          <w:rFonts w:ascii="Arial Narrow" w:eastAsia="Calibri" w:hAnsi="Arial Narrow"/>
          <w:b/>
          <w:bCs/>
          <w:sz w:val="22"/>
          <w:szCs w:val="22"/>
          <w:lang w:val="en-US" w:eastAsia="en-US"/>
        </w:rPr>
        <w:t xml:space="preserve">labels or </w:t>
      </w:r>
      <w:r w:rsidR="00F42A47">
        <w:rPr>
          <w:rFonts w:ascii="Arial Narrow" w:eastAsia="Calibri" w:hAnsi="Arial Narrow"/>
          <w:b/>
          <w:bCs/>
          <w:sz w:val="22"/>
          <w:szCs w:val="22"/>
          <w:lang w:val="en-US" w:eastAsia="en-US"/>
        </w:rPr>
        <w:t xml:space="preserve">financial products’ </w:t>
      </w:r>
      <w:r w:rsidR="006E59DD" w:rsidRPr="006E59DD">
        <w:rPr>
          <w:rFonts w:ascii="Arial Narrow" w:eastAsia="Calibri" w:hAnsi="Arial Narrow"/>
          <w:b/>
          <w:bCs/>
          <w:sz w:val="22"/>
          <w:szCs w:val="22"/>
          <w:lang w:val="en-US" w:eastAsia="en-US"/>
        </w:rPr>
        <w:t>marketing rules</w:t>
      </w:r>
      <w:r w:rsidR="006E59DD" w:rsidRPr="006E59DD">
        <w:rPr>
          <w:rFonts w:ascii="Arial Narrow" w:eastAsia="Calibri" w:hAnsi="Arial Narrow"/>
          <w:sz w:val="22"/>
          <w:szCs w:val="22"/>
          <w:lang w:val="en-US" w:eastAsia="en-US"/>
        </w:rPr>
        <w:t>.</w:t>
      </w:r>
    </w:p>
    <w:p w14:paraId="6DC7A547" w14:textId="6B22B526" w:rsidR="00F42A47" w:rsidRDefault="006E59DD" w:rsidP="006E59DD">
      <w:pPr>
        <w:tabs>
          <w:tab w:val="left" w:pos="-284"/>
        </w:tabs>
        <w:spacing w:after="160" w:line="259" w:lineRule="auto"/>
        <w:ind w:left="284" w:righ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Furthermore, Fund</w:t>
      </w:r>
      <w:r w:rsidR="00F42A47">
        <w:rPr>
          <w:rFonts w:ascii="Arial Narrow" w:eastAsia="Calibri" w:hAnsi="Arial Narrow"/>
          <w:sz w:val="22"/>
          <w:szCs w:val="22"/>
          <w:lang w:val="en-US" w:eastAsia="en-US"/>
        </w:rPr>
        <w:t>s’</w:t>
      </w:r>
      <w:r w:rsidRPr="006E59DD">
        <w:rPr>
          <w:rFonts w:ascii="Arial Narrow" w:eastAsia="Calibri" w:hAnsi="Arial Narrow"/>
          <w:sz w:val="22"/>
          <w:szCs w:val="22"/>
          <w:lang w:val="en-US" w:eastAsia="en-US"/>
        </w:rPr>
        <w:t xml:space="preserve"> names are </w:t>
      </w:r>
      <w:r w:rsidRPr="006E59DD">
        <w:rPr>
          <w:rFonts w:ascii="Arial Narrow" w:eastAsia="Calibri" w:hAnsi="Arial Narrow"/>
          <w:i/>
          <w:iCs/>
          <w:sz w:val="22"/>
          <w:szCs w:val="22"/>
          <w:lang w:val="en-US" w:eastAsia="en-US"/>
        </w:rPr>
        <w:t>passported</w:t>
      </w:r>
      <w:r w:rsidRPr="006E59DD">
        <w:rPr>
          <w:rFonts w:ascii="Arial Narrow" w:eastAsia="Calibri" w:hAnsi="Arial Narrow"/>
          <w:sz w:val="22"/>
          <w:szCs w:val="22"/>
          <w:lang w:val="en-US" w:eastAsia="en-US"/>
        </w:rPr>
        <w:t xml:space="preserve"> from the Member State of origin to the host Member State by virtue of the </w:t>
      </w:r>
      <w:r w:rsidRPr="006E59DD">
        <w:rPr>
          <w:rFonts w:ascii="Arial Narrow" w:eastAsia="Calibri" w:hAnsi="Arial Narrow"/>
          <w:i/>
          <w:iCs/>
          <w:sz w:val="22"/>
          <w:szCs w:val="22"/>
          <w:lang w:val="en-US" w:eastAsia="en-US"/>
        </w:rPr>
        <w:t>mutual recognition principle</w:t>
      </w:r>
      <w:r w:rsidRPr="006E59DD">
        <w:rPr>
          <w:rFonts w:ascii="Arial Narrow" w:eastAsia="Calibri" w:hAnsi="Arial Narrow"/>
          <w:sz w:val="22"/>
          <w:szCs w:val="22"/>
          <w:lang w:val="en-US" w:eastAsia="en-US"/>
        </w:rPr>
        <w:t xml:space="preserve"> provided by EU law. Therefore, </w:t>
      </w:r>
      <w:r w:rsidRPr="006E59DD">
        <w:rPr>
          <w:rFonts w:ascii="Arial Narrow" w:eastAsia="Calibri" w:hAnsi="Arial Narrow"/>
          <w:b/>
          <w:bCs/>
          <w:sz w:val="22"/>
          <w:szCs w:val="22"/>
          <w:lang w:val="en-US" w:eastAsia="en-US"/>
        </w:rPr>
        <w:t>to develop such a substantive regulation, ESMA should be previously empowered to draft regulatory or implementing technical standards on the naming of Funds that shall be subsequently adopted by the EC</w:t>
      </w:r>
      <w:r w:rsidRPr="006E59DD">
        <w:rPr>
          <w:rFonts w:ascii="Arial Narrow" w:eastAsia="Calibri" w:hAnsi="Arial Narrow"/>
          <w:sz w:val="22"/>
          <w:szCs w:val="22"/>
          <w:lang w:val="en-US" w:eastAsia="en-US"/>
        </w:rPr>
        <w:t xml:space="preserve">. </w:t>
      </w:r>
    </w:p>
    <w:p w14:paraId="59669103" w14:textId="193AC060" w:rsidR="006E59DD" w:rsidRPr="006E59DD" w:rsidRDefault="006E59DD" w:rsidP="006E59DD">
      <w:pPr>
        <w:tabs>
          <w:tab w:val="left" w:pos="-284"/>
        </w:tabs>
        <w:spacing w:after="160" w:line="259" w:lineRule="auto"/>
        <w:ind w:left="284" w:righ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Indeed, the issue of the naming of funds is currently being discussed in the co</w:t>
      </w:r>
      <w:r w:rsidR="00F42A47">
        <w:rPr>
          <w:rFonts w:ascii="Arial Narrow" w:eastAsia="Calibri" w:hAnsi="Arial Narrow"/>
          <w:sz w:val="22"/>
          <w:szCs w:val="22"/>
          <w:lang w:val="en-US" w:eastAsia="en-US"/>
        </w:rPr>
        <w:t xml:space="preserve">ntext </w:t>
      </w:r>
      <w:r w:rsidRPr="006E59DD">
        <w:rPr>
          <w:rFonts w:ascii="Arial Narrow" w:eastAsia="Calibri" w:hAnsi="Arial Narrow"/>
          <w:sz w:val="22"/>
          <w:szCs w:val="22"/>
          <w:lang w:val="en-US" w:eastAsia="en-US"/>
        </w:rPr>
        <w:t>of the reform of the AIFM</w:t>
      </w:r>
      <w:r w:rsidR="00F42A47">
        <w:rPr>
          <w:rFonts w:ascii="Arial Narrow" w:eastAsia="Calibri" w:hAnsi="Arial Narrow"/>
          <w:sz w:val="22"/>
          <w:szCs w:val="22"/>
          <w:lang w:val="en-US" w:eastAsia="en-US"/>
        </w:rPr>
        <w:t>D</w:t>
      </w:r>
      <w:r w:rsidRPr="006E59DD">
        <w:rPr>
          <w:rFonts w:ascii="Arial Narrow" w:eastAsia="Calibri" w:hAnsi="Arial Narrow"/>
          <w:sz w:val="22"/>
          <w:szCs w:val="22"/>
          <w:lang w:val="en-US" w:eastAsia="en-US"/>
        </w:rPr>
        <w:t xml:space="preserve"> and UCITS Directive. </w:t>
      </w:r>
      <w:r w:rsidR="00F42A47">
        <w:rPr>
          <w:rFonts w:ascii="Arial Narrow" w:eastAsia="Calibri" w:hAnsi="Arial Narrow"/>
          <w:sz w:val="22"/>
          <w:szCs w:val="22"/>
          <w:lang w:val="en-US" w:eastAsia="en-US"/>
        </w:rPr>
        <w:t xml:space="preserve">Such reform </w:t>
      </w:r>
      <w:r w:rsidRPr="006E59DD">
        <w:rPr>
          <w:rFonts w:ascii="Arial Narrow" w:eastAsia="Calibri" w:hAnsi="Arial Narrow"/>
          <w:sz w:val="22"/>
          <w:szCs w:val="22"/>
          <w:lang w:val="en-US" w:eastAsia="en-US"/>
        </w:rPr>
        <w:t xml:space="preserve">could serve as a gateway for sustainable fund naming requirements but </w:t>
      </w:r>
      <w:r w:rsidR="00F42A47">
        <w:rPr>
          <w:rFonts w:ascii="Arial Narrow" w:eastAsia="Calibri" w:hAnsi="Arial Narrow"/>
          <w:sz w:val="22"/>
          <w:szCs w:val="22"/>
          <w:lang w:val="en-US" w:eastAsia="en-US"/>
        </w:rPr>
        <w:t xml:space="preserve">has not </w:t>
      </w:r>
      <w:r w:rsidRPr="006E59DD">
        <w:rPr>
          <w:rFonts w:ascii="Arial Narrow" w:eastAsia="Calibri" w:hAnsi="Arial Narrow"/>
          <w:sz w:val="22"/>
          <w:szCs w:val="22"/>
          <w:lang w:val="en-US" w:eastAsia="en-US"/>
        </w:rPr>
        <w:t xml:space="preserve">yet </w:t>
      </w:r>
      <w:r w:rsidR="00F42A47">
        <w:rPr>
          <w:rFonts w:ascii="Arial Narrow" w:eastAsia="Calibri" w:hAnsi="Arial Narrow"/>
          <w:sz w:val="22"/>
          <w:szCs w:val="22"/>
          <w:lang w:val="en-US" w:eastAsia="en-US"/>
        </w:rPr>
        <w:t xml:space="preserve">been </w:t>
      </w:r>
      <w:r w:rsidRPr="006E59DD">
        <w:rPr>
          <w:rFonts w:ascii="Arial Narrow" w:eastAsia="Calibri" w:hAnsi="Arial Narrow"/>
          <w:sz w:val="22"/>
          <w:szCs w:val="22"/>
          <w:lang w:val="en-US" w:eastAsia="en-US"/>
        </w:rPr>
        <w:t>approved</w:t>
      </w:r>
      <w:r w:rsidR="004406C8">
        <w:rPr>
          <w:rFonts w:ascii="Arial Narrow" w:eastAsia="Calibri" w:hAnsi="Arial Narrow"/>
          <w:sz w:val="22"/>
          <w:szCs w:val="22"/>
          <w:lang w:val="en-US" w:eastAsia="en-US"/>
        </w:rPr>
        <w:t xml:space="preserve"> and, i</w:t>
      </w:r>
      <w:r w:rsidRPr="006E59DD">
        <w:rPr>
          <w:rFonts w:ascii="Arial Narrow" w:eastAsia="Calibri" w:hAnsi="Arial Narrow"/>
          <w:sz w:val="22"/>
          <w:szCs w:val="22"/>
          <w:lang w:val="en-US" w:eastAsia="en-US"/>
        </w:rPr>
        <w:t xml:space="preserve">n the meanwhile, ESMA </w:t>
      </w:r>
      <w:r w:rsidR="00F42A47">
        <w:rPr>
          <w:rFonts w:ascii="Arial Narrow" w:eastAsia="Calibri" w:hAnsi="Arial Narrow"/>
          <w:sz w:val="22"/>
          <w:szCs w:val="22"/>
          <w:lang w:val="en-US" w:eastAsia="en-US"/>
        </w:rPr>
        <w:t xml:space="preserve">should </w:t>
      </w:r>
      <w:r w:rsidRPr="006E59DD">
        <w:rPr>
          <w:rFonts w:ascii="Arial Narrow" w:eastAsia="Calibri" w:hAnsi="Arial Narrow"/>
          <w:sz w:val="22"/>
          <w:szCs w:val="22"/>
          <w:lang w:val="en-US" w:eastAsia="en-US"/>
        </w:rPr>
        <w:t xml:space="preserve">not provide for guidelines ignoring </w:t>
      </w:r>
      <w:r w:rsidR="00F42A47">
        <w:rPr>
          <w:rFonts w:ascii="Arial Narrow" w:eastAsia="Calibri" w:hAnsi="Arial Narrow"/>
          <w:sz w:val="22"/>
          <w:szCs w:val="22"/>
          <w:lang w:val="en-US" w:eastAsia="en-US"/>
        </w:rPr>
        <w:t>all the above</w:t>
      </w:r>
      <w:r w:rsidRPr="006E59DD">
        <w:rPr>
          <w:rFonts w:ascii="Arial Narrow" w:eastAsia="Calibri" w:hAnsi="Arial Narrow"/>
          <w:sz w:val="22"/>
          <w:szCs w:val="22"/>
          <w:lang w:val="en-US" w:eastAsia="en-US"/>
        </w:rPr>
        <w:t>.</w:t>
      </w:r>
    </w:p>
    <w:p w14:paraId="4ED610EE" w14:textId="622EB8A4" w:rsidR="006E59DD" w:rsidRPr="006E59DD" w:rsidRDefault="004406C8" w:rsidP="006E59DD">
      <w:pPr>
        <w:tabs>
          <w:tab w:val="left" w:pos="-284"/>
        </w:tabs>
        <w:spacing w:after="160" w:line="259" w:lineRule="auto"/>
        <w:ind w:left="284" w:right="-284"/>
        <w:jc w:val="both"/>
        <w:rPr>
          <w:rFonts w:ascii="Arial Narrow" w:eastAsia="Calibri" w:hAnsi="Arial Narrow"/>
          <w:sz w:val="22"/>
          <w:szCs w:val="22"/>
          <w:lang w:val="en-US" w:eastAsia="en-US"/>
        </w:rPr>
      </w:pPr>
      <w:r w:rsidRPr="004406C8">
        <w:rPr>
          <w:rFonts w:ascii="Arial Narrow" w:eastAsia="Calibri" w:hAnsi="Arial Narrow"/>
          <w:sz w:val="22"/>
          <w:szCs w:val="22"/>
          <w:lang w:val="en-US" w:eastAsia="en-US"/>
        </w:rPr>
        <w:t xml:space="preserve">Thus, </w:t>
      </w:r>
      <w:r w:rsidR="006E59DD" w:rsidRPr="006E59DD">
        <w:rPr>
          <w:rFonts w:ascii="Arial Narrow" w:eastAsia="Calibri" w:hAnsi="Arial Narrow"/>
          <w:sz w:val="22"/>
          <w:szCs w:val="22"/>
          <w:lang w:val="en-US" w:eastAsia="en-US"/>
        </w:rPr>
        <w:t xml:space="preserve">the approach adopted by ESMA in its Supervisory Instructions for NCAs of May 2022, which effectively focuses on achieving convergence in the application of the regulations, is much more appropriate. </w:t>
      </w:r>
    </w:p>
    <w:p w14:paraId="0554696F" w14:textId="77777777" w:rsidR="006E59DD" w:rsidRPr="006E59DD" w:rsidRDefault="006E59DD" w:rsidP="006E59DD">
      <w:pPr>
        <w:tabs>
          <w:tab w:val="left" w:pos="-284"/>
        </w:tabs>
        <w:spacing w:after="160" w:line="259" w:lineRule="auto"/>
        <w:ind w:left="284" w:right="-284"/>
        <w:jc w:val="both"/>
        <w:rPr>
          <w:rFonts w:ascii="Arial Narrow" w:eastAsia="Calibri" w:hAnsi="Arial Narrow"/>
          <w:sz w:val="22"/>
          <w:szCs w:val="22"/>
          <w:lang w:val="en-US" w:eastAsia="en-US"/>
        </w:rPr>
      </w:pPr>
    </w:p>
    <w:p w14:paraId="125D7B2D" w14:textId="77777777" w:rsidR="006E59DD" w:rsidRPr="006E59DD" w:rsidRDefault="006E59DD" w:rsidP="00057085">
      <w:pPr>
        <w:numPr>
          <w:ilvl w:val="0"/>
          <w:numId w:val="39"/>
        </w:numPr>
        <w:tabs>
          <w:tab w:val="left" w:pos="-284"/>
        </w:tabs>
        <w:spacing w:after="160" w:line="259" w:lineRule="auto"/>
        <w:ind w:right="-284"/>
        <w:contextualSpacing/>
        <w:jc w:val="both"/>
        <w:rPr>
          <w:rFonts w:ascii="Arial Narrow" w:eastAsia="Calibri" w:hAnsi="Arial Narrow"/>
          <w:b/>
          <w:bCs/>
          <w:sz w:val="22"/>
          <w:szCs w:val="22"/>
          <w:lang w:val="en-US" w:eastAsia="en-US"/>
        </w:rPr>
      </w:pPr>
      <w:r w:rsidRPr="006E59DD">
        <w:rPr>
          <w:rFonts w:ascii="Arial Narrow" w:eastAsia="Calibri" w:hAnsi="Arial Narrow"/>
          <w:b/>
          <w:bCs/>
          <w:sz w:val="22"/>
          <w:szCs w:val="22"/>
          <w:lang w:val="en-US" w:eastAsia="en-US"/>
        </w:rPr>
        <w:t>The need for adoption by all European supervisors</w:t>
      </w:r>
    </w:p>
    <w:p w14:paraId="6C717487" w14:textId="77777777" w:rsidR="006E59DD" w:rsidRDefault="006E59DD" w:rsidP="006E59DD">
      <w:pPr>
        <w:tabs>
          <w:tab w:val="left" w:pos="-284"/>
        </w:tabs>
        <w:spacing w:after="160" w:line="259" w:lineRule="auto"/>
        <w:ind w:left="284" w:right="-284"/>
        <w:jc w:val="both"/>
        <w:rPr>
          <w:rFonts w:ascii="Arial Narrow" w:eastAsia="Calibri" w:hAnsi="Arial Narrow"/>
          <w:sz w:val="22"/>
          <w:szCs w:val="22"/>
          <w:lang w:val="en-US" w:eastAsia="en-US"/>
        </w:rPr>
      </w:pPr>
    </w:p>
    <w:p w14:paraId="0C36624A" w14:textId="40BE1E6E" w:rsidR="006E59DD" w:rsidRPr="006E59DD" w:rsidRDefault="006E59DD" w:rsidP="006E59DD">
      <w:pPr>
        <w:tabs>
          <w:tab w:val="left" w:pos="-284"/>
        </w:tabs>
        <w:spacing w:after="160" w:line="259" w:lineRule="auto"/>
        <w:ind w:left="284" w:righ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If the ESMA Guidelines are to have any success in terms of standardization, they need to be adopted by all NCAs in the Member States. </w:t>
      </w:r>
      <w:r w:rsidR="004E5D98">
        <w:rPr>
          <w:rFonts w:ascii="Arial Narrow" w:eastAsia="Calibri" w:hAnsi="Arial Narrow"/>
          <w:sz w:val="22"/>
          <w:szCs w:val="22"/>
          <w:lang w:val="en-US" w:eastAsia="en-US"/>
        </w:rPr>
        <w:t>However, this is</w:t>
      </w:r>
      <w:r w:rsidR="004406C8">
        <w:rPr>
          <w:rFonts w:ascii="Arial Narrow" w:eastAsia="Calibri" w:hAnsi="Arial Narrow"/>
          <w:sz w:val="22"/>
          <w:szCs w:val="22"/>
          <w:lang w:val="en-US" w:eastAsia="en-US"/>
        </w:rPr>
        <w:t xml:space="preserve"> unlikely since the proposed Guidelines have </w:t>
      </w:r>
      <w:r w:rsidR="004406C8" w:rsidRPr="004406C8">
        <w:rPr>
          <w:rFonts w:ascii="Arial Narrow" w:eastAsia="Calibri" w:hAnsi="Arial Narrow"/>
          <w:sz w:val="22"/>
          <w:szCs w:val="22"/>
          <w:lang w:val="en-US" w:eastAsia="en-US"/>
        </w:rPr>
        <w:t>a strong impact on the catalogue of Funds already registered</w:t>
      </w:r>
      <w:r w:rsidR="004406C8">
        <w:rPr>
          <w:rFonts w:ascii="Arial Narrow" w:eastAsia="Calibri" w:hAnsi="Arial Narrow"/>
          <w:sz w:val="22"/>
          <w:szCs w:val="22"/>
          <w:lang w:val="en-US" w:eastAsia="en-US"/>
        </w:rPr>
        <w:t xml:space="preserve"> and are d</w:t>
      </w:r>
      <w:r w:rsidR="004406C8" w:rsidRPr="004406C8">
        <w:rPr>
          <w:rFonts w:ascii="Arial Narrow" w:eastAsia="Calibri" w:hAnsi="Arial Narrow"/>
          <w:sz w:val="22"/>
          <w:szCs w:val="22"/>
          <w:lang w:val="en-US" w:eastAsia="en-US"/>
        </w:rPr>
        <w:t>isruptive for the Funds market.</w:t>
      </w:r>
    </w:p>
    <w:p w14:paraId="54523FE8" w14:textId="6D03B5FA" w:rsidR="006E59DD" w:rsidRPr="006E59DD" w:rsidRDefault="004E5D98" w:rsidP="006E59DD">
      <w:pPr>
        <w:tabs>
          <w:tab w:val="left" w:pos="-284"/>
        </w:tabs>
        <w:spacing w:after="160" w:line="259" w:lineRule="auto"/>
        <w:ind w:left="284" w:right="-284"/>
        <w:jc w:val="both"/>
        <w:rPr>
          <w:rFonts w:ascii="Arial Narrow" w:eastAsia="Calibri" w:hAnsi="Arial Narrow"/>
          <w:sz w:val="22"/>
          <w:szCs w:val="22"/>
          <w:lang w:val="en-US" w:eastAsia="en-US"/>
        </w:rPr>
      </w:pPr>
      <w:r>
        <w:rPr>
          <w:rFonts w:ascii="Arial Narrow" w:eastAsia="Calibri" w:hAnsi="Arial Narrow"/>
          <w:sz w:val="22"/>
          <w:szCs w:val="22"/>
          <w:lang w:val="en-US" w:eastAsia="en-US"/>
        </w:rPr>
        <w:t>F</w:t>
      </w:r>
      <w:r w:rsidR="006E59DD" w:rsidRPr="006E59DD">
        <w:rPr>
          <w:rFonts w:ascii="Arial Narrow" w:eastAsia="Calibri" w:hAnsi="Arial Narrow"/>
          <w:sz w:val="22"/>
          <w:szCs w:val="22"/>
          <w:lang w:val="en-US" w:eastAsia="en-US"/>
        </w:rPr>
        <w:t xml:space="preserve">unds whose NCAs do not adhere to the Guidelines would be in a </w:t>
      </w:r>
      <w:r>
        <w:rPr>
          <w:rFonts w:ascii="Arial Narrow" w:eastAsia="Calibri" w:hAnsi="Arial Narrow"/>
          <w:sz w:val="22"/>
          <w:szCs w:val="22"/>
          <w:lang w:val="en-US" w:eastAsia="en-US"/>
        </w:rPr>
        <w:t xml:space="preserve">better </w:t>
      </w:r>
      <w:r w:rsidR="006E59DD" w:rsidRPr="006E59DD">
        <w:rPr>
          <w:rFonts w:ascii="Arial Narrow" w:eastAsia="Calibri" w:hAnsi="Arial Narrow"/>
          <w:sz w:val="22"/>
          <w:szCs w:val="22"/>
          <w:lang w:val="en-US" w:eastAsia="en-US"/>
        </w:rPr>
        <w:t xml:space="preserve">position, </w:t>
      </w:r>
      <w:r>
        <w:rPr>
          <w:rFonts w:ascii="Arial Narrow" w:eastAsia="Calibri" w:hAnsi="Arial Narrow"/>
          <w:sz w:val="22"/>
          <w:szCs w:val="22"/>
          <w:lang w:val="en-US" w:eastAsia="en-US"/>
        </w:rPr>
        <w:t xml:space="preserve">giving rise to </w:t>
      </w:r>
      <w:r w:rsidR="006E59DD" w:rsidRPr="006E59DD">
        <w:rPr>
          <w:rFonts w:ascii="Arial Narrow" w:eastAsia="Calibri" w:hAnsi="Arial Narrow"/>
          <w:sz w:val="22"/>
          <w:szCs w:val="22"/>
          <w:lang w:val="en-US" w:eastAsia="en-US"/>
        </w:rPr>
        <w:t>a</w:t>
      </w:r>
      <w:r>
        <w:rPr>
          <w:rFonts w:ascii="Arial Narrow" w:eastAsia="Calibri" w:hAnsi="Arial Narrow"/>
          <w:sz w:val="22"/>
          <w:szCs w:val="22"/>
          <w:lang w:val="en-US" w:eastAsia="en-US"/>
        </w:rPr>
        <w:t xml:space="preserve"> </w:t>
      </w:r>
      <w:r w:rsidR="006E59DD" w:rsidRPr="006E59DD">
        <w:rPr>
          <w:rFonts w:ascii="Arial Narrow" w:eastAsia="Calibri" w:hAnsi="Arial Narrow"/>
          <w:sz w:val="22"/>
          <w:szCs w:val="22"/>
          <w:lang w:val="en-US" w:eastAsia="en-US"/>
        </w:rPr>
        <w:t xml:space="preserve">problem (heterogeneity between countries) </w:t>
      </w:r>
      <w:r>
        <w:rPr>
          <w:rFonts w:ascii="Arial Narrow" w:eastAsia="Calibri" w:hAnsi="Arial Narrow"/>
          <w:sz w:val="22"/>
          <w:szCs w:val="22"/>
          <w:lang w:val="en-US" w:eastAsia="en-US"/>
        </w:rPr>
        <w:t xml:space="preserve">additional </w:t>
      </w:r>
      <w:r w:rsidR="006E59DD" w:rsidRPr="006E59DD">
        <w:rPr>
          <w:rFonts w:ascii="Arial Narrow" w:eastAsia="Calibri" w:hAnsi="Arial Narrow"/>
          <w:sz w:val="22"/>
          <w:szCs w:val="22"/>
          <w:lang w:val="en-US" w:eastAsia="en-US"/>
        </w:rPr>
        <w:t xml:space="preserve">to the one that </w:t>
      </w:r>
      <w:r>
        <w:rPr>
          <w:rFonts w:ascii="Arial Narrow" w:eastAsia="Calibri" w:hAnsi="Arial Narrow"/>
          <w:sz w:val="22"/>
          <w:szCs w:val="22"/>
          <w:lang w:val="en-US" w:eastAsia="en-US"/>
        </w:rPr>
        <w:t xml:space="preserve">is intended </w:t>
      </w:r>
      <w:r w:rsidR="006E59DD" w:rsidRPr="006E59DD">
        <w:rPr>
          <w:rFonts w:ascii="Arial Narrow" w:eastAsia="Calibri" w:hAnsi="Arial Narrow"/>
          <w:sz w:val="22"/>
          <w:szCs w:val="22"/>
          <w:lang w:val="en-US" w:eastAsia="en-US"/>
        </w:rPr>
        <w:t xml:space="preserve">to be </w:t>
      </w:r>
      <w:r>
        <w:rPr>
          <w:rFonts w:ascii="Arial Narrow" w:eastAsia="Calibri" w:hAnsi="Arial Narrow"/>
          <w:sz w:val="22"/>
          <w:szCs w:val="22"/>
          <w:lang w:val="en-US" w:eastAsia="en-US"/>
        </w:rPr>
        <w:t xml:space="preserve">fixed </w:t>
      </w:r>
      <w:r w:rsidR="006E59DD" w:rsidRPr="006E59DD">
        <w:rPr>
          <w:rFonts w:ascii="Arial Narrow" w:eastAsia="Calibri" w:hAnsi="Arial Narrow"/>
          <w:sz w:val="22"/>
          <w:szCs w:val="22"/>
          <w:lang w:val="en-US" w:eastAsia="en-US"/>
        </w:rPr>
        <w:t>(</w:t>
      </w:r>
      <w:r>
        <w:rPr>
          <w:rFonts w:ascii="Arial Narrow" w:eastAsia="Calibri" w:hAnsi="Arial Narrow"/>
          <w:sz w:val="22"/>
          <w:szCs w:val="22"/>
          <w:lang w:val="en-US" w:eastAsia="en-US"/>
        </w:rPr>
        <w:t xml:space="preserve">heterogeneity between </w:t>
      </w:r>
      <w:r w:rsidR="006E59DD" w:rsidRPr="006E59DD">
        <w:rPr>
          <w:rFonts w:ascii="Arial Narrow" w:eastAsia="Calibri" w:hAnsi="Arial Narrow"/>
          <w:sz w:val="22"/>
          <w:szCs w:val="22"/>
          <w:lang w:val="en-US" w:eastAsia="en-US"/>
        </w:rPr>
        <w:t>product</w:t>
      </w:r>
      <w:r>
        <w:rPr>
          <w:rFonts w:ascii="Arial Narrow" w:eastAsia="Calibri" w:hAnsi="Arial Narrow"/>
          <w:sz w:val="22"/>
          <w:szCs w:val="22"/>
          <w:lang w:val="en-US" w:eastAsia="en-US"/>
        </w:rPr>
        <w:t>s</w:t>
      </w:r>
      <w:r w:rsidR="006E59DD" w:rsidRPr="006E59DD">
        <w:rPr>
          <w:rFonts w:ascii="Arial Narrow" w:eastAsia="Calibri" w:hAnsi="Arial Narrow"/>
          <w:sz w:val="22"/>
          <w:szCs w:val="22"/>
          <w:lang w:val="en-US" w:eastAsia="en-US"/>
        </w:rPr>
        <w:t>).</w:t>
      </w:r>
      <w:r>
        <w:rPr>
          <w:rFonts w:ascii="Arial Narrow" w:eastAsia="Calibri" w:hAnsi="Arial Narrow"/>
          <w:sz w:val="22"/>
          <w:szCs w:val="22"/>
          <w:lang w:val="en-US" w:eastAsia="en-US"/>
        </w:rPr>
        <w:t xml:space="preserve"> </w:t>
      </w:r>
      <w:r w:rsidR="006E59DD" w:rsidRPr="006E59DD">
        <w:rPr>
          <w:rFonts w:ascii="Arial Narrow" w:eastAsia="Calibri" w:hAnsi="Arial Narrow"/>
          <w:sz w:val="22"/>
          <w:szCs w:val="22"/>
          <w:lang w:val="en-US" w:eastAsia="en-US"/>
        </w:rPr>
        <w:t>This would</w:t>
      </w:r>
      <w:r>
        <w:rPr>
          <w:rFonts w:ascii="Arial Narrow" w:eastAsia="Calibri" w:hAnsi="Arial Narrow"/>
          <w:sz w:val="22"/>
          <w:szCs w:val="22"/>
          <w:lang w:val="en-US" w:eastAsia="en-US"/>
        </w:rPr>
        <w:t>,</w:t>
      </w:r>
      <w:r w:rsidR="006E59DD" w:rsidRPr="006E59DD">
        <w:rPr>
          <w:rFonts w:ascii="Arial Narrow" w:eastAsia="Calibri" w:hAnsi="Arial Narrow"/>
          <w:sz w:val="22"/>
          <w:szCs w:val="22"/>
          <w:lang w:val="en-US" w:eastAsia="en-US"/>
        </w:rPr>
        <w:t xml:space="preserve"> </w:t>
      </w:r>
      <w:r>
        <w:rPr>
          <w:rFonts w:ascii="Arial Narrow" w:eastAsia="Calibri" w:hAnsi="Arial Narrow"/>
          <w:sz w:val="22"/>
          <w:szCs w:val="22"/>
          <w:lang w:val="en-US" w:eastAsia="en-US"/>
        </w:rPr>
        <w:t xml:space="preserve">in turn, </w:t>
      </w:r>
      <w:r w:rsidR="006E59DD" w:rsidRPr="006E59DD">
        <w:rPr>
          <w:rFonts w:ascii="Arial Narrow" w:eastAsia="Calibri" w:hAnsi="Arial Narrow"/>
          <w:sz w:val="22"/>
          <w:szCs w:val="22"/>
          <w:lang w:val="en-US" w:eastAsia="en-US"/>
        </w:rPr>
        <w:t xml:space="preserve">threat the confidence in the </w:t>
      </w:r>
      <w:r w:rsidRPr="004E5D98">
        <w:rPr>
          <w:rFonts w:ascii="Arial Narrow" w:eastAsia="Calibri" w:hAnsi="Arial Narrow"/>
          <w:sz w:val="22"/>
          <w:szCs w:val="22"/>
          <w:lang w:val="en-US" w:eastAsia="en-US"/>
        </w:rPr>
        <w:t>single European financial market</w:t>
      </w:r>
      <w:r w:rsidR="006E59DD" w:rsidRPr="006E59DD">
        <w:rPr>
          <w:rFonts w:ascii="Arial Narrow" w:eastAsia="Calibri" w:hAnsi="Arial Narrow"/>
          <w:sz w:val="22"/>
          <w:szCs w:val="22"/>
          <w:lang w:val="en-US" w:eastAsia="en-US"/>
        </w:rPr>
        <w:t xml:space="preserve">.  </w:t>
      </w:r>
    </w:p>
    <w:p w14:paraId="726A7F52" w14:textId="455BAFDB" w:rsidR="006E59DD" w:rsidRDefault="00F14C02" w:rsidP="006E59DD">
      <w:pPr>
        <w:tabs>
          <w:tab w:val="left" w:pos="-284"/>
        </w:tabs>
        <w:spacing w:after="160" w:line="259" w:lineRule="auto"/>
        <w:ind w:left="284" w:right="-284"/>
        <w:jc w:val="both"/>
        <w:rPr>
          <w:rFonts w:ascii="Arial Narrow" w:eastAsia="Calibri" w:hAnsi="Arial Narrow"/>
          <w:sz w:val="22"/>
          <w:szCs w:val="22"/>
          <w:lang w:val="en-US" w:eastAsia="en-US"/>
        </w:rPr>
      </w:pPr>
      <w:r>
        <w:rPr>
          <w:rFonts w:ascii="Arial Narrow" w:eastAsia="Calibri" w:hAnsi="Arial Narrow"/>
          <w:sz w:val="22"/>
          <w:szCs w:val="22"/>
          <w:lang w:val="en-US" w:eastAsia="en-US"/>
        </w:rPr>
        <w:t>F</w:t>
      </w:r>
      <w:r w:rsidR="006E59DD" w:rsidRPr="006E59DD">
        <w:rPr>
          <w:rFonts w:ascii="Arial Narrow" w:eastAsia="Calibri" w:hAnsi="Arial Narrow"/>
          <w:sz w:val="22"/>
          <w:szCs w:val="22"/>
          <w:lang w:val="en-US" w:eastAsia="en-US"/>
        </w:rPr>
        <w:t xml:space="preserve">or the ESMA Guidelines to fulfill their intended purpose, </w:t>
      </w:r>
      <w:r>
        <w:rPr>
          <w:rFonts w:ascii="Arial Narrow" w:eastAsia="Calibri" w:hAnsi="Arial Narrow"/>
          <w:sz w:val="22"/>
          <w:szCs w:val="22"/>
          <w:lang w:val="en-US" w:eastAsia="en-US"/>
        </w:rPr>
        <w:t>the adherence of all the NCAs is key</w:t>
      </w:r>
      <w:r w:rsidR="006E59DD" w:rsidRPr="006E59DD">
        <w:rPr>
          <w:rFonts w:ascii="Arial Narrow" w:eastAsia="Calibri" w:hAnsi="Arial Narrow"/>
          <w:sz w:val="22"/>
          <w:szCs w:val="22"/>
          <w:lang w:val="en-US" w:eastAsia="en-US"/>
        </w:rPr>
        <w:t xml:space="preserve">. Otherwise, the ESMA Guidelines themselves would end up being an obstacle to the achievement of the single market, either by being an element of differentiation in </w:t>
      </w:r>
      <w:r>
        <w:rPr>
          <w:rFonts w:ascii="Arial Narrow" w:eastAsia="Calibri" w:hAnsi="Arial Narrow"/>
          <w:sz w:val="22"/>
          <w:szCs w:val="22"/>
          <w:lang w:val="en-US" w:eastAsia="en-US"/>
        </w:rPr>
        <w:t xml:space="preserve">funds </w:t>
      </w:r>
      <w:r w:rsidR="006E59DD" w:rsidRPr="006E59DD">
        <w:rPr>
          <w:rFonts w:ascii="Arial Narrow" w:eastAsia="Calibri" w:hAnsi="Arial Narrow"/>
          <w:sz w:val="22"/>
          <w:szCs w:val="22"/>
          <w:lang w:val="en-US" w:eastAsia="en-US"/>
        </w:rPr>
        <w:t xml:space="preserve">regulation, or by being an instrument that limits the operation of the European </w:t>
      </w:r>
      <w:r w:rsidR="006E59DD" w:rsidRPr="006E59DD">
        <w:rPr>
          <w:rFonts w:ascii="Arial Narrow" w:eastAsia="Calibri" w:hAnsi="Arial Narrow"/>
          <w:i/>
          <w:iCs/>
          <w:sz w:val="22"/>
          <w:szCs w:val="22"/>
          <w:lang w:val="en-US" w:eastAsia="en-US"/>
        </w:rPr>
        <w:t>passport</w:t>
      </w:r>
      <w:r>
        <w:rPr>
          <w:rFonts w:ascii="Arial Narrow" w:eastAsia="Calibri" w:hAnsi="Arial Narrow"/>
          <w:sz w:val="22"/>
          <w:szCs w:val="22"/>
          <w:lang w:val="en-US" w:eastAsia="en-US"/>
        </w:rPr>
        <w:t xml:space="preserve"> (</w:t>
      </w:r>
      <w:r w:rsidR="006E59DD" w:rsidRPr="006E59DD">
        <w:rPr>
          <w:rFonts w:ascii="Arial Narrow" w:eastAsia="Calibri" w:hAnsi="Arial Narrow"/>
          <w:sz w:val="22"/>
          <w:szCs w:val="22"/>
          <w:lang w:val="en-US" w:eastAsia="en-US"/>
        </w:rPr>
        <w:t>calling into question the principle of mutual recognition of Funds authorized in another Member State</w:t>
      </w:r>
      <w:r>
        <w:rPr>
          <w:rFonts w:ascii="Arial Narrow" w:eastAsia="Calibri" w:hAnsi="Arial Narrow"/>
          <w:sz w:val="22"/>
          <w:szCs w:val="22"/>
          <w:lang w:val="en-US" w:eastAsia="en-US"/>
        </w:rPr>
        <w:t>)</w:t>
      </w:r>
      <w:r w:rsidR="006E59DD" w:rsidRPr="006E59DD">
        <w:rPr>
          <w:rFonts w:ascii="Arial Narrow" w:eastAsia="Calibri" w:hAnsi="Arial Narrow"/>
          <w:sz w:val="22"/>
          <w:szCs w:val="22"/>
          <w:lang w:val="en-US" w:eastAsia="en-US"/>
        </w:rPr>
        <w:t>.</w:t>
      </w:r>
    </w:p>
    <w:p w14:paraId="528E2825" w14:textId="77777777" w:rsidR="006E59DD" w:rsidRPr="006E59DD" w:rsidRDefault="006E59DD" w:rsidP="006E59DD">
      <w:pPr>
        <w:tabs>
          <w:tab w:val="left" w:pos="-284"/>
        </w:tabs>
        <w:spacing w:after="160" w:line="259" w:lineRule="auto"/>
        <w:ind w:left="284" w:right="-284"/>
        <w:jc w:val="both"/>
        <w:rPr>
          <w:rFonts w:ascii="Arial Narrow" w:eastAsia="Calibri" w:hAnsi="Arial Narrow"/>
          <w:sz w:val="22"/>
          <w:szCs w:val="22"/>
          <w:lang w:val="en-US" w:eastAsia="en-US"/>
        </w:rPr>
      </w:pPr>
    </w:p>
    <w:p w14:paraId="7AA35709" w14:textId="77777777" w:rsidR="006E59DD" w:rsidRPr="006E59DD" w:rsidRDefault="006E59DD" w:rsidP="00057085">
      <w:pPr>
        <w:numPr>
          <w:ilvl w:val="0"/>
          <w:numId w:val="39"/>
        </w:numPr>
        <w:tabs>
          <w:tab w:val="left" w:pos="-284"/>
        </w:tabs>
        <w:spacing w:after="160" w:line="259" w:lineRule="auto"/>
        <w:ind w:right="-284"/>
        <w:contextualSpacing/>
        <w:jc w:val="both"/>
        <w:rPr>
          <w:rFonts w:ascii="Arial Narrow" w:eastAsia="Calibri" w:hAnsi="Arial Narrow"/>
          <w:b/>
          <w:bCs/>
          <w:sz w:val="22"/>
          <w:szCs w:val="22"/>
          <w:lang w:val="en-US" w:eastAsia="en-US"/>
        </w:rPr>
      </w:pPr>
      <w:r w:rsidRPr="006E59DD">
        <w:rPr>
          <w:rFonts w:ascii="Arial Narrow" w:eastAsia="Calibri" w:hAnsi="Arial Narrow"/>
          <w:b/>
          <w:bCs/>
          <w:sz w:val="22"/>
          <w:szCs w:val="22"/>
          <w:lang w:val="en-US" w:eastAsia="en-US"/>
        </w:rPr>
        <w:t>Possible undesired effects of the Guidelines in their current wording</w:t>
      </w:r>
    </w:p>
    <w:p w14:paraId="5918A041" w14:textId="77777777" w:rsidR="006E59DD" w:rsidRDefault="006E59DD" w:rsidP="006E59DD">
      <w:pPr>
        <w:tabs>
          <w:tab w:val="left" w:pos="-284"/>
        </w:tabs>
        <w:spacing w:after="160" w:line="259" w:lineRule="auto"/>
        <w:ind w:left="284" w:right="-284"/>
        <w:jc w:val="both"/>
        <w:rPr>
          <w:rFonts w:ascii="Arial Narrow" w:eastAsia="Calibri" w:hAnsi="Arial Narrow"/>
          <w:sz w:val="22"/>
          <w:szCs w:val="22"/>
          <w:lang w:val="en-US" w:eastAsia="en-US"/>
        </w:rPr>
      </w:pPr>
    </w:p>
    <w:p w14:paraId="674EE3FC" w14:textId="05CD6121" w:rsidR="006E59DD" w:rsidRPr="006E59DD" w:rsidRDefault="006E59DD" w:rsidP="006E59DD">
      <w:pPr>
        <w:tabs>
          <w:tab w:val="left" w:pos="-284"/>
        </w:tabs>
        <w:spacing w:after="160" w:line="259" w:lineRule="auto"/>
        <w:ind w:left="284" w:righ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It is advisable to avoid some of the most </w:t>
      </w:r>
      <w:r w:rsidR="00F14C02">
        <w:rPr>
          <w:rFonts w:ascii="Arial Narrow" w:eastAsia="Calibri" w:hAnsi="Arial Narrow"/>
          <w:sz w:val="22"/>
          <w:szCs w:val="22"/>
          <w:lang w:val="en-US" w:eastAsia="en-US"/>
        </w:rPr>
        <w:t xml:space="preserve">negative impacts </w:t>
      </w:r>
      <w:r w:rsidRPr="006E59DD">
        <w:rPr>
          <w:rFonts w:ascii="Arial Narrow" w:eastAsia="Calibri" w:hAnsi="Arial Narrow"/>
          <w:sz w:val="22"/>
          <w:szCs w:val="22"/>
          <w:lang w:val="en-US" w:eastAsia="en-US"/>
        </w:rPr>
        <w:t xml:space="preserve">that the Guidelines, as currently drafted, could entail: </w:t>
      </w:r>
    </w:p>
    <w:p w14:paraId="588D3428" w14:textId="77777777" w:rsidR="006E59DD" w:rsidRPr="006E59DD" w:rsidRDefault="006E59DD" w:rsidP="00057085">
      <w:pPr>
        <w:numPr>
          <w:ilvl w:val="0"/>
          <w:numId w:val="40"/>
        </w:numPr>
        <w:tabs>
          <w:tab w:val="left" w:pos="-284"/>
        </w:tabs>
        <w:spacing w:after="160" w:line="259" w:lineRule="auto"/>
        <w:ind w:right="-284"/>
        <w:contextualSpacing/>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The overlap and generation of inconsistencies with existing sustainable finance legislation and, possibly, with the future ecolabel. </w:t>
      </w:r>
    </w:p>
    <w:p w14:paraId="3C16B4CE" w14:textId="77777777" w:rsidR="006E59DD" w:rsidRPr="006E59DD" w:rsidRDefault="006E59DD" w:rsidP="00057085">
      <w:pPr>
        <w:numPr>
          <w:ilvl w:val="0"/>
          <w:numId w:val="40"/>
        </w:numPr>
        <w:tabs>
          <w:tab w:val="left" w:pos="-284"/>
        </w:tabs>
        <w:spacing w:after="160" w:line="259" w:lineRule="auto"/>
        <w:ind w:right="-284"/>
        <w:contextualSpacing/>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The risk of entities restricting the launch of more funds with a sustainable bias due to excessively strict or inappropriate criteria (as in the case of the proposed minimum guarantees).</w:t>
      </w:r>
    </w:p>
    <w:p w14:paraId="4E23073F" w14:textId="77777777" w:rsidR="006E59DD" w:rsidRPr="006E59DD" w:rsidRDefault="006E59DD" w:rsidP="00057085">
      <w:pPr>
        <w:numPr>
          <w:ilvl w:val="0"/>
          <w:numId w:val="40"/>
        </w:numPr>
        <w:tabs>
          <w:tab w:val="left" w:pos="-284"/>
        </w:tabs>
        <w:spacing w:after="160" w:line="259" w:lineRule="auto"/>
        <w:ind w:right="-284"/>
        <w:contextualSpacing/>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lastRenderedPageBreak/>
        <w:t xml:space="preserve">Increasing difficulties in understanding the differences between the various sustainably biased saving-investment financial products and the different levels of protection faced by investors. </w:t>
      </w:r>
    </w:p>
    <w:p w14:paraId="30D9CF82" w14:textId="77777777" w:rsidR="006E59DD" w:rsidRPr="006E59DD" w:rsidRDefault="006E59DD" w:rsidP="00057085">
      <w:pPr>
        <w:numPr>
          <w:ilvl w:val="0"/>
          <w:numId w:val="40"/>
        </w:numPr>
        <w:tabs>
          <w:tab w:val="left" w:pos="-284"/>
        </w:tabs>
        <w:spacing w:after="160" w:line="259" w:lineRule="auto"/>
        <w:ind w:right="-284"/>
        <w:contextualSpacing/>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The costs arising from continuous regulatory changes at the level of local authorities, institutions and ultimately participants. </w:t>
      </w:r>
    </w:p>
    <w:p w14:paraId="2EFA7CFA" w14:textId="77777777" w:rsidR="006E59DD" w:rsidRPr="006E59DD" w:rsidRDefault="006E59DD" w:rsidP="00057085">
      <w:pPr>
        <w:numPr>
          <w:ilvl w:val="0"/>
          <w:numId w:val="40"/>
        </w:numPr>
        <w:tabs>
          <w:tab w:val="left" w:pos="-284"/>
        </w:tabs>
        <w:spacing w:after="160" w:line="259" w:lineRule="auto"/>
        <w:ind w:right="-284"/>
        <w:contextualSpacing/>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Or the high reputational risks arising from the incorporation of non-cross-cutting sustainable finance criteria across instruments.</w:t>
      </w:r>
    </w:p>
    <w:p w14:paraId="5A9958FD" w14:textId="77777777" w:rsidR="006E59DD" w:rsidRPr="006E59DD" w:rsidRDefault="006E59DD" w:rsidP="006E59DD">
      <w:pPr>
        <w:tabs>
          <w:tab w:val="left" w:pos="-284"/>
        </w:tabs>
        <w:spacing w:after="160" w:line="259" w:lineRule="auto"/>
        <w:ind w:left="720" w:right="-284"/>
        <w:contextualSpacing/>
        <w:jc w:val="both"/>
        <w:rPr>
          <w:rFonts w:ascii="Arial Narrow" w:eastAsia="Calibri" w:hAnsi="Arial Narrow"/>
          <w:sz w:val="22"/>
          <w:szCs w:val="22"/>
          <w:lang w:val="en-US" w:eastAsia="en-US"/>
        </w:rPr>
      </w:pP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057085">
      <w:pPr>
        <w:pStyle w:val="Questionstyle"/>
        <w:numPr>
          <w:ilvl w:val="0"/>
          <w:numId w:val="37"/>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50EB7E99" w14:textId="77777777" w:rsidR="006E59DD" w:rsidRDefault="006E59DD" w:rsidP="006E59DD">
      <w:pPr>
        <w:tabs>
          <w:tab w:val="left" w:pos="-284"/>
        </w:tabs>
        <w:ind w:left="284" w:right="-284"/>
        <w:jc w:val="both"/>
        <w:rPr>
          <w:rFonts w:ascii="Arial Narrow" w:eastAsia="Calibri" w:hAnsi="Arial Narrow"/>
          <w:sz w:val="22"/>
          <w:szCs w:val="22"/>
          <w:lang w:val="en-US" w:eastAsia="en-US"/>
        </w:rPr>
      </w:pPr>
      <w:permStart w:id="1596738700" w:edGrp="everyone"/>
    </w:p>
    <w:p w14:paraId="2A551069" w14:textId="34E10C50" w:rsidR="006E59DD" w:rsidRDefault="006E59DD" w:rsidP="00E37100">
      <w:pPr>
        <w:tabs>
          <w:tab w:val="left" w:pos="-284"/>
        </w:tabs>
        <w:ind w:righ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INVERCO appreciates ESMA's effort to establish criteria to reduce the heterogeneity of supervisory practices in the EU but, as </w:t>
      </w:r>
      <w:r w:rsidR="0025017D">
        <w:rPr>
          <w:rFonts w:ascii="Arial Narrow" w:eastAsia="Calibri" w:hAnsi="Arial Narrow"/>
          <w:sz w:val="22"/>
          <w:szCs w:val="22"/>
          <w:lang w:val="en-US" w:eastAsia="en-US"/>
        </w:rPr>
        <w:t>above mentioned</w:t>
      </w:r>
      <w:r w:rsidRPr="006E59DD">
        <w:rPr>
          <w:rFonts w:ascii="Arial Narrow" w:eastAsia="Calibri" w:hAnsi="Arial Narrow"/>
          <w:sz w:val="22"/>
          <w:szCs w:val="22"/>
          <w:lang w:val="en-US" w:eastAsia="en-US"/>
        </w:rPr>
        <w:t>, quantitative thresholds would have a disruptive effect</w:t>
      </w:r>
      <w:r w:rsidR="0025017D">
        <w:rPr>
          <w:rFonts w:ascii="Arial Narrow" w:eastAsia="Calibri" w:hAnsi="Arial Narrow"/>
          <w:sz w:val="22"/>
          <w:szCs w:val="22"/>
          <w:lang w:val="en-US" w:eastAsia="en-US"/>
        </w:rPr>
        <w:t xml:space="preserve"> which</w:t>
      </w:r>
      <w:r w:rsidRPr="006E59DD">
        <w:rPr>
          <w:rFonts w:ascii="Arial Narrow" w:eastAsia="Calibri" w:hAnsi="Arial Narrow"/>
          <w:sz w:val="22"/>
          <w:szCs w:val="22"/>
          <w:lang w:val="en-US" w:eastAsia="en-US"/>
        </w:rPr>
        <w:t xml:space="preserve"> would be preferable not to introduce via Guidelines. </w:t>
      </w:r>
    </w:p>
    <w:p w14:paraId="1EC50E79" w14:textId="77777777" w:rsidR="00F14C02" w:rsidRPr="006E59DD" w:rsidRDefault="00F14C02" w:rsidP="00E37100">
      <w:pPr>
        <w:tabs>
          <w:tab w:val="left" w:pos="-284"/>
        </w:tabs>
        <w:ind w:right="-284"/>
        <w:jc w:val="both"/>
        <w:rPr>
          <w:rFonts w:ascii="Arial Narrow" w:eastAsia="Calibri" w:hAnsi="Arial Narrow"/>
          <w:sz w:val="22"/>
          <w:szCs w:val="22"/>
          <w:lang w:val="en-US" w:eastAsia="en-US"/>
        </w:rPr>
      </w:pPr>
    </w:p>
    <w:p w14:paraId="1C635F18" w14:textId="14157889" w:rsidR="006E59DD" w:rsidRDefault="006E59DD" w:rsidP="00E37100">
      <w:pPr>
        <w:tabs>
          <w:tab w:val="left" w:pos="-284"/>
        </w:tabs>
        <w:ind w:righ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Such Guidelines could undermine the credibility of those Funds that have been making an effort to align themselves with sustainability, while remaining at the mercy of what happens with the next wave of reclassifications </w:t>
      </w:r>
      <w:r w:rsidR="0025017D">
        <w:rPr>
          <w:rFonts w:ascii="Arial Narrow" w:eastAsia="Calibri" w:hAnsi="Arial Narrow"/>
          <w:sz w:val="22"/>
          <w:szCs w:val="22"/>
          <w:lang w:val="en-US" w:eastAsia="en-US"/>
        </w:rPr>
        <w:t xml:space="preserve">by virtue of, among others, prospect </w:t>
      </w:r>
      <w:r w:rsidRPr="006E59DD">
        <w:rPr>
          <w:rFonts w:ascii="Arial Narrow" w:eastAsia="Calibri" w:hAnsi="Arial Narrow"/>
          <w:sz w:val="22"/>
          <w:szCs w:val="22"/>
          <w:lang w:val="en-US" w:eastAsia="en-US"/>
        </w:rPr>
        <w:t>SFDR</w:t>
      </w:r>
      <w:r w:rsidR="0025017D">
        <w:rPr>
          <w:rFonts w:ascii="Arial Narrow" w:eastAsia="Calibri" w:hAnsi="Arial Narrow"/>
          <w:sz w:val="22"/>
          <w:szCs w:val="22"/>
          <w:lang w:val="en-US" w:eastAsia="en-US"/>
        </w:rPr>
        <w:t xml:space="preserve"> modification </w:t>
      </w:r>
      <w:r w:rsidRPr="006E59DD">
        <w:rPr>
          <w:rFonts w:ascii="Arial Narrow" w:eastAsia="Calibri" w:hAnsi="Arial Narrow"/>
          <w:sz w:val="22"/>
          <w:szCs w:val="22"/>
          <w:lang w:val="en-US" w:eastAsia="en-US"/>
        </w:rPr>
        <w:t>and</w:t>
      </w:r>
      <w:r w:rsidR="0025017D">
        <w:rPr>
          <w:rFonts w:ascii="Arial Narrow" w:eastAsia="Calibri" w:hAnsi="Arial Narrow"/>
          <w:sz w:val="22"/>
          <w:szCs w:val="22"/>
          <w:lang w:val="en-US" w:eastAsia="en-US"/>
        </w:rPr>
        <w:t>/or</w:t>
      </w:r>
      <w:r w:rsidRPr="006E59DD">
        <w:rPr>
          <w:rFonts w:ascii="Arial Narrow" w:eastAsia="Calibri" w:hAnsi="Arial Narrow"/>
          <w:sz w:val="22"/>
          <w:szCs w:val="22"/>
          <w:lang w:val="en-US" w:eastAsia="en-US"/>
        </w:rPr>
        <w:t xml:space="preserve"> clarification of concepts such as "sustainable investment" or the </w:t>
      </w:r>
      <w:r w:rsidR="00181223">
        <w:rPr>
          <w:rFonts w:ascii="Arial Narrow" w:eastAsia="Calibri" w:hAnsi="Arial Narrow"/>
          <w:sz w:val="22"/>
          <w:szCs w:val="22"/>
          <w:lang w:val="en-US" w:eastAsia="en-US"/>
        </w:rPr>
        <w:t>“</w:t>
      </w:r>
      <w:r w:rsidRPr="006E59DD">
        <w:rPr>
          <w:rFonts w:ascii="Arial Narrow" w:eastAsia="Calibri" w:hAnsi="Arial Narrow"/>
          <w:sz w:val="22"/>
          <w:szCs w:val="22"/>
          <w:lang w:val="en-US" w:eastAsia="en-US"/>
        </w:rPr>
        <w:t xml:space="preserve">consideration of </w:t>
      </w:r>
      <w:r w:rsidR="00181223">
        <w:rPr>
          <w:rFonts w:ascii="Arial Narrow" w:eastAsia="Calibri" w:hAnsi="Arial Narrow"/>
          <w:sz w:val="22"/>
          <w:szCs w:val="22"/>
          <w:lang w:val="en-US" w:eastAsia="en-US"/>
        </w:rPr>
        <w:t xml:space="preserve">principal adverse impacts” </w:t>
      </w:r>
      <w:r w:rsidRPr="006E59DD">
        <w:rPr>
          <w:rFonts w:ascii="Arial Narrow" w:eastAsia="Calibri" w:hAnsi="Arial Narrow"/>
          <w:sz w:val="22"/>
          <w:szCs w:val="22"/>
          <w:lang w:val="en-US" w:eastAsia="en-US"/>
        </w:rPr>
        <w:t>(PIAs) (</w:t>
      </w:r>
      <w:r w:rsidR="00181223">
        <w:rPr>
          <w:rFonts w:ascii="Arial Narrow" w:eastAsia="Calibri" w:hAnsi="Arial Narrow"/>
          <w:sz w:val="22"/>
          <w:szCs w:val="22"/>
          <w:lang w:val="en-US" w:eastAsia="en-US"/>
        </w:rPr>
        <w:t xml:space="preserve">as </w:t>
      </w:r>
      <w:r w:rsidRPr="006E59DD">
        <w:rPr>
          <w:rFonts w:ascii="Arial Narrow" w:eastAsia="Calibri" w:hAnsi="Arial Narrow"/>
          <w:sz w:val="22"/>
          <w:szCs w:val="22"/>
          <w:lang w:val="en-US" w:eastAsia="en-US"/>
        </w:rPr>
        <w:t xml:space="preserve">requested </w:t>
      </w:r>
      <w:r w:rsidR="00181223">
        <w:rPr>
          <w:rFonts w:ascii="Arial Narrow" w:eastAsia="Calibri" w:hAnsi="Arial Narrow"/>
          <w:sz w:val="22"/>
          <w:szCs w:val="22"/>
          <w:lang w:val="en-US" w:eastAsia="en-US"/>
        </w:rPr>
        <w:t xml:space="preserve">by the ESAS to </w:t>
      </w:r>
      <w:r w:rsidRPr="006E59DD">
        <w:rPr>
          <w:rFonts w:ascii="Arial Narrow" w:eastAsia="Calibri" w:hAnsi="Arial Narrow"/>
          <w:sz w:val="22"/>
          <w:szCs w:val="22"/>
          <w:lang w:val="en-US" w:eastAsia="en-US"/>
        </w:rPr>
        <w:t xml:space="preserve">the EC in September 2022). </w:t>
      </w:r>
    </w:p>
    <w:p w14:paraId="0285D35F" w14:textId="77777777" w:rsidR="006E59DD" w:rsidRPr="006E59DD" w:rsidRDefault="006E59DD" w:rsidP="00E37100">
      <w:pPr>
        <w:tabs>
          <w:tab w:val="left" w:pos="-284"/>
        </w:tabs>
        <w:ind w:right="-284"/>
        <w:jc w:val="both"/>
        <w:rPr>
          <w:rFonts w:ascii="Arial Narrow" w:eastAsia="Calibri" w:hAnsi="Arial Narrow"/>
          <w:sz w:val="22"/>
          <w:szCs w:val="22"/>
          <w:lang w:val="en-US" w:eastAsia="en-US"/>
        </w:rPr>
      </w:pPr>
    </w:p>
    <w:p w14:paraId="460443B5" w14:textId="6A6382AC" w:rsidR="006E59DD" w:rsidRDefault="006E59DD" w:rsidP="00E37100">
      <w:pPr>
        <w:tabs>
          <w:tab w:val="left" w:pos="-284"/>
        </w:tabs>
        <w:ind w:righ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Moreover, it is unlikely that the Guidelines with the proposed thresholds can solve the problem of </w:t>
      </w:r>
      <w:r w:rsidR="00181223">
        <w:rPr>
          <w:rFonts w:ascii="Arial Narrow" w:eastAsia="Calibri" w:hAnsi="Arial Narrow"/>
          <w:sz w:val="22"/>
          <w:szCs w:val="22"/>
          <w:lang w:val="en-US" w:eastAsia="en-US"/>
        </w:rPr>
        <w:t xml:space="preserve">market </w:t>
      </w:r>
      <w:r w:rsidRPr="006E59DD">
        <w:rPr>
          <w:rFonts w:ascii="Arial Narrow" w:eastAsia="Calibri" w:hAnsi="Arial Narrow"/>
          <w:sz w:val="22"/>
          <w:szCs w:val="22"/>
          <w:lang w:val="en-US" w:eastAsia="en-US"/>
        </w:rPr>
        <w:t>fragment</w:t>
      </w:r>
      <w:r w:rsidR="00181223">
        <w:rPr>
          <w:rFonts w:ascii="Arial Narrow" w:eastAsia="Calibri" w:hAnsi="Arial Narrow"/>
          <w:sz w:val="22"/>
          <w:szCs w:val="22"/>
          <w:lang w:val="en-US" w:eastAsia="en-US"/>
        </w:rPr>
        <w:t>at</w:t>
      </w:r>
      <w:r w:rsidRPr="006E59DD">
        <w:rPr>
          <w:rFonts w:ascii="Arial Narrow" w:eastAsia="Calibri" w:hAnsi="Arial Narrow"/>
          <w:sz w:val="22"/>
          <w:szCs w:val="22"/>
          <w:lang w:val="en-US" w:eastAsia="en-US"/>
        </w:rPr>
        <w:t>ion</w:t>
      </w:r>
      <w:r w:rsidR="00181223">
        <w:rPr>
          <w:rFonts w:ascii="Arial Narrow" w:eastAsia="Calibri" w:hAnsi="Arial Narrow"/>
          <w:sz w:val="22"/>
          <w:szCs w:val="22"/>
          <w:lang w:val="en-US" w:eastAsia="en-US"/>
        </w:rPr>
        <w:t xml:space="preserve"> in the EU</w:t>
      </w:r>
      <w:r w:rsidRPr="006E59DD">
        <w:rPr>
          <w:rFonts w:ascii="Arial Narrow" w:eastAsia="Calibri" w:hAnsi="Arial Narrow"/>
          <w:sz w:val="22"/>
          <w:szCs w:val="22"/>
          <w:lang w:val="en-US" w:eastAsia="en-US"/>
        </w:rPr>
        <w:t>:</w:t>
      </w:r>
    </w:p>
    <w:p w14:paraId="2B43D21E" w14:textId="13E1519A" w:rsidR="006E59DD" w:rsidRPr="006E59DD" w:rsidRDefault="006E59DD" w:rsidP="00E37100">
      <w:pPr>
        <w:tabs>
          <w:tab w:val="left" w:pos="-284"/>
        </w:tabs>
        <w:ind w:righ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 </w:t>
      </w:r>
    </w:p>
    <w:p w14:paraId="63E09DCA" w14:textId="755C9189" w:rsidR="006E59DD" w:rsidRPr="006E59DD" w:rsidRDefault="006E59DD" w:rsidP="00057085">
      <w:pPr>
        <w:pStyle w:val="Prrafodelista"/>
        <w:numPr>
          <w:ilvl w:val="0"/>
          <w:numId w:val="41"/>
        </w:numPr>
        <w:tabs>
          <w:tab w:val="left" w:pos="-284"/>
        </w:tabs>
        <w:spacing w:after="160" w:line="259" w:lineRule="auto"/>
        <w:ind w:left="436" w:righ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Firstly, the "ESG</w:t>
      </w:r>
      <w:r w:rsidR="00181223">
        <w:rPr>
          <w:rFonts w:ascii="Arial Narrow" w:eastAsia="Calibri" w:hAnsi="Arial Narrow"/>
          <w:sz w:val="22"/>
          <w:szCs w:val="22"/>
          <w:lang w:val="en-US" w:eastAsia="en-US"/>
        </w:rPr>
        <w:t>-</w:t>
      </w:r>
      <w:r w:rsidRPr="006E59DD">
        <w:rPr>
          <w:rFonts w:ascii="Arial Narrow" w:eastAsia="Calibri" w:hAnsi="Arial Narrow"/>
          <w:sz w:val="22"/>
          <w:szCs w:val="22"/>
          <w:lang w:val="en-US" w:eastAsia="en-US"/>
        </w:rPr>
        <w:t xml:space="preserve">related words" concept, is an indeterminate legal concept. If it is not specified which words fall under this category, each NCA will make its own interpretation, with the consequent application of different criteria in each jurisdiction. For example, is the term "health" an ESG-related term in </w:t>
      </w:r>
      <w:r w:rsidR="00181223">
        <w:rPr>
          <w:rFonts w:ascii="Arial Narrow" w:eastAsia="Calibri" w:hAnsi="Arial Narrow"/>
          <w:sz w:val="22"/>
          <w:szCs w:val="22"/>
          <w:lang w:val="en-US" w:eastAsia="en-US"/>
        </w:rPr>
        <w:t>all cases?</w:t>
      </w:r>
      <w:r w:rsidRPr="006E59DD">
        <w:rPr>
          <w:rFonts w:ascii="Arial Narrow" w:eastAsia="Calibri" w:hAnsi="Arial Narrow"/>
          <w:sz w:val="22"/>
          <w:szCs w:val="22"/>
          <w:lang w:val="en-US" w:eastAsia="en-US"/>
        </w:rPr>
        <w:t xml:space="preserve"> </w:t>
      </w:r>
      <w:r w:rsidR="00181223">
        <w:rPr>
          <w:rFonts w:ascii="Arial Narrow" w:eastAsia="Calibri" w:hAnsi="Arial Narrow"/>
          <w:sz w:val="22"/>
          <w:szCs w:val="22"/>
          <w:lang w:val="en-US" w:eastAsia="en-US"/>
        </w:rPr>
        <w:t>O</w:t>
      </w:r>
      <w:r w:rsidRPr="006E59DD">
        <w:rPr>
          <w:rFonts w:ascii="Arial Narrow" w:eastAsia="Calibri" w:hAnsi="Arial Narrow"/>
          <w:sz w:val="22"/>
          <w:szCs w:val="22"/>
          <w:lang w:val="en-US" w:eastAsia="en-US"/>
        </w:rPr>
        <w:t>r does it have to be in combination with some other word for its inclusion to be subject to any restrictions? When is a combination of words necessary for it to be considered an ESG-related term?</w:t>
      </w:r>
    </w:p>
    <w:p w14:paraId="3B1246DE" w14:textId="77777777" w:rsidR="006E59DD" w:rsidRPr="006E59DD" w:rsidRDefault="006E59DD" w:rsidP="00E37100">
      <w:pPr>
        <w:pStyle w:val="Prrafodelista"/>
        <w:tabs>
          <w:tab w:val="left" w:pos="-284"/>
        </w:tabs>
        <w:ind w:left="436" w:right="-284"/>
        <w:jc w:val="both"/>
        <w:rPr>
          <w:rFonts w:ascii="Arial Narrow" w:eastAsia="Calibri" w:hAnsi="Arial Narrow"/>
          <w:sz w:val="22"/>
          <w:szCs w:val="22"/>
          <w:lang w:val="en-US" w:eastAsia="en-US"/>
        </w:rPr>
      </w:pPr>
    </w:p>
    <w:p w14:paraId="47358F7C" w14:textId="53F70E30" w:rsidR="006E59DD" w:rsidRPr="006E59DD" w:rsidRDefault="00181223" w:rsidP="00057085">
      <w:pPr>
        <w:pStyle w:val="Prrafodelista"/>
        <w:numPr>
          <w:ilvl w:val="0"/>
          <w:numId w:val="41"/>
        </w:numPr>
        <w:tabs>
          <w:tab w:val="left" w:pos="-284"/>
        </w:tabs>
        <w:spacing w:after="160" w:line="259" w:lineRule="auto"/>
        <w:ind w:left="436" w:right="-284"/>
        <w:jc w:val="both"/>
        <w:rPr>
          <w:rFonts w:ascii="Arial Narrow" w:eastAsia="Calibri" w:hAnsi="Arial Narrow"/>
          <w:sz w:val="22"/>
          <w:szCs w:val="22"/>
          <w:lang w:val="en-US" w:eastAsia="en-US"/>
        </w:rPr>
      </w:pPr>
      <w:r>
        <w:rPr>
          <w:rFonts w:ascii="Arial Narrow" w:eastAsia="Calibri" w:hAnsi="Arial Narrow"/>
          <w:sz w:val="22"/>
          <w:szCs w:val="22"/>
          <w:lang w:val="en-US" w:eastAsia="en-US"/>
        </w:rPr>
        <w:t>T</w:t>
      </w:r>
      <w:r w:rsidR="006E59DD" w:rsidRPr="006E59DD">
        <w:rPr>
          <w:rFonts w:ascii="Arial Narrow" w:eastAsia="Calibri" w:hAnsi="Arial Narrow"/>
          <w:sz w:val="22"/>
          <w:szCs w:val="22"/>
          <w:lang w:val="en-US" w:eastAsia="en-US"/>
        </w:rPr>
        <w:t>he</w:t>
      </w:r>
      <w:r>
        <w:rPr>
          <w:rFonts w:ascii="Arial Narrow" w:eastAsia="Calibri" w:hAnsi="Arial Narrow"/>
          <w:sz w:val="22"/>
          <w:szCs w:val="22"/>
          <w:lang w:val="en-US" w:eastAsia="en-US"/>
        </w:rPr>
        <w:t xml:space="preserve">re would be a </w:t>
      </w:r>
      <w:r w:rsidR="006E59DD" w:rsidRPr="006E59DD">
        <w:rPr>
          <w:rFonts w:ascii="Arial Narrow" w:eastAsia="Calibri" w:hAnsi="Arial Narrow"/>
          <w:sz w:val="22"/>
          <w:szCs w:val="22"/>
          <w:lang w:val="en-US" w:eastAsia="en-US"/>
        </w:rPr>
        <w:t>potential variety of methodologies for the calculation of the relevant thresholds.</w:t>
      </w:r>
    </w:p>
    <w:p w14:paraId="6CCE63E8" w14:textId="77777777" w:rsidR="006E59DD" w:rsidRPr="006E59DD" w:rsidRDefault="006E59DD" w:rsidP="00E37100">
      <w:pPr>
        <w:pStyle w:val="Prrafodelista"/>
        <w:tabs>
          <w:tab w:val="left" w:pos="-284"/>
        </w:tabs>
        <w:ind w:left="436" w:right="-284"/>
        <w:jc w:val="both"/>
        <w:rPr>
          <w:rFonts w:ascii="Arial Narrow" w:eastAsia="Calibri" w:hAnsi="Arial Narrow"/>
          <w:sz w:val="22"/>
          <w:szCs w:val="22"/>
          <w:lang w:val="en-US" w:eastAsia="en-US"/>
        </w:rPr>
      </w:pPr>
    </w:p>
    <w:p w14:paraId="44DBAFA5" w14:textId="05BCBE68" w:rsidR="006E59DD" w:rsidRPr="006E59DD" w:rsidRDefault="00181223" w:rsidP="00057085">
      <w:pPr>
        <w:pStyle w:val="Prrafodelista"/>
        <w:numPr>
          <w:ilvl w:val="0"/>
          <w:numId w:val="41"/>
        </w:numPr>
        <w:tabs>
          <w:tab w:val="left" w:pos="-284"/>
        </w:tabs>
        <w:spacing w:after="160" w:line="259" w:lineRule="auto"/>
        <w:ind w:left="436" w:right="-284"/>
        <w:jc w:val="both"/>
        <w:rPr>
          <w:rFonts w:ascii="Arial Narrow" w:eastAsia="Calibri" w:hAnsi="Arial Narrow"/>
          <w:sz w:val="22"/>
          <w:szCs w:val="22"/>
          <w:lang w:val="en-US" w:eastAsia="en-US"/>
        </w:rPr>
      </w:pPr>
      <w:r>
        <w:rPr>
          <w:rFonts w:ascii="Arial Narrow" w:eastAsia="Calibri" w:hAnsi="Arial Narrow"/>
          <w:sz w:val="22"/>
          <w:szCs w:val="22"/>
          <w:lang w:val="en-US" w:eastAsia="en-US"/>
        </w:rPr>
        <w:t>T</w:t>
      </w:r>
      <w:r w:rsidR="006E59DD" w:rsidRPr="006E59DD">
        <w:rPr>
          <w:rFonts w:ascii="Arial Narrow" w:eastAsia="Calibri" w:hAnsi="Arial Narrow"/>
          <w:sz w:val="22"/>
          <w:szCs w:val="22"/>
          <w:lang w:val="en-US" w:eastAsia="en-US"/>
        </w:rPr>
        <w:t xml:space="preserve">hresholds </w:t>
      </w:r>
      <w:r>
        <w:rPr>
          <w:rFonts w:ascii="Arial Narrow" w:eastAsia="Calibri" w:hAnsi="Arial Narrow"/>
          <w:sz w:val="22"/>
          <w:szCs w:val="22"/>
          <w:lang w:val="en-US" w:eastAsia="en-US"/>
        </w:rPr>
        <w:t xml:space="preserve">for Fund names </w:t>
      </w:r>
      <w:r w:rsidR="006E59DD" w:rsidRPr="006E59DD">
        <w:rPr>
          <w:rFonts w:ascii="Arial Narrow" w:eastAsia="Calibri" w:hAnsi="Arial Narrow"/>
          <w:sz w:val="22"/>
          <w:szCs w:val="22"/>
          <w:lang w:val="en-US" w:eastAsia="en-US"/>
        </w:rPr>
        <w:t>fall short of increasing investor protection</w:t>
      </w:r>
      <w:r>
        <w:rPr>
          <w:rFonts w:ascii="Arial Narrow" w:eastAsia="Calibri" w:hAnsi="Arial Narrow"/>
          <w:sz w:val="22"/>
          <w:szCs w:val="22"/>
          <w:lang w:val="en-US" w:eastAsia="en-US"/>
        </w:rPr>
        <w:t>:</w:t>
      </w:r>
      <w:r w:rsidR="006E59DD" w:rsidRPr="006E59DD">
        <w:rPr>
          <w:rFonts w:ascii="Arial Narrow" w:eastAsia="Calibri" w:hAnsi="Arial Narrow"/>
          <w:sz w:val="22"/>
          <w:szCs w:val="22"/>
          <w:lang w:val="en-US" w:eastAsia="en-US"/>
        </w:rPr>
        <w:t xml:space="preserve"> The consumer who receives, as usual e.g., in a branch of any distributor, offers on a range of savings-investment instruments does not experience increased protection because of the application of these thresholds </w:t>
      </w:r>
      <w:r>
        <w:rPr>
          <w:rFonts w:ascii="Arial Narrow" w:eastAsia="Calibri" w:hAnsi="Arial Narrow"/>
          <w:sz w:val="22"/>
          <w:szCs w:val="22"/>
          <w:lang w:val="en-US" w:eastAsia="en-US"/>
        </w:rPr>
        <w:t xml:space="preserve">(only) </w:t>
      </w:r>
      <w:r w:rsidR="006E59DD" w:rsidRPr="006E59DD">
        <w:rPr>
          <w:rFonts w:ascii="Arial Narrow" w:eastAsia="Calibri" w:hAnsi="Arial Narrow"/>
          <w:sz w:val="22"/>
          <w:szCs w:val="22"/>
          <w:lang w:val="en-US" w:eastAsia="en-US"/>
        </w:rPr>
        <w:t xml:space="preserve">on </w:t>
      </w:r>
      <w:r>
        <w:rPr>
          <w:rFonts w:ascii="Arial Narrow" w:eastAsia="Calibri" w:hAnsi="Arial Narrow"/>
          <w:sz w:val="22"/>
          <w:szCs w:val="22"/>
          <w:lang w:val="en-US" w:eastAsia="en-US"/>
        </w:rPr>
        <w:t>I</w:t>
      </w:r>
      <w:r w:rsidR="006E59DD" w:rsidRPr="006E59DD">
        <w:rPr>
          <w:rFonts w:ascii="Arial Narrow" w:eastAsia="Calibri" w:hAnsi="Arial Narrow"/>
          <w:sz w:val="22"/>
          <w:szCs w:val="22"/>
          <w:lang w:val="en-US" w:eastAsia="en-US"/>
        </w:rPr>
        <w:t xml:space="preserve">nvestment </w:t>
      </w:r>
      <w:r>
        <w:rPr>
          <w:rFonts w:ascii="Arial Narrow" w:eastAsia="Calibri" w:hAnsi="Arial Narrow"/>
          <w:sz w:val="22"/>
          <w:szCs w:val="22"/>
          <w:lang w:val="en-US" w:eastAsia="en-US"/>
        </w:rPr>
        <w:t>F</w:t>
      </w:r>
      <w:r w:rsidR="006E59DD" w:rsidRPr="006E59DD">
        <w:rPr>
          <w:rFonts w:ascii="Arial Narrow" w:eastAsia="Calibri" w:hAnsi="Arial Narrow"/>
          <w:sz w:val="22"/>
          <w:szCs w:val="22"/>
          <w:lang w:val="en-US" w:eastAsia="en-US"/>
        </w:rPr>
        <w:t xml:space="preserve">unds. </w:t>
      </w:r>
    </w:p>
    <w:p w14:paraId="3AEE2A3A" w14:textId="77777777" w:rsidR="006E59DD" w:rsidRPr="006E59DD" w:rsidRDefault="006E59DD" w:rsidP="00E37100">
      <w:pPr>
        <w:pStyle w:val="Prrafodelista"/>
        <w:ind w:left="436"/>
        <w:rPr>
          <w:rFonts w:ascii="Arial Narrow" w:eastAsia="Calibri" w:hAnsi="Arial Narrow"/>
          <w:sz w:val="22"/>
          <w:szCs w:val="22"/>
          <w:lang w:val="en-US" w:eastAsia="en-US"/>
        </w:rPr>
      </w:pPr>
    </w:p>
    <w:p w14:paraId="5DD6D261" w14:textId="625DBB8E" w:rsidR="006E59DD" w:rsidRPr="006E59DD" w:rsidRDefault="006E59DD" w:rsidP="00057085">
      <w:pPr>
        <w:pStyle w:val="Prrafodelista"/>
        <w:numPr>
          <w:ilvl w:val="0"/>
          <w:numId w:val="41"/>
        </w:numPr>
        <w:tabs>
          <w:tab w:val="left" w:pos="-284"/>
        </w:tabs>
        <w:spacing w:after="160" w:line="259" w:lineRule="auto"/>
        <w:ind w:left="436" w:righ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Finally, a pre-condition for the ESMA Guidelines to have any success in terms of</w:t>
      </w:r>
      <w:r w:rsidR="00181223">
        <w:rPr>
          <w:rFonts w:ascii="Arial Narrow" w:eastAsia="Calibri" w:hAnsi="Arial Narrow"/>
          <w:sz w:val="22"/>
          <w:szCs w:val="22"/>
          <w:lang w:val="en-US" w:eastAsia="en-US"/>
        </w:rPr>
        <w:t xml:space="preserve"> standardization </w:t>
      </w:r>
      <w:r w:rsidRPr="006E59DD">
        <w:rPr>
          <w:rFonts w:ascii="Arial Narrow" w:eastAsia="Calibri" w:hAnsi="Arial Narrow"/>
          <w:sz w:val="22"/>
          <w:szCs w:val="22"/>
          <w:lang w:val="en-US" w:eastAsia="en-US"/>
        </w:rPr>
        <w:t xml:space="preserve">is that these are adopted by all ANCs, which appears to be unlikely. </w:t>
      </w:r>
    </w:p>
    <w:p w14:paraId="1551AEE1" w14:textId="64DC16CC" w:rsidR="006E59DD" w:rsidRPr="006E59DD" w:rsidRDefault="006E59DD" w:rsidP="00E37100">
      <w:pPr>
        <w:tabs>
          <w:tab w:val="left" w:pos="-284"/>
        </w:tabs>
        <w:ind w:right="-284"/>
        <w:jc w:val="both"/>
        <w:rPr>
          <w:rFonts w:ascii="Arial Narrow" w:eastAsia="Calibri" w:hAnsi="Arial Narrow"/>
          <w:sz w:val="22"/>
          <w:szCs w:val="22"/>
          <w:lang w:val="en-US" w:eastAsia="en-US"/>
        </w:rPr>
      </w:pPr>
      <w:r w:rsidRPr="006E59DD">
        <w:rPr>
          <w:rFonts w:ascii="Arial Narrow" w:eastAsia="Calibri" w:hAnsi="Arial Narrow"/>
          <w:sz w:val="22"/>
          <w:szCs w:val="22"/>
          <w:lang w:val="en-US" w:eastAsia="en-US"/>
        </w:rPr>
        <w:t xml:space="preserve">Should ESMA nevertheless decide to maintain the threshold approach </w:t>
      </w:r>
      <w:r w:rsidR="00181223">
        <w:rPr>
          <w:rFonts w:ascii="Arial Narrow" w:eastAsia="Calibri" w:hAnsi="Arial Narrow"/>
          <w:sz w:val="22"/>
          <w:szCs w:val="22"/>
          <w:lang w:val="en-US" w:eastAsia="en-US"/>
        </w:rPr>
        <w:t xml:space="preserve">for the naming of </w:t>
      </w:r>
      <w:r w:rsidRPr="006E59DD">
        <w:rPr>
          <w:rFonts w:ascii="Arial Narrow" w:eastAsia="Calibri" w:hAnsi="Arial Narrow"/>
          <w:sz w:val="22"/>
          <w:szCs w:val="22"/>
          <w:lang w:val="en-US" w:eastAsia="en-US"/>
        </w:rPr>
        <w:t>Fund</w:t>
      </w:r>
      <w:r w:rsidR="00181223">
        <w:rPr>
          <w:rFonts w:ascii="Arial Narrow" w:eastAsia="Calibri" w:hAnsi="Arial Narrow"/>
          <w:sz w:val="22"/>
          <w:szCs w:val="22"/>
          <w:lang w:val="en-US" w:eastAsia="en-US"/>
        </w:rPr>
        <w:t>s</w:t>
      </w:r>
      <w:r w:rsidRPr="006E59DD">
        <w:rPr>
          <w:rFonts w:ascii="Arial Narrow" w:eastAsia="Calibri" w:hAnsi="Arial Narrow"/>
          <w:sz w:val="22"/>
          <w:szCs w:val="22"/>
          <w:lang w:val="en-US" w:eastAsia="en-US"/>
        </w:rPr>
        <w:t xml:space="preserve">, it should seek a formula that minimizes divergencies, as well as the operational and reputational costs of implementation. In this regard, see answer to questions 2 and 5.  </w:t>
      </w:r>
    </w:p>
    <w:p w14:paraId="79AEA6D5" w14:textId="77777777" w:rsidR="006E59DD" w:rsidRDefault="006E59DD" w:rsidP="006E59DD">
      <w:pPr>
        <w:tabs>
          <w:tab w:val="left" w:pos="-284"/>
        </w:tabs>
        <w:ind w:left="284" w:right="-284"/>
        <w:jc w:val="both"/>
        <w:rPr>
          <w:rFonts w:ascii="Arial Narrow" w:hAnsi="Arial Narrow"/>
          <w:lang w:val="en-US"/>
        </w:rPr>
      </w:pP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057085">
      <w:pPr>
        <w:pStyle w:val="Questionstyle"/>
        <w:numPr>
          <w:ilvl w:val="0"/>
          <w:numId w:val="37"/>
        </w:numPr>
      </w:pPr>
      <w:r>
        <w:t xml:space="preserve">: </w:t>
      </w:r>
      <w:bookmarkStart w:id="3"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3"/>
    <w:p w14:paraId="4F9400BD" w14:textId="77777777" w:rsidR="00B92885" w:rsidRDefault="00B92885" w:rsidP="00B92885">
      <w:r>
        <w:t>&lt;ESMA_QUESTION_FUNA_2&gt;</w:t>
      </w:r>
    </w:p>
    <w:p w14:paraId="2FEF488D" w14:textId="77777777" w:rsidR="00E37100" w:rsidRDefault="00E37100" w:rsidP="00E37100">
      <w:pPr>
        <w:tabs>
          <w:tab w:val="left" w:pos="-284"/>
        </w:tabs>
        <w:ind w:right="-284"/>
        <w:jc w:val="both"/>
        <w:rPr>
          <w:rFonts w:ascii="Arial Narrow" w:eastAsia="Calibri" w:hAnsi="Arial Narrow"/>
          <w:sz w:val="22"/>
          <w:szCs w:val="22"/>
          <w:lang w:val="en-US" w:eastAsia="en-US"/>
        </w:rPr>
      </w:pPr>
      <w:permStart w:id="1305634831" w:edGrp="everyone"/>
    </w:p>
    <w:p w14:paraId="7088A39C" w14:textId="37DAEC6A" w:rsidR="002401A7" w:rsidRPr="002401A7" w:rsidRDefault="002401A7" w:rsidP="00E37100">
      <w:pPr>
        <w:tabs>
          <w:tab w:val="left" w:pos="-284"/>
        </w:tabs>
        <w:ind w:right="-284"/>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No, and in addition to the above considerations on thresholds, the following should be </w:t>
      </w:r>
      <w:r w:rsidR="00181223">
        <w:rPr>
          <w:rFonts w:ascii="Arial Narrow" w:eastAsia="Calibri" w:hAnsi="Arial Narrow"/>
          <w:sz w:val="22"/>
          <w:szCs w:val="22"/>
          <w:lang w:val="en-US" w:eastAsia="en-US"/>
        </w:rPr>
        <w:t>noted</w:t>
      </w:r>
      <w:r w:rsidRPr="002401A7">
        <w:rPr>
          <w:rFonts w:ascii="Arial Narrow" w:eastAsia="Calibri" w:hAnsi="Arial Narrow"/>
          <w:sz w:val="22"/>
          <w:szCs w:val="22"/>
          <w:lang w:val="en-US" w:eastAsia="en-US"/>
        </w:rPr>
        <w:t>:</w:t>
      </w:r>
    </w:p>
    <w:p w14:paraId="20B48036" w14:textId="77777777" w:rsidR="002401A7" w:rsidRPr="002401A7" w:rsidRDefault="002401A7" w:rsidP="002401A7">
      <w:pPr>
        <w:tabs>
          <w:tab w:val="left" w:pos="-284"/>
        </w:tabs>
        <w:ind w:left="284" w:right="-284"/>
        <w:jc w:val="both"/>
        <w:rPr>
          <w:rFonts w:ascii="Arial Narrow" w:eastAsia="Calibri" w:hAnsi="Arial Narrow"/>
          <w:sz w:val="22"/>
          <w:szCs w:val="22"/>
          <w:lang w:val="en-US" w:eastAsia="en-US"/>
        </w:rPr>
      </w:pPr>
    </w:p>
    <w:p w14:paraId="44F99268" w14:textId="233AC927" w:rsidR="002401A7" w:rsidRPr="00F14C02" w:rsidRDefault="002401A7" w:rsidP="00057085">
      <w:pPr>
        <w:pStyle w:val="Prrafodelista"/>
        <w:numPr>
          <w:ilvl w:val="1"/>
          <w:numId w:val="48"/>
        </w:numPr>
        <w:tabs>
          <w:tab w:val="left" w:pos="-284"/>
        </w:tabs>
        <w:ind w:left="360" w:right="-284"/>
        <w:jc w:val="both"/>
        <w:rPr>
          <w:rFonts w:ascii="Arial Narrow" w:eastAsia="Calibri" w:hAnsi="Arial Narrow"/>
          <w:sz w:val="22"/>
          <w:szCs w:val="22"/>
          <w:lang w:val="en-US" w:eastAsia="en-US"/>
        </w:rPr>
      </w:pPr>
      <w:r w:rsidRPr="00F14C02">
        <w:rPr>
          <w:rFonts w:ascii="Arial Narrow" w:eastAsia="Calibri" w:hAnsi="Arial Narrow"/>
          <w:sz w:val="22"/>
          <w:szCs w:val="22"/>
          <w:lang w:val="en-US" w:eastAsia="en-US"/>
        </w:rPr>
        <w:t xml:space="preserve">In line with ESMA’s Supervisory Instructions of May 2022, it could be envisaged that the acronym ESG or similar could be used when the Fund's assets substantially support, with at least 50% of the investments, the sustainable investment characteristics or objective. In fact, the 50% threshold would be easier to understand to the average consumer, less arbitrary and possibly acceptable to the market in general. </w:t>
      </w:r>
    </w:p>
    <w:p w14:paraId="357267A3" w14:textId="77777777" w:rsidR="002401A7" w:rsidRPr="002401A7" w:rsidRDefault="002401A7" w:rsidP="00F14C02">
      <w:pPr>
        <w:tabs>
          <w:tab w:val="left" w:pos="-284"/>
        </w:tabs>
        <w:ind w:left="-3240" w:right="-284"/>
        <w:jc w:val="both"/>
        <w:rPr>
          <w:rFonts w:ascii="Arial Narrow" w:eastAsia="Calibri" w:hAnsi="Arial Narrow"/>
          <w:sz w:val="22"/>
          <w:szCs w:val="22"/>
          <w:lang w:val="en-US" w:eastAsia="en-US"/>
        </w:rPr>
      </w:pPr>
    </w:p>
    <w:p w14:paraId="00FEB97A" w14:textId="46330FC8" w:rsidR="002401A7" w:rsidRPr="00E37100" w:rsidRDefault="002401A7" w:rsidP="00057085">
      <w:pPr>
        <w:pStyle w:val="Prrafodelista"/>
        <w:numPr>
          <w:ilvl w:val="1"/>
          <w:numId w:val="48"/>
        </w:numPr>
        <w:tabs>
          <w:tab w:val="left" w:pos="-284"/>
        </w:tabs>
        <w:ind w:left="360" w:right="-284"/>
        <w:jc w:val="both"/>
        <w:rPr>
          <w:rFonts w:ascii="Arial Narrow" w:eastAsia="Calibri" w:hAnsi="Arial Narrow"/>
          <w:sz w:val="22"/>
          <w:szCs w:val="22"/>
          <w:lang w:val="en-US" w:eastAsia="en-US"/>
        </w:rPr>
      </w:pPr>
      <w:r w:rsidRPr="00E37100">
        <w:rPr>
          <w:rFonts w:ascii="Arial Narrow" w:eastAsia="Calibri" w:hAnsi="Arial Narrow"/>
          <w:sz w:val="22"/>
          <w:szCs w:val="22"/>
          <w:lang w:val="en-US" w:eastAsia="en-US"/>
        </w:rPr>
        <w:lastRenderedPageBreak/>
        <w:t>Moreover, if the 50% threshold has been proposed for the use of the term "sustainable" in "sustainable investments", the same should apply for the use of "ESG</w:t>
      </w:r>
      <w:r w:rsidR="00181223">
        <w:rPr>
          <w:rFonts w:ascii="Arial Narrow" w:eastAsia="Calibri" w:hAnsi="Arial Narrow"/>
          <w:sz w:val="22"/>
          <w:szCs w:val="22"/>
          <w:lang w:val="en-US" w:eastAsia="en-US"/>
        </w:rPr>
        <w:t>-</w:t>
      </w:r>
      <w:r w:rsidRPr="00E37100">
        <w:rPr>
          <w:rFonts w:ascii="Arial Narrow" w:eastAsia="Calibri" w:hAnsi="Arial Narrow"/>
          <w:sz w:val="22"/>
          <w:szCs w:val="22"/>
          <w:lang w:val="en-US" w:eastAsia="en-US"/>
        </w:rPr>
        <w:t xml:space="preserve">related" terms. </w:t>
      </w:r>
    </w:p>
    <w:p w14:paraId="471E27F4" w14:textId="77777777" w:rsidR="002401A7" w:rsidRPr="002401A7" w:rsidRDefault="002401A7" w:rsidP="00F14C02">
      <w:pPr>
        <w:tabs>
          <w:tab w:val="left" w:pos="-284"/>
        </w:tabs>
        <w:ind w:left="-5400" w:right="-284"/>
        <w:jc w:val="both"/>
        <w:rPr>
          <w:rFonts w:ascii="Arial Narrow" w:eastAsia="Calibri" w:hAnsi="Arial Narrow"/>
          <w:sz w:val="22"/>
          <w:szCs w:val="22"/>
          <w:lang w:val="en-US" w:eastAsia="en-US"/>
        </w:rPr>
      </w:pPr>
    </w:p>
    <w:p w14:paraId="6AEFA30A" w14:textId="0F54C3FF" w:rsidR="002401A7" w:rsidRPr="00E37100" w:rsidRDefault="002401A7" w:rsidP="00057085">
      <w:pPr>
        <w:pStyle w:val="Prrafodelista"/>
        <w:numPr>
          <w:ilvl w:val="1"/>
          <w:numId w:val="48"/>
        </w:numPr>
        <w:tabs>
          <w:tab w:val="left" w:pos="-284"/>
        </w:tabs>
        <w:ind w:left="360" w:right="-284"/>
        <w:jc w:val="both"/>
        <w:rPr>
          <w:rFonts w:ascii="Arial Narrow" w:eastAsia="Calibri" w:hAnsi="Arial Narrow"/>
          <w:sz w:val="22"/>
          <w:szCs w:val="22"/>
          <w:lang w:val="en-US" w:eastAsia="en-US"/>
        </w:rPr>
      </w:pPr>
      <w:r w:rsidRPr="00E37100">
        <w:rPr>
          <w:rFonts w:ascii="Arial Narrow" w:eastAsia="Calibri" w:hAnsi="Arial Narrow"/>
          <w:sz w:val="22"/>
          <w:szCs w:val="22"/>
          <w:lang w:val="en-US" w:eastAsia="en-US"/>
        </w:rPr>
        <w:t>The 80% threshold provides the market with a misleading signal: In particular, that the threshold is higher because of the lower credibility of the investments it refers to, even though they could be just as critical, if not more so, for the green transition.</w:t>
      </w:r>
    </w:p>
    <w:p w14:paraId="064EB56A" w14:textId="77777777" w:rsidR="002401A7" w:rsidRPr="002401A7" w:rsidRDefault="002401A7" w:rsidP="00F14C02">
      <w:pPr>
        <w:tabs>
          <w:tab w:val="left" w:pos="-284"/>
        </w:tabs>
        <w:ind w:left="-5400" w:right="-284"/>
        <w:jc w:val="both"/>
        <w:rPr>
          <w:rFonts w:ascii="Arial Narrow" w:eastAsia="Calibri" w:hAnsi="Arial Narrow"/>
          <w:sz w:val="22"/>
          <w:szCs w:val="22"/>
          <w:lang w:val="en-US" w:eastAsia="en-US"/>
        </w:rPr>
      </w:pPr>
    </w:p>
    <w:p w14:paraId="149263E0" w14:textId="77418CF0" w:rsidR="002401A7" w:rsidRPr="00E37100" w:rsidRDefault="002401A7" w:rsidP="00057085">
      <w:pPr>
        <w:pStyle w:val="Prrafodelista"/>
        <w:numPr>
          <w:ilvl w:val="1"/>
          <w:numId w:val="48"/>
        </w:numPr>
        <w:tabs>
          <w:tab w:val="left" w:pos="-284"/>
        </w:tabs>
        <w:ind w:left="360" w:right="-284"/>
        <w:jc w:val="both"/>
        <w:rPr>
          <w:rFonts w:ascii="Arial Narrow" w:eastAsia="Calibri" w:hAnsi="Arial Narrow"/>
          <w:sz w:val="22"/>
          <w:szCs w:val="22"/>
          <w:lang w:val="en-US" w:eastAsia="en-US"/>
        </w:rPr>
      </w:pPr>
      <w:r w:rsidRPr="00E37100">
        <w:rPr>
          <w:rFonts w:ascii="Arial Narrow" w:eastAsia="Calibri" w:hAnsi="Arial Narrow"/>
          <w:sz w:val="22"/>
          <w:szCs w:val="22"/>
          <w:lang w:val="en-US" w:eastAsia="en-US"/>
        </w:rPr>
        <w:t xml:space="preserve">It is not reasonable that a Fund that has e.g., 75% sustainable investments aimed at the development of technology and tools for the rationalization of water resources consumption cannot include the term "water" in its name (since most of its investments have to do with its protection). </w:t>
      </w:r>
      <w:r w:rsidR="004045B8">
        <w:rPr>
          <w:rFonts w:ascii="Arial Narrow" w:eastAsia="Calibri" w:hAnsi="Arial Narrow"/>
          <w:sz w:val="22"/>
          <w:szCs w:val="22"/>
          <w:lang w:val="en-US" w:eastAsia="en-US"/>
        </w:rPr>
        <w:t xml:space="preserve">Nor can we understand that a Fund an art. 9 SFDR Fund with </w:t>
      </w:r>
      <w:r w:rsidRPr="00E37100">
        <w:rPr>
          <w:rFonts w:ascii="Arial Narrow" w:eastAsia="Calibri" w:hAnsi="Arial Narrow"/>
          <w:sz w:val="22"/>
          <w:szCs w:val="22"/>
          <w:lang w:val="en-US" w:eastAsia="en-US"/>
        </w:rPr>
        <w:t>a commitment to make 75% of sustainable investments cannot use ESG terms in its name</w:t>
      </w:r>
      <w:r w:rsidR="004045B8">
        <w:rPr>
          <w:rFonts w:ascii="Arial Narrow" w:eastAsia="Calibri" w:hAnsi="Arial Narrow"/>
          <w:sz w:val="22"/>
          <w:szCs w:val="22"/>
          <w:lang w:val="en-US" w:eastAsia="en-US"/>
        </w:rPr>
        <w:t xml:space="preserve"> if </w:t>
      </w:r>
      <w:r w:rsidRPr="00E37100">
        <w:rPr>
          <w:rFonts w:ascii="Arial Narrow" w:eastAsia="Calibri" w:hAnsi="Arial Narrow"/>
          <w:sz w:val="22"/>
          <w:szCs w:val="22"/>
          <w:lang w:val="en-US" w:eastAsia="en-US"/>
        </w:rPr>
        <w:t xml:space="preserve">an </w:t>
      </w:r>
      <w:r w:rsidR="004045B8">
        <w:rPr>
          <w:rFonts w:ascii="Arial Narrow" w:eastAsia="Calibri" w:hAnsi="Arial Narrow"/>
          <w:sz w:val="22"/>
          <w:szCs w:val="22"/>
          <w:lang w:val="en-US" w:eastAsia="en-US"/>
        </w:rPr>
        <w:t xml:space="preserve">art. </w:t>
      </w:r>
      <w:r w:rsidRPr="00E37100">
        <w:rPr>
          <w:rFonts w:ascii="Arial Narrow" w:eastAsia="Calibri" w:hAnsi="Arial Narrow"/>
          <w:sz w:val="22"/>
          <w:szCs w:val="22"/>
          <w:lang w:val="en-US" w:eastAsia="en-US"/>
        </w:rPr>
        <w:t>8 SFDR Fund that meets the 80% threshold, with 0% sustainable investments, can</w:t>
      </w:r>
      <w:r w:rsidR="004045B8">
        <w:rPr>
          <w:rFonts w:ascii="Arial Narrow" w:eastAsia="Calibri" w:hAnsi="Arial Narrow"/>
          <w:sz w:val="22"/>
          <w:szCs w:val="22"/>
          <w:lang w:val="en-US" w:eastAsia="en-US"/>
        </w:rPr>
        <w:t xml:space="preserve"> do so</w:t>
      </w:r>
      <w:r w:rsidRPr="00E37100">
        <w:rPr>
          <w:rFonts w:ascii="Arial Narrow" w:eastAsia="Calibri" w:hAnsi="Arial Narrow"/>
          <w:sz w:val="22"/>
          <w:szCs w:val="22"/>
          <w:lang w:val="en-US" w:eastAsia="en-US"/>
        </w:rPr>
        <w:t>.</w:t>
      </w:r>
    </w:p>
    <w:p w14:paraId="4F0E3CF9" w14:textId="77777777" w:rsidR="002401A7" w:rsidRPr="002401A7" w:rsidRDefault="002401A7" w:rsidP="00E37100">
      <w:pPr>
        <w:tabs>
          <w:tab w:val="left" w:pos="-284"/>
        </w:tabs>
        <w:ind w:right="-284"/>
        <w:jc w:val="both"/>
        <w:rPr>
          <w:rFonts w:ascii="Arial Narrow" w:eastAsia="Calibri" w:hAnsi="Arial Narrow"/>
          <w:sz w:val="22"/>
          <w:szCs w:val="22"/>
          <w:lang w:val="en-US" w:eastAsia="en-US"/>
        </w:rPr>
      </w:pPr>
    </w:p>
    <w:p w14:paraId="2CD3E68D" w14:textId="52437762" w:rsidR="002401A7" w:rsidRDefault="002401A7" w:rsidP="00E37100">
      <w:pPr>
        <w:tabs>
          <w:tab w:val="left" w:pos="-284"/>
        </w:tabs>
        <w:ind w:right="-284"/>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Such a rule tends to produce arbitrary results without increasing</w:t>
      </w:r>
      <w:r w:rsidR="004045B8">
        <w:rPr>
          <w:rFonts w:ascii="Arial Narrow" w:eastAsia="Calibri" w:hAnsi="Arial Narrow"/>
          <w:sz w:val="22"/>
          <w:szCs w:val="22"/>
          <w:lang w:val="en-US" w:eastAsia="en-US"/>
        </w:rPr>
        <w:t xml:space="preserve"> </w:t>
      </w:r>
      <w:r w:rsidRPr="002401A7">
        <w:rPr>
          <w:rFonts w:ascii="Arial Narrow" w:eastAsia="Calibri" w:hAnsi="Arial Narrow"/>
          <w:sz w:val="22"/>
          <w:szCs w:val="22"/>
          <w:lang w:val="en-US" w:eastAsia="en-US"/>
        </w:rPr>
        <w:t xml:space="preserve">investor </w:t>
      </w:r>
      <w:r w:rsidR="004045B8" w:rsidRPr="002401A7">
        <w:rPr>
          <w:rFonts w:ascii="Arial Narrow" w:eastAsia="Calibri" w:hAnsi="Arial Narrow"/>
          <w:sz w:val="22"/>
          <w:szCs w:val="22"/>
          <w:lang w:val="en-US" w:eastAsia="en-US"/>
        </w:rPr>
        <w:t>protection</w:t>
      </w:r>
      <w:r w:rsidRPr="002401A7">
        <w:rPr>
          <w:rFonts w:ascii="Arial Narrow" w:eastAsia="Calibri" w:hAnsi="Arial Narrow"/>
          <w:sz w:val="22"/>
          <w:szCs w:val="22"/>
          <w:lang w:val="en-US" w:eastAsia="en-US"/>
        </w:rPr>
        <w:t>.</w:t>
      </w:r>
    </w:p>
    <w:p w14:paraId="704609ED" w14:textId="6CAC660D" w:rsidR="002401A7" w:rsidRPr="002401A7" w:rsidRDefault="002401A7" w:rsidP="00E37100">
      <w:pPr>
        <w:tabs>
          <w:tab w:val="left" w:pos="-284"/>
        </w:tabs>
        <w:ind w:right="-284"/>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 </w:t>
      </w:r>
    </w:p>
    <w:p w14:paraId="49F7B166" w14:textId="5840835E" w:rsidR="002401A7" w:rsidRDefault="002401A7" w:rsidP="00E37100">
      <w:pPr>
        <w:tabs>
          <w:tab w:val="left" w:pos="-284"/>
        </w:tabs>
        <w:ind w:right="-284"/>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Regarding the term “impact”, see question 10.</w:t>
      </w:r>
    </w:p>
    <w:p w14:paraId="3DFC8650" w14:textId="77777777" w:rsidR="002401A7" w:rsidRPr="002401A7" w:rsidRDefault="002401A7" w:rsidP="002401A7">
      <w:pPr>
        <w:tabs>
          <w:tab w:val="left" w:pos="-284"/>
        </w:tabs>
        <w:ind w:left="284" w:right="-284"/>
        <w:jc w:val="both"/>
        <w:rPr>
          <w:rFonts w:ascii="Arial Narrow" w:eastAsia="Calibri" w:hAnsi="Arial Narrow"/>
          <w:sz w:val="22"/>
          <w:szCs w:val="22"/>
          <w:lang w:val="en-US" w:eastAsia="en-US"/>
        </w:rPr>
      </w:pPr>
    </w:p>
    <w:p w14:paraId="7BED3590" w14:textId="1DC2AE8E" w:rsidR="00B92885" w:rsidRDefault="00B92885" w:rsidP="00B92885"/>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057085">
      <w:pPr>
        <w:pStyle w:val="Questionstyle"/>
        <w:numPr>
          <w:ilvl w:val="0"/>
          <w:numId w:val="37"/>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0EA3104E" w14:textId="77777777" w:rsidR="00E37100" w:rsidRDefault="00E37100" w:rsidP="002401A7">
      <w:pPr>
        <w:tabs>
          <w:tab w:val="left" w:pos="-284"/>
        </w:tabs>
        <w:ind w:left="284" w:right="-284"/>
        <w:jc w:val="both"/>
        <w:rPr>
          <w:rFonts w:ascii="Arial Narrow" w:eastAsia="Calibri" w:hAnsi="Arial Narrow"/>
          <w:sz w:val="22"/>
          <w:szCs w:val="22"/>
          <w:lang w:val="en-US" w:eastAsia="en-US"/>
        </w:rPr>
      </w:pPr>
      <w:permStart w:id="347949177" w:edGrp="everyone"/>
    </w:p>
    <w:p w14:paraId="06AB447A" w14:textId="578118D9" w:rsidR="002401A7" w:rsidRDefault="002401A7" w:rsidP="00E37100">
      <w:pPr>
        <w:tabs>
          <w:tab w:val="left" w:pos="-284"/>
        </w:tabs>
        <w:ind w:right="-284"/>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INVERCO does not consider it appropriate for the thresholds to work in an additive manner. </w:t>
      </w:r>
    </w:p>
    <w:p w14:paraId="658DA9D2" w14:textId="77777777" w:rsidR="002401A7" w:rsidRPr="002401A7" w:rsidRDefault="002401A7" w:rsidP="00E37100">
      <w:pPr>
        <w:tabs>
          <w:tab w:val="left" w:pos="-284"/>
        </w:tabs>
        <w:ind w:right="-284"/>
        <w:jc w:val="both"/>
        <w:rPr>
          <w:rFonts w:ascii="Arial Narrow" w:eastAsia="Calibri" w:hAnsi="Arial Narrow"/>
          <w:sz w:val="22"/>
          <w:szCs w:val="22"/>
          <w:lang w:val="en-US" w:eastAsia="en-US"/>
        </w:rPr>
      </w:pPr>
    </w:p>
    <w:p w14:paraId="736EBEEE" w14:textId="5F12AD04" w:rsidR="002401A7" w:rsidRDefault="002401A7" w:rsidP="00E37100">
      <w:pPr>
        <w:tabs>
          <w:tab w:val="left" w:pos="-284"/>
        </w:tabs>
        <w:ind w:right="-284"/>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It would be more logical for them to operate independently and on the assumption that the product exceeding the "sustainable investments" threshold can also make use of the acronym "ESG" or related terms, in accordance with the general principle </w:t>
      </w:r>
      <w:r w:rsidRPr="002401A7">
        <w:rPr>
          <w:rFonts w:ascii="Arial Narrow" w:eastAsia="Calibri" w:hAnsi="Arial Narrow"/>
          <w:i/>
          <w:iCs/>
          <w:sz w:val="22"/>
          <w:szCs w:val="22"/>
          <w:lang w:val="en-US" w:eastAsia="en-US"/>
        </w:rPr>
        <w:t>"Qui potest plus, potest minus"</w:t>
      </w:r>
      <w:r w:rsidRPr="002401A7">
        <w:rPr>
          <w:rFonts w:ascii="Arial Narrow" w:eastAsia="Calibri" w:hAnsi="Arial Narrow"/>
          <w:sz w:val="22"/>
          <w:szCs w:val="22"/>
          <w:lang w:val="en-US" w:eastAsia="en-US"/>
        </w:rPr>
        <w:t xml:space="preserve"> ("</w:t>
      </w:r>
      <w:r w:rsidR="004045B8" w:rsidRPr="004045B8">
        <w:rPr>
          <w:rFonts w:ascii="Arial Narrow" w:eastAsia="Calibri" w:hAnsi="Arial Narrow"/>
          <w:i/>
          <w:iCs/>
          <w:sz w:val="22"/>
          <w:szCs w:val="22"/>
          <w:lang w:val="en-US" w:eastAsia="en-US"/>
        </w:rPr>
        <w:t>he who can do more can do less</w:t>
      </w:r>
      <w:r w:rsidRPr="002401A7">
        <w:rPr>
          <w:rFonts w:ascii="Arial Narrow" w:eastAsia="Calibri" w:hAnsi="Arial Narrow"/>
          <w:sz w:val="22"/>
          <w:szCs w:val="22"/>
          <w:lang w:val="en-US" w:eastAsia="en-US"/>
        </w:rPr>
        <w:t>").</w:t>
      </w:r>
    </w:p>
    <w:p w14:paraId="3DFF2D3D" w14:textId="77777777" w:rsidR="002401A7" w:rsidRPr="002401A7" w:rsidRDefault="002401A7" w:rsidP="00E37100">
      <w:pPr>
        <w:tabs>
          <w:tab w:val="left" w:pos="-284"/>
        </w:tabs>
        <w:ind w:right="-284"/>
        <w:jc w:val="both"/>
        <w:rPr>
          <w:rFonts w:ascii="Arial Narrow" w:eastAsia="Calibri" w:hAnsi="Arial Narrow"/>
          <w:sz w:val="22"/>
          <w:szCs w:val="22"/>
          <w:lang w:val="en-US" w:eastAsia="en-US"/>
        </w:rPr>
      </w:pPr>
    </w:p>
    <w:p w14:paraId="5738105D" w14:textId="77777777" w:rsidR="002401A7" w:rsidRDefault="002401A7" w:rsidP="00E37100">
      <w:pPr>
        <w:tabs>
          <w:tab w:val="left" w:pos="-284"/>
        </w:tabs>
        <w:ind w:right="-284"/>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In any case, ESMA should review the wording of the proposed Guidelines to clarify whether these are thresholds that operate in an additional (achievement of a threshold conditional on meeting a previous threshold) or an independent way.</w:t>
      </w:r>
    </w:p>
    <w:p w14:paraId="7A9F9CA7" w14:textId="01774253" w:rsidR="002401A7" w:rsidRPr="002401A7" w:rsidRDefault="002401A7" w:rsidP="00E37100">
      <w:pPr>
        <w:tabs>
          <w:tab w:val="left" w:pos="-284"/>
        </w:tabs>
        <w:ind w:right="-284"/>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 </w:t>
      </w:r>
    </w:p>
    <w:p w14:paraId="5849BDF5" w14:textId="1CD8B20E" w:rsidR="002401A7" w:rsidRDefault="002401A7" w:rsidP="00E37100">
      <w:pPr>
        <w:tabs>
          <w:tab w:val="left" w:pos="-284"/>
        </w:tabs>
        <w:ind w:right="-284"/>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If they end up being additional to each other, it would also be desirable to expressly clarify whether the 50% percentage would apply to the total value of the investments or to the value resulting from applying the first percentage (i.e. 50% of 80%, which would be equivalent in absolute terms to 40% of the value of the investments).</w:t>
      </w:r>
    </w:p>
    <w:p w14:paraId="4033821A" w14:textId="77777777" w:rsidR="002401A7" w:rsidRPr="002401A7" w:rsidRDefault="002401A7" w:rsidP="00E37100">
      <w:pPr>
        <w:tabs>
          <w:tab w:val="left" w:pos="-284"/>
        </w:tabs>
        <w:ind w:right="-284"/>
        <w:jc w:val="both"/>
        <w:rPr>
          <w:rFonts w:ascii="Arial Narrow" w:eastAsia="Calibri" w:hAnsi="Arial Narrow"/>
          <w:sz w:val="22"/>
          <w:szCs w:val="22"/>
          <w:lang w:val="en-US" w:eastAsia="en-US"/>
        </w:rPr>
      </w:pPr>
    </w:p>
    <w:p w14:paraId="2009539F" w14:textId="1478314A" w:rsidR="002401A7" w:rsidRDefault="002401A7" w:rsidP="00E37100">
      <w:pPr>
        <w:tabs>
          <w:tab w:val="left" w:pos="-284"/>
        </w:tabs>
        <w:ind w:right="-284"/>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On the other hand, the use of terms such as "sustainable" or "sustainability" in the Fund name cannot be subject to the realization of the "sustainable investments" referred to in </w:t>
      </w:r>
      <w:r w:rsidR="00EA1652">
        <w:rPr>
          <w:rFonts w:ascii="Arial Narrow" w:eastAsia="Calibri" w:hAnsi="Arial Narrow"/>
          <w:sz w:val="22"/>
          <w:szCs w:val="22"/>
          <w:lang w:val="en-US" w:eastAsia="en-US"/>
        </w:rPr>
        <w:t xml:space="preserve">art. </w:t>
      </w:r>
      <w:r w:rsidRPr="002401A7">
        <w:rPr>
          <w:rFonts w:ascii="Arial Narrow" w:eastAsia="Calibri" w:hAnsi="Arial Narrow"/>
          <w:sz w:val="22"/>
          <w:szCs w:val="22"/>
          <w:lang w:val="en-US" w:eastAsia="en-US"/>
        </w:rPr>
        <w:t xml:space="preserve">2.17 of SFDR exclusively, since this is just one of the various approaches to sustainability </w:t>
      </w:r>
      <w:r w:rsidR="00EA1652">
        <w:rPr>
          <w:rFonts w:ascii="Arial Narrow" w:eastAsia="Calibri" w:hAnsi="Arial Narrow"/>
          <w:sz w:val="22"/>
          <w:szCs w:val="22"/>
          <w:lang w:val="en-US" w:eastAsia="en-US"/>
        </w:rPr>
        <w:t xml:space="preserve">provided by </w:t>
      </w:r>
      <w:r w:rsidRPr="002401A7">
        <w:rPr>
          <w:rFonts w:ascii="Arial Narrow" w:eastAsia="Calibri" w:hAnsi="Arial Narrow"/>
          <w:sz w:val="22"/>
          <w:szCs w:val="22"/>
          <w:lang w:val="en-US" w:eastAsia="en-US"/>
        </w:rPr>
        <w:t>applicable regulations</w:t>
      </w:r>
      <w:r w:rsidR="00EA1652">
        <w:rPr>
          <w:rFonts w:ascii="Arial Narrow" w:eastAsia="Calibri" w:hAnsi="Arial Narrow"/>
          <w:sz w:val="22"/>
          <w:szCs w:val="22"/>
          <w:lang w:val="en-US" w:eastAsia="en-US"/>
        </w:rPr>
        <w:t>. Furthermore, sustainable investment is a</w:t>
      </w:r>
      <w:r w:rsidRPr="002401A7">
        <w:rPr>
          <w:rFonts w:ascii="Arial Narrow" w:eastAsia="Calibri" w:hAnsi="Arial Narrow"/>
          <w:sz w:val="22"/>
          <w:szCs w:val="22"/>
          <w:lang w:val="en-US" w:eastAsia="en-US"/>
        </w:rPr>
        <w:t xml:space="preserve"> concept pending harmonization.</w:t>
      </w:r>
    </w:p>
    <w:p w14:paraId="5890A719" w14:textId="77777777" w:rsidR="002401A7" w:rsidRPr="002401A7" w:rsidRDefault="002401A7" w:rsidP="00E37100">
      <w:pPr>
        <w:tabs>
          <w:tab w:val="left" w:pos="-284"/>
        </w:tabs>
        <w:ind w:right="-284"/>
        <w:jc w:val="both"/>
        <w:rPr>
          <w:rFonts w:ascii="Arial Narrow" w:eastAsia="Calibri" w:hAnsi="Arial Narrow"/>
          <w:sz w:val="22"/>
          <w:szCs w:val="22"/>
          <w:lang w:val="en-US" w:eastAsia="en-US"/>
        </w:rPr>
      </w:pPr>
    </w:p>
    <w:p w14:paraId="20D9B8A8" w14:textId="24F13A03" w:rsidR="002401A7" w:rsidRPr="002401A7" w:rsidRDefault="00EA1652" w:rsidP="00E37100">
      <w:pPr>
        <w:tabs>
          <w:tab w:val="left" w:pos="-284"/>
        </w:tabs>
        <w:ind w:right="-284"/>
        <w:jc w:val="both"/>
        <w:rPr>
          <w:rFonts w:ascii="Arial Narrow" w:eastAsia="Calibri" w:hAnsi="Arial Narrow"/>
          <w:sz w:val="22"/>
          <w:szCs w:val="22"/>
          <w:lang w:val="en-US" w:eastAsia="en-US"/>
        </w:rPr>
      </w:pPr>
      <w:r>
        <w:rPr>
          <w:rFonts w:ascii="Arial Narrow" w:eastAsia="Calibri" w:hAnsi="Arial Narrow"/>
          <w:sz w:val="22"/>
          <w:szCs w:val="22"/>
          <w:lang w:val="en-US" w:eastAsia="en-US"/>
        </w:rPr>
        <w:t>Therefore, i</w:t>
      </w:r>
      <w:r w:rsidR="002401A7" w:rsidRPr="002401A7">
        <w:rPr>
          <w:rFonts w:ascii="Arial Narrow" w:eastAsia="Calibri" w:hAnsi="Arial Narrow"/>
          <w:sz w:val="22"/>
          <w:szCs w:val="22"/>
          <w:lang w:val="en-US" w:eastAsia="en-US"/>
        </w:rPr>
        <w:t xml:space="preserve">n order not to undermine the credibility of sustainable finance, the definition of "sustainability preferences" contained in the Commission's Delegated Regulation (EU) 2021/1253 of April 21, 2021, must be considered so that investments aligned with the Taxonomy or those </w:t>
      </w:r>
      <w:r>
        <w:rPr>
          <w:rFonts w:ascii="Arial Narrow" w:eastAsia="Calibri" w:hAnsi="Arial Narrow"/>
          <w:sz w:val="22"/>
          <w:szCs w:val="22"/>
          <w:lang w:val="en-US" w:eastAsia="en-US"/>
        </w:rPr>
        <w:t xml:space="preserve">taking PIAS </w:t>
      </w:r>
      <w:r w:rsidR="002401A7" w:rsidRPr="002401A7">
        <w:rPr>
          <w:rFonts w:ascii="Arial Narrow" w:eastAsia="Calibri" w:hAnsi="Arial Narrow"/>
          <w:sz w:val="22"/>
          <w:szCs w:val="22"/>
          <w:lang w:val="en-US" w:eastAsia="en-US"/>
        </w:rPr>
        <w:t xml:space="preserve">into consideration </w:t>
      </w:r>
      <w:r>
        <w:rPr>
          <w:rFonts w:ascii="Arial Narrow" w:eastAsia="Calibri" w:hAnsi="Arial Narrow"/>
          <w:sz w:val="22"/>
          <w:szCs w:val="22"/>
          <w:lang w:val="en-US" w:eastAsia="en-US"/>
        </w:rPr>
        <w:t>are al</w:t>
      </w:r>
      <w:r w:rsidR="002401A7" w:rsidRPr="002401A7">
        <w:rPr>
          <w:rFonts w:ascii="Arial Narrow" w:eastAsia="Calibri" w:hAnsi="Arial Narrow"/>
          <w:sz w:val="22"/>
          <w:szCs w:val="22"/>
          <w:lang w:val="en-US" w:eastAsia="en-US"/>
        </w:rPr>
        <w:t xml:space="preserve">so </w:t>
      </w:r>
      <w:r>
        <w:rPr>
          <w:rFonts w:ascii="Arial Narrow" w:eastAsia="Calibri" w:hAnsi="Arial Narrow"/>
          <w:sz w:val="22"/>
          <w:szCs w:val="22"/>
          <w:lang w:val="en-US" w:eastAsia="en-US"/>
        </w:rPr>
        <w:t xml:space="preserve">deemed </w:t>
      </w:r>
      <w:r w:rsidR="002401A7" w:rsidRPr="002401A7">
        <w:rPr>
          <w:rFonts w:ascii="Arial Narrow" w:eastAsia="Calibri" w:hAnsi="Arial Narrow"/>
          <w:sz w:val="22"/>
          <w:szCs w:val="22"/>
          <w:lang w:val="en-US" w:eastAsia="en-US"/>
        </w:rPr>
        <w:t>sustainable.</w:t>
      </w:r>
    </w:p>
    <w:p w14:paraId="72DC8EFB" w14:textId="77777777" w:rsidR="004045B8" w:rsidRDefault="004045B8" w:rsidP="004045B8">
      <w:pPr>
        <w:tabs>
          <w:tab w:val="left" w:pos="-284"/>
        </w:tabs>
        <w:ind w:right="-284"/>
        <w:jc w:val="both"/>
        <w:rPr>
          <w:rFonts w:ascii="Arial Narrow" w:eastAsia="Calibri" w:hAnsi="Arial Narrow"/>
          <w:sz w:val="22"/>
          <w:szCs w:val="22"/>
          <w:lang w:val="en-US" w:eastAsia="en-US"/>
        </w:rPr>
      </w:pPr>
    </w:p>
    <w:p w14:paraId="5B8DB9DB" w14:textId="2203BEE0" w:rsidR="002401A7" w:rsidRDefault="002401A7" w:rsidP="004045B8">
      <w:pPr>
        <w:tabs>
          <w:tab w:val="left" w:pos="-284"/>
        </w:tabs>
        <w:ind w:right="-284"/>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In this sense, and in order not to further confuse the retail investor, ESMA Guidelines should not identify as "non-sustainable" those products that </w:t>
      </w:r>
      <w:r w:rsidR="00EA1652">
        <w:rPr>
          <w:rFonts w:ascii="Arial Narrow" w:eastAsia="Calibri" w:hAnsi="Arial Narrow"/>
          <w:sz w:val="22"/>
          <w:szCs w:val="22"/>
          <w:lang w:val="en-US" w:eastAsia="en-US"/>
        </w:rPr>
        <w:t xml:space="preserve">must </w:t>
      </w:r>
      <w:r w:rsidRPr="002401A7">
        <w:rPr>
          <w:rFonts w:ascii="Arial Narrow" w:eastAsia="Calibri" w:hAnsi="Arial Narrow"/>
          <w:sz w:val="22"/>
          <w:szCs w:val="22"/>
          <w:lang w:val="en-US" w:eastAsia="en-US"/>
        </w:rPr>
        <w:t xml:space="preserve">be offered to clients who have opted for </w:t>
      </w:r>
      <w:r w:rsidR="00EA1652">
        <w:rPr>
          <w:rFonts w:ascii="Arial Narrow" w:eastAsia="Calibri" w:hAnsi="Arial Narrow"/>
          <w:sz w:val="22"/>
          <w:szCs w:val="22"/>
          <w:lang w:val="en-US" w:eastAsia="en-US"/>
        </w:rPr>
        <w:t xml:space="preserve">a </w:t>
      </w:r>
      <w:r w:rsidRPr="002401A7">
        <w:rPr>
          <w:rFonts w:ascii="Arial Narrow" w:eastAsia="Calibri" w:hAnsi="Arial Narrow"/>
          <w:sz w:val="22"/>
          <w:szCs w:val="22"/>
          <w:lang w:val="en-US" w:eastAsia="en-US"/>
        </w:rPr>
        <w:t xml:space="preserve">PIAS or Taxonomy </w:t>
      </w:r>
      <w:r w:rsidR="00EA1652">
        <w:rPr>
          <w:rFonts w:ascii="Arial Narrow" w:eastAsia="Calibri" w:hAnsi="Arial Narrow"/>
          <w:sz w:val="22"/>
          <w:szCs w:val="22"/>
          <w:lang w:val="en-US" w:eastAsia="en-US"/>
        </w:rPr>
        <w:t xml:space="preserve">alignment approach </w:t>
      </w:r>
      <w:r w:rsidRPr="002401A7">
        <w:rPr>
          <w:rFonts w:ascii="Arial Narrow" w:eastAsia="Calibri" w:hAnsi="Arial Narrow"/>
          <w:sz w:val="22"/>
          <w:szCs w:val="22"/>
          <w:lang w:val="en-US" w:eastAsia="en-US"/>
        </w:rPr>
        <w:t xml:space="preserve">when disclosing their "sustainability preferences" in the MiFID suitability test. </w:t>
      </w:r>
    </w:p>
    <w:p w14:paraId="1AD92909" w14:textId="77777777" w:rsidR="00E37100" w:rsidRPr="002401A7" w:rsidRDefault="00E37100" w:rsidP="002401A7">
      <w:pPr>
        <w:tabs>
          <w:tab w:val="left" w:pos="-284"/>
        </w:tabs>
        <w:ind w:left="284" w:right="-284"/>
        <w:jc w:val="both"/>
        <w:rPr>
          <w:rFonts w:ascii="Arial Narrow" w:eastAsia="Calibri" w:hAnsi="Arial Narrow"/>
          <w:sz w:val="22"/>
          <w:szCs w:val="22"/>
          <w:lang w:val="en-US" w:eastAsia="en-US"/>
        </w:rPr>
      </w:pP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057085">
      <w:pPr>
        <w:pStyle w:val="Questionstyle"/>
        <w:numPr>
          <w:ilvl w:val="0"/>
          <w:numId w:val="37"/>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49B182C1" w14:textId="77777777" w:rsidR="00E37100" w:rsidRDefault="00E37100" w:rsidP="002401A7">
      <w:pPr>
        <w:rPr>
          <w:lang w:val="en-US"/>
        </w:rPr>
      </w:pPr>
      <w:permStart w:id="351877901" w:edGrp="everyone"/>
    </w:p>
    <w:p w14:paraId="2F0CCC21" w14:textId="39F20B31" w:rsidR="002401A7" w:rsidRPr="00E37100" w:rsidRDefault="002401A7" w:rsidP="00E37100">
      <w:pPr>
        <w:tabs>
          <w:tab w:val="left" w:pos="-284"/>
        </w:tabs>
        <w:ind w:right="-284"/>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See questions 1, 2 and 3.</w:t>
      </w:r>
    </w:p>
    <w:p w14:paraId="15A431EB" w14:textId="77777777" w:rsidR="00E37100" w:rsidRPr="002401A7" w:rsidRDefault="00E37100" w:rsidP="002401A7">
      <w:pPr>
        <w:rPr>
          <w:lang w:val="en-US"/>
        </w:rPr>
      </w:pP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057085">
      <w:pPr>
        <w:pStyle w:val="Questionstyle"/>
        <w:numPr>
          <w:ilvl w:val="0"/>
          <w:numId w:val="37"/>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64912D36" w14:textId="77777777" w:rsidR="00E37100" w:rsidRDefault="00E37100" w:rsidP="002401A7">
      <w:pPr>
        <w:rPr>
          <w:lang w:val="en-US"/>
        </w:rPr>
      </w:pPr>
      <w:permStart w:id="1539323392" w:edGrp="everyone"/>
    </w:p>
    <w:p w14:paraId="3FDB9064" w14:textId="20B54127" w:rsidR="002401A7" w:rsidRDefault="002401A7" w:rsidP="002401A7">
      <w:pPr>
        <w:rPr>
          <w:lang w:val="en-US"/>
        </w:rPr>
      </w:pPr>
      <w:r w:rsidRPr="002401A7">
        <w:rPr>
          <w:rFonts w:ascii="Arial Narrow" w:eastAsia="Calibri" w:hAnsi="Arial Narrow"/>
          <w:sz w:val="22"/>
          <w:szCs w:val="22"/>
          <w:lang w:val="en-US" w:eastAsia="en-US"/>
        </w:rPr>
        <w:t xml:space="preserve">Yes, there are alternatives to the proposed thresholds. </w:t>
      </w:r>
    </w:p>
    <w:p w14:paraId="32C88E5C" w14:textId="77777777" w:rsidR="002401A7" w:rsidRPr="002401A7" w:rsidRDefault="002401A7" w:rsidP="002401A7">
      <w:pPr>
        <w:rPr>
          <w:lang w:val="en-US"/>
        </w:rPr>
      </w:pPr>
    </w:p>
    <w:p w14:paraId="653F2065" w14:textId="5045BAA3" w:rsidR="002401A7" w:rsidRDefault="002401A7" w:rsidP="00057085">
      <w:pPr>
        <w:numPr>
          <w:ilvl w:val="0"/>
          <w:numId w:val="42"/>
        </w:numPr>
        <w:rPr>
          <w:b/>
          <w:bCs/>
          <w:lang w:val="en-US"/>
        </w:rPr>
      </w:pPr>
      <w:r w:rsidRPr="002401A7">
        <w:rPr>
          <w:b/>
          <w:bCs/>
          <w:lang w:val="en-US"/>
        </w:rPr>
        <w:t>Alternatives to the threshold approach:</w:t>
      </w:r>
    </w:p>
    <w:p w14:paraId="1E15D72F" w14:textId="77777777" w:rsidR="002401A7" w:rsidRPr="002401A7" w:rsidRDefault="002401A7" w:rsidP="002401A7">
      <w:pPr>
        <w:ind w:left="720"/>
        <w:rPr>
          <w:b/>
          <w:bCs/>
          <w:lang w:val="en-US"/>
        </w:rPr>
      </w:pPr>
    </w:p>
    <w:p w14:paraId="41CABB40" w14:textId="07412C32" w:rsidR="002401A7" w:rsidRDefault="002401A7" w:rsidP="002401A7">
      <w:pPr>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As </w:t>
      </w:r>
      <w:r w:rsidR="00EA1652">
        <w:rPr>
          <w:rFonts w:ascii="Arial Narrow" w:eastAsia="Calibri" w:hAnsi="Arial Narrow"/>
          <w:sz w:val="22"/>
          <w:szCs w:val="22"/>
          <w:lang w:val="en-US" w:eastAsia="en-US"/>
        </w:rPr>
        <w:t>above ind</w:t>
      </w:r>
      <w:r w:rsidRPr="002401A7">
        <w:rPr>
          <w:rFonts w:ascii="Arial Narrow" w:eastAsia="Calibri" w:hAnsi="Arial Narrow"/>
          <w:sz w:val="22"/>
          <w:szCs w:val="22"/>
          <w:lang w:val="en-US" w:eastAsia="en-US"/>
        </w:rPr>
        <w:t xml:space="preserve">icated, instead of the proposed thresholds to opt for one or another denomination, the approach adopted by ESMA in its Supervisory Instructions of May 2022 is considered more sound. </w:t>
      </w:r>
    </w:p>
    <w:p w14:paraId="70CF276C" w14:textId="77777777" w:rsidR="002401A7" w:rsidRPr="002401A7" w:rsidRDefault="002401A7" w:rsidP="002401A7">
      <w:pPr>
        <w:jc w:val="both"/>
        <w:rPr>
          <w:rFonts w:ascii="Arial Narrow" w:eastAsia="Calibri" w:hAnsi="Arial Narrow"/>
          <w:sz w:val="22"/>
          <w:szCs w:val="22"/>
          <w:lang w:val="en-US" w:eastAsia="en-US"/>
        </w:rPr>
      </w:pPr>
    </w:p>
    <w:p w14:paraId="197E6A0F" w14:textId="57EF89EA" w:rsidR="002401A7" w:rsidRPr="00EA1652" w:rsidRDefault="002401A7" w:rsidP="005211D0">
      <w:pPr>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Those Instructions stated that NCAs should ensure that the use of ESG references in the designations is limited to those cases where it is evidenced to be appropriate, substantially supported by the Fund's investments and considering the sustainability objectives or characteristics of the vehicle. </w:t>
      </w:r>
      <w:r w:rsidR="005211D0">
        <w:rPr>
          <w:rFonts w:ascii="Arial Narrow" w:eastAsia="Calibri" w:hAnsi="Arial Narrow"/>
          <w:sz w:val="22"/>
          <w:szCs w:val="22"/>
          <w:lang w:val="en-US" w:eastAsia="en-US"/>
        </w:rPr>
        <w:t>Those</w:t>
      </w:r>
      <w:r w:rsidR="00EA1652">
        <w:rPr>
          <w:rFonts w:ascii="Arial Narrow" w:eastAsia="Calibri" w:hAnsi="Arial Narrow"/>
          <w:sz w:val="22"/>
          <w:szCs w:val="22"/>
          <w:lang w:val="en-US" w:eastAsia="en-US"/>
        </w:rPr>
        <w:t xml:space="preserve"> Instructions</w:t>
      </w:r>
      <w:r w:rsidR="005211D0">
        <w:rPr>
          <w:rFonts w:ascii="Arial Narrow" w:eastAsia="Calibri" w:hAnsi="Arial Narrow"/>
          <w:sz w:val="22"/>
          <w:szCs w:val="22"/>
          <w:lang w:val="en-US" w:eastAsia="en-US"/>
        </w:rPr>
        <w:t xml:space="preserve"> (i) w</w:t>
      </w:r>
      <w:r w:rsidRPr="00EA1652">
        <w:rPr>
          <w:rFonts w:ascii="Arial Narrow" w:eastAsia="Calibri" w:hAnsi="Arial Narrow"/>
          <w:sz w:val="22"/>
          <w:szCs w:val="22"/>
          <w:lang w:val="en-US" w:eastAsia="en-US"/>
        </w:rPr>
        <w:t xml:space="preserve">ere </w:t>
      </w:r>
      <w:r w:rsidR="00EA1652">
        <w:rPr>
          <w:rFonts w:ascii="Arial Narrow" w:eastAsia="Calibri" w:hAnsi="Arial Narrow"/>
          <w:sz w:val="22"/>
          <w:szCs w:val="22"/>
          <w:lang w:val="en-US" w:eastAsia="en-US"/>
        </w:rPr>
        <w:t xml:space="preserve">compliant with </w:t>
      </w:r>
      <w:r w:rsidRPr="00EA1652">
        <w:rPr>
          <w:rFonts w:ascii="Arial Narrow" w:eastAsia="Calibri" w:hAnsi="Arial Narrow"/>
          <w:sz w:val="22"/>
          <w:szCs w:val="22"/>
          <w:lang w:val="en-US" w:eastAsia="en-US"/>
        </w:rPr>
        <w:t>the concept of Guidelines and Recommendations contained in Article 16 of the ESMA Regulation</w:t>
      </w:r>
      <w:r w:rsidR="00EA1652" w:rsidRPr="00EA1652">
        <w:rPr>
          <w:rFonts w:ascii="Arial Narrow" w:eastAsia="Calibri" w:hAnsi="Arial Narrow"/>
          <w:sz w:val="22"/>
          <w:szCs w:val="22"/>
          <w:lang w:val="en-US" w:eastAsia="en-US"/>
        </w:rPr>
        <w:t xml:space="preserve"> and </w:t>
      </w:r>
      <w:r w:rsidR="005211D0">
        <w:rPr>
          <w:rFonts w:ascii="Arial Narrow" w:eastAsia="Calibri" w:hAnsi="Arial Narrow"/>
          <w:sz w:val="22"/>
          <w:szCs w:val="22"/>
          <w:lang w:val="en-US" w:eastAsia="en-US"/>
        </w:rPr>
        <w:t>(ii) d</w:t>
      </w:r>
      <w:r w:rsidR="00EA1652">
        <w:rPr>
          <w:rFonts w:ascii="Arial Narrow" w:eastAsia="Calibri" w:hAnsi="Arial Narrow"/>
          <w:sz w:val="22"/>
          <w:szCs w:val="22"/>
          <w:lang w:val="en-US" w:eastAsia="en-US"/>
        </w:rPr>
        <w:t xml:space="preserve">id not include </w:t>
      </w:r>
      <w:r w:rsidRPr="00EA1652">
        <w:rPr>
          <w:rFonts w:ascii="Arial Narrow" w:eastAsia="Calibri" w:hAnsi="Arial Narrow"/>
          <w:sz w:val="22"/>
          <w:szCs w:val="22"/>
          <w:lang w:val="en-US" w:eastAsia="en-US"/>
        </w:rPr>
        <w:t>overlapping rules</w:t>
      </w:r>
      <w:r w:rsidR="00EA1652">
        <w:rPr>
          <w:rFonts w:ascii="Arial Narrow" w:eastAsia="Calibri" w:hAnsi="Arial Narrow"/>
          <w:sz w:val="22"/>
          <w:szCs w:val="22"/>
          <w:lang w:val="en-US" w:eastAsia="en-US"/>
        </w:rPr>
        <w:t xml:space="preserve"> which were </w:t>
      </w:r>
      <w:r w:rsidRPr="00EA1652">
        <w:rPr>
          <w:rFonts w:ascii="Arial Narrow" w:eastAsia="Calibri" w:hAnsi="Arial Narrow"/>
          <w:sz w:val="22"/>
          <w:szCs w:val="22"/>
          <w:lang w:val="en-US" w:eastAsia="en-US"/>
        </w:rPr>
        <w:t>inconsistent with existing legislation.</w:t>
      </w:r>
    </w:p>
    <w:p w14:paraId="706AACE9" w14:textId="77777777" w:rsidR="002401A7" w:rsidRPr="002401A7" w:rsidRDefault="002401A7" w:rsidP="002401A7">
      <w:pPr>
        <w:jc w:val="both"/>
        <w:rPr>
          <w:rFonts w:ascii="Arial Narrow" w:eastAsia="Calibri" w:hAnsi="Arial Narrow"/>
          <w:sz w:val="22"/>
          <w:szCs w:val="22"/>
          <w:lang w:val="en-US" w:eastAsia="en-US"/>
        </w:rPr>
      </w:pPr>
    </w:p>
    <w:p w14:paraId="21B772D4" w14:textId="6274836A" w:rsidR="002401A7" w:rsidRPr="002401A7" w:rsidRDefault="002401A7" w:rsidP="002401A7">
      <w:pPr>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However, if ESMA wants to develop </w:t>
      </w:r>
      <w:r w:rsidR="005211D0">
        <w:rPr>
          <w:rFonts w:ascii="Arial Narrow" w:eastAsia="Calibri" w:hAnsi="Arial Narrow"/>
          <w:sz w:val="22"/>
          <w:szCs w:val="22"/>
          <w:lang w:val="en-US" w:eastAsia="en-US"/>
        </w:rPr>
        <w:t xml:space="preserve">more detailed criteria, </w:t>
      </w:r>
      <w:r w:rsidRPr="002401A7">
        <w:rPr>
          <w:rFonts w:ascii="Arial Narrow" w:eastAsia="Calibri" w:hAnsi="Arial Narrow"/>
          <w:sz w:val="22"/>
          <w:szCs w:val="22"/>
          <w:lang w:val="en-US" w:eastAsia="en-US"/>
        </w:rPr>
        <w:t xml:space="preserve">instead of thresholds, Guidelines </w:t>
      </w:r>
      <w:r w:rsidR="005211D0">
        <w:rPr>
          <w:rFonts w:ascii="Arial Narrow" w:eastAsia="Calibri" w:hAnsi="Arial Narrow"/>
          <w:sz w:val="22"/>
          <w:szCs w:val="22"/>
          <w:lang w:val="en-US" w:eastAsia="en-US"/>
        </w:rPr>
        <w:t xml:space="preserve">may follow </w:t>
      </w:r>
      <w:r w:rsidRPr="002401A7">
        <w:rPr>
          <w:rFonts w:ascii="Arial Narrow" w:eastAsia="Calibri" w:hAnsi="Arial Narrow"/>
          <w:sz w:val="22"/>
          <w:szCs w:val="22"/>
          <w:lang w:val="en-US" w:eastAsia="en-US"/>
        </w:rPr>
        <w:t>a strategy-based approach and investment decision-making processes consistent with SFDR</w:t>
      </w:r>
      <w:r w:rsidR="005211D0">
        <w:rPr>
          <w:rFonts w:ascii="Arial Narrow" w:eastAsia="Calibri" w:hAnsi="Arial Narrow"/>
          <w:sz w:val="22"/>
          <w:szCs w:val="22"/>
          <w:lang w:val="en-US" w:eastAsia="en-US"/>
        </w:rPr>
        <w:t>. An example may be as follows:</w:t>
      </w:r>
    </w:p>
    <w:p w14:paraId="0E90A17A" w14:textId="77777777" w:rsidR="002401A7" w:rsidRDefault="002401A7" w:rsidP="002401A7">
      <w:pPr>
        <w:rPr>
          <w:rFonts w:ascii="Arial Narrow" w:eastAsia="Calibri" w:hAnsi="Arial Narrow"/>
          <w:sz w:val="22"/>
          <w:szCs w:val="22"/>
          <w:lang w:val="en-US" w:eastAsia="en-US"/>
        </w:rPr>
      </w:pPr>
    </w:p>
    <w:p w14:paraId="0E51BF05" w14:textId="60502FB4" w:rsidR="002401A7" w:rsidRDefault="005211D0" w:rsidP="002401A7">
      <w:pPr>
        <w:rPr>
          <w:rFonts w:ascii="Arial Narrow" w:eastAsia="Calibri" w:hAnsi="Arial Narrow"/>
          <w:sz w:val="22"/>
          <w:szCs w:val="22"/>
          <w:lang w:val="en-US" w:eastAsia="en-US"/>
        </w:rPr>
      </w:pPr>
      <w:r>
        <w:rPr>
          <w:rFonts w:ascii="Arial Narrow" w:eastAsia="Calibri" w:hAnsi="Arial Narrow"/>
          <w:sz w:val="22"/>
          <w:szCs w:val="22"/>
          <w:lang w:val="en-US" w:eastAsia="en-US"/>
        </w:rPr>
        <w:t>P</w:t>
      </w:r>
      <w:r w:rsidR="002401A7" w:rsidRPr="002401A7">
        <w:rPr>
          <w:rFonts w:ascii="Arial Narrow" w:eastAsia="Calibri" w:hAnsi="Arial Narrow"/>
          <w:sz w:val="22"/>
          <w:szCs w:val="22"/>
          <w:lang w:val="en-US" w:eastAsia="en-US"/>
        </w:rPr>
        <w:t>roducts with higher ambition ("dark green")</w:t>
      </w:r>
      <w:r>
        <w:rPr>
          <w:rFonts w:ascii="Arial Narrow" w:eastAsia="Calibri" w:hAnsi="Arial Narrow"/>
          <w:sz w:val="22"/>
          <w:szCs w:val="22"/>
          <w:lang w:val="en-US" w:eastAsia="en-US"/>
        </w:rPr>
        <w:t>, in terms of denomination, may be required to have</w:t>
      </w:r>
      <w:r w:rsidR="002401A7" w:rsidRPr="002401A7">
        <w:rPr>
          <w:rFonts w:ascii="Arial Narrow" w:eastAsia="Calibri" w:hAnsi="Arial Narrow"/>
          <w:sz w:val="22"/>
          <w:szCs w:val="22"/>
          <w:lang w:val="en-US" w:eastAsia="en-US"/>
        </w:rPr>
        <w:t>:</w:t>
      </w:r>
    </w:p>
    <w:p w14:paraId="7119E68D" w14:textId="77777777" w:rsidR="002401A7" w:rsidRPr="002401A7" w:rsidRDefault="002401A7" w:rsidP="00057085">
      <w:pPr>
        <w:numPr>
          <w:ilvl w:val="0"/>
          <w:numId w:val="44"/>
        </w:numPr>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A measurable sustainable investment objective </w:t>
      </w:r>
    </w:p>
    <w:p w14:paraId="09AE90DC" w14:textId="77777777" w:rsidR="002401A7" w:rsidRPr="002401A7" w:rsidRDefault="002401A7" w:rsidP="00057085">
      <w:pPr>
        <w:numPr>
          <w:ilvl w:val="0"/>
          <w:numId w:val="44"/>
        </w:numPr>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An investment strategy aligned with the stated sustainable target.  </w:t>
      </w:r>
    </w:p>
    <w:p w14:paraId="08F7EF1D" w14:textId="77777777" w:rsidR="002401A7" w:rsidRPr="002401A7" w:rsidRDefault="002401A7" w:rsidP="00057085">
      <w:pPr>
        <w:numPr>
          <w:ilvl w:val="0"/>
          <w:numId w:val="44"/>
        </w:numPr>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A minimum investment committed to the investment strategy. </w:t>
      </w:r>
    </w:p>
    <w:p w14:paraId="2A9CDEF0" w14:textId="77777777" w:rsidR="002401A7" w:rsidRPr="002401A7" w:rsidRDefault="002401A7" w:rsidP="00057085">
      <w:pPr>
        <w:numPr>
          <w:ilvl w:val="0"/>
          <w:numId w:val="44"/>
        </w:numPr>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KPIs aligned with the target and track them.</w:t>
      </w:r>
    </w:p>
    <w:p w14:paraId="5F2167E4" w14:textId="77777777" w:rsidR="002401A7" w:rsidRPr="002401A7" w:rsidRDefault="002401A7" w:rsidP="00057085">
      <w:pPr>
        <w:numPr>
          <w:ilvl w:val="0"/>
          <w:numId w:val="44"/>
        </w:numPr>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Governance and organizational structures necessary to be able to achieve the target. </w:t>
      </w:r>
    </w:p>
    <w:p w14:paraId="1F9B7357" w14:textId="5A173C69" w:rsidR="002401A7" w:rsidRDefault="002401A7" w:rsidP="00057085">
      <w:pPr>
        <w:numPr>
          <w:ilvl w:val="0"/>
          <w:numId w:val="44"/>
        </w:numPr>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An engagement policy aligned with the achievement of the objective.</w:t>
      </w:r>
    </w:p>
    <w:p w14:paraId="48757697" w14:textId="77777777" w:rsidR="002401A7" w:rsidRPr="002401A7" w:rsidRDefault="002401A7" w:rsidP="002401A7">
      <w:pPr>
        <w:ind w:left="1134"/>
        <w:rPr>
          <w:rFonts w:ascii="Arial Narrow" w:eastAsia="Calibri" w:hAnsi="Arial Narrow"/>
          <w:sz w:val="22"/>
          <w:szCs w:val="22"/>
          <w:lang w:val="en-US" w:eastAsia="en-US"/>
        </w:rPr>
      </w:pPr>
    </w:p>
    <w:p w14:paraId="29A49E75" w14:textId="49AE9BBF" w:rsidR="002401A7" w:rsidRPr="002401A7" w:rsidRDefault="005211D0" w:rsidP="002401A7">
      <w:pPr>
        <w:rPr>
          <w:rFonts w:ascii="Arial Narrow" w:eastAsia="Calibri" w:hAnsi="Arial Narrow"/>
          <w:sz w:val="22"/>
          <w:szCs w:val="22"/>
          <w:lang w:val="en-US" w:eastAsia="en-US"/>
        </w:rPr>
      </w:pPr>
      <w:r>
        <w:rPr>
          <w:rFonts w:ascii="Arial Narrow" w:eastAsia="Calibri" w:hAnsi="Arial Narrow"/>
          <w:sz w:val="22"/>
          <w:szCs w:val="22"/>
          <w:lang w:val="en-US" w:eastAsia="en-US"/>
        </w:rPr>
        <w:t>“L</w:t>
      </w:r>
      <w:r w:rsidR="002401A7" w:rsidRPr="002401A7">
        <w:rPr>
          <w:rFonts w:ascii="Arial Narrow" w:eastAsia="Calibri" w:hAnsi="Arial Narrow"/>
          <w:sz w:val="22"/>
          <w:szCs w:val="22"/>
          <w:lang w:val="en-US" w:eastAsia="en-US"/>
        </w:rPr>
        <w:t>ight green"</w:t>
      </w:r>
      <w:r>
        <w:rPr>
          <w:rFonts w:ascii="Arial Narrow" w:eastAsia="Calibri" w:hAnsi="Arial Narrow"/>
          <w:sz w:val="22"/>
          <w:szCs w:val="22"/>
          <w:lang w:val="en-US" w:eastAsia="en-US"/>
        </w:rPr>
        <w:t xml:space="preserve"> products may be required to have</w:t>
      </w:r>
      <w:r w:rsidR="002401A7" w:rsidRPr="002401A7">
        <w:rPr>
          <w:rFonts w:ascii="Arial Narrow" w:eastAsia="Calibri" w:hAnsi="Arial Narrow"/>
          <w:sz w:val="22"/>
          <w:szCs w:val="22"/>
          <w:lang w:val="en-US" w:eastAsia="en-US"/>
        </w:rPr>
        <w:t>:</w:t>
      </w:r>
    </w:p>
    <w:p w14:paraId="2B5FBDC8" w14:textId="77777777" w:rsidR="002401A7" w:rsidRPr="002401A7" w:rsidRDefault="002401A7" w:rsidP="00057085">
      <w:pPr>
        <w:numPr>
          <w:ilvl w:val="0"/>
          <w:numId w:val="45"/>
        </w:numPr>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An investment strategy aligned with the characteristics to be promoted.  </w:t>
      </w:r>
    </w:p>
    <w:p w14:paraId="13005BE1" w14:textId="77777777" w:rsidR="002401A7" w:rsidRPr="002401A7" w:rsidRDefault="002401A7" w:rsidP="00057085">
      <w:pPr>
        <w:numPr>
          <w:ilvl w:val="0"/>
          <w:numId w:val="45"/>
        </w:numPr>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A minimum investment committed to the investment strategy. </w:t>
      </w:r>
    </w:p>
    <w:p w14:paraId="0FD17F63" w14:textId="77777777" w:rsidR="002401A7" w:rsidRPr="002401A7" w:rsidRDefault="002401A7" w:rsidP="00057085">
      <w:pPr>
        <w:numPr>
          <w:ilvl w:val="0"/>
          <w:numId w:val="45"/>
        </w:numPr>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Clear and measurable KPIs on the strategy and track them.</w:t>
      </w:r>
    </w:p>
    <w:p w14:paraId="7310B8BA" w14:textId="77777777" w:rsidR="002401A7" w:rsidRPr="002401A7" w:rsidRDefault="002401A7" w:rsidP="00057085">
      <w:pPr>
        <w:numPr>
          <w:ilvl w:val="0"/>
          <w:numId w:val="45"/>
        </w:numPr>
        <w:rPr>
          <w:rFonts w:ascii="Arial Narrow" w:eastAsia="Calibri" w:hAnsi="Arial Narrow"/>
          <w:sz w:val="22"/>
          <w:szCs w:val="22"/>
          <w:lang w:val="en-US" w:eastAsia="en-US"/>
        </w:rPr>
      </w:pPr>
      <w:r w:rsidRPr="002401A7">
        <w:rPr>
          <w:rFonts w:ascii="Arial Narrow" w:eastAsia="Calibri" w:hAnsi="Arial Narrow"/>
          <w:sz w:val="22"/>
          <w:szCs w:val="22"/>
          <w:lang w:val="en-US" w:eastAsia="en-US"/>
        </w:rPr>
        <w:lastRenderedPageBreak/>
        <w:t xml:space="preserve">Governance and organizational structures necessary to be able to achieve the characteristics being promoted. </w:t>
      </w:r>
    </w:p>
    <w:p w14:paraId="638BA783" w14:textId="77777777" w:rsidR="002401A7" w:rsidRPr="002401A7" w:rsidRDefault="002401A7" w:rsidP="002401A7">
      <w:pPr>
        <w:rPr>
          <w:rFonts w:ascii="Arial Narrow" w:eastAsia="Calibri" w:hAnsi="Arial Narrow"/>
          <w:sz w:val="22"/>
          <w:szCs w:val="22"/>
          <w:lang w:val="en-US" w:eastAsia="en-US"/>
        </w:rPr>
      </w:pPr>
    </w:p>
    <w:p w14:paraId="7FA634D0" w14:textId="086E781F" w:rsidR="002401A7" w:rsidRDefault="002401A7" w:rsidP="00057085">
      <w:pPr>
        <w:numPr>
          <w:ilvl w:val="0"/>
          <w:numId w:val="42"/>
        </w:numPr>
        <w:rPr>
          <w:rFonts w:ascii="Arial Narrow" w:eastAsia="Calibri" w:hAnsi="Arial Narrow"/>
          <w:sz w:val="22"/>
          <w:szCs w:val="22"/>
          <w:lang w:val="en-US" w:eastAsia="en-US"/>
        </w:rPr>
      </w:pPr>
      <w:r w:rsidRPr="002401A7">
        <w:rPr>
          <w:rFonts w:ascii="Arial Narrow" w:eastAsia="Calibri" w:hAnsi="Arial Narrow"/>
          <w:b/>
          <w:bCs/>
          <w:sz w:val="22"/>
          <w:szCs w:val="22"/>
          <w:lang w:val="en-US" w:eastAsia="en-US"/>
        </w:rPr>
        <w:t>Alternative to the proposed thresholds</w:t>
      </w:r>
      <w:r w:rsidRPr="002401A7">
        <w:rPr>
          <w:rFonts w:ascii="Arial Narrow" w:eastAsia="Calibri" w:hAnsi="Arial Narrow"/>
          <w:sz w:val="22"/>
          <w:szCs w:val="22"/>
          <w:lang w:val="en-US" w:eastAsia="en-US"/>
        </w:rPr>
        <w:t>:</w:t>
      </w:r>
    </w:p>
    <w:p w14:paraId="1102E93F" w14:textId="77777777" w:rsidR="002401A7" w:rsidRPr="002401A7" w:rsidRDefault="002401A7" w:rsidP="002401A7">
      <w:pPr>
        <w:ind w:left="360"/>
        <w:rPr>
          <w:rFonts w:ascii="Arial Narrow" w:eastAsia="Calibri" w:hAnsi="Arial Narrow"/>
          <w:sz w:val="22"/>
          <w:szCs w:val="22"/>
          <w:lang w:val="en-US" w:eastAsia="en-US"/>
        </w:rPr>
      </w:pPr>
    </w:p>
    <w:p w14:paraId="264502CE" w14:textId="4A99BC16" w:rsidR="002401A7" w:rsidRPr="002401A7" w:rsidRDefault="002401A7" w:rsidP="002401A7">
      <w:pPr>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Should ESMA decide to maintain the thresholds approach</w:t>
      </w:r>
      <w:r w:rsidR="005211D0">
        <w:rPr>
          <w:rFonts w:ascii="Arial Narrow" w:eastAsia="Calibri" w:hAnsi="Arial Narrow"/>
          <w:sz w:val="22"/>
          <w:szCs w:val="22"/>
          <w:lang w:val="en-US" w:eastAsia="en-US"/>
        </w:rPr>
        <w:t>,</w:t>
      </w:r>
      <w:r w:rsidRPr="002401A7">
        <w:rPr>
          <w:rFonts w:ascii="Arial Narrow" w:eastAsia="Calibri" w:hAnsi="Arial Narrow"/>
          <w:sz w:val="22"/>
          <w:szCs w:val="22"/>
          <w:lang w:val="en-US" w:eastAsia="en-US"/>
        </w:rPr>
        <w:t xml:space="preserve"> it would be advisable to consider alternatives in line with the following:</w:t>
      </w:r>
    </w:p>
    <w:p w14:paraId="34DFA2C7" w14:textId="77777777" w:rsidR="002401A7" w:rsidRPr="002401A7" w:rsidRDefault="002401A7" w:rsidP="002401A7">
      <w:pPr>
        <w:jc w:val="both"/>
        <w:rPr>
          <w:rFonts w:ascii="Arial Narrow" w:eastAsia="Calibri" w:hAnsi="Arial Narrow"/>
          <w:sz w:val="22"/>
          <w:szCs w:val="22"/>
          <w:lang w:val="en-US" w:eastAsia="en-US"/>
        </w:rPr>
      </w:pPr>
    </w:p>
    <w:p w14:paraId="40895A66" w14:textId="77777777" w:rsidR="002401A7" w:rsidRPr="002401A7" w:rsidRDefault="002401A7" w:rsidP="00057085">
      <w:pPr>
        <w:numPr>
          <w:ilvl w:val="0"/>
          <w:numId w:val="43"/>
        </w:numPr>
        <w:ind w:left="360"/>
        <w:jc w:val="both"/>
        <w:rPr>
          <w:rFonts w:ascii="Arial Narrow" w:hAnsi="Arial Narrow"/>
          <w:sz w:val="22"/>
          <w:szCs w:val="22"/>
          <w:lang w:val="en-US"/>
        </w:rPr>
      </w:pPr>
      <w:r w:rsidRPr="002401A7">
        <w:rPr>
          <w:rFonts w:ascii="Arial Narrow" w:hAnsi="Arial Narrow"/>
          <w:sz w:val="22"/>
          <w:szCs w:val="22"/>
          <w:u w:val="single"/>
          <w:lang w:val="en-US"/>
        </w:rPr>
        <w:t>Equal and independent thresholds</w:t>
      </w:r>
      <w:r w:rsidRPr="002401A7">
        <w:rPr>
          <w:rFonts w:ascii="Arial Narrow" w:hAnsi="Arial Narrow"/>
          <w:sz w:val="22"/>
          <w:szCs w:val="22"/>
          <w:lang w:val="en-US"/>
        </w:rPr>
        <w:t>: Setting equal and independent thresholds eliminates potential inconsistencies in the use of ESG-related terms.</w:t>
      </w:r>
    </w:p>
    <w:p w14:paraId="705DD26B" w14:textId="77777777" w:rsidR="002401A7" w:rsidRPr="002401A7" w:rsidRDefault="002401A7" w:rsidP="002401A7">
      <w:pPr>
        <w:ind w:left="-360"/>
        <w:jc w:val="both"/>
        <w:rPr>
          <w:rFonts w:ascii="Arial Narrow" w:hAnsi="Arial Narrow"/>
          <w:sz w:val="22"/>
          <w:szCs w:val="22"/>
          <w:lang w:val="en-US"/>
        </w:rPr>
      </w:pPr>
    </w:p>
    <w:p w14:paraId="5A5E4B21" w14:textId="77777777" w:rsidR="002401A7" w:rsidRPr="002401A7" w:rsidRDefault="002401A7" w:rsidP="00057085">
      <w:pPr>
        <w:numPr>
          <w:ilvl w:val="0"/>
          <w:numId w:val="43"/>
        </w:numPr>
        <w:ind w:left="360"/>
        <w:jc w:val="both"/>
        <w:rPr>
          <w:rFonts w:ascii="Arial Narrow" w:hAnsi="Arial Narrow"/>
          <w:sz w:val="22"/>
          <w:szCs w:val="22"/>
          <w:lang w:val="en-US"/>
        </w:rPr>
      </w:pPr>
      <w:r w:rsidRPr="002401A7">
        <w:rPr>
          <w:rFonts w:ascii="Arial Narrow" w:hAnsi="Arial Narrow"/>
          <w:sz w:val="22"/>
          <w:szCs w:val="22"/>
          <w:u w:val="single"/>
          <w:lang w:val="en-US"/>
        </w:rPr>
        <w:t>Progressive approach</w:t>
      </w:r>
      <w:r w:rsidRPr="002401A7">
        <w:rPr>
          <w:rFonts w:ascii="Arial Narrow" w:hAnsi="Arial Narrow"/>
          <w:sz w:val="22"/>
          <w:szCs w:val="22"/>
          <w:lang w:val="en-US"/>
        </w:rPr>
        <w:t>: It is proposed to start with 20% (2025), 30% (2026), 40% (2027), 50% (2028) in such a way that minimum standards are collected in line with the reality of the sustainable asset market and its foreseeable evolution as access and quality of sustainability data progresses, taking as a reference e.g. the staggered application of CSRD or the ESAP ("European Single Action Point") initiative.</w:t>
      </w:r>
    </w:p>
    <w:p w14:paraId="6E751F5B" w14:textId="77777777" w:rsidR="002401A7" w:rsidRPr="002401A7" w:rsidRDefault="002401A7" w:rsidP="002401A7">
      <w:pPr>
        <w:jc w:val="both"/>
        <w:rPr>
          <w:rFonts w:ascii="Arial Narrow" w:hAnsi="Arial Narrow"/>
          <w:sz w:val="22"/>
          <w:szCs w:val="22"/>
          <w:lang w:val="en-US"/>
        </w:rPr>
      </w:pPr>
    </w:p>
    <w:p w14:paraId="1E40D541" w14:textId="2E1C9220" w:rsidR="002401A7" w:rsidRPr="002401A7" w:rsidRDefault="002401A7" w:rsidP="00057085">
      <w:pPr>
        <w:numPr>
          <w:ilvl w:val="0"/>
          <w:numId w:val="43"/>
        </w:numPr>
        <w:ind w:left="360"/>
        <w:jc w:val="both"/>
        <w:rPr>
          <w:rFonts w:ascii="Arial Narrow" w:hAnsi="Arial Narrow"/>
          <w:sz w:val="22"/>
          <w:szCs w:val="22"/>
          <w:lang w:val="en-US"/>
        </w:rPr>
      </w:pPr>
      <w:r w:rsidRPr="002401A7">
        <w:rPr>
          <w:rFonts w:ascii="Arial Narrow" w:hAnsi="Arial Narrow"/>
          <w:sz w:val="22"/>
          <w:szCs w:val="22"/>
          <w:u w:val="single"/>
          <w:lang w:val="en-US"/>
        </w:rPr>
        <w:t>Set up of</w:t>
      </w:r>
      <w:r w:rsidR="005211D0">
        <w:rPr>
          <w:rFonts w:ascii="Arial Narrow" w:hAnsi="Arial Narrow"/>
          <w:sz w:val="22"/>
          <w:szCs w:val="22"/>
          <w:u w:val="single"/>
          <w:lang w:val="en-US"/>
        </w:rPr>
        <w:t xml:space="preserve"> a</w:t>
      </w:r>
      <w:r w:rsidRPr="002401A7">
        <w:rPr>
          <w:rFonts w:ascii="Arial Narrow" w:hAnsi="Arial Narrow"/>
          <w:sz w:val="22"/>
          <w:szCs w:val="22"/>
          <w:u w:val="single"/>
          <w:lang w:val="en-US"/>
        </w:rPr>
        <w:t xml:space="preserve"> 12-month remediation period for passive breaches of thresholds</w:t>
      </w:r>
      <w:r w:rsidRPr="002401A7">
        <w:rPr>
          <w:rFonts w:ascii="Arial Narrow" w:hAnsi="Arial Narrow"/>
          <w:sz w:val="22"/>
          <w:szCs w:val="22"/>
          <w:lang w:val="en-US"/>
        </w:rPr>
        <w:t xml:space="preserve">: It is key for a correct and stable operation of the thresholds that avoids legal uncertainty and unnecessary operational costs. In addition, a term such as the one proposed, allows sufficient flexibility to adapt to changing definitions and concepts such as those that arise around a constantly evolving regulation such as the sustainable finance regulation. </w:t>
      </w:r>
    </w:p>
    <w:p w14:paraId="3841E75F" w14:textId="77777777" w:rsidR="002401A7" w:rsidRPr="002401A7" w:rsidRDefault="002401A7" w:rsidP="002401A7">
      <w:pPr>
        <w:jc w:val="both"/>
        <w:rPr>
          <w:rFonts w:ascii="Arial Narrow" w:hAnsi="Arial Narrow"/>
          <w:sz w:val="22"/>
          <w:szCs w:val="22"/>
          <w:u w:val="single"/>
          <w:lang w:val="en-US"/>
        </w:rPr>
      </w:pPr>
    </w:p>
    <w:p w14:paraId="5355E94C" w14:textId="77777777" w:rsidR="002401A7" w:rsidRPr="002401A7" w:rsidRDefault="002401A7" w:rsidP="00057085">
      <w:pPr>
        <w:numPr>
          <w:ilvl w:val="0"/>
          <w:numId w:val="43"/>
        </w:numPr>
        <w:ind w:left="360"/>
        <w:jc w:val="both"/>
        <w:rPr>
          <w:rFonts w:ascii="Arial Narrow" w:hAnsi="Arial Narrow"/>
          <w:sz w:val="22"/>
          <w:szCs w:val="22"/>
          <w:lang w:val="en-US"/>
        </w:rPr>
      </w:pPr>
      <w:r w:rsidRPr="002401A7">
        <w:rPr>
          <w:rFonts w:ascii="Arial Narrow" w:hAnsi="Arial Narrow"/>
          <w:sz w:val="22"/>
          <w:szCs w:val="22"/>
          <w:u w:val="single"/>
          <w:lang w:val="en-US"/>
        </w:rPr>
        <w:t>Publication of an open list of terms related to ESG and sustainability</w:t>
      </w:r>
      <w:r w:rsidRPr="002401A7">
        <w:rPr>
          <w:rFonts w:ascii="Arial Narrow" w:hAnsi="Arial Narrow"/>
          <w:sz w:val="22"/>
          <w:szCs w:val="22"/>
          <w:lang w:val="en-US"/>
        </w:rPr>
        <w:t>: For the sake of legal certainty, as well as to avoid the proliferation of divergent criteria at the local level, at least an open list of terms should be provided (which ESMA may feed as market practice evolves).</w:t>
      </w:r>
    </w:p>
    <w:p w14:paraId="29ABEB43" w14:textId="3323E3B7" w:rsidR="00B92885" w:rsidRPr="002401A7" w:rsidRDefault="00B92885" w:rsidP="002401A7">
      <w:pPr>
        <w:rPr>
          <w:lang w:val="en-US"/>
        </w:rPr>
      </w:pP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057085">
      <w:pPr>
        <w:pStyle w:val="Questionstyle"/>
        <w:numPr>
          <w:ilvl w:val="0"/>
          <w:numId w:val="37"/>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415AA28A" w14:textId="77777777" w:rsidR="00E37100" w:rsidRDefault="00E37100" w:rsidP="002401A7">
      <w:pPr>
        <w:rPr>
          <w:rFonts w:ascii="Arial Narrow" w:eastAsia="Calibri" w:hAnsi="Arial Narrow"/>
          <w:sz w:val="22"/>
          <w:szCs w:val="22"/>
          <w:lang w:val="en-US" w:eastAsia="en-US"/>
        </w:rPr>
      </w:pPr>
      <w:permStart w:id="175976681" w:edGrp="everyone"/>
    </w:p>
    <w:p w14:paraId="3D9C1F22" w14:textId="70122851" w:rsidR="002401A7" w:rsidRDefault="002401A7" w:rsidP="005211D0">
      <w:pPr>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Among all the elements of the </w:t>
      </w:r>
      <w:r w:rsidR="005211D0">
        <w:rPr>
          <w:rFonts w:ascii="Arial Narrow" w:eastAsia="Calibri" w:hAnsi="Arial Narrow"/>
          <w:sz w:val="22"/>
          <w:szCs w:val="22"/>
          <w:lang w:val="en-US" w:eastAsia="en-US"/>
        </w:rPr>
        <w:t xml:space="preserve">draft </w:t>
      </w:r>
      <w:r w:rsidRPr="002401A7">
        <w:rPr>
          <w:rFonts w:ascii="Arial Narrow" w:eastAsia="Calibri" w:hAnsi="Arial Narrow"/>
          <w:sz w:val="22"/>
          <w:szCs w:val="22"/>
          <w:lang w:val="en-US" w:eastAsia="en-US"/>
        </w:rPr>
        <w:t xml:space="preserve">Guidelines, the </w:t>
      </w:r>
      <w:r w:rsidR="005211D0">
        <w:rPr>
          <w:rFonts w:ascii="Arial Narrow" w:eastAsia="Calibri" w:hAnsi="Arial Narrow"/>
          <w:sz w:val="22"/>
          <w:szCs w:val="22"/>
          <w:lang w:val="en-US" w:eastAsia="en-US"/>
        </w:rPr>
        <w:t xml:space="preserve">proposed </w:t>
      </w:r>
      <w:r w:rsidRPr="002401A7">
        <w:rPr>
          <w:rFonts w:ascii="Arial Narrow" w:eastAsia="Calibri" w:hAnsi="Arial Narrow"/>
          <w:sz w:val="22"/>
          <w:szCs w:val="22"/>
          <w:lang w:val="en-US" w:eastAsia="en-US"/>
        </w:rPr>
        <w:t xml:space="preserve">additional minimum safeguards </w:t>
      </w:r>
      <w:r w:rsidR="005211D0">
        <w:rPr>
          <w:rFonts w:ascii="Arial Narrow" w:eastAsia="Calibri" w:hAnsi="Arial Narrow"/>
          <w:sz w:val="22"/>
          <w:szCs w:val="22"/>
          <w:lang w:val="en-US" w:eastAsia="en-US"/>
        </w:rPr>
        <w:t xml:space="preserve">are </w:t>
      </w:r>
      <w:r w:rsidRPr="002401A7">
        <w:rPr>
          <w:rFonts w:ascii="Arial Narrow" w:eastAsia="Calibri" w:hAnsi="Arial Narrow"/>
          <w:sz w:val="22"/>
          <w:szCs w:val="22"/>
          <w:lang w:val="en-US" w:eastAsia="en-US"/>
        </w:rPr>
        <w:t>considered particularly inappropriate.</w:t>
      </w:r>
    </w:p>
    <w:p w14:paraId="51404578" w14:textId="77777777" w:rsidR="002401A7" w:rsidRPr="002401A7" w:rsidRDefault="002401A7" w:rsidP="005211D0">
      <w:pPr>
        <w:jc w:val="both"/>
        <w:rPr>
          <w:rFonts w:ascii="Arial Narrow" w:eastAsia="Calibri" w:hAnsi="Arial Narrow"/>
          <w:sz w:val="22"/>
          <w:szCs w:val="22"/>
          <w:lang w:val="en-US" w:eastAsia="en-US"/>
        </w:rPr>
      </w:pPr>
    </w:p>
    <w:p w14:paraId="296329A7" w14:textId="72BBCB39" w:rsidR="002401A7" w:rsidRDefault="005211D0" w:rsidP="005211D0">
      <w:pPr>
        <w:jc w:val="both"/>
        <w:rPr>
          <w:rFonts w:ascii="Arial Narrow" w:eastAsia="Calibri" w:hAnsi="Arial Narrow"/>
          <w:sz w:val="22"/>
          <w:szCs w:val="22"/>
          <w:lang w:val="en-US" w:eastAsia="en-US"/>
        </w:rPr>
      </w:pPr>
      <w:r>
        <w:rPr>
          <w:rFonts w:ascii="Arial Narrow" w:eastAsia="Calibri" w:hAnsi="Arial Narrow"/>
          <w:sz w:val="22"/>
          <w:szCs w:val="22"/>
          <w:lang w:val="en-US" w:eastAsia="en-US"/>
        </w:rPr>
        <w:t>On the one hand</w:t>
      </w:r>
      <w:r w:rsidR="002401A7" w:rsidRPr="002401A7">
        <w:rPr>
          <w:rFonts w:ascii="Arial Narrow" w:eastAsia="Calibri" w:hAnsi="Arial Narrow"/>
          <w:sz w:val="22"/>
          <w:szCs w:val="22"/>
          <w:lang w:val="en-US" w:eastAsia="en-US"/>
        </w:rPr>
        <w:t xml:space="preserve">, because it would be a matter of substantive product regulation that </w:t>
      </w:r>
      <w:r>
        <w:rPr>
          <w:rFonts w:ascii="Arial Narrow" w:eastAsia="Calibri" w:hAnsi="Arial Narrow"/>
          <w:sz w:val="22"/>
          <w:szCs w:val="22"/>
          <w:lang w:val="en-US" w:eastAsia="en-US"/>
        </w:rPr>
        <w:t xml:space="preserve">must </w:t>
      </w:r>
      <w:r w:rsidR="002401A7" w:rsidRPr="002401A7">
        <w:rPr>
          <w:rFonts w:ascii="Arial Narrow" w:eastAsia="Calibri" w:hAnsi="Arial Narrow"/>
          <w:sz w:val="22"/>
          <w:szCs w:val="22"/>
          <w:lang w:val="en-US" w:eastAsia="en-US"/>
        </w:rPr>
        <w:t>not be addressed via</w:t>
      </w:r>
      <w:r>
        <w:rPr>
          <w:rFonts w:ascii="Arial Narrow" w:eastAsia="Calibri" w:hAnsi="Arial Narrow"/>
          <w:sz w:val="22"/>
          <w:szCs w:val="22"/>
          <w:lang w:val="en-US" w:eastAsia="en-US"/>
        </w:rPr>
        <w:t xml:space="preserve"> ESMA</w:t>
      </w:r>
      <w:r w:rsidR="002401A7" w:rsidRPr="002401A7">
        <w:rPr>
          <w:rFonts w:ascii="Arial Narrow" w:eastAsia="Calibri" w:hAnsi="Arial Narrow"/>
          <w:sz w:val="22"/>
          <w:szCs w:val="22"/>
          <w:lang w:val="en-US" w:eastAsia="en-US"/>
        </w:rPr>
        <w:t xml:space="preserve"> Guidelines, but rather within the regulation of eco-labels or the amendment of the current disclosure regulation, a matter for which the intervention of the European co-legislators is necessary. </w:t>
      </w:r>
    </w:p>
    <w:p w14:paraId="2A963F2E" w14:textId="77777777" w:rsidR="002401A7" w:rsidRPr="002401A7" w:rsidRDefault="002401A7" w:rsidP="005211D0">
      <w:pPr>
        <w:jc w:val="both"/>
        <w:rPr>
          <w:rFonts w:ascii="Arial Narrow" w:eastAsia="Calibri" w:hAnsi="Arial Narrow"/>
          <w:sz w:val="22"/>
          <w:szCs w:val="22"/>
          <w:lang w:val="en-US" w:eastAsia="en-US"/>
        </w:rPr>
      </w:pPr>
    </w:p>
    <w:p w14:paraId="3B78615B" w14:textId="77777777" w:rsidR="002401A7" w:rsidRDefault="002401A7" w:rsidP="005211D0">
      <w:pPr>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On the other hand, it is not appropriate to apply the exclusions of the EU Paris-aligned Benchmarks (PAB) so that the Funds can use ESG terminology in their denomination, as it would be inconsistent with applicable regulations:</w:t>
      </w:r>
    </w:p>
    <w:p w14:paraId="5C41BE63" w14:textId="6102976F" w:rsidR="002401A7" w:rsidRPr="002401A7" w:rsidRDefault="002401A7" w:rsidP="005211D0">
      <w:pPr>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 </w:t>
      </w:r>
    </w:p>
    <w:p w14:paraId="6131CA2F" w14:textId="2D45B484" w:rsidR="002401A7" w:rsidRPr="002401A7" w:rsidRDefault="002401A7" w:rsidP="00057085">
      <w:pPr>
        <w:numPr>
          <w:ilvl w:val="0"/>
          <w:numId w:val="46"/>
        </w:numPr>
        <w:ind w:left="360"/>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The EU Climate Transition Benchmarks (CTB) do not apply the same exclusions and their name, chosen by the European legislator, includes the term "climate transition". It make</w:t>
      </w:r>
      <w:r w:rsidR="005E396E">
        <w:rPr>
          <w:rFonts w:ascii="Arial Narrow" w:eastAsia="Calibri" w:hAnsi="Arial Narrow"/>
          <w:sz w:val="22"/>
          <w:szCs w:val="22"/>
          <w:lang w:val="en-US" w:eastAsia="en-US"/>
        </w:rPr>
        <w:t>s no</w:t>
      </w:r>
      <w:r w:rsidRPr="002401A7">
        <w:rPr>
          <w:rFonts w:ascii="Arial Narrow" w:eastAsia="Calibri" w:hAnsi="Arial Narrow"/>
          <w:sz w:val="22"/>
          <w:szCs w:val="22"/>
          <w:lang w:val="en-US" w:eastAsia="en-US"/>
        </w:rPr>
        <w:t xml:space="preserve"> sense that the term “climate transition” is prohibited in the name of funds </w:t>
      </w:r>
      <w:r w:rsidR="003211D9">
        <w:rPr>
          <w:rFonts w:ascii="Arial Narrow" w:eastAsia="Calibri" w:hAnsi="Arial Narrow"/>
          <w:sz w:val="22"/>
          <w:szCs w:val="22"/>
          <w:lang w:val="en-US" w:eastAsia="en-US"/>
        </w:rPr>
        <w:t>with investments equivalent to those included in a CTB</w:t>
      </w:r>
      <w:r w:rsidRPr="002401A7">
        <w:rPr>
          <w:rFonts w:ascii="Arial Narrow" w:eastAsia="Calibri" w:hAnsi="Arial Narrow"/>
          <w:sz w:val="22"/>
          <w:szCs w:val="22"/>
          <w:lang w:val="en-US" w:eastAsia="en-US"/>
        </w:rPr>
        <w:t xml:space="preserve">. </w:t>
      </w:r>
    </w:p>
    <w:p w14:paraId="4E264E55" w14:textId="77777777" w:rsidR="002401A7" w:rsidRPr="002401A7" w:rsidRDefault="002401A7" w:rsidP="005211D0">
      <w:pPr>
        <w:ind w:left="-360"/>
        <w:jc w:val="both"/>
        <w:rPr>
          <w:rFonts w:ascii="Arial Narrow" w:eastAsia="Calibri" w:hAnsi="Arial Narrow"/>
          <w:sz w:val="22"/>
          <w:szCs w:val="22"/>
          <w:lang w:val="en-US" w:eastAsia="en-US"/>
        </w:rPr>
      </w:pPr>
    </w:p>
    <w:p w14:paraId="2E97E3E1" w14:textId="00F3A39E" w:rsidR="002401A7" w:rsidRPr="002401A7" w:rsidRDefault="002401A7" w:rsidP="00057085">
      <w:pPr>
        <w:numPr>
          <w:ilvl w:val="0"/>
          <w:numId w:val="46"/>
        </w:numPr>
        <w:ind w:left="360"/>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lastRenderedPageBreak/>
        <w:t>SFDR refers to products subject to art</w:t>
      </w:r>
      <w:r w:rsidR="005E396E">
        <w:rPr>
          <w:rFonts w:ascii="Arial Narrow" w:eastAsia="Calibri" w:hAnsi="Arial Narrow"/>
          <w:sz w:val="22"/>
          <w:szCs w:val="22"/>
          <w:lang w:val="en-US" w:eastAsia="en-US"/>
        </w:rPr>
        <w:t>s.</w:t>
      </w:r>
      <w:r w:rsidRPr="002401A7">
        <w:rPr>
          <w:rFonts w:ascii="Arial Narrow" w:eastAsia="Calibri" w:hAnsi="Arial Narrow"/>
          <w:sz w:val="22"/>
          <w:szCs w:val="22"/>
          <w:lang w:val="en-US" w:eastAsia="en-US"/>
        </w:rPr>
        <w:t xml:space="preserve"> 8 and 9 using terms related to sustainability (e.g. "promotion of environmental or social characteristics" or "sustainable investment objective"). It would be confusing for investors that a product subject to a regulation that recognizes that it "promotes environmental or social features" could not include any of these terms in its name (unless it complies with all the exclusions applicable to PAB).</w:t>
      </w:r>
    </w:p>
    <w:p w14:paraId="33043A0E" w14:textId="77777777" w:rsidR="002401A7" w:rsidRDefault="002401A7" w:rsidP="005211D0">
      <w:pPr>
        <w:ind w:left="-360"/>
        <w:jc w:val="both"/>
        <w:rPr>
          <w:rFonts w:ascii="Arial Narrow" w:eastAsia="Calibri" w:hAnsi="Arial Narrow"/>
          <w:sz w:val="22"/>
          <w:szCs w:val="22"/>
          <w:lang w:val="en-US" w:eastAsia="en-US"/>
        </w:rPr>
      </w:pPr>
    </w:p>
    <w:p w14:paraId="140DEFC7" w14:textId="5E2E64A6" w:rsidR="002401A7" w:rsidRPr="002401A7" w:rsidRDefault="002401A7" w:rsidP="005E396E">
      <w:pPr>
        <w:jc w:val="both"/>
        <w:rPr>
          <w:rFonts w:ascii="Arial Narrow" w:eastAsia="Calibri" w:hAnsi="Arial Narrow"/>
          <w:sz w:val="22"/>
          <w:szCs w:val="22"/>
          <w:lang w:val="en-US" w:eastAsia="en-US"/>
        </w:rPr>
      </w:pPr>
      <w:r w:rsidRPr="002401A7">
        <w:rPr>
          <w:rFonts w:ascii="Arial Narrow" w:eastAsia="Calibri" w:hAnsi="Arial Narrow"/>
          <w:sz w:val="22"/>
          <w:szCs w:val="22"/>
          <w:lang w:val="en-US" w:eastAsia="en-US"/>
        </w:rPr>
        <w:t xml:space="preserve">Finally, criteria of this type make sustainability an unacceptable commitment for </w:t>
      </w:r>
      <w:r w:rsidR="005E396E">
        <w:rPr>
          <w:rFonts w:ascii="Arial Narrow" w:eastAsia="Calibri" w:hAnsi="Arial Narrow"/>
          <w:sz w:val="22"/>
          <w:szCs w:val="22"/>
          <w:lang w:val="en-US" w:eastAsia="en-US"/>
        </w:rPr>
        <w:t xml:space="preserve">Fund managers </w:t>
      </w:r>
      <w:r w:rsidRPr="002401A7">
        <w:rPr>
          <w:rFonts w:ascii="Arial Narrow" w:eastAsia="Calibri" w:hAnsi="Arial Narrow"/>
          <w:sz w:val="22"/>
          <w:szCs w:val="22"/>
          <w:lang w:val="en-US" w:eastAsia="en-US"/>
        </w:rPr>
        <w:t>who, in the absence of data and scarcity of sustainable assets, must continue to</w:t>
      </w:r>
      <w:r w:rsidRPr="002401A7">
        <w:rPr>
          <w:sz w:val="22"/>
          <w:szCs w:val="22"/>
          <w:lang w:val="en-US"/>
        </w:rPr>
        <w:t xml:space="preserve"> </w:t>
      </w:r>
      <w:r w:rsidRPr="002401A7">
        <w:rPr>
          <w:rFonts w:ascii="Arial Narrow" w:eastAsia="Calibri" w:hAnsi="Arial Narrow"/>
          <w:sz w:val="22"/>
          <w:szCs w:val="22"/>
          <w:lang w:val="en-US" w:eastAsia="en-US"/>
        </w:rPr>
        <w:t>build diversified portfolios. In the current situation, ESMA should avoid that those managers are prevented from launching more funds with a sustainable bias because they cannot even be sold as such.</w:t>
      </w:r>
    </w:p>
    <w:p w14:paraId="7C9157FD" w14:textId="4BB785CE" w:rsidR="00B92885" w:rsidRPr="002401A7" w:rsidRDefault="00B92885" w:rsidP="00B92885">
      <w:pPr>
        <w:rPr>
          <w:rFonts w:ascii="Arial Narrow" w:eastAsia="Calibri" w:hAnsi="Arial Narrow"/>
          <w:sz w:val="22"/>
          <w:szCs w:val="22"/>
          <w:lang w:val="en-US" w:eastAsia="en-US"/>
        </w:rPr>
      </w:pP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057085">
      <w:pPr>
        <w:pStyle w:val="Questionstyle"/>
        <w:numPr>
          <w:ilvl w:val="0"/>
          <w:numId w:val="37"/>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08559D52" w14:textId="77777777" w:rsidR="00E37100" w:rsidRDefault="00E37100" w:rsidP="00196B89">
      <w:pPr>
        <w:tabs>
          <w:tab w:val="left" w:pos="-284"/>
        </w:tabs>
        <w:spacing w:after="160" w:line="259" w:lineRule="auto"/>
        <w:ind w:right="-284"/>
        <w:jc w:val="both"/>
        <w:rPr>
          <w:rFonts w:ascii="Arial Narrow" w:eastAsia="Calibri" w:hAnsi="Arial Narrow"/>
          <w:sz w:val="22"/>
          <w:szCs w:val="22"/>
          <w:lang w:val="en-US" w:eastAsia="en-US"/>
        </w:rPr>
      </w:pPr>
      <w:permStart w:id="576722602" w:edGrp="everyone"/>
    </w:p>
    <w:p w14:paraId="4976D9A3" w14:textId="4D1A6305" w:rsidR="00196B89" w:rsidRPr="00196B89" w:rsidRDefault="00196B89"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 xml:space="preserve">As a matter of regulatory consistency, derivatives should not be included in the calculation of the proposed thresholds. </w:t>
      </w:r>
    </w:p>
    <w:p w14:paraId="6F881E39" w14:textId="2ACBA847" w:rsidR="00196B89" w:rsidRPr="00196B89" w:rsidRDefault="00196B89"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 xml:space="preserve">However, the criterion adopted for calculating the </w:t>
      </w:r>
      <w:r w:rsidR="003C3B14">
        <w:rPr>
          <w:rFonts w:ascii="Arial Narrow" w:eastAsia="Calibri" w:hAnsi="Arial Narrow"/>
          <w:sz w:val="22"/>
          <w:szCs w:val="22"/>
          <w:lang w:val="en-US" w:eastAsia="en-US"/>
        </w:rPr>
        <w:t xml:space="preserve">KPI developed to disclose information referred to in art. 8 of </w:t>
      </w:r>
      <w:r w:rsidRPr="00196B89">
        <w:rPr>
          <w:rFonts w:ascii="Arial Narrow" w:eastAsia="Calibri" w:hAnsi="Arial Narrow"/>
          <w:sz w:val="22"/>
          <w:szCs w:val="22"/>
          <w:lang w:val="en-US" w:eastAsia="en-US"/>
        </w:rPr>
        <w:t xml:space="preserve">Taxonomy Regulation </w:t>
      </w:r>
      <w:r w:rsidR="003C3B14">
        <w:rPr>
          <w:rFonts w:ascii="Arial Narrow" w:eastAsia="Calibri" w:hAnsi="Arial Narrow"/>
          <w:sz w:val="22"/>
          <w:szCs w:val="22"/>
          <w:lang w:val="en-US" w:eastAsia="en-US"/>
        </w:rPr>
        <w:t xml:space="preserve">as regards derivatives </w:t>
      </w:r>
      <w:r w:rsidRPr="00196B89">
        <w:rPr>
          <w:rFonts w:ascii="Arial Narrow" w:eastAsia="Calibri" w:hAnsi="Arial Narrow"/>
          <w:sz w:val="22"/>
          <w:szCs w:val="22"/>
          <w:lang w:val="en-US" w:eastAsia="en-US"/>
        </w:rPr>
        <w:t>is debatable. They may not be the most direct way of financing sustainable companies, but they can be an instrument that, from a financial point of view, facilitates the transition.</w:t>
      </w:r>
    </w:p>
    <w:p w14:paraId="53FC7302" w14:textId="4A906154" w:rsidR="00196B89" w:rsidRPr="00196B89" w:rsidRDefault="003C3B14"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Considering</w:t>
      </w:r>
      <w:r w:rsidR="00196B89" w:rsidRPr="00196B89">
        <w:rPr>
          <w:rFonts w:ascii="Arial Narrow" w:eastAsia="Calibri" w:hAnsi="Arial Narrow"/>
          <w:sz w:val="22"/>
          <w:szCs w:val="22"/>
          <w:lang w:val="en-US" w:eastAsia="en-US"/>
        </w:rPr>
        <w:t xml:space="preserve"> the above, ESMA should look for a consensus on the calculation of thresholds before adopting the final guidelines. A different outcome could expose market participants and underlying investors to a variety of different methodologies as regards the calculation of thresholds which </w:t>
      </w:r>
      <w:r>
        <w:rPr>
          <w:rFonts w:ascii="Arial Narrow" w:eastAsia="Calibri" w:hAnsi="Arial Narrow"/>
          <w:sz w:val="22"/>
          <w:szCs w:val="22"/>
          <w:lang w:val="en-US" w:eastAsia="en-US"/>
        </w:rPr>
        <w:t xml:space="preserve">may be </w:t>
      </w:r>
      <w:r w:rsidR="00196B89" w:rsidRPr="00196B89">
        <w:rPr>
          <w:rFonts w:ascii="Arial Narrow" w:eastAsia="Calibri" w:hAnsi="Arial Narrow"/>
          <w:sz w:val="22"/>
          <w:szCs w:val="22"/>
          <w:lang w:val="en-US" w:eastAsia="en-US"/>
        </w:rPr>
        <w:t>contrary to the aim of the proposed Guidelines.</w:t>
      </w:r>
    </w:p>
    <w:p w14:paraId="33D374FB" w14:textId="26F8BF29" w:rsidR="00B92885" w:rsidRPr="00196B89" w:rsidRDefault="00B92885" w:rsidP="00B92885">
      <w:pPr>
        <w:rPr>
          <w:lang w:val="en-US"/>
        </w:rPr>
      </w:pPr>
    </w:p>
    <w:permEnd w:id="576722602"/>
    <w:p w14:paraId="523B84EB" w14:textId="77777777" w:rsidR="00B92885" w:rsidRDefault="00B92885" w:rsidP="00B92885">
      <w:r>
        <w:t>&lt;ESMA_QUESTION_FUNA_7&gt;</w:t>
      </w:r>
    </w:p>
    <w:p w14:paraId="50670D01" w14:textId="77777777" w:rsidR="00B92885" w:rsidRDefault="00B92885" w:rsidP="00B92885"/>
    <w:p w14:paraId="1C6AACD7" w14:textId="77777777" w:rsidR="00B92885" w:rsidRDefault="00B92885" w:rsidP="00057085">
      <w:pPr>
        <w:pStyle w:val="Questionstyle"/>
        <w:numPr>
          <w:ilvl w:val="0"/>
          <w:numId w:val="38"/>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77777777" w:rsidR="00B92885" w:rsidRDefault="00B92885" w:rsidP="00B92885">
      <w:permStart w:id="1071974531" w:edGrp="everyone"/>
      <w:r>
        <w:t>TYPE YOUR TEXT HERE</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057085">
      <w:pPr>
        <w:pStyle w:val="Questionstyle"/>
        <w:numPr>
          <w:ilvl w:val="0"/>
          <w:numId w:val="38"/>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2ABDF65C" w14:textId="77777777" w:rsidR="00B92885" w:rsidRDefault="00B92885" w:rsidP="00B92885">
      <w:permStart w:id="1162834929" w:edGrp="everyone"/>
      <w:r>
        <w:t>TYPE YOUR TEXT HERE</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057085">
      <w:pPr>
        <w:pStyle w:val="Questionstyle"/>
        <w:numPr>
          <w:ilvl w:val="0"/>
          <w:numId w:val="37"/>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48F1CAF1" w14:textId="77777777" w:rsidR="00E37100" w:rsidRDefault="00E37100" w:rsidP="00196B89">
      <w:pPr>
        <w:tabs>
          <w:tab w:val="left" w:pos="-284"/>
        </w:tabs>
        <w:spacing w:after="160" w:line="259" w:lineRule="auto"/>
        <w:ind w:right="-284"/>
        <w:jc w:val="both"/>
        <w:rPr>
          <w:rFonts w:ascii="Arial Narrow" w:eastAsia="Calibri" w:hAnsi="Arial Narrow"/>
          <w:sz w:val="22"/>
          <w:szCs w:val="22"/>
          <w:lang w:val="en-US" w:eastAsia="en-US"/>
        </w:rPr>
      </w:pPr>
      <w:permStart w:id="650455330" w:edGrp="everyone"/>
    </w:p>
    <w:p w14:paraId="7D87C91A" w14:textId="1098950D" w:rsidR="00196B89" w:rsidRPr="00196B89" w:rsidRDefault="00196B89"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 xml:space="preserve">No, the approach adopted in the ESMA Supervisory Instructions </w:t>
      </w:r>
      <w:r w:rsidR="003C3B14">
        <w:rPr>
          <w:rFonts w:ascii="Arial Narrow" w:eastAsia="Calibri" w:hAnsi="Arial Narrow"/>
          <w:sz w:val="22"/>
          <w:szCs w:val="22"/>
          <w:lang w:val="en-US" w:eastAsia="en-US"/>
        </w:rPr>
        <w:t>in</w:t>
      </w:r>
      <w:r w:rsidRPr="00196B89">
        <w:rPr>
          <w:rFonts w:ascii="Arial Narrow" w:eastAsia="Calibri" w:hAnsi="Arial Narrow"/>
          <w:sz w:val="22"/>
          <w:szCs w:val="22"/>
          <w:lang w:val="en-US" w:eastAsia="en-US"/>
        </w:rPr>
        <w:t xml:space="preserve"> May 2022, with specific criteria for the naming of </w:t>
      </w:r>
      <w:r w:rsidR="00925149">
        <w:rPr>
          <w:rFonts w:ascii="Arial Narrow" w:eastAsia="Calibri" w:hAnsi="Arial Narrow"/>
          <w:sz w:val="22"/>
          <w:szCs w:val="22"/>
          <w:lang w:val="en-US" w:eastAsia="en-US"/>
        </w:rPr>
        <w:t>F</w:t>
      </w:r>
      <w:r w:rsidRPr="00196B89">
        <w:rPr>
          <w:rFonts w:ascii="Arial Narrow" w:eastAsia="Calibri" w:hAnsi="Arial Narrow"/>
          <w:sz w:val="22"/>
          <w:szCs w:val="22"/>
          <w:lang w:val="en-US" w:eastAsia="en-US"/>
        </w:rPr>
        <w:t xml:space="preserve">unds that replicate an index, would be more appropriate. </w:t>
      </w:r>
    </w:p>
    <w:p w14:paraId="1F538C38" w14:textId="0E812168" w:rsidR="000F0C19" w:rsidRPr="00196B89" w:rsidRDefault="00196B89"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 xml:space="preserve">Notwithstanding the above, if the threshold approach is maintained, thresholds should also apply to funds that replicate benchmarks. </w:t>
      </w:r>
      <w:r w:rsidR="000F0C19" w:rsidRPr="000F0C19">
        <w:rPr>
          <w:rFonts w:ascii="Arial Narrow" w:eastAsia="Calibri" w:hAnsi="Arial Narrow"/>
          <w:sz w:val="22"/>
          <w:szCs w:val="22"/>
          <w:lang w:val="en-US" w:eastAsia="en-US"/>
        </w:rPr>
        <w:t>In addition, see answer to question 6, which addresses other issues stemming from the additional minimum safeguards.</w:t>
      </w:r>
    </w:p>
    <w:p w14:paraId="2BABA8E0" w14:textId="18DBE940" w:rsidR="00B92885" w:rsidRPr="00196B89" w:rsidRDefault="00B92885" w:rsidP="00B92885">
      <w:pPr>
        <w:rPr>
          <w:lang w:val="en-US"/>
        </w:rPr>
      </w:pP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057085">
      <w:pPr>
        <w:pStyle w:val="Questionstyle"/>
        <w:numPr>
          <w:ilvl w:val="0"/>
          <w:numId w:val="37"/>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6BF16077" w14:textId="77777777" w:rsidR="00E37100" w:rsidRDefault="00E37100" w:rsidP="00196B89">
      <w:pPr>
        <w:tabs>
          <w:tab w:val="left" w:pos="-284"/>
        </w:tabs>
        <w:ind w:right="-284"/>
        <w:jc w:val="both"/>
        <w:rPr>
          <w:rFonts w:ascii="Arial Narrow" w:eastAsia="Calibri" w:hAnsi="Arial Narrow"/>
          <w:sz w:val="22"/>
          <w:szCs w:val="22"/>
          <w:lang w:val="en-US" w:eastAsia="en-US"/>
        </w:rPr>
      </w:pPr>
      <w:permStart w:id="1876589445" w:edGrp="everyone"/>
    </w:p>
    <w:p w14:paraId="713A1DBB" w14:textId="4C9AC09E" w:rsidR="00196B89" w:rsidRDefault="00196B89" w:rsidP="00196B89">
      <w:pPr>
        <w:tabs>
          <w:tab w:val="left" w:pos="-284"/>
        </w:tabs>
        <w:ind w:right="-284"/>
        <w:jc w:val="both"/>
        <w:rPr>
          <w:rFonts w:ascii="Arial Narrow" w:hAnsi="Arial Narrow"/>
          <w:lang w:val="en-US"/>
        </w:rPr>
      </w:pPr>
      <w:r w:rsidRPr="00196B89">
        <w:rPr>
          <w:rFonts w:ascii="Arial Narrow" w:eastAsia="Calibri" w:hAnsi="Arial Narrow"/>
          <w:sz w:val="22"/>
          <w:szCs w:val="22"/>
          <w:lang w:val="en-US" w:eastAsia="en-US"/>
        </w:rPr>
        <w:t>It depends on the approach taken to derivatives</w:t>
      </w:r>
      <w:r w:rsidRPr="00F1268C">
        <w:rPr>
          <w:rFonts w:ascii="Arial Narrow" w:hAnsi="Arial Narrow"/>
          <w:lang w:val="en-US"/>
        </w:rPr>
        <w:t>.</w:t>
      </w:r>
    </w:p>
    <w:p w14:paraId="67DC5DA4" w14:textId="77777777" w:rsidR="00E37100" w:rsidRDefault="00E37100" w:rsidP="00196B89">
      <w:pPr>
        <w:tabs>
          <w:tab w:val="left" w:pos="-284"/>
        </w:tabs>
        <w:ind w:right="-284"/>
        <w:jc w:val="both"/>
        <w:rPr>
          <w:rFonts w:ascii="Arial Narrow" w:hAnsi="Arial Narrow"/>
          <w:lang w:val="en-US"/>
        </w:rPr>
      </w:pP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057085">
      <w:pPr>
        <w:pStyle w:val="Questionstyle"/>
        <w:numPr>
          <w:ilvl w:val="0"/>
          <w:numId w:val="37"/>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3203C4D6" w14:textId="77777777" w:rsidR="00E37100" w:rsidRDefault="00E37100" w:rsidP="00196B89">
      <w:pPr>
        <w:tabs>
          <w:tab w:val="left" w:pos="-284"/>
        </w:tabs>
        <w:spacing w:after="160" w:line="259" w:lineRule="auto"/>
        <w:ind w:right="-284"/>
        <w:jc w:val="both"/>
        <w:rPr>
          <w:rFonts w:ascii="Arial Narrow" w:eastAsia="Calibri" w:hAnsi="Arial Narrow"/>
          <w:sz w:val="22"/>
          <w:szCs w:val="22"/>
          <w:lang w:val="en-US" w:eastAsia="en-US"/>
        </w:rPr>
      </w:pPr>
      <w:permStart w:id="1992309739" w:edGrp="everyone"/>
    </w:p>
    <w:p w14:paraId="515824B0" w14:textId="302C63F7" w:rsidR="00196B89" w:rsidRPr="00196B89" w:rsidRDefault="00196B89"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Firstly, to have specific provisions for “impact” investing, it would be very useful to have a legal definition of what is considered impact.</w:t>
      </w:r>
    </w:p>
    <w:p w14:paraId="3D844409" w14:textId="0AEB5ACA" w:rsidR="00196B89" w:rsidRPr="00196B89" w:rsidRDefault="00196B89"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However, since there is no legal definition of “impact” and to avoid further confusing investors/the market, it would be appropriate to include the concept already provided for in the ESMA Supervisory Instructions, which indicates that "impact investment" is that made with the intention of generating a positive and quantifiable social and/or environmental impact, together with financial profitability.</w:t>
      </w:r>
    </w:p>
    <w:p w14:paraId="1632EDC8" w14:textId="6513D2B0" w:rsidR="00196B89" w:rsidRPr="00196B89" w:rsidRDefault="00196B89"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It is noted that a significant proportion of Funds with a sustainability bias meet the above definition and there is no reason to impose more specific rules on naming.</w:t>
      </w:r>
    </w:p>
    <w:p w14:paraId="09441A21" w14:textId="52BA5DA6" w:rsidR="00B92885" w:rsidRDefault="00B92885" w:rsidP="00B92885"/>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057085">
      <w:pPr>
        <w:pStyle w:val="Questionstyle"/>
        <w:numPr>
          <w:ilvl w:val="0"/>
          <w:numId w:val="37"/>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5800C257" w14:textId="77777777" w:rsidR="00E37100" w:rsidRDefault="00E37100" w:rsidP="00196B89">
      <w:pPr>
        <w:tabs>
          <w:tab w:val="left" w:pos="-284"/>
        </w:tabs>
        <w:spacing w:after="160" w:line="259" w:lineRule="auto"/>
        <w:ind w:right="-284"/>
        <w:jc w:val="both"/>
        <w:rPr>
          <w:rFonts w:ascii="Arial Narrow" w:eastAsia="Calibri" w:hAnsi="Arial Narrow"/>
          <w:sz w:val="22"/>
          <w:szCs w:val="22"/>
          <w:lang w:val="en-US" w:eastAsia="en-US"/>
        </w:rPr>
      </w:pPr>
      <w:permStart w:id="1423966990" w:edGrp="everyone"/>
    </w:p>
    <w:p w14:paraId="27AEF40C" w14:textId="43F2C20D" w:rsidR="00196B89" w:rsidRPr="00196B89" w:rsidRDefault="00BA0CC3" w:rsidP="00196B89">
      <w:pPr>
        <w:tabs>
          <w:tab w:val="left" w:pos="-284"/>
        </w:tabs>
        <w:spacing w:after="160" w:line="259" w:lineRule="auto"/>
        <w:ind w:right="-284"/>
        <w:jc w:val="both"/>
        <w:rPr>
          <w:rFonts w:ascii="Arial Narrow" w:eastAsia="Calibri" w:hAnsi="Arial Narrow"/>
          <w:sz w:val="22"/>
          <w:szCs w:val="22"/>
          <w:lang w:val="en-US" w:eastAsia="en-US"/>
        </w:rPr>
      </w:pPr>
      <w:r>
        <w:rPr>
          <w:rFonts w:ascii="Arial Narrow" w:eastAsia="Calibri" w:hAnsi="Arial Narrow"/>
          <w:sz w:val="22"/>
          <w:szCs w:val="22"/>
          <w:lang w:val="en-US" w:eastAsia="en-US"/>
        </w:rPr>
        <w:t>T</w:t>
      </w:r>
      <w:r w:rsidRPr="00BA0CC3">
        <w:rPr>
          <w:rFonts w:ascii="Arial Narrow" w:eastAsia="Calibri" w:hAnsi="Arial Narrow"/>
          <w:sz w:val="22"/>
          <w:szCs w:val="22"/>
          <w:lang w:val="en-US" w:eastAsia="en-US"/>
        </w:rPr>
        <w:t>o avoid divergences and asymmetries between jurisdictions</w:t>
      </w:r>
      <w:r w:rsidR="00196B89" w:rsidRPr="00196B89">
        <w:rPr>
          <w:rFonts w:ascii="Arial Narrow" w:eastAsia="Calibri" w:hAnsi="Arial Narrow"/>
          <w:sz w:val="22"/>
          <w:szCs w:val="22"/>
          <w:lang w:val="en-US" w:eastAsia="en-US"/>
        </w:rPr>
        <w:t xml:space="preserve">, before establishing specific provisions for the inclusion of the term “transition” or transition-related terms, it would be useful to have a legal definition </w:t>
      </w:r>
      <w:r w:rsidR="003C3B14">
        <w:rPr>
          <w:rFonts w:ascii="Arial Narrow" w:eastAsia="Calibri" w:hAnsi="Arial Narrow"/>
          <w:sz w:val="22"/>
          <w:szCs w:val="22"/>
          <w:lang w:val="en-US" w:eastAsia="en-US"/>
        </w:rPr>
        <w:t xml:space="preserve">for </w:t>
      </w:r>
      <w:r w:rsidR="00196B89" w:rsidRPr="00196B89">
        <w:rPr>
          <w:rFonts w:ascii="Arial Narrow" w:eastAsia="Calibri" w:hAnsi="Arial Narrow"/>
          <w:sz w:val="22"/>
          <w:szCs w:val="22"/>
          <w:lang w:val="en-US" w:eastAsia="en-US"/>
        </w:rPr>
        <w:t xml:space="preserve">the term </w:t>
      </w:r>
      <w:r>
        <w:rPr>
          <w:rFonts w:ascii="Arial Narrow" w:eastAsia="Calibri" w:hAnsi="Arial Narrow"/>
          <w:sz w:val="22"/>
          <w:szCs w:val="22"/>
          <w:lang w:val="en-US" w:eastAsia="en-US"/>
        </w:rPr>
        <w:t>“</w:t>
      </w:r>
      <w:r w:rsidR="00196B89" w:rsidRPr="00196B89">
        <w:rPr>
          <w:rFonts w:ascii="Arial Narrow" w:eastAsia="Calibri" w:hAnsi="Arial Narrow"/>
          <w:sz w:val="22"/>
          <w:szCs w:val="22"/>
          <w:lang w:val="en-US" w:eastAsia="en-US"/>
        </w:rPr>
        <w:t>transition</w:t>
      </w:r>
      <w:r>
        <w:rPr>
          <w:rFonts w:ascii="Arial Narrow" w:eastAsia="Calibri" w:hAnsi="Arial Narrow"/>
          <w:sz w:val="22"/>
          <w:szCs w:val="22"/>
          <w:lang w:val="en-US" w:eastAsia="en-US"/>
        </w:rPr>
        <w:t>”</w:t>
      </w:r>
      <w:r w:rsidR="00196B89" w:rsidRPr="00196B89">
        <w:rPr>
          <w:rFonts w:ascii="Arial Narrow" w:eastAsia="Calibri" w:hAnsi="Arial Narrow"/>
          <w:sz w:val="22"/>
          <w:szCs w:val="22"/>
          <w:lang w:val="en-US" w:eastAsia="en-US"/>
        </w:rPr>
        <w:t>.</w:t>
      </w:r>
    </w:p>
    <w:p w14:paraId="7DD546F9" w14:textId="5C0D2B33" w:rsidR="00196B89" w:rsidRPr="00196B89" w:rsidRDefault="00BA0CC3" w:rsidP="00196B89">
      <w:pPr>
        <w:tabs>
          <w:tab w:val="left" w:pos="-284"/>
        </w:tabs>
        <w:spacing w:after="160" w:line="259" w:lineRule="auto"/>
        <w:ind w:right="-284"/>
        <w:jc w:val="both"/>
        <w:rPr>
          <w:rFonts w:ascii="Arial Narrow" w:eastAsia="Calibri" w:hAnsi="Arial Narrow"/>
          <w:sz w:val="22"/>
          <w:szCs w:val="22"/>
          <w:lang w:val="en-US" w:eastAsia="en-US"/>
        </w:rPr>
      </w:pPr>
      <w:r>
        <w:rPr>
          <w:rFonts w:ascii="Arial Narrow" w:eastAsia="Calibri" w:hAnsi="Arial Narrow"/>
          <w:sz w:val="22"/>
          <w:szCs w:val="22"/>
          <w:lang w:val="en-US" w:eastAsia="en-US"/>
        </w:rPr>
        <w:t>S</w:t>
      </w:r>
      <w:r w:rsidR="00196B89" w:rsidRPr="00196B89">
        <w:rPr>
          <w:rFonts w:ascii="Arial Narrow" w:eastAsia="Calibri" w:hAnsi="Arial Narrow"/>
          <w:sz w:val="22"/>
          <w:szCs w:val="22"/>
          <w:lang w:val="en-US" w:eastAsia="en-US"/>
        </w:rPr>
        <w:t xml:space="preserve">ince the objective of the sustainable finance package is to redirect investments towards more sustainable technologies and companies, rules should be included that do not penalize investments focused on transition. </w:t>
      </w:r>
      <w:r>
        <w:rPr>
          <w:rFonts w:ascii="Arial Narrow" w:eastAsia="Calibri" w:hAnsi="Arial Narrow"/>
          <w:sz w:val="22"/>
          <w:szCs w:val="22"/>
          <w:lang w:val="en-US" w:eastAsia="en-US"/>
        </w:rPr>
        <w:t xml:space="preserve">Please note that </w:t>
      </w:r>
      <w:r w:rsidR="00196B89" w:rsidRPr="00196B89">
        <w:rPr>
          <w:rFonts w:ascii="Arial Narrow" w:eastAsia="Calibri" w:hAnsi="Arial Narrow"/>
          <w:sz w:val="22"/>
          <w:szCs w:val="22"/>
          <w:lang w:val="en-US" w:eastAsia="en-US"/>
        </w:rPr>
        <w:t xml:space="preserve">contributing to the financing of companies that make a real effort to be more sustainable contributes substantially to a just transition and rules on denominations that do not take this into account would go against the objective of </w:t>
      </w:r>
      <w:r>
        <w:rPr>
          <w:rFonts w:ascii="Arial Narrow" w:eastAsia="Calibri" w:hAnsi="Arial Narrow"/>
          <w:sz w:val="22"/>
          <w:szCs w:val="22"/>
          <w:lang w:val="en-US" w:eastAsia="en-US"/>
        </w:rPr>
        <w:t>the sustainable finance package</w:t>
      </w:r>
      <w:r w:rsidR="00196B89" w:rsidRPr="00196B89">
        <w:rPr>
          <w:rFonts w:ascii="Arial Narrow" w:eastAsia="Calibri" w:hAnsi="Arial Narrow"/>
          <w:sz w:val="22"/>
          <w:szCs w:val="22"/>
          <w:lang w:val="en-US" w:eastAsia="en-US"/>
        </w:rPr>
        <w:t xml:space="preserve">. </w:t>
      </w:r>
    </w:p>
    <w:p w14:paraId="7A10BDC2" w14:textId="0C198B4C" w:rsidR="00196B89" w:rsidRPr="00196B89" w:rsidRDefault="00C212C4" w:rsidP="00196B89">
      <w:pPr>
        <w:tabs>
          <w:tab w:val="left" w:pos="-284"/>
        </w:tabs>
        <w:spacing w:after="160" w:line="259" w:lineRule="auto"/>
        <w:ind w:right="-284"/>
        <w:jc w:val="both"/>
        <w:rPr>
          <w:rFonts w:ascii="Arial Narrow" w:eastAsia="Calibri" w:hAnsi="Arial Narrow"/>
          <w:sz w:val="22"/>
          <w:szCs w:val="22"/>
          <w:lang w:val="en-US" w:eastAsia="en-US"/>
        </w:rPr>
      </w:pPr>
      <w:r>
        <w:rPr>
          <w:rFonts w:ascii="Arial Narrow" w:eastAsia="Calibri" w:hAnsi="Arial Narrow"/>
          <w:sz w:val="22"/>
          <w:szCs w:val="22"/>
          <w:lang w:val="en-US" w:eastAsia="en-US"/>
        </w:rPr>
        <w:t>Additional</w:t>
      </w:r>
      <w:r w:rsidR="00196B89" w:rsidRPr="00196B89">
        <w:rPr>
          <w:rFonts w:ascii="Arial Narrow" w:eastAsia="Calibri" w:hAnsi="Arial Narrow"/>
          <w:sz w:val="22"/>
          <w:szCs w:val="22"/>
          <w:lang w:val="en-US" w:eastAsia="en-US"/>
        </w:rPr>
        <w:t xml:space="preserve"> minimum safeguards, among others, would have a very negative impact on </w:t>
      </w:r>
      <w:r w:rsidR="003211D9">
        <w:rPr>
          <w:rFonts w:ascii="Arial Narrow" w:eastAsia="Calibri" w:hAnsi="Arial Narrow"/>
          <w:sz w:val="22"/>
          <w:szCs w:val="22"/>
          <w:lang w:val="en-US" w:eastAsia="en-US"/>
        </w:rPr>
        <w:t>F</w:t>
      </w:r>
      <w:r w:rsidR="00196B89" w:rsidRPr="00196B89">
        <w:rPr>
          <w:rFonts w:ascii="Arial Narrow" w:eastAsia="Calibri" w:hAnsi="Arial Narrow"/>
          <w:sz w:val="22"/>
          <w:szCs w:val="22"/>
          <w:lang w:val="en-US" w:eastAsia="en-US"/>
        </w:rPr>
        <w:t>unds that invest in transitioning companies.</w:t>
      </w:r>
    </w:p>
    <w:p w14:paraId="61188F70" w14:textId="284A722C" w:rsidR="00B92885" w:rsidRPr="00196B89" w:rsidRDefault="00B92885" w:rsidP="00B92885">
      <w:pPr>
        <w:rPr>
          <w:lang w:val="en-US"/>
        </w:rPr>
      </w:pP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057085">
      <w:pPr>
        <w:pStyle w:val="Questionstyle"/>
        <w:numPr>
          <w:ilvl w:val="0"/>
          <w:numId w:val="37"/>
        </w:numPr>
      </w:pPr>
      <w:r>
        <w:t>:</w:t>
      </w:r>
      <w:r w:rsidRPr="00EA2F1C">
        <w:t xml:space="preserve"> The proposals in this consultation paper relates to investment funds’ names in light of specific sectoral concerns. However, considering the SFDR disclosures apply also to </w:t>
      </w:r>
      <w:r w:rsidRPr="00EA2F1C">
        <w:lastRenderedPageBreak/>
        <w:t xml:space="preserve">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6D7C6A9D" w14:textId="77777777" w:rsidR="00E37100" w:rsidRDefault="00E37100" w:rsidP="00196B89">
      <w:pPr>
        <w:tabs>
          <w:tab w:val="left" w:pos="-284"/>
        </w:tabs>
        <w:spacing w:after="160" w:line="259" w:lineRule="auto"/>
        <w:ind w:right="-284"/>
        <w:jc w:val="both"/>
        <w:rPr>
          <w:rFonts w:ascii="Arial Narrow" w:eastAsia="Calibri" w:hAnsi="Arial Narrow"/>
          <w:sz w:val="22"/>
          <w:szCs w:val="22"/>
          <w:lang w:val="en-US" w:eastAsia="en-US"/>
        </w:rPr>
      </w:pPr>
      <w:permStart w:id="1434478937" w:edGrp="everyone"/>
    </w:p>
    <w:p w14:paraId="2C23FA71" w14:textId="22C0D2CF" w:rsidR="00196B89" w:rsidRPr="00196B89" w:rsidRDefault="00196B89"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 xml:space="preserve">INVERCO considers that the naming of products according to their ESG bias would merit a calm discussion at ESAs level for the latter to make a proposal to the </w:t>
      </w:r>
      <w:r w:rsidR="00BA0CC3">
        <w:rPr>
          <w:rFonts w:ascii="Arial Narrow" w:eastAsia="Calibri" w:hAnsi="Arial Narrow"/>
          <w:sz w:val="22"/>
          <w:szCs w:val="22"/>
          <w:lang w:val="en-US" w:eastAsia="en-US"/>
        </w:rPr>
        <w:t xml:space="preserve">EU </w:t>
      </w:r>
      <w:r w:rsidRPr="00196B89">
        <w:rPr>
          <w:rFonts w:ascii="Arial Narrow" w:eastAsia="Calibri" w:hAnsi="Arial Narrow"/>
          <w:sz w:val="22"/>
          <w:szCs w:val="22"/>
          <w:lang w:val="en-US" w:eastAsia="en-US"/>
        </w:rPr>
        <w:t>legislator.</w:t>
      </w:r>
    </w:p>
    <w:p w14:paraId="7B4B9C9C" w14:textId="34373F62" w:rsidR="00196B89" w:rsidRPr="00196B89" w:rsidRDefault="00BA0CC3" w:rsidP="00196B89">
      <w:pPr>
        <w:tabs>
          <w:tab w:val="left" w:pos="-284"/>
        </w:tabs>
        <w:spacing w:after="160" w:line="259" w:lineRule="auto"/>
        <w:ind w:right="-284"/>
        <w:jc w:val="both"/>
        <w:rPr>
          <w:rFonts w:ascii="Arial Narrow" w:eastAsia="Calibri" w:hAnsi="Arial Narrow"/>
          <w:sz w:val="22"/>
          <w:szCs w:val="22"/>
          <w:lang w:val="en-US" w:eastAsia="en-US"/>
        </w:rPr>
      </w:pPr>
      <w:r>
        <w:rPr>
          <w:rFonts w:ascii="Arial Narrow" w:eastAsia="Calibri" w:hAnsi="Arial Narrow"/>
          <w:sz w:val="22"/>
          <w:szCs w:val="22"/>
          <w:lang w:val="en-US" w:eastAsia="en-US"/>
        </w:rPr>
        <w:t>T</w:t>
      </w:r>
      <w:r w:rsidR="00196B89" w:rsidRPr="00196B89">
        <w:rPr>
          <w:rFonts w:ascii="Arial Narrow" w:eastAsia="Calibri" w:hAnsi="Arial Narrow"/>
          <w:sz w:val="22"/>
          <w:szCs w:val="22"/>
          <w:lang w:val="en-US" w:eastAsia="en-US"/>
        </w:rPr>
        <w:t xml:space="preserve">o preserve a level playing field and avoid different levels of investor protection, it seems reasonable to adopt </w:t>
      </w:r>
      <w:r>
        <w:rPr>
          <w:rFonts w:ascii="Arial Narrow" w:eastAsia="Calibri" w:hAnsi="Arial Narrow"/>
          <w:sz w:val="22"/>
          <w:szCs w:val="22"/>
          <w:lang w:val="en-US" w:eastAsia="en-US"/>
        </w:rPr>
        <w:t xml:space="preserve">equivalent measures </w:t>
      </w:r>
      <w:r w:rsidR="00196B89" w:rsidRPr="00196B89">
        <w:rPr>
          <w:rFonts w:ascii="Arial Narrow" w:eastAsia="Calibri" w:hAnsi="Arial Narrow"/>
          <w:sz w:val="22"/>
          <w:szCs w:val="22"/>
          <w:lang w:val="en-US" w:eastAsia="en-US"/>
        </w:rPr>
        <w:t>applicable to the rest of the products marketed to retailers.</w:t>
      </w:r>
    </w:p>
    <w:p w14:paraId="54FC5FAA" w14:textId="150D61BA" w:rsidR="00B92885" w:rsidRPr="004045B8" w:rsidRDefault="00B92885" w:rsidP="00B92885">
      <w:pPr>
        <w:rPr>
          <w:lang w:val="en-US"/>
        </w:rPr>
      </w:pP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057085">
      <w:pPr>
        <w:pStyle w:val="Questionstyle"/>
        <w:numPr>
          <w:ilvl w:val="0"/>
          <w:numId w:val="37"/>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400551BE" w14:textId="77777777" w:rsidR="00196B89" w:rsidRDefault="00196B89" w:rsidP="00196B89">
      <w:pPr>
        <w:rPr>
          <w:lang w:val="en-US"/>
        </w:rPr>
      </w:pPr>
      <w:permStart w:id="489244833" w:edGrp="everyone"/>
    </w:p>
    <w:p w14:paraId="07B374C1" w14:textId="37270DFC" w:rsidR="00196B89" w:rsidRPr="00196B89" w:rsidRDefault="00BA0CC3" w:rsidP="00196B89">
      <w:pPr>
        <w:tabs>
          <w:tab w:val="left" w:pos="-284"/>
        </w:tabs>
        <w:spacing w:after="160" w:line="259" w:lineRule="auto"/>
        <w:ind w:right="-284"/>
        <w:jc w:val="both"/>
        <w:rPr>
          <w:rFonts w:ascii="Arial Narrow" w:eastAsia="Calibri" w:hAnsi="Arial Narrow"/>
          <w:sz w:val="22"/>
          <w:szCs w:val="22"/>
          <w:lang w:val="en-US" w:eastAsia="en-US"/>
        </w:rPr>
      </w:pPr>
      <w:r>
        <w:rPr>
          <w:rFonts w:ascii="Arial Narrow" w:eastAsia="Calibri" w:hAnsi="Arial Narrow"/>
          <w:sz w:val="22"/>
          <w:szCs w:val="22"/>
          <w:lang w:val="en-US" w:eastAsia="en-US"/>
        </w:rPr>
        <w:t xml:space="preserve">On the one hand, </w:t>
      </w:r>
      <w:r w:rsidR="00196B89" w:rsidRPr="00196B89">
        <w:rPr>
          <w:rFonts w:ascii="Arial Narrow" w:eastAsia="Calibri" w:hAnsi="Arial Narrow"/>
          <w:sz w:val="22"/>
          <w:szCs w:val="22"/>
          <w:lang w:val="en-US" w:eastAsia="en-US"/>
        </w:rPr>
        <w:t>it would be useful to clarify whether the 6 months foreseen in the Guidelines for the transitional period are additional to the 3 months established for the effective application of the new requirements.</w:t>
      </w:r>
    </w:p>
    <w:p w14:paraId="0A92BC53" w14:textId="3DCD5D01" w:rsidR="00196B89" w:rsidRPr="00196B89" w:rsidRDefault="00BA0CC3" w:rsidP="00196B89">
      <w:pPr>
        <w:tabs>
          <w:tab w:val="left" w:pos="-284"/>
        </w:tabs>
        <w:spacing w:after="160" w:line="259" w:lineRule="auto"/>
        <w:ind w:right="-284"/>
        <w:jc w:val="both"/>
        <w:rPr>
          <w:rFonts w:ascii="Arial Narrow" w:eastAsia="Calibri" w:hAnsi="Arial Narrow"/>
          <w:sz w:val="22"/>
          <w:szCs w:val="22"/>
          <w:lang w:val="en-US" w:eastAsia="en-US"/>
        </w:rPr>
      </w:pPr>
      <w:r>
        <w:rPr>
          <w:rFonts w:ascii="Arial Narrow" w:eastAsia="Calibri" w:hAnsi="Arial Narrow"/>
          <w:sz w:val="22"/>
          <w:szCs w:val="22"/>
          <w:lang w:val="en-US" w:eastAsia="en-US"/>
        </w:rPr>
        <w:t xml:space="preserve">On the other hand, </w:t>
      </w:r>
      <w:r w:rsidR="00196B89" w:rsidRPr="00196B89">
        <w:rPr>
          <w:rFonts w:ascii="Arial Narrow" w:eastAsia="Calibri" w:hAnsi="Arial Narrow"/>
          <w:sz w:val="22"/>
          <w:szCs w:val="22"/>
          <w:lang w:val="en-US" w:eastAsia="en-US"/>
        </w:rPr>
        <w:t>a period of 6 months would be insufficient</w:t>
      </w:r>
      <w:r w:rsidR="00057085">
        <w:rPr>
          <w:rFonts w:ascii="Arial Narrow" w:eastAsia="Calibri" w:hAnsi="Arial Narrow"/>
          <w:sz w:val="22"/>
          <w:szCs w:val="22"/>
          <w:lang w:val="en-US" w:eastAsia="en-US"/>
        </w:rPr>
        <w:t>,</w:t>
      </w:r>
      <w:r w:rsidR="00196B89" w:rsidRPr="00196B89">
        <w:rPr>
          <w:rFonts w:ascii="Arial Narrow" w:eastAsia="Calibri" w:hAnsi="Arial Narrow"/>
          <w:sz w:val="22"/>
          <w:szCs w:val="22"/>
          <w:lang w:val="en-US" w:eastAsia="en-US"/>
        </w:rPr>
        <w:t xml:space="preserve"> not only because of the </w:t>
      </w:r>
      <w:r w:rsidR="00057085">
        <w:rPr>
          <w:rFonts w:ascii="Arial Narrow" w:eastAsia="Calibri" w:hAnsi="Arial Narrow"/>
          <w:sz w:val="22"/>
          <w:szCs w:val="22"/>
          <w:lang w:val="en-US" w:eastAsia="en-US"/>
        </w:rPr>
        <w:t xml:space="preserve">need to carry out a new </w:t>
      </w:r>
      <w:r w:rsidR="00196B89" w:rsidRPr="00196B89">
        <w:rPr>
          <w:rFonts w:ascii="Arial Narrow" w:eastAsia="Calibri" w:hAnsi="Arial Narrow"/>
          <w:sz w:val="22"/>
          <w:szCs w:val="22"/>
          <w:lang w:val="en-US" w:eastAsia="en-US"/>
        </w:rPr>
        <w:t xml:space="preserve">modification of </w:t>
      </w:r>
      <w:r w:rsidR="00057085">
        <w:rPr>
          <w:rFonts w:ascii="Arial Narrow" w:eastAsia="Calibri" w:hAnsi="Arial Narrow"/>
          <w:sz w:val="22"/>
          <w:szCs w:val="22"/>
          <w:lang w:val="en-US" w:eastAsia="en-US"/>
        </w:rPr>
        <w:t xml:space="preserve">Funds </w:t>
      </w:r>
      <w:r w:rsidR="00196B89" w:rsidRPr="00196B89">
        <w:rPr>
          <w:rFonts w:ascii="Arial Narrow" w:eastAsia="Calibri" w:hAnsi="Arial Narrow"/>
          <w:sz w:val="22"/>
          <w:szCs w:val="22"/>
          <w:lang w:val="en-US" w:eastAsia="en-US"/>
        </w:rPr>
        <w:t xml:space="preserve">documentation, but also because of the difficulties arising from the product definition process itself: Analysis and design, internal approval processes, information to </w:t>
      </w:r>
      <w:r w:rsidR="00C212C4" w:rsidRPr="00196B89">
        <w:rPr>
          <w:rFonts w:ascii="Arial Narrow" w:eastAsia="Calibri" w:hAnsi="Arial Narrow"/>
          <w:sz w:val="22"/>
          <w:szCs w:val="22"/>
          <w:lang w:val="en-US" w:eastAsia="en-US"/>
        </w:rPr>
        <w:t>unitholders</w:t>
      </w:r>
      <w:r w:rsidR="00196B89" w:rsidRPr="00196B89">
        <w:rPr>
          <w:rFonts w:ascii="Arial Narrow" w:eastAsia="Calibri" w:hAnsi="Arial Narrow"/>
          <w:sz w:val="22"/>
          <w:szCs w:val="22"/>
          <w:lang w:val="en-US" w:eastAsia="en-US"/>
        </w:rPr>
        <w:t>, liaison with NCAs, handling reputational risks and avoidance of claims and redemptions.</w:t>
      </w:r>
    </w:p>
    <w:p w14:paraId="3A4F7613" w14:textId="42B6BAB3" w:rsidR="00196B89" w:rsidRPr="00196B89" w:rsidRDefault="00196B89"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 xml:space="preserve">In view of the above, it is considered more convenient </w:t>
      </w:r>
      <w:r w:rsidR="00057085">
        <w:rPr>
          <w:rFonts w:ascii="Arial Narrow" w:eastAsia="Calibri" w:hAnsi="Arial Narrow"/>
          <w:sz w:val="22"/>
          <w:szCs w:val="22"/>
          <w:lang w:val="en-US" w:eastAsia="en-US"/>
        </w:rPr>
        <w:t xml:space="preserve">to have a transitional period </w:t>
      </w:r>
      <w:r w:rsidRPr="00196B89">
        <w:rPr>
          <w:rFonts w:ascii="Arial Narrow" w:eastAsia="Calibri" w:hAnsi="Arial Narrow"/>
          <w:sz w:val="22"/>
          <w:szCs w:val="22"/>
          <w:lang w:val="en-US" w:eastAsia="en-US"/>
        </w:rPr>
        <w:t>of at least 12 months.</w:t>
      </w:r>
    </w:p>
    <w:p w14:paraId="68ED52F5" w14:textId="4FA3DD17" w:rsidR="00B92885" w:rsidRPr="00196B89" w:rsidRDefault="00B92885" w:rsidP="00196B89">
      <w:pPr>
        <w:tabs>
          <w:tab w:val="left" w:pos="-284"/>
        </w:tabs>
        <w:spacing w:after="160" w:line="259" w:lineRule="auto"/>
        <w:ind w:right="-284"/>
        <w:jc w:val="both"/>
        <w:rPr>
          <w:rFonts w:ascii="Arial Narrow" w:eastAsia="Calibri" w:hAnsi="Arial Narrow"/>
          <w:sz w:val="22"/>
          <w:szCs w:val="22"/>
          <w:u w:val="single"/>
          <w:lang w:val="en-US" w:eastAsia="en-US"/>
        </w:rPr>
      </w:pP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057085">
      <w:pPr>
        <w:pStyle w:val="Questionstyle"/>
        <w:numPr>
          <w:ilvl w:val="0"/>
          <w:numId w:val="37"/>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1FD3E8F5" w14:textId="77777777" w:rsidR="00057085" w:rsidRDefault="00057085" w:rsidP="00196B89">
      <w:pPr>
        <w:tabs>
          <w:tab w:val="left" w:pos="-284"/>
        </w:tabs>
        <w:spacing w:after="160" w:line="259" w:lineRule="auto"/>
        <w:ind w:right="-284"/>
        <w:jc w:val="both"/>
        <w:rPr>
          <w:rFonts w:ascii="Arial Narrow" w:eastAsia="Calibri" w:hAnsi="Arial Narrow"/>
          <w:sz w:val="22"/>
          <w:szCs w:val="22"/>
          <w:lang w:val="en-US" w:eastAsia="en-US"/>
        </w:rPr>
      </w:pPr>
      <w:permStart w:id="1766353355" w:edGrp="everyone"/>
    </w:p>
    <w:p w14:paraId="42C17550" w14:textId="68690439" w:rsidR="00196B89" w:rsidRPr="00196B89" w:rsidRDefault="00196B89"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The retroactivity of the Guidelines is totally inappropriate. Under no circumstances should they be applied to Funds in which no new subscriptions can be made or Funds that are not actively marketed.</w:t>
      </w:r>
    </w:p>
    <w:p w14:paraId="12BE5CDA" w14:textId="7B308890" w:rsidR="00196B89" w:rsidRPr="00196B89" w:rsidRDefault="00057085" w:rsidP="00196B89">
      <w:pPr>
        <w:tabs>
          <w:tab w:val="left" w:pos="-284"/>
        </w:tabs>
        <w:spacing w:after="160" w:line="259" w:lineRule="auto"/>
        <w:ind w:right="-284"/>
        <w:jc w:val="both"/>
        <w:rPr>
          <w:rFonts w:ascii="Arial Narrow" w:eastAsia="Calibri" w:hAnsi="Arial Narrow"/>
          <w:sz w:val="22"/>
          <w:szCs w:val="22"/>
          <w:lang w:val="en-US" w:eastAsia="en-US"/>
        </w:rPr>
      </w:pPr>
      <w:r>
        <w:rPr>
          <w:rFonts w:ascii="Arial Narrow" w:eastAsia="Calibri" w:hAnsi="Arial Narrow"/>
          <w:sz w:val="22"/>
          <w:szCs w:val="22"/>
          <w:lang w:val="en-US" w:eastAsia="en-US"/>
        </w:rPr>
        <w:t xml:space="preserve">Note that </w:t>
      </w:r>
      <w:r w:rsidR="00196B89" w:rsidRPr="00196B89">
        <w:rPr>
          <w:rFonts w:ascii="Arial Narrow" w:eastAsia="Calibri" w:hAnsi="Arial Narrow"/>
          <w:sz w:val="22"/>
          <w:szCs w:val="22"/>
          <w:lang w:val="en-US" w:eastAsia="en-US"/>
        </w:rPr>
        <w:t>the</w:t>
      </w:r>
      <w:r>
        <w:rPr>
          <w:rFonts w:ascii="Arial Narrow" w:eastAsia="Calibri" w:hAnsi="Arial Narrow"/>
          <w:sz w:val="22"/>
          <w:szCs w:val="22"/>
          <w:lang w:val="en-US" w:eastAsia="en-US"/>
        </w:rPr>
        <w:t>se</w:t>
      </w:r>
      <w:r w:rsidR="00196B89" w:rsidRPr="00196B89">
        <w:rPr>
          <w:rFonts w:ascii="Arial Narrow" w:eastAsia="Calibri" w:hAnsi="Arial Narrow"/>
          <w:sz w:val="22"/>
          <w:szCs w:val="22"/>
          <w:lang w:val="en-US" w:eastAsia="en-US"/>
        </w:rPr>
        <w:t xml:space="preserve"> Guidelines work against legal certainty</w:t>
      </w:r>
      <w:r>
        <w:rPr>
          <w:rFonts w:ascii="Arial Narrow" w:eastAsia="Calibri" w:hAnsi="Arial Narrow"/>
          <w:sz w:val="22"/>
          <w:szCs w:val="22"/>
          <w:lang w:val="en-US" w:eastAsia="en-US"/>
        </w:rPr>
        <w:t xml:space="preserve"> because they i</w:t>
      </w:r>
      <w:r w:rsidR="00196B89" w:rsidRPr="00196B89">
        <w:rPr>
          <w:rFonts w:ascii="Arial Narrow" w:eastAsia="Calibri" w:hAnsi="Arial Narrow"/>
          <w:sz w:val="22"/>
          <w:szCs w:val="22"/>
          <w:lang w:val="en-US" w:eastAsia="en-US"/>
        </w:rPr>
        <w:t xml:space="preserve">mpose new rules on Funds that were launched and marketed, in many cases, in compliance with SFDR but that </w:t>
      </w:r>
      <w:r w:rsidR="00925149" w:rsidRPr="00196B89">
        <w:rPr>
          <w:rFonts w:ascii="Arial Narrow" w:eastAsia="Calibri" w:hAnsi="Arial Narrow"/>
          <w:sz w:val="22"/>
          <w:szCs w:val="22"/>
          <w:lang w:val="en-US" w:eastAsia="en-US"/>
        </w:rPr>
        <w:t>must</w:t>
      </w:r>
      <w:r w:rsidR="00196B89" w:rsidRPr="00196B89">
        <w:rPr>
          <w:rFonts w:ascii="Arial Narrow" w:eastAsia="Calibri" w:hAnsi="Arial Narrow"/>
          <w:sz w:val="22"/>
          <w:szCs w:val="22"/>
          <w:lang w:val="en-US" w:eastAsia="en-US"/>
        </w:rPr>
        <w:t xml:space="preserve"> bear the operational and reputational costs arising from new naming rules.</w:t>
      </w:r>
    </w:p>
    <w:p w14:paraId="2BFCC20E" w14:textId="23B87A9F" w:rsidR="00196B89" w:rsidRPr="00196B89" w:rsidRDefault="00196B89"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 xml:space="preserve">In the Spanish market, the above may also be the case of funds such as guaranteed funds or funds with an objective return, which have closed structures whose name at the time of their launch complied with the current regulations and were marketed as such to </w:t>
      </w:r>
      <w:r w:rsidR="00C212C4" w:rsidRPr="00196B89">
        <w:rPr>
          <w:rFonts w:ascii="Arial Narrow" w:eastAsia="Calibri" w:hAnsi="Arial Narrow"/>
          <w:sz w:val="22"/>
          <w:szCs w:val="22"/>
          <w:lang w:val="en-US" w:eastAsia="en-US"/>
        </w:rPr>
        <w:t>unitholders</w:t>
      </w:r>
      <w:r w:rsidRPr="00196B89">
        <w:rPr>
          <w:rFonts w:ascii="Arial Narrow" w:eastAsia="Calibri" w:hAnsi="Arial Narrow"/>
          <w:sz w:val="22"/>
          <w:szCs w:val="22"/>
          <w:lang w:val="en-US" w:eastAsia="en-US"/>
        </w:rPr>
        <w:t xml:space="preserve">. Adapting these structures to the proposed requirements would entail very high costs that would not result in greater protection for the </w:t>
      </w:r>
      <w:r w:rsidR="00C212C4" w:rsidRPr="00196B89">
        <w:rPr>
          <w:rFonts w:ascii="Arial Narrow" w:eastAsia="Calibri" w:hAnsi="Arial Narrow"/>
          <w:sz w:val="22"/>
          <w:szCs w:val="22"/>
          <w:lang w:val="en-US" w:eastAsia="en-US"/>
        </w:rPr>
        <w:t>unitholders</w:t>
      </w:r>
      <w:r w:rsidRPr="00196B89">
        <w:rPr>
          <w:rFonts w:ascii="Arial Narrow" w:eastAsia="Calibri" w:hAnsi="Arial Narrow"/>
          <w:sz w:val="22"/>
          <w:szCs w:val="22"/>
          <w:lang w:val="en-US" w:eastAsia="en-US"/>
        </w:rPr>
        <w:t>, nor for potential new investors, since they work as closed-end</w:t>
      </w:r>
      <w:r w:rsidR="00057085">
        <w:rPr>
          <w:rFonts w:ascii="Arial Narrow" w:eastAsia="Calibri" w:hAnsi="Arial Narrow"/>
          <w:sz w:val="22"/>
          <w:szCs w:val="22"/>
          <w:lang w:val="en-US" w:eastAsia="en-US"/>
        </w:rPr>
        <w:t>ed</w:t>
      </w:r>
      <w:r w:rsidRPr="00196B89">
        <w:rPr>
          <w:rFonts w:ascii="Arial Narrow" w:eastAsia="Calibri" w:hAnsi="Arial Narrow"/>
          <w:sz w:val="22"/>
          <w:szCs w:val="22"/>
          <w:lang w:val="en-US" w:eastAsia="en-US"/>
        </w:rPr>
        <w:t xml:space="preserve"> Funds for new subscriptions purposes.</w:t>
      </w:r>
    </w:p>
    <w:p w14:paraId="1AAD6908" w14:textId="77777777" w:rsidR="00196B89" w:rsidRPr="00196B89" w:rsidRDefault="00196B89"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lastRenderedPageBreak/>
        <w:t>Again, this type of measures would not serve to support the transition.</w:t>
      </w:r>
    </w:p>
    <w:p w14:paraId="23752B71" w14:textId="529DFC72" w:rsidR="00B92885" w:rsidRPr="00196B89" w:rsidRDefault="00B92885" w:rsidP="00B92885">
      <w:pPr>
        <w:rPr>
          <w:lang w:val="en-US"/>
        </w:rPr>
      </w:pP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057085">
      <w:pPr>
        <w:pStyle w:val="Questionstyle"/>
        <w:numPr>
          <w:ilvl w:val="0"/>
          <w:numId w:val="37"/>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5193BAC0" w14:textId="77777777" w:rsidR="00057085" w:rsidRDefault="00057085" w:rsidP="00196B89">
      <w:pPr>
        <w:tabs>
          <w:tab w:val="left" w:pos="-284"/>
        </w:tabs>
        <w:spacing w:after="160" w:line="259" w:lineRule="auto"/>
        <w:ind w:right="-284"/>
        <w:jc w:val="both"/>
        <w:rPr>
          <w:rFonts w:ascii="Arial Narrow" w:eastAsia="Calibri" w:hAnsi="Arial Narrow"/>
          <w:sz w:val="22"/>
          <w:szCs w:val="22"/>
          <w:lang w:val="en-US" w:eastAsia="en-US"/>
        </w:rPr>
      </w:pPr>
      <w:permStart w:id="929254269" w:edGrp="everyone"/>
    </w:p>
    <w:p w14:paraId="60F7A0F7" w14:textId="0296DB06" w:rsidR="00196B89" w:rsidRPr="00196B89" w:rsidRDefault="00057085" w:rsidP="00196B89">
      <w:pPr>
        <w:tabs>
          <w:tab w:val="left" w:pos="-284"/>
        </w:tabs>
        <w:spacing w:after="160" w:line="259" w:lineRule="auto"/>
        <w:ind w:right="-284"/>
        <w:jc w:val="both"/>
        <w:rPr>
          <w:rFonts w:ascii="Arial Narrow" w:eastAsia="Calibri" w:hAnsi="Arial Narrow"/>
          <w:sz w:val="22"/>
          <w:szCs w:val="22"/>
          <w:lang w:val="en-US" w:eastAsia="en-US"/>
        </w:rPr>
      </w:pPr>
      <w:r>
        <w:rPr>
          <w:rFonts w:ascii="Arial Narrow" w:eastAsia="Calibri" w:hAnsi="Arial Narrow"/>
          <w:sz w:val="22"/>
          <w:szCs w:val="22"/>
          <w:lang w:val="en-US" w:eastAsia="en-US"/>
        </w:rPr>
        <w:t>T</w:t>
      </w:r>
      <w:r w:rsidR="00196B89" w:rsidRPr="00196B89">
        <w:rPr>
          <w:rFonts w:ascii="Arial Narrow" w:eastAsia="Calibri" w:hAnsi="Arial Narrow"/>
          <w:sz w:val="22"/>
          <w:szCs w:val="22"/>
          <w:lang w:val="en-US" w:eastAsia="en-US"/>
        </w:rPr>
        <w:t xml:space="preserve">he success of the Guidelines </w:t>
      </w:r>
      <w:r>
        <w:rPr>
          <w:rFonts w:ascii="Arial Narrow" w:eastAsia="Calibri" w:hAnsi="Arial Narrow"/>
          <w:sz w:val="22"/>
          <w:szCs w:val="22"/>
          <w:lang w:val="en-US" w:eastAsia="en-US"/>
        </w:rPr>
        <w:t xml:space="preserve">would very much </w:t>
      </w:r>
      <w:r w:rsidR="00196B89" w:rsidRPr="00196B89">
        <w:rPr>
          <w:rFonts w:ascii="Arial Narrow" w:eastAsia="Calibri" w:hAnsi="Arial Narrow"/>
          <w:sz w:val="22"/>
          <w:szCs w:val="22"/>
          <w:lang w:val="en-US" w:eastAsia="en-US"/>
        </w:rPr>
        <w:t>depend on their adoption by all NCAs, which is highly unlikely.</w:t>
      </w:r>
      <w:r>
        <w:rPr>
          <w:rFonts w:ascii="Arial Narrow" w:eastAsia="Calibri" w:hAnsi="Arial Narrow"/>
          <w:sz w:val="22"/>
          <w:szCs w:val="22"/>
          <w:lang w:val="en-US" w:eastAsia="en-US"/>
        </w:rPr>
        <w:t xml:space="preserve"> I</w:t>
      </w:r>
      <w:r w:rsidR="00196B89" w:rsidRPr="00196B89">
        <w:rPr>
          <w:rFonts w:ascii="Arial Narrow" w:eastAsia="Calibri" w:hAnsi="Arial Narrow"/>
          <w:sz w:val="22"/>
          <w:szCs w:val="22"/>
          <w:lang w:val="en-US" w:eastAsia="en-US"/>
        </w:rPr>
        <w:t>t is</w:t>
      </w:r>
      <w:r>
        <w:rPr>
          <w:rFonts w:ascii="Arial Narrow" w:eastAsia="Calibri" w:hAnsi="Arial Narrow"/>
          <w:sz w:val="22"/>
          <w:szCs w:val="22"/>
          <w:lang w:val="en-US" w:eastAsia="en-US"/>
        </w:rPr>
        <w:t xml:space="preserve"> therefore</w:t>
      </w:r>
      <w:r w:rsidR="00196B89" w:rsidRPr="00196B89">
        <w:rPr>
          <w:rFonts w:ascii="Arial Narrow" w:eastAsia="Calibri" w:hAnsi="Arial Narrow"/>
          <w:sz w:val="22"/>
          <w:szCs w:val="22"/>
          <w:lang w:val="en-US" w:eastAsia="en-US"/>
        </w:rPr>
        <w:t xml:space="preserve"> important that the final Guidelines are framed in terms that adequately gauge the cost-benefit of new requirements.</w:t>
      </w:r>
    </w:p>
    <w:p w14:paraId="16E712A1" w14:textId="502E334F" w:rsidR="00196B89" w:rsidRPr="00196B89" w:rsidRDefault="00196B89"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 xml:space="preserve">Thus, it is key to avoid </w:t>
      </w:r>
      <w:r w:rsidR="00057085">
        <w:rPr>
          <w:rFonts w:ascii="Arial Narrow" w:eastAsia="Calibri" w:hAnsi="Arial Narrow"/>
          <w:sz w:val="22"/>
          <w:szCs w:val="22"/>
          <w:lang w:val="en-US" w:eastAsia="en-US"/>
        </w:rPr>
        <w:t xml:space="preserve">the </w:t>
      </w:r>
      <w:r w:rsidRPr="00196B89">
        <w:rPr>
          <w:rFonts w:ascii="Arial Narrow" w:eastAsia="Calibri" w:hAnsi="Arial Narrow"/>
          <w:sz w:val="22"/>
          <w:szCs w:val="22"/>
          <w:lang w:val="en-US" w:eastAsia="en-US"/>
        </w:rPr>
        <w:t xml:space="preserve">negative impacts hat the Guidelines, as currently drafted, would have: </w:t>
      </w:r>
    </w:p>
    <w:p w14:paraId="39C2575F" w14:textId="77777777" w:rsidR="00196B89" w:rsidRPr="00196B89" w:rsidRDefault="00196B89" w:rsidP="00057085">
      <w:pPr>
        <w:numPr>
          <w:ilvl w:val="0"/>
          <w:numId w:val="47"/>
        </w:numPr>
        <w:tabs>
          <w:tab w:val="left" w:pos="-284"/>
        </w:tabs>
        <w:spacing w:after="160" w:line="259" w:lineRule="auto"/>
        <w:ind w:left="294" w:right="-284"/>
        <w:contextualSpacing/>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 xml:space="preserve">The overlap and generation of inconsistencies with existing sustainable finance regulations and, possibly, with the future ecolabel. </w:t>
      </w:r>
    </w:p>
    <w:p w14:paraId="6F9EA9C8" w14:textId="77777777" w:rsidR="00196B89" w:rsidRPr="00196B89" w:rsidRDefault="00196B89" w:rsidP="00057085">
      <w:pPr>
        <w:numPr>
          <w:ilvl w:val="0"/>
          <w:numId w:val="47"/>
        </w:numPr>
        <w:tabs>
          <w:tab w:val="left" w:pos="-284"/>
        </w:tabs>
        <w:spacing w:after="160" w:line="259" w:lineRule="auto"/>
        <w:ind w:left="294" w:right="-284"/>
        <w:contextualSpacing/>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The risk of entities restricting the launch of more funds with a sustainable bias due to excessively strict or inadequate criteria.</w:t>
      </w:r>
    </w:p>
    <w:p w14:paraId="34E4486E" w14:textId="77777777" w:rsidR="00196B89" w:rsidRPr="00196B89" w:rsidRDefault="00196B89" w:rsidP="00057085">
      <w:pPr>
        <w:numPr>
          <w:ilvl w:val="0"/>
          <w:numId w:val="47"/>
        </w:numPr>
        <w:tabs>
          <w:tab w:val="left" w:pos="-284"/>
        </w:tabs>
        <w:spacing w:after="160" w:line="259" w:lineRule="auto"/>
        <w:ind w:left="294" w:right="-284"/>
        <w:contextualSpacing/>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 xml:space="preserve">Increasing difficulties in understanding the differences between the various sustainably biased savings-investment financial products and the different levels of protection faced by investors. </w:t>
      </w:r>
    </w:p>
    <w:p w14:paraId="34BB77A8" w14:textId="77777777" w:rsidR="00196B89" w:rsidRPr="00196B89" w:rsidRDefault="00196B89" w:rsidP="00057085">
      <w:pPr>
        <w:numPr>
          <w:ilvl w:val="0"/>
          <w:numId w:val="47"/>
        </w:numPr>
        <w:tabs>
          <w:tab w:val="left" w:pos="-284"/>
        </w:tabs>
        <w:spacing w:after="160" w:line="259" w:lineRule="auto"/>
        <w:ind w:left="294" w:right="-284"/>
        <w:contextualSpacing/>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 xml:space="preserve">The costs arising from continuous regulatory changes at the level of local NCAs, investment managers and ultimately unit-holders. </w:t>
      </w:r>
    </w:p>
    <w:p w14:paraId="16EA3DC1" w14:textId="77777777" w:rsidR="00196B89" w:rsidRPr="00196B89" w:rsidRDefault="00196B89" w:rsidP="00057085">
      <w:pPr>
        <w:numPr>
          <w:ilvl w:val="0"/>
          <w:numId w:val="47"/>
        </w:numPr>
        <w:tabs>
          <w:tab w:val="left" w:pos="-284"/>
        </w:tabs>
        <w:spacing w:after="160" w:line="259" w:lineRule="auto"/>
        <w:ind w:left="294" w:right="-284"/>
        <w:contextualSpacing/>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High reputational risks arising from the incorporation of non-cross-cutting sustainable finance criteria across financial products.</w:t>
      </w:r>
    </w:p>
    <w:p w14:paraId="334FC0CC" w14:textId="77777777" w:rsidR="00196B89" w:rsidRPr="00196B89" w:rsidRDefault="00196B89" w:rsidP="00196B89">
      <w:pPr>
        <w:tabs>
          <w:tab w:val="left" w:pos="-284"/>
        </w:tabs>
        <w:spacing w:after="160" w:line="259" w:lineRule="auto"/>
        <w:ind w:left="720" w:right="-284"/>
        <w:contextualSpacing/>
        <w:jc w:val="both"/>
        <w:rPr>
          <w:rFonts w:ascii="Arial Narrow" w:eastAsia="Calibri" w:hAnsi="Arial Narrow"/>
          <w:sz w:val="22"/>
          <w:szCs w:val="22"/>
          <w:lang w:val="en-US" w:eastAsia="en-US"/>
        </w:rPr>
      </w:pPr>
    </w:p>
    <w:p w14:paraId="6F6494D0" w14:textId="6310DE49" w:rsidR="00B92885" w:rsidRPr="00196B89" w:rsidRDefault="00B92885" w:rsidP="00196B89">
      <w:pPr>
        <w:rPr>
          <w:lang w:val="en-US"/>
        </w:rPr>
      </w:pP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057085">
      <w:pPr>
        <w:pStyle w:val="Questionstyle"/>
        <w:numPr>
          <w:ilvl w:val="0"/>
          <w:numId w:val="37"/>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3387890A" w14:textId="77777777" w:rsidR="007B6070" w:rsidRDefault="007B6070" w:rsidP="00196B89">
      <w:pPr>
        <w:tabs>
          <w:tab w:val="left" w:pos="-284"/>
        </w:tabs>
        <w:spacing w:after="160" w:line="259" w:lineRule="auto"/>
        <w:ind w:right="-284"/>
        <w:jc w:val="both"/>
        <w:rPr>
          <w:rFonts w:ascii="Arial Narrow" w:eastAsia="Calibri" w:hAnsi="Arial Narrow"/>
          <w:sz w:val="22"/>
          <w:szCs w:val="22"/>
          <w:lang w:val="en-US" w:eastAsia="en-US"/>
        </w:rPr>
      </w:pPr>
      <w:permStart w:id="878708964" w:edGrp="everyone"/>
    </w:p>
    <w:p w14:paraId="3344ACF6" w14:textId="62B7781B" w:rsidR="00196B89" w:rsidRPr="00196B89" w:rsidRDefault="00196B89" w:rsidP="00196B89">
      <w:pPr>
        <w:tabs>
          <w:tab w:val="left" w:pos="-284"/>
        </w:tabs>
        <w:spacing w:after="160" w:line="259" w:lineRule="auto"/>
        <w:ind w:right="-284"/>
        <w:jc w:val="both"/>
        <w:rPr>
          <w:rFonts w:ascii="Arial Narrow" w:eastAsia="Calibri" w:hAnsi="Arial Narrow"/>
          <w:sz w:val="22"/>
          <w:szCs w:val="22"/>
          <w:lang w:val="en-US" w:eastAsia="en-US"/>
        </w:rPr>
      </w:pPr>
      <w:r w:rsidRPr="00196B89">
        <w:rPr>
          <w:rFonts w:ascii="Arial Narrow" w:eastAsia="Calibri" w:hAnsi="Arial Narrow"/>
          <w:sz w:val="22"/>
          <w:szCs w:val="22"/>
          <w:lang w:val="en-US" w:eastAsia="en-US"/>
        </w:rPr>
        <w:t>See answers 15 and 13.</w:t>
      </w:r>
    </w:p>
    <w:p w14:paraId="0866A6F6" w14:textId="4199E817" w:rsidR="00B92885" w:rsidRDefault="00B92885" w:rsidP="00B92885"/>
    <w:permEnd w:id="878708964"/>
    <w:p w14:paraId="651FE8BB" w14:textId="77777777" w:rsidR="00B92885" w:rsidRDefault="00B92885" w:rsidP="00B92885">
      <w:r>
        <w:t>&lt;ESMA_QUESTION_FUNA_16&gt;</w:t>
      </w:r>
    </w:p>
    <w:p w14:paraId="6D8E7793" w14:textId="14304513" w:rsidR="00F87897" w:rsidRDefault="00F87897" w:rsidP="00057085">
      <w:pPr>
        <w:pStyle w:val="Questionstyle"/>
        <w:numPr>
          <w:ilvl w:val="0"/>
          <w:numId w:val="37"/>
        </w:numPr>
        <w:rPr>
          <w:rFonts w:cstheme="minorBidi"/>
          <w:b w:val="0"/>
          <w:sz w:val="22"/>
          <w:lang w:eastAsia="en-US"/>
        </w:rPr>
      </w:pPr>
    </w:p>
    <w:sectPr w:rsidR="00F87897"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BCC69" w14:textId="77777777" w:rsidR="00027EEB" w:rsidRDefault="00027EEB">
      <w:r>
        <w:separator/>
      </w:r>
    </w:p>
    <w:p w14:paraId="5DDDA9E4" w14:textId="77777777" w:rsidR="00027EEB" w:rsidRDefault="00027EEB"/>
  </w:endnote>
  <w:endnote w:type="continuationSeparator" w:id="0">
    <w:p w14:paraId="669BAB8A" w14:textId="77777777" w:rsidR="00027EEB" w:rsidRDefault="00027EEB">
      <w:r>
        <w:continuationSeparator/>
      </w:r>
    </w:p>
    <w:p w14:paraId="7D10BF9F" w14:textId="77777777" w:rsidR="00027EEB" w:rsidRDefault="00027EEB"/>
  </w:endnote>
  <w:endnote w:type="continuationNotice" w:id="1">
    <w:p w14:paraId="7C72917A" w14:textId="77777777" w:rsidR="00027EEB" w:rsidRDefault="000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77777777"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8</w:t>
          </w:r>
          <w:r w:rsidRPr="00616B9B">
            <w:rPr>
              <w:rFonts w:cs="Arial"/>
              <w:noProof/>
              <w:sz w:val="22"/>
              <w:szCs w:val="22"/>
            </w:rPr>
            <w:fldChar w:fldCharType="end"/>
          </w:r>
        </w:p>
      </w:tc>
    </w:tr>
  </w:tbl>
  <w:p w14:paraId="7306E326" w14:textId="77777777" w:rsidR="00267551" w:rsidRDefault="002675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5726" w14:textId="4CF051A6" w:rsidR="00267551" w:rsidRDefault="00267551" w:rsidP="00B92885">
    <w:pPr>
      <w:pStyle w:val="Piedepgina"/>
      <w:tabs>
        <w:tab w:val="clear" w:pos="4536"/>
        <w:tab w:val="clear" w:pos="9072"/>
        <w:tab w:val="left" w:pos="8227"/>
        <w:tab w:val="right" w:pos="9412"/>
      </w:tabs>
    </w:pPr>
    <w:r>
      <w:tab/>
    </w:r>
    <w:r w:rsidR="00B92885">
      <w:tab/>
    </w:r>
  </w:p>
  <w:p w14:paraId="3A793707" w14:textId="084F8123" w:rsidR="00B92885" w:rsidRDefault="00B92885" w:rsidP="00B92885">
    <w:pPr>
      <w:pStyle w:val="Piedepgina"/>
      <w:tabs>
        <w:tab w:val="clear" w:pos="4536"/>
        <w:tab w:val="clear" w:pos="9072"/>
        <w:tab w:val="left" w:pos="8227"/>
        <w:tab w:val="right" w:pos="9412"/>
      </w:tabs>
    </w:pPr>
    <w:r>
      <w:tab/>
    </w:r>
    <w:r>
      <w:tab/>
    </w:r>
    <w:r>
      <w:tab/>
    </w:r>
  </w:p>
  <w:p w14:paraId="6D19C66C" w14:textId="10DE0B9B" w:rsidR="00B92885" w:rsidRDefault="00B92885" w:rsidP="00B92885">
    <w:pPr>
      <w:pStyle w:val="Piedepgina"/>
      <w:tabs>
        <w:tab w:val="clear" w:pos="4536"/>
        <w:tab w:val="clear" w:pos="9072"/>
        <w:tab w:val="left" w:pos="8227"/>
        <w:tab w:val="right" w:pos="9412"/>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822F5" w14:textId="77777777" w:rsidR="00267551" w:rsidRDefault="002675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4D776" w14:textId="77777777" w:rsidR="00027EEB" w:rsidRDefault="00027EEB">
      <w:r>
        <w:separator/>
      </w:r>
    </w:p>
    <w:p w14:paraId="4E8AA966" w14:textId="77777777" w:rsidR="00027EEB" w:rsidRDefault="00027EEB"/>
  </w:footnote>
  <w:footnote w:type="continuationSeparator" w:id="0">
    <w:p w14:paraId="457E26AD" w14:textId="77777777" w:rsidR="00027EEB" w:rsidRDefault="00027EEB">
      <w:r>
        <w:continuationSeparator/>
      </w:r>
    </w:p>
    <w:p w14:paraId="139EA58C" w14:textId="77777777" w:rsidR="00027EEB" w:rsidRDefault="00027EEB"/>
  </w:footnote>
  <w:footnote w:type="continuationNotice" w:id="1">
    <w:p w14:paraId="1C504C77" w14:textId="77777777" w:rsidR="00027EEB" w:rsidRDefault="00027EEB"/>
  </w:footnote>
  <w:footnote w:id="2">
    <w:p w14:paraId="47F7B767" w14:textId="77777777" w:rsidR="006E59DD" w:rsidRPr="00AD365E" w:rsidRDefault="006E59DD" w:rsidP="006E59DD">
      <w:pPr>
        <w:pStyle w:val="Textonotapie"/>
        <w:rPr>
          <w:rFonts w:ascii="Arial Narrow" w:hAnsi="Arial Narrow"/>
          <w:lang w:val="en-US"/>
        </w:rPr>
      </w:pPr>
      <w:r w:rsidRPr="00AD365E">
        <w:rPr>
          <w:rStyle w:val="Refdenotaalpie"/>
          <w:rFonts w:ascii="Arial Narrow" w:hAnsi="Arial Narrow"/>
          <w:sz w:val="18"/>
          <w:szCs w:val="18"/>
          <w:lang w:val="en-US"/>
        </w:rPr>
        <w:footnoteRef/>
      </w:r>
      <w:r w:rsidRPr="00AD365E">
        <w:rPr>
          <w:rFonts w:ascii="Arial Narrow" w:hAnsi="Arial Narrow"/>
          <w:sz w:val="18"/>
          <w:szCs w:val="18"/>
          <w:lang w:val="en-US"/>
        </w:rPr>
        <w:t xml:space="preserve"> It could be included in proposals to be submitted by ESAS to the EC in response to its August 2022 EC Request for Advice on monitoring sustainable finance policies and the risk of greenwashing.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7985" w14:textId="77777777" w:rsidR="00267551" w:rsidRDefault="00267551">
    <w:pPr>
      <w:pStyle w:val="Encabezado"/>
    </w:pPr>
    <w:r>
      <w:rPr>
        <w:noProof/>
        <w:lang w:eastAsia="en-GB"/>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EEA6" w14:textId="77777777" w:rsidR="00267551" w:rsidRDefault="00267551" w:rsidP="00013CCE">
    <w:pPr>
      <w:pStyle w:val="Encabezado"/>
      <w:jc w:val="right"/>
    </w:pPr>
    <w:r>
      <w:rPr>
        <w:noProof/>
        <w:lang w:eastAsia="en-GB"/>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EA3DA" w14:textId="77777777" w:rsidR="00267551" w:rsidRDefault="0026755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Encabezado"/>
      <w:rPr>
        <w:lang w:val="fr-FR"/>
      </w:rPr>
    </w:pPr>
  </w:p>
  <w:p w14:paraId="3F30C70B" w14:textId="77777777" w:rsidR="00267551" w:rsidRPr="002F4496" w:rsidRDefault="00267551" w:rsidP="000C06C9">
    <w:pPr>
      <w:pStyle w:val="Encabezado"/>
      <w:tabs>
        <w:tab w:val="clear" w:pos="4536"/>
        <w:tab w:val="clear" w:pos="9072"/>
        <w:tab w:val="left" w:pos="8227"/>
      </w:tabs>
      <w:rPr>
        <w:lang w:val="fr-FR"/>
      </w:rPr>
    </w:pPr>
  </w:p>
  <w:p w14:paraId="4D50BC39" w14:textId="77777777" w:rsidR="00267551" w:rsidRPr="002F4496" w:rsidRDefault="00267551" w:rsidP="00583885">
    <w:pPr>
      <w:pStyle w:val="Encabezado"/>
      <w:jc w:val="right"/>
      <w:rPr>
        <w:lang w:val="fr-FR"/>
      </w:rPr>
    </w:pPr>
  </w:p>
  <w:p w14:paraId="2D51BEA2" w14:textId="77777777" w:rsidR="00267551" w:rsidRPr="002F4496" w:rsidRDefault="00267551">
    <w:pPr>
      <w:pStyle w:val="Encabezado"/>
      <w:rPr>
        <w:lang w:val="fr-FR"/>
      </w:rPr>
    </w:pPr>
  </w:p>
  <w:p w14:paraId="340B2438" w14:textId="77777777" w:rsidR="00267551" w:rsidRPr="002F4496" w:rsidRDefault="00267551">
    <w:pPr>
      <w:pStyle w:val="Encabezado"/>
      <w:rPr>
        <w:lang w:val="fr-FR"/>
      </w:rPr>
    </w:pPr>
  </w:p>
  <w:p w14:paraId="2A794A3E" w14:textId="77777777" w:rsidR="00267551" w:rsidRPr="002F4496" w:rsidRDefault="00267551">
    <w:pPr>
      <w:pStyle w:val="Encabezado"/>
      <w:rPr>
        <w:lang w:val="fr-FR"/>
      </w:rPr>
    </w:pPr>
  </w:p>
  <w:p w14:paraId="0A21F475" w14:textId="77777777" w:rsidR="00267551" w:rsidRPr="002F4496" w:rsidRDefault="00267551">
    <w:pPr>
      <w:pStyle w:val="Encabezado"/>
      <w:rPr>
        <w:highlight w:val="yellow"/>
        <w:lang w:val="fr-FR"/>
      </w:rPr>
    </w:pPr>
  </w:p>
  <w:p w14:paraId="53ABEE5D" w14:textId="77777777" w:rsidR="00267551" w:rsidRDefault="00267551">
    <w:pPr>
      <w:pStyle w:val="Encabezado"/>
    </w:pPr>
    <w:r>
      <w:rPr>
        <w:noProof/>
        <w:lang w:eastAsia="en-GB"/>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eastAsia="en-GB"/>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aconvietas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E53C8"/>
    <w:multiLevelType w:val="multilevel"/>
    <w:tmpl w:val="ACFA87A8"/>
    <w:lvl w:ilvl="0">
      <w:start w:val="1"/>
      <w:numFmt w:val="decimal"/>
      <w:pStyle w:val="Textoindependiente"/>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ECC3E4E"/>
    <w:multiLevelType w:val="hybridMultilevel"/>
    <w:tmpl w:val="EF6ED3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0CD1E13"/>
    <w:multiLevelType w:val="hybridMultilevel"/>
    <w:tmpl w:val="38DEF1B0"/>
    <w:lvl w:ilvl="0" w:tplc="B8484E42">
      <w:start w:val="1"/>
      <w:numFmt w:val="lowerLetter"/>
      <w:lvlText w:val="%1)"/>
      <w:lvlJc w:val="left"/>
      <w:pPr>
        <w:ind w:left="360" w:hanging="360"/>
      </w:pPr>
      <w:rPr>
        <w:b/>
        <w:bCs/>
      </w:rPr>
    </w:lvl>
    <w:lvl w:ilvl="1" w:tplc="70C8424C">
      <w:start w:val="3"/>
      <w:numFmt w:val="bullet"/>
      <w:lvlText w:val="-"/>
      <w:lvlJc w:val="left"/>
      <w:pPr>
        <w:ind w:left="1440" w:hanging="360"/>
      </w:pPr>
      <w:rPr>
        <w:rFonts w:ascii="Arial Narrow" w:eastAsiaTheme="minorHAnsi" w:hAnsi="Arial Narrow" w:cstheme="minorBid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2"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Listaconvietas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15:restartNumberingAfterBreak="0">
    <w:nsid w:val="43A0240A"/>
    <w:multiLevelType w:val="hybridMultilevel"/>
    <w:tmpl w:val="8C74C834"/>
    <w:lvl w:ilvl="0" w:tplc="0C0A0009">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3E73AA8"/>
    <w:multiLevelType w:val="hybridMultilevel"/>
    <w:tmpl w:val="02C825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Listaconvietas"/>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15:restartNumberingAfterBreak="0">
    <w:nsid w:val="55DE60E9"/>
    <w:multiLevelType w:val="hybridMultilevel"/>
    <w:tmpl w:val="1084069A"/>
    <w:lvl w:ilvl="0" w:tplc="B532C018">
      <w:start w:val="2"/>
      <w:numFmt w:val="upperRoman"/>
      <w:pStyle w:val="Ttu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5E2B55AD"/>
    <w:multiLevelType w:val="hybridMultilevel"/>
    <w:tmpl w:val="18E43E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Ttu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aconnmeros"/>
      <w:lvlText w:val="–"/>
      <w:lvlJc w:val="left"/>
      <w:pPr>
        <w:tabs>
          <w:tab w:val="num" w:pos="1417"/>
        </w:tabs>
        <w:ind w:left="1417" w:hanging="567"/>
      </w:pPr>
    </w:lvl>
  </w:abstractNum>
  <w:abstractNum w:abstractNumId="37" w15:restartNumberingAfterBreak="0">
    <w:nsid w:val="641C45AD"/>
    <w:multiLevelType w:val="hybridMultilevel"/>
    <w:tmpl w:val="8904ED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6604DDF"/>
    <w:multiLevelType w:val="hybridMultilevel"/>
    <w:tmpl w:val="E8E6436A"/>
    <w:lvl w:ilvl="0" w:tplc="0C0A0001">
      <w:start w:val="1"/>
      <w:numFmt w:val="bullet"/>
      <w:lvlText w:val=""/>
      <w:lvlJc w:val="left"/>
      <w:pPr>
        <w:ind w:left="720" w:hanging="360"/>
      </w:pPr>
      <w:rPr>
        <w:rFonts w:ascii="Symbol" w:hAnsi="Symbol" w:hint="default"/>
      </w:rPr>
    </w:lvl>
    <w:lvl w:ilvl="1" w:tplc="BE5E9FBA">
      <w:numFmt w:val="bullet"/>
      <w:lvlText w:val="•"/>
      <w:lvlJc w:val="left"/>
      <w:pPr>
        <w:ind w:left="1785" w:hanging="705"/>
      </w:pPr>
      <w:rPr>
        <w:rFonts w:ascii="Arial Narrow" w:eastAsia="Calibri" w:hAnsi="Arial Narrow"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C304731"/>
    <w:multiLevelType w:val="hybridMultilevel"/>
    <w:tmpl w:val="E0C0A1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24518C3"/>
    <w:multiLevelType w:val="hybridMultilevel"/>
    <w:tmpl w:val="58FEA38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6" w15:restartNumberingAfterBreak="0">
    <w:nsid w:val="72933D54"/>
    <w:multiLevelType w:val="hybridMultilevel"/>
    <w:tmpl w:val="4EC68804"/>
    <w:lvl w:ilvl="0" w:tplc="6DFE111A">
      <w:start w:val="1"/>
      <w:numFmt w:val="lowerLetter"/>
      <w:lvlText w:val="%1)"/>
      <w:lvlJc w:val="left"/>
      <w:pPr>
        <w:ind w:left="360" w:hanging="360"/>
      </w:pPr>
      <w:rPr>
        <w:b/>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7"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8"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16cid:durableId="1973634410">
    <w:abstractNumId w:val="18"/>
  </w:num>
  <w:num w:numId="2" w16cid:durableId="1687049534">
    <w:abstractNumId w:val="22"/>
  </w:num>
  <w:num w:numId="3" w16cid:durableId="1817991125">
    <w:abstractNumId w:val="13"/>
  </w:num>
  <w:num w:numId="4" w16cid:durableId="1969044338">
    <w:abstractNumId w:val="27"/>
  </w:num>
  <w:num w:numId="5" w16cid:durableId="2002736417">
    <w:abstractNumId w:val="29"/>
  </w:num>
  <w:num w:numId="6" w16cid:durableId="229199605">
    <w:abstractNumId w:val="0"/>
  </w:num>
  <w:num w:numId="7" w16cid:durableId="390688809">
    <w:abstractNumId w:val="3"/>
  </w:num>
  <w:num w:numId="8" w16cid:durableId="8341077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7800996">
    <w:abstractNumId w:val="36"/>
  </w:num>
  <w:num w:numId="10" w16cid:durableId="188128749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53040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50695861">
    <w:abstractNumId w:val="31"/>
  </w:num>
  <w:num w:numId="13" w16cid:durableId="355274599">
    <w:abstractNumId w:val="35"/>
  </w:num>
  <w:num w:numId="14" w16cid:durableId="10958182">
    <w:abstractNumId w:val="26"/>
  </w:num>
  <w:num w:numId="15" w16cid:durableId="1196428104">
    <w:abstractNumId w:val="12"/>
  </w:num>
  <w:num w:numId="16" w16cid:durableId="1216888693">
    <w:abstractNumId w:val="1"/>
  </w:num>
  <w:num w:numId="17" w16cid:durableId="891115283">
    <w:abstractNumId w:val="16"/>
  </w:num>
  <w:num w:numId="18" w16cid:durableId="1840995751">
    <w:abstractNumId w:val="17"/>
  </w:num>
  <w:num w:numId="19" w16cid:durableId="527909759">
    <w:abstractNumId w:val="19"/>
  </w:num>
  <w:num w:numId="20" w16cid:durableId="216744352">
    <w:abstractNumId w:val="30"/>
  </w:num>
  <w:num w:numId="21" w16cid:durableId="480660399">
    <w:abstractNumId w:val="44"/>
  </w:num>
  <w:num w:numId="22" w16cid:durableId="1278222811">
    <w:abstractNumId w:val="28"/>
  </w:num>
  <w:num w:numId="23" w16cid:durableId="2015525656">
    <w:abstractNumId w:val="11"/>
  </w:num>
  <w:num w:numId="24" w16cid:durableId="1287128640">
    <w:abstractNumId w:val="34"/>
  </w:num>
  <w:num w:numId="25" w16cid:durableId="483089517">
    <w:abstractNumId w:val="33"/>
  </w:num>
  <w:num w:numId="26" w16cid:durableId="913973663">
    <w:abstractNumId w:val="23"/>
  </w:num>
  <w:num w:numId="27" w16cid:durableId="1875803988">
    <w:abstractNumId w:val="39"/>
  </w:num>
  <w:num w:numId="28" w16cid:durableId="67464257">
    <w:abstractNumId w:val="48"/>
  </w:num>
  <w:num w:numId="29" w16cid:durableId="2073498462">
    <w:abstractNumId w:val="9"/>
  </w:num>
  <w:num w:numId="30" w16cid:durableId="1006398860">
    <w:abstractNumId w:val="2"/>
  </w:num>
  <w:num w:numId="31" w16cid:durableId="1830050167">
    <w:abstractNumId w:val="25"/>
  </w:num>
  <w:num w:numId="32" w16cid:durableId="1952860140">
    <w:abstractNumId w:val="24"/>
  </w:num>
  <w:num w:numId="33" w16cid:durableId="817652734">
    <w:abstractNumId w:val="42"/>
  </w:num>
  <w:num w:numId="34" w16cid:durableId="719944326">
    <w:abstractNumId w:val="41"/>
  </w:num>
  <w:num w:numId="35" w16cid:durableId="26688946">
    <w:abstractNumId w:val="4"/>
  </w:num>
  <w:num w:numId="36" w16cid:durableId="2121794871">
    <w:abstractNumId w:val="43"/>
  </w:num>
  <w:num w:numId="37" w16cid:durableId="2014606078">
    <w:abstractNumId w:val="14"/>
  </w:num>
  <w:num w:numId="38" w16cid:durableId="2067027848">
    <w:abstractNumId w:val="5"/>
  </w:num>
  <w:num w:numId="39" w16cid:durableId="26834527">
    <w:abstractNumId w:val="8"/>
  </w:num>
  <w:num w:numId="40" w16cid:durableId="1599753792">
    <w:abstractNumId w:val="38"/>
  </w:num>
  <w:num w:numId="41" w16cid:durableId="7951373">
    <w:abstractNumId w:val="21"/>
  </w:num>
  <w:num w:numId="42" w16cid:durableId="1339696132">
    <w:abstractNumId w:val="46"/>
  </w:num>
  <w:num w:numId="43" w16cid:durableId="1457259781">
    <w:abstractNumId w:val="32"/>
  </w:num>
  <w:num w:numId="44" w16cid:durableId="969824278">
    <w:abstractNumId w:val="45"/>
  </w:num>
  <w:num w:numId="45" w16cid:durableId="272708909">
    <w:abstractNumId w:val="7"/>
  </w:num>
  <w:num w:numId="46" w16cid:durableId="157159358">
    <w:abstractNumId w:val="37"/>
  </w:num>
  <w:num w:numId="47" w16cid:durableId="730471183">
    <w:abstractNumId w:val="40"/>
  </w:num>
  <w:num w:numId="48" w16cid:durableId="1448502787">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085"/>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3C4A"/>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64F5"/>
    <w:rsid w:val="000E7086"/>
    <w:rsid w:val="000E78C1"/>
    <w:rsid w:val="000E7C65"/>
    <w:rsid w:val="000F04D2"/>
    <w:rsid w:val="000F0C19"/>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23"/>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96B89"/>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2205"/>
    <w:rsid w:val="001D3A1F"/>
    <w:rsid w:val="001D3CC1"/>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1A7"/>
    <w:rsid w:val="00240651"/>
    <w:rsid w:val="00240803"/>
    <w:rsid w:val="0024426D"/>
    <w:rsid w:val="00244F1D"/>
    <w:rsid w:val="00245004"/>
    <w:rsid w:val="00245FB4"/>
    <w:rsid w:val="0025017D"/>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11D9"/>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717"/>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3B14"/>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45B8"/>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06C8"/>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5F6"/>
    <w:rsid w:val="004E3B9A"/>
    <w:rsid w:val="004E49B0"/>
    <w:rsid w:val="004E5D98"/>
    <w:rsid w:val="004E62DE"/>
    <w:rsid w:val="004E6B05"/>
    <w:rsid w:val="004E7437"/>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1D0"/>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396E"/>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F67"/>
    <w:rsid w:val="006D399F"/>
    <w:rsid w:val="006D4F0C"/>
    <w:rsid w:val="006D5645"/>
    <w:rsid w:val="006E0C8A"/>
    <w:rsid w:val="006E2A23"/>
    <w:rsid w:val="006E35E5"/>
    <w:rsid w:val="006E3C72"/>
    <w:rsid w:val="006E4F20"/>
    <w:rsid w:val="006E59DD"/>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B6070"/>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149"/>
    <w:rsid w:val="00925AEC"/>
    <w:rsid w:val="0092751A"/>
    <w:rsid w:val="009305C4"/>
    <w:rsid w:val="00931FAF"/>
    <w:rsid w:val="00932478"/>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3FAC"/>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0CC3"/>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12C4"/>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37100"/>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1652"/>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C02"/>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A47"/>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265"/>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646C30"/>
    <w:rPr>
      <w:rFonts w:ascii="Arial" w:hAnsi="Arial"/>
      <w:szCs w:val="24"/>
      <w:lang w:eastAsia="de-DE"/>
    </w:rPr>
  </w:style>
  <w:style w:type="paragraph" w:styleId="Ttulo1">
    <w:name w:val="heading 1"/>
    <w:basedOn w:val="Normal"/>
    <w:next w:val="Normal"/>
    <w:link w:val="Ttulo1Car"/>
    <w:qFormat/>
    <w:locked/>
    <w:rsid w:val="009E7724"/>
    <w:pPr>
      <w:keepNext/>
      <w:numPr>
        <w:numId w:val="5"/>
      </w:numPr>
      <w:spacing w:before="240" w:after="60"/>
      <w:outlineLvl w:val="0"/>
    </w:pPr>
    <w:rPr>
      <w:rFonts w:cs="Arial"/>
      <w:b/>
      <w:bCs/>
      <w:kern w:val="32"/>
      <w:sz w:val="24"/>
      <w:szCs w:val="32"/>
    </w:rPr>
  </w:style>
  <w:style w:type="paragraph" w:styleId="Ttulo2">
    <w:name w:val="heading 2"/>
    <w:basedOn w:val="Normal"/>
    <w:next w:val="Normal"/>
    <w:link w:val="Ttulo2Car"/>
    <w:qFormat/>
    <w:locked/>
    <w:rsid w:val="00886A60"/>
    <w:pPr>
      <w:keepNext/>
      <w:keepLines/>
      <w:spacing w:before="200" w:after="120"/>
      <w:outlineLvl w:val="1"/>
    </w:pPr>
    <w:rPr>
      <w:b/>
      <w:bCs/>
      <w:szCs w:val="26"/>
    </w:rPr>
  </w:style>
  <w:style w:type="paragraph" w:styleId="Ttulo3">
    <w:name w:val="heading 3"/>
    <w:basedOn w:val="Normal"/>
    <w:next w:val="Normal"/>
    <w:link w:val="Ttulo3Car"/>
    <w:qFormat/>
    <w:locked/>
    <w:rsid w:val="003865E5"/>
    <w:pPr>
      <w:keepNext/>
      <w:keepLines/>
      <w:spacing w:before="200"/>
      <w:outlineLvl w:val="2"/>
    </w:pPr>
    <w:rPr>
      <w:rFonts w:ascii="Cambria" w:hAnsi="Cambria"/>
      <w:b/>
      <w:bCs/>
      <w:color w:val="4F81BD"/>
    </w:rPr>
  </w:style>
  <w:style w:type="paragraph" w:styleId="Ttulo4">
    <w:name w:val="heading 4"/>
    <w:basedOn w:val="Normal"/>
    <w:next w:val="Normal"/>
    <w:link w:val="Ttulo4Car"/>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Ttulo5">
    <w:name w:val="heading 5"/>
    <w:aliases w:val="Questions"/>
    <w:basedOn w:val="Normal"/>
    <w:next w:val="Normal"/>
    <w:link w:val="Ttulo5Car"/>
    <w:uiPriority w:val="9"/>
    <w:qFormat/>
    <w:locked/>
    <w:rsid w:val="00E9344E"/>
    <w:pPr>
      <w:keepNext/>
      <w:keepLines/>
      <w:numPr>
        <w:numId w:val="13"/>
      </w:numPr>
      <w:spacing w:before="200"/>
      <w:jc w:val="both"/>
      <w:outlineLvl w:val="4"/>
    </w:pPr>
    <w:rPr>
      <w:b/>
    </w:rPr>
  </w:style>
  <w:style w:type="paragraph" w:styleId="Ttulo6">
    <w:name w:val="heading 6"/>
    <w:basedOn w:val="Normal"/>
    <w:next w:val="Normal"/>
    <w:link w:val="Ttulo6Car"/>
    <w:qFormat/>
    <w:locked/>
    <w:rsid w:val="003609B6"/>
    <w:pPr>
      <w:numPr>
        <w:ilvl w:val="5"/>
        <w:numId w:val="4"/>
      </w:numPr>
      <w:spacing w:before="240" w:after="60"/>
      <w:outlineLvl w:val="5"/>
    </w:pPr>
    <w:rPr>
      <w:rFonts w:ascii="Times New Roman" w:hAnsi="Times New Roman"/>
      <w:b/>
      <w:bCs/>
      <w:szCs w:val="22"/>
    </w:rPr>
  </w:style>
  <w:style w:type="paragraph" w:styleId="Ttulo7">
    <w:name w:val="heading 7"/>
    <w:basedOn w:val="Normal"/>
    <w:next w:val="Normal"/>
    <w:link w:val="Ttulo7Car"/>
    <w:unhideWhenUsed/>
    <w:qFormat/>
    <w:locked/>
    <w:rsid w:val="002D6E1A"/>
    <w:pPr>
      <w:spacing w:before="240" w:after="60"/>
      <w:ind w:left="1296" w:hanging="1296"/>
      <w:outlineLvl w:val="6"/>
    </w:pPr>
    <w:rPr>
      <w:rFonts w:ascii="Times New Roman" w:hAnsi="Times New Roman"/>
    </w:rPr>
  </w:style>
  <w:style w:type="paragraph" w:styleId="Ttulo8">
    <w:name w:val="heading 8"/>
    <w:basedOn w:val="Normal"/>
    <w:next w:val="Normal"/>
    <w:link w:val="Ttulo8Car"/>
    <w:qFormat/>
    <w:locked/>
    <w:rsid w:val="003609B6"/>
    <w:pPr>
      <w:numPr>
        <w:ilvl w:val="7"/>
        <w:numId w:val="4"/>
      </w:numPr>
      <w:spacing w:before="240" w:after="60"/>
      <w:outlineLvl w:val="7"/>
    </w:pPr>
    <w:rPr>
      <w:rFonts w:ascii="Times New Roman" w:hAnsi="Times New Roman"/>
      <w:i/>
      <w:iCs/>
    </w:rPr>
  </w:style>
  <w:style w:type="paragraph" w:styleId="Ttulo9">
    <w:name w:val="heading 9"/>
    <w:basedOn w:val="Normal"/>
    <w:next w:val="Normal"/>
    <w:link w:val="Ttulo9Car"/>
    <w:qFormat/>
    <w:locked/>
    <w:rsid w:val="00A06867"/>
    <w:pPr>
      <w:tabs>
        <w:tab w:val="num" w:pos="1584"/>
      </w:tabs>
      <w:spacing w:before="240" w:after="60"/>
      <w:ind w:left="1584" w:hanging="1584"/>
      <w:outlineLvl w:val="8"/>
    </w:pPr>
    <w:rPr>
      <w:rFonts w:cs="Arial"/>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locked/>
    <w:rsid w:val="005B64CB"/>
    <w:pPr>
      <w:tabs>
        <w:tab w:val="center" w:pos="4536"/>
        <w:tab w:val="right" w:pos="9072"/>
      </w:tabs>
    </w:pPr>
  </w:style>
  <w:style w:type="paragraph" w:styleId="Piedepgina">
    <w:name w:val="footer"/>
    <w:basedOn w:val="Normal"/>
    <w:link w:val="PiedepginaCar"/>
    <w:uiPriority w:val="99"/>
    <w:locked/>
    <w:rsid w:val="005B64CB"/>
    <w:pPr>
      <w:tabs>
        <w:tab w:val="center" w:pos="4536"/>
        <w:tab w:val="right" w:pos="9072"/>
      </w:tabs>
    </w:pPr>
  </w:style>
  <w:style w:type="table" w:styleId="Tablaconcuadrcula">
    <w:name w:val="Table Grid"/>
    <w:basedOn w:val="Tabla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Nmerodepgina">
    <w:name w:val="page number"/>
    <w:basedOn w:val="Fuentedeprrafopredeter"/>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D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ipervnculo">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Textonotapie">
    <w:name w:val="footnote text"/>
    <w:aliases w:val="Char3, Char3,Fußnotentextf,Fußnotentextr,stile 1,Footnote1,Footnote2,Footnote3,Footnote4,Footnote5,Footnote6,Footnote7,Footnote8,Footnote9,Footnote10,Footnote11,Footnote21,Footnote31,Footnote41,Footnote51,Footnote61,Footnote71"/>
    <w:basedOn w:val="Normal"/>
    <w:link w:val="TextonotapieCar"/>
    <w:qFormat/>
    <w:locked/>
    <w:rsid w:val="001725A5"/>
    <w:pPr>
      <w:spacing w:line="200" w:lineRule="exact"/>
    </w:pPr>
    <w:rPr>
      <w:sz w:val="16"/>
      <w:szCs w:val="20"/>
    </w:rPr>
  </w:style>
  <w:style w:type="character" w:styleId="Refdenotaalpi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D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Refdecomentario">
    <w:name w:val="annotation reference"/>
    <w:locked/>
    <w:rsid w:val="004B1E61"/>
    <w:rPr>
      <w:sz w:val="16"/>
      <w:szCs w:val="16"/>
    </w:rPr>
  </w:style>
  <w:style w:type="paragraph" w:styleId="Textocomentario">
    <w:name w:val="annotation text"/>
    <w:basedOn w:val="Normal"/>
    <w:link w:val="TextocomentarioCar"/>
    <w:locked/>
    <w:rsid w:val="004B1E61"/>
    <w:rPr>
      <w:szCs w:val="20"/>
    </w:rPr>
  </w:style>
  <w:style w:type="character" w:customStyle="1" w:styleId="TextocomentarioCar">
    <w:name w:val="Texto comentario Car"/>
    <w:link w:val="Textocomentario"/>
    <w:uiPriority w:val="99"/>
    <w:rsid w:val="004B1E61"/>
    <w:rPr>
      <w:rFonts w:ascii="Georgia" w:hAnsi="Georgia"/>
      <w:lang w:eastAsia="de-DE"/>
    </w:rPr>
  </w:style>
  <w:style w:type="paragraph" w:styleId="Asuntodelcomentario">
    <w:name w:val="annotation subject"/>
    <w:basedOn w:val="Textocomentario"/>
    <w:next w:val="Textocomentario"/>
    <w:link w:val="AsuntodelcomentarioCar"/>
    <w:locked/>
    <w:rsid w:val="004B1E61"/>
    <w:rPr>
      <w:b/>
      <w:bCs/>
    </w:rPr>
  </w:style>
  <w:style w:type="character" w:customStyle="1" w:styleId="AsuntodelcomentarioCar">
    <w:name w:val="Asunto del comentario Car"/>
    <w:link w:val="Asuntodelcomentario"/>
    <w:rsid w:val="004B1E61"/>
    <w:rPr>
      <w:rFonts w:ascii="Georgia" w:hAnsi="Georgia"/>
      <w:b/>
      <w:bCs/>
      <w:lang w:eastAsia="de-DE"/>
    </w:rPr>
  </w:style>
  <w:style w:type="paragraph" w:styleId="Textodeglobo">
    <w:name w:val="Balloon Text"/>
    <w:basedOn w:val="Normal"/>
    <w:link w:val="TextodegloboCar"/>
    <w:locked/>
    <w:rsid w:val="004B1E61"/>
    <w:rPr>
      <w:rFonts w:ascii="Tahoma" w:hAnsi="Tahoma" w:cs="Tahoma"/>
      <w:sz w:val="16"/>
      <w:szCs w:val="16"/>
    </w:rPr>
  </w:style>
  <w:style w:type="character" w:customStyle="1" w:styleId="TextodegloboCar">
    <w:name w:val="Texto de globo Car"/>
    <w:link w:val="Textodeglobo"/>
    <w:rsid w:val="004B1E61"/>
    <w:rPr>
      <w:rFonts w:ascii="Tahoma" w:hAnsi="Tahoma" w:cs="Tahoma"/>
      <w:sz w:val="16"/>
      <w:szCs w:val="16"/>
      <w:lang w:eastAsia="de-DE"/>
    </w:rPr>
  </w:style>
  <w:style w:type="paragraph" w:styleId="Prrafodelista">
    <w:name w:val="List Paragraph"/>
    <w:aliases w:val="Paragraphe EI,Paragraphe de liste1,EC,Paragraphe de liste"/>
    <w:basedOn w:val="Normal"/>
    <w:link w:val="PrrafodelistaCar"/>
    <w:uiPriority w:val="34"/>
    <w:qFormat/>
    <w:locked/>
    <w:rsid w:val="002A0C82"/>
    <w:pPr>
      <w:ind w:left="720"/>
      <w:contextualSpacing/>
    </w:pPr>
  </w:style>
  <w:style w:type="paragraph" w:styleId="TtuloTDC">
    <w:name w:val="TOC Heading"/>
    <w:basedOn w:val="Ttulo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xtonotapieCar">
    <w:name w:val="Texto nota pie Car"/>
    <w:aliases w:val="Char3 Car, Char3 Car,Fußnotentextf Car,Fußnotentextr Car,stile 1 Car,Footnote1 Car,Footnote2 Car,Footnote3 Car,Footnote4 Car,Footnote5 Car,Footnote6 Car,Footnote7 Car,Footnote8 Car,Footnote9 Car,Footnote10 Car,Footnote11 Car"/>
    <w:link w:val="Textonotapie"/>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Fuentedeprrafopredeter"/>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tulo1Car">
    <w:name w:val="Título 1 Car"/>
    <w:link w:val="Ttulo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nfasis">
    <w:name w:val="Emphasis"/>
    <w:uiPriority w:val="20"/>
    <w:qFormat/>
    <w:locked/>
    <w:rsid w:val="005F028E"/>
    <w:rPr>
      <w:i/>
      <w:iCs/>
    </w:rPr>
  </w:style>
  <w:style w:type="paragraph" w:styleId="Revisin">
    <w:name w:val="Revision"/>
    <w:link w:val="RevisinCar"/>
    <w:hidden/>
    <w:uiPriority w:val="99"/>
    <w:semiHidden/>
    <w:rsid w:val="008E6A37"/>
    <w:rPr>
      <w:rFonts w:ascii="Georgia" w:hAnsi="Georgia"/>
      <w:sz w:val="22"/>
      <w:szCs w:val="24"/>
      <w:lang w:eastAsia="de-DE"/>
    </w:rPr>
  </w:style>
  <w:style w:type="paragraph" w:styleId="TD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D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D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D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D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D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D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Descripci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Mapadeldocumento">
    <w:name w:val="Document Map"/>
    <w:basedOn w:val="Normal"/>
    <w:link w:val="MapadeldocumentoCar"/>
    <w:locked/>
    <w:rsid w:val="00AA016B"/>
    <w:rPr>
      <w:rFonts w:ascii="Tahoma" w:hAnsi="Tahoma" w:cs="Tahoma"/>
      <w:sz w:val="16"/>
      <w:szCs w:val="16"/>
    </w:rPr>
  </w:style>
  <w:style w:type="character" w:customStyle="1" w:styleId="MapadeldocumentoCar">
    <w:name w:val="Mapa del documento Car"/>
    <w:link w:val="Mapadeldocumento"/>
    <w:rsid w:val="00AA016B"/>
    <w:rPr>
      <w:rFonts w:ascii="Tahoma" w:hAnsi="Tahoma" w:cs="Tahoma"/>
      <w:sz w:val="16"/>
      <w:szCs w:val="16"/>
      <w:lang w:eastAsia="de-DE"/>
    </w:rPr>
  </w:style>
  <w:style w:type="paragraph" w:styleId="Textosinformato">
    <w:name w:val="Plain Text"/>
    <w:basedOn w:val="Normal"/>
    <w:link w:val="TextosinformatoCar"/>
    <w:unhideWhenUsed/>
    <w:locked/>
    <w:rsid w:val="00AA016B"/>
    <w:rPr>
      <w:rFonts w:ascii="Consolas" w:hAnsi="Consolas"/>
      <w:sz w:val="21"/>
      <w:szCs w:val="21"/>
      <w:lang w:val="de-DE"/>
    </w:rPr>
  </w:style>
  <w:style w:type="character" w:customStyle="1" w:styleId="TextosinformatoCar">
    <w:name w:val="Texto sin formato Car"/>
    <w:link w:val="Textosinformato"/>
    <w:rsid w:val="00AA016B"/>
    <w:rPr>
      <w:rFonts w:ascii="Consolas" w:hAnsi="Consolas"/>
      <w:sz w:val="21"/>
      <w:szCs w:val="21"/>
      <w:lang w:val="de-DE" w:eastAsia="de-DE"/>
    </w:rPr>
  </w:style>
  <w:style w:type="paragraph" w:styleId="Textoindependiente">
    <w:name w:val="Body Text"/>
    <w:basedOn w:val="Normal"/>
    <w:link w:val="TextoindependienteCar"/>
    <w:unhideWhenUsed/>
    <w:locked/>
    <w:rsid w:val="00AA016B"/>
    <w:pPr>
      <w:numPr>
        <w:numId w:val="8"/>
      </w:numPr>
      <w:spacing w:after="240"/>
      <w:jc w:val="both"/>
    </w:pPr>
    <w:rPr>
      <w:rFonts w:ascii="Times New Roman" w:hAnsi="Times New Roman"/>
      <w:sz w:val="24"/>
      <w:szCs w:val="20"/>
      <w:lang w:eastAsia="en-GB"/>
    </w:rPr>
  </w:style>
  <w:style w:type="character" w:customStyle="1" w:styleId="TextoindependienteCar">
    <w:name w:val="Texto independiente Car"/>
    <w:link w:val="Textoindependiente"/>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Textoennegrita">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Ttulo2Car">
    <w:name w:val="Título 2 Car"/>
    <w:link w:val="Ttulo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Ttulo9Car">
    <w:name w:val="Título 9 Car"/>
    <w:link w:val="Ttulo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Ttulo7Car">
    <w:name w:val="Título 7 Car"/>
    <w:link w:val="Ttulo7"/>
    <w:rsid w:val="002D6E1A"/>
    <w:rPr>
      <w:sz w:val="22"/>
      <w:szCs w:val="24"/>
      <w:lang w:eastAsia="de-DE"/>
    </w:rPr>
  </w:style>
  <w:style w:type="character" w:customStyle="1" w:styleId="Ttulo6Car">
    <w:name w:val="Título 6 Car"/>
    <w:link w:val="Ttulo6"/>
    <w:rsid w:val="002D6E1A"/>
    <w:rPr>
      <w:b/>
      <w:bCs/>
      <w:szCs w:val="22"/>
      <w:lang w:eastAsia="de-DE"/>
    </w:rPr>
  </w:style>
  <w:style w:type="character" w:customStyle="1" w:styleId="Ttulo8Car">
    <w:name w:val="Título 8 Car"/>
    <w:link w:val="Ttulo8"/>
    <w:rsid w:val="002D6E1A"/>
    <w:rPr>
      <w:i/>
      <w:iCs/>
      <w:szCs w:val="24"/>
      <w:lang w:eastAsia="de-DE"/>
    </w:rPr>
  </w:style>
  <w:style w:type="numbering" w:customStyle="1" w:styleId="NoList1">
    <w:name w:val="No List1"/>
    <w:next w:val="Sinlista"/>
    <w:uiPriority w:val="99"/>
    <w:semiHidden/>
    <w:unhideWhenUsed/>
    <w:locked/>
    <w:rsid w:val="002D6E1A"/>
  </w:style>
  <w:style w:type="character" w:styleId="Hipervnculovisitado">
    <w:name w:val="FollowedHyperlink"/>
    <w:unhideWhenUsed/>
    <w:locked/>
    <w:rsid w:val="002D6E1A"/>
    <w:rPr>
      <w:color w:val="800080"/>
      <w:u w:val="single"/>
    </w:rPr>
  </w:style>
  <w:style w:type="character" w:customStyle="1" w:styleId="EncabezadoCar">
    <w:name w:val="Encabezado Car"/>
    <w:link w:val="Encabezado"/>
    <w:rsid w:val="002D6E1A"/>
    <w:rPr>
      <w:rFonts w:ascii="Georgia" w:hAnsi="Georgia"/>
      <w:sz w:val="22"/>
      <w:szCs w:val="24"/>
      <w:lang w:eastAsia="de-DE"/>
    </w:rPr>
  </w:style>
  <w:style w:type="character" w:customStyle="1" w:styleId="PiedepginaCar">
    <w:name w:val="Pie de página Car"/>
    <w:link w:val="Piedepgina"/>
    <w:uiPriority w:val="99"/>
    <w:rsid w:val="002D6E1A"/>
    <w:rPr>
      <w:rFonts w:ascii="Georgia" w:hAnsi="Georgia"/>
      <w:sz w:val="22"/>
      <w:szCs w:val="24"/>
      <w:lang w:eastAsia="de-DE"/>
    </w:rPr>
  </w:style>
  <w:style w:type="paragraph" w:styleId="Textonotaalfinal">
    <w:name w:val="endnote text"/>
    <w:basedOn w:val="Normal"/>
    <w:link w:val="TextonotaalfinalCar"/>
    <w:unhideWhenUsed/>
    <w:locked/>
    <w:rsid w:val="002D6E1A"/>
    <w:rPr>
      <w:szCs w:val="20"/>
    </w:rPr>
  </w:style>
  <w:style w:type="character" w:customStyle="1" w:styleId="TextonotaalfinalCar">
    <w:name w:val="Texto nota al final Car"/>
    <w:link w:val="Textonotaalfinal"/>
    <w:rsid w:val="002D6E1A"/>
    <w:rPr>
      <w:rFonts w:ascii="Georgia" w:hAnsi="Georgia"/>
      <w:lang w:eastAsia="de-DE"/>
    </w:rPr>
  </w:style>
  <w:style w:type="paragraph" w:styleId="Listaconnmeros">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PrrafodelistaCar">
    <w:name w:val="Párrafo de lista Car"/>
    <w:aliases w:val="Paragraphe EI Car,Paragraphe de liste1 Car,EC Car,Paragraphe de liste Car"/>
    <w:link w:val="Prrafodelista"/>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rrafodelista"/>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Refdenotaalfinal">
    <w:name w:val="endnote reference"/>
    <w:unhideWhenUsed/>
    <w:locked/>
    <w:rsid w:val="002D6E1A"/>
    <w:rPr>
      <w:vertAlign w:val="superscript"/>
    </w:rPr>
  </w:style>
  <w:style w:type="character" w:styleId="Textodelmarcadordeposicin">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a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inlista"/>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Nmerodelnea">
    <w:name w:val="line number"/>
    <w:basedOn w:val="Fuentedeprrafopredeter"/>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escripci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Ttulo5Car">
    <w:name w:val="Título 5 Car"/>
    <w:aliases w:val="Questions Car"/>
    <w:link w:val="Ttulo5"/>
    <w:uiPriority w:val="9"/>
    <w:rsid w:val="00E9344E"/>
    <w:rPr>
      <w:rFonts w:ascii="Arial" w:hAnsi="Arial"/>
      <w:b/>
      <w:szCs w:val="24"/>
      <w:lang w:eastAsia="de-DE"/>
    </w:rPr>
  </w:style>
  <w:style w:type="character" w:customStyle="1" w:styleId="Ttulo3Car">
    <w:name w:val="Título 3 Car"/>
    <w:link w:val="Ttulo3"/>
    <w:rsid w:val="003865E5"/>
    <w:rPr>
      <w:rFonts w:ascii="Cambria" w:eastAsia="Times New Roman" w:hAnsi="Cambria" w:cs="Times New Roman"/>
      <w:b/>
      <w:bCs/>
      <w:color w:val="4F81BD"/>
      <w:sz w:val="22"/>
      <w:szCs w:val="24"/>
      <w:lang w:eastAsia="de-DE"/>
    </w:rPr>
  </w:style>
  <w:style w:type="character" w:customStyle="1" w:styleId="Ttulo4Car">
    <w:name w:val="Título 4 Car"/>
    <w:link w:val="Ttulo4"/>
    <w:rsid w:val="00CB7286"/>
    <w:rPr>
      <w:b/>
      <w:bCs/>
      <w:sz w:val="28"/>
      <w:szCs w:val="28"/>
      <w:lang w:eastAsia="de-DE"/>
    </w:rPr>
  </w:style>
  <w:style w:type="table" w:styleId="Listaclara-nfasis3">
    <w:name w:val="Light List Accent 3"/>
    <w:basedOn w:val="Tabla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a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Ttulo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Ttulo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Ttulo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aconnmeros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aconnmeros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aconnmeros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convietas">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convietas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convietas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convietas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adeilustracion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tulo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tulo">
    <w:name w:val="Title"/>
    <w:basedOn w:val="Normal"/>
    <w:next w:val="Normal"/>
    <w:link w:val="TtuloC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tuloCar">
    <w:name w:val="Título Car"/>
    <w:link w:val="Ttu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nCar">
    <w:name w:val="Revisión Car"/>
    <w:link w:val="Revisin"/>
    <w:uiPriority w:val="99"/>
    <w:semiHidden/>
    <w:locked/>
    <w:rsid w:val="000D2D0B"/>
    <w:rPr>
      <w:rFonts w:ascii="Georgia" w:hAnsi="Georgia"/>
      <w:sz w:val="22"/>
      <w:szCs w:val="24"/>
      <w:lang w:eastAsia="de-DE"/>
    </w:rPr>
  </w:style>
  <w:style w:type="table" w:customStyle="1" w:styleId="TableGrid2">
    <w:name w:val="Table Grid2"/>
    <w:basedOn w:val="Tablanormal"/>
    <w:next w:val="Tablaconcuadrcula"/>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Fuentedeprrafopredeter"/>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nfasisintenso">
    <w:name w:val="Intense Emphasis"/>
    <w:basedOn w:val="Fuentedeprrafopredeter"/>
    <w:uiPriority w:val="21"/>
    <w:qFormat/>
    <w:locked/>
    <w:rsid w:val="00D34282"/>
    <w:rPr>
      <w:b/>
      <w:bCs/>
      <w:i/>
      <w:iCs/>
    </w:rPr>
  </w:style>
  <w:style w:type="character" w:customStyle="1" w:styleId="CPTitle1Char">
    <w:name w:val="CP_Title1 Char"/>
    <w:basedOn w:val="Fuentedeprrafopredeter"/>
    <w:link w:val="CPTitle1"/>
    <w:locked/>
    <w:rsid w:val="00D34282"/>
    <w:rPr>
      <w:rFonts w:asciiTheme="majorHAnsi" w:eastAsiaTheme="majorEastAsia" w:hAnsiTheme="majorHAnsi" w:cstheme="majorHAnsi"/>
      <w:b/>
      <w:sz w:val="32"/>
      <w:szCs w:val="32"/>
    </w:rPr>
  </w:style>
  <w:style w:type="paragraph" w:customStyle="1" w:styleId="CPTitle1">
    <w:name w:val="CP_Title1"/>
    <w:basedOn w:val="Ttulo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tulo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Fuentedeprrafopredeter"/>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E65A7-3D2D-4CA9-A73E-6F9C241F28E9}">
  <ds:schemaRefs>
    <ds:schemaRef ds:uri="http://schemas.openxmlformats.org/officeDocument/2006/bibliography"/>
  </ds:schemaRefs>
</ds:datastoreItem>
</file>

<file path=customXml/itemProps2.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4.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5.xml><?xml version="1.0" encoding="utf-8"?>
<ds:datastoreItem xmlns:ds="http://schemas.openxmlformats.org/officeDocument/2006/customXml" ds:itemID="{3F37C169-B082-42D7-95A8-39DCDC7C43D3}">
  <ds:schemaRef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35c8e399-07b8-49e4-91bf-01a20105d4df"/>
    <ds:schemaRef ds:uri="http://purl.org/dc/elements/1.1/"/>
  </ds:schemaRefs>
</ds:datastoreItem>
</file>

<file path=customXml/itemProps6.xml><?xml version="1.0" encoding="utf-8"?>
<ds:datastoreItem xmlns:ds="http://schemas.openxmlformats.org/officeDocument/2006/customXml" ds:itemID="{C2BBE542-2ED8-4F04-B2FF-D6B68D465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14</Pages>
  <Words>4961</Words>
  <Characters>27809</Characters>
  <Application>Microsoft Office Word</Application>
  <DocSecurity>8</DocSecurity>
  <Lines>231</Lines>
  <Paragraphs>65</Paragraphs>
  <ScaleCrop>false</ScaleCrop>
  <HeadingPairs>
    <vt:vector size="10" baseType="variant">
      <vt:variant>
        <vt:lpstr>Título</vt:lpstr>
      </vt:variant>
      <vt:variant>
        <vt:i4>1</vt:i4>
      </vt:variant>
      <vt:variant>
        <vt:lpstr>Title</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 CP on Guidelines on funds’ names using ESG or sustainability-related terms</vt:lpstr>
      <vt:lpstr>Reply form for the MiFID II/MiFIR Consultation Paper</vt:lpstr>
      <vt:lpstr>20110000</vt:lpstr>
      <vt:lpstr>20110000</vt:lpstr>
      <vt:lpstr>20110000</vt:lpstr>
    </vt:vector>
  </TitlesOfParts>
  <Company>ESMA</Company>
  <LinksUpToDate>false</LinksUpToDate>
  <CharactersWithSpaces>32705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Laura Palomo Aguado</cp:lastModifiedBy>
  <cp:revision>8</cp:revision>
  <cp:lastPrinted>2023-02-20T10:38:00Z</cp:lastPrinted>
  <dcterms:created xsi:type="dcterms:W3CDTF">2023-02-20T10:06:00Z</dcterms:created>
  <dcterms:modified xsi:type="dcterms:W3CDTF">2023-02-20T14:39:00Z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ies>
</file>