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Pidipagina"/>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Collegamentoipertestuale"/>
        </w:rPr>
        <w:t>www.esma.europa.eu</w:t>
      </w:r>
      <w:r w:rsidR="0066246A">
        <w:rPr>
          <w:rStyle w:val="Collegamentoipertestuale"/>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stosegnaposto"/>
              <w:rFonts w:cs="Arial"/>
            </w:rPr>
            <w:id w:val="651570699"/>
            <w:text/>
          </w:sdtPr>
          <w:sdtEndPr>
            <w:rPr>
              <w:rStyle w:val="Testosegnaposto"/>
            </w:rPr>
          </w:sdtEndPr>
          <w:sdtContent>
            <w:tc>
              <w:tcPr>
                <w:tcW w:w="5595" w:type="dxa"/>
                <w:shd w:val="clear" w:color="auto" w:fill="auto"/>
              </w:tcPr>
              <w:p w14:paraId="7A68491E" w14:textId="1F0C94A3" w:rsidR="00C2682A" w:rsidRPr="00AB6D88" w:rsidRDefault="00236690" w:rsidP="00FA5524">
                <w:pPr>
                  <w:rPr>
                    <w:rStyle w:val="Testosegnaposto"/>
                    <w:rFonts w:cs="Arial"/>
                  </w:rPr>
                </w:pPr>
                <w:r>
                  <w:rPr>
                    <w:rStyle w:val="Testosegnaposto"/>
                    <w:rFonts w:cs="Arial"/>
                  </w:rPr>
                  <w:t>Assogestioni</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79B519A0" w:rsidR="00C2682A" w:rsidRPr="00AB6D88" w:rsidRDefault="00C752C8"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36690">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4D2B647B" w:rsidR="00C2682A" w:rsidRPr="00AB6D88" w:rsidRDefault="00236690"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00E495B9" w:rsidR="00C2682A" w:rsidRPr="00AB6D88" w:rsidRDefault="00236690" w:rsidP="00FA5524">
                <w:pPr>
                  <w:rPr>
                    <w:rFonts w:cs="Arial"/>
                  </w:rPr>
                </w:pPr>
                <w:r>
                  <w:rPr>
                    <w:rFonts w:cs="Arial"/>
                  </w:rPr>
                  <w:t>Italy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itolo1"/>
        <w:numPr>
          <w:ilvl w:val="0"/>
          <w:numId w:val="0"/>
        </w:numPr>
        <w:ind w:left="431" w:hanging="431"/>
      </w:pPr>
      <w:r>
        <w:t>Introduction</w:t>
      </w:r>
    </w:p>
    <w:p w14:paraId="0A354328" w14:textId="77777777" w:rsidR="00F87897" w:rsidRPr="001D47A5" w:rsidRDefault="00F87897" w:rsidP="00F87897">
      <w:pPr>
        <w:rPr>
          <w:rStyle w:val="Enfasiintensa"/>
        </w:rPr>
      </w:pPr>
      <w:r w:rsidRPr="001D47A5">
        <w:rPr>
          <w:rStyle w:val="Enfasiintensa"/>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05DDE5C9" w:rsidR="00B92885" w:rsidRPr="001A5622" w:rsidRDefault="00C12DBA" w:rsidP="00B92885">
      <w:pPr>
        <w:spacing w:after="160" w:line="259" w:lineRule="auto"/>
        <w:rPr>
          <w:rFonts w:eastAsia="Calibri" w:cs="Arial"/>
          <w:szCs w:val="20"/>
          <w:lang w:eastAsia="en-US"/>
        </w:rPr>
      </w:pPr>
      <w:permStart w:id="1100430741" w:edGrp="everyone"/>
      <w:r w:rsidRPr="001A5622">
        <w:rPr>
          <w:rStyle w:val="normaltextrun"/>
          <w:rFonts w:cs="Arial"/>
          <w:color w:val="000000"/>
          <w:szCs w:val="20"/>
          <w:shd w:val="clear" w:color="auto" w:fill="FFFFFF"/>
          <w:lang w:val="en-US"/>
        </w:rPr>
        <w:t>Assogestioni appreciates the opportunity to contribute to the discussion on how to further improve ESG products transparency. While we share the view that names of funds play a significant role in the communication of funds characteristics</w:t>
      </w:r>
      <w:r w:rsidRPr="001A5622">
        <w:rPr>
          <w:rStyle w:val="normaltextrun"/>
          <w:rFonts w:cs="Arial"/>
          <w:b/>
          <w:bCs/>
          <w:color w:val="000000"/>
          <w:szCs w:val="20"/>
          <w:shd w:val="clear" w:color="auto" w:fill="FFFFFF"/>
          <w:lang w:val="en-US"/>
        </w:rPr>
        <w:t>, we are of the view that fund naming regulation should be designed and introduced as part of level one regulation and in the framework of the forthcoming SFDR review</w:t>
      </w:r>
      <w:r w:rsidRPr="001A5622">
        <w:rPr>
          <w:rStyle w:val="normaltextrun"/>
          <w:rFonts w:cs="Arial"/>
          <w:color w:val="000000"/>
          <w:szCs w:val="20"/>
          <w:shd w:val="clear" w:color="auto" w:fill="FFFFFF"/>
          <w:lang w:val="en-US"/>
        </w:rPr>
        <w:t xml:space="preserve">. An introduction of a new form of ESG/Sustainable fund classification at this stage would risk further confusing the overall landscape and imposing additional costs for a solution that would likely require further revision once SFDR is revised: We would hence recommend postponing the publication of the proposed guidelines and reviewing them in the framework of the broader forthcoming SFDR revision. </w:t>
      </w:r>
      <w:r w:rsidRPr="001A5622">
        <w:rPr>
          <w:rStyle w:val="eop"/>
          <w:rFonts w:cs="Arial"/>
          <w:color w:val="000000"/>
          <w:szCs w:val="20"/>
          <w:shd w:val="clear" w:color="auto" w:fill="FFFFFF"/>
        </w:rPr>
        <w:t> </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68059202" w14:textId="175567A4" w:rsidR="00C12DBA" w:rsidRPr="001A5622" w:rsidRDefault="00C12DBA" w:rsidP="00C12DBA">
      <w:pPr>
        <w:pStyle w:val="paragraph"/>
        <w:spacing w:before="0" w:beforeAutospacing="0" w:after="0" w:afterAutospacing="0"/>
        <w:jc w:val="both"/>
        <w:textAlignment w:val="baseline"/>
        <w:rPr>
          <w:rFonts w:ascii="Arial" w:hAnsi="Arial" w:cs="Arial"/>
          <w:sz w:val="18"/>
          <w:szCs w:val="18"/>
          <w:lang w:val="en-GB"/>
        </w:rPr>
      </w:pPr>
      <w:permStart w:id="1596738700" w:edGrp="everyone"/>
      <w:r w:rsidRPr="001A5622">
        <w:rPr>
          <w:rStyle w:val="normaltextrun"/>
          <w:rFonts w:ascii="Arial" w:hAnsi="Arial" w:cs="Arial"/>
          <w:sz w:val="20"/>
          <w:szCs w:val="20"/>
          <w:lang w:val="en-GB"/>
        </w:rPr>
        <w:t xml:space="preserve">In principle, Assogestioni shares the view that the introduction of a reliable EU-level guidance for the appropriate use of ESG related terms in name of funds with specific characteristics could help improve the transparency of funds, reducing the risk of misrepresentation and, consequently, the threat of greenwashing. It could help investors in the preliminary identification of the characteristics of financial products, raising their awareness and matching their investment expectations. Furthermore, it could potentially enhance an effective harmonisation at EU level, overcoming the regulatory fragmentation currently existing at </w:t>
      </w:r>
      <w:r w:rsidR="00D73719" w:rsidRPr="001A5622">
        <w:rPr>
          <w:rStyle w:val="normaltextrun"/>
          <w:rFonts w:ascii="Arial" w:hAnsi="Arial" w:cs="Arial"/>
          <w:sz w:val="20"/>
          <w:szCs w:val="20"/>
          <w:lang w:val="en-GB"/>
        </w:rPr>
        <w:t>n</w:t>
      </w:r>
      <w:r w:rsidRPr="001A5622">
        <w:rPr>
          <w:rStyle w:val="normaltextrun"/>
          <w:rFonts w:ascii="Arial" w:hAnsi="Arial" w:cs="Arial"/>
          <w:sz w:val="20"/>
          <w:szCs w:val="20"/>
          <w:lang w:val="en-GB"/>
        </w:rPr>
        <w:t>ational level on this issue.</w:t>
      </w:r>
      <w:r w:rsidRPr="001A5622">
        <w:rPr>
          <w:rStyle w:val="eop"/>
          <w:rFonts w:ascii="Arial" w:hAnsi="Arial" w:cs="Arial"/>
          <w:sz w:val="20"/>
          <w:szCs w:val="20"/>
          <w:lang w:val="en-GB"/>
        </w:rPr>
        <w:t> </w:t>
      </w:r>
    </w:p>
    <w:p w14:paraId="38BF507C" w14:textId="003D41E8" w:rsidR="00C12DBA" w:rsidRPr="001A5622" w:rsidRDefault="00C12DBA" w:rsidP="00C12DBA">
      <w:pPr>
        <w:pStyle w:val="paragraph"/>
        <w:spacing w:before="0" w:beforeAutospacing="0" w:after="0" w:afterAutospacing="0"/>
        <w:jc w:val="both"/>
        <w:textAlignment w:val="baseline"/>
        <w:rPr>
          <w:rFonts w:ascii="Arial" w:hAnsi="Arial" w:cs="Arial"/>
          <w:sz w:val="18"/>
          <w:szCs w:val="18"/>
          <w:lang w:val="en-GB"/>
        </w:rPr>
      </w:pPr>
      <w:r w:rsidRPr="001A5622">
        <w:rPr>
          <w:rStyle w:val="normaltextrun"/>
          <w:rFonts w:ascii="Arial" w:hAnsi="Arial" w:cs="Arial"/>
          <w:sz w:val="20"/>
          <w:szCs w:val="20"/>
          <w:lang w:val="en-GB"/>
        </w:rPr>
        <w:t xml:space="preserve">However, </w:t>
      </w:r>
      <w:r w:rsidRPr="001A5622">
        <w:rPr>
          <w:rStyle w:val="normaltextrun"/>
          <w:rFonts w:ascii="Arial" w:hAnsi="Arial" w:cs="Arial"/>
          <w:b/>
          <w:bCs/>
          <w:sz w:val="20"/>
          <w:szCs w:val="20"/>
          <w:lang w:val="en-GB"/>
        </w:rPr>
        <w:t>the current proposal</w:t>
      </w:r>
      <w:r w:rsidRPr="001A5622">
        <w:rPr>
          <w:rStyle w:val="normaltextrun"/>
          <w:rFonts w:ascii="Arial" w:hAnsi="Arial" w:cs="Arial"/>
          <w:sz w:val="20"/>
          <w:szCs w:val="20"/>
          <w:lang w:val="en-GB"/>
        </w:rPr>
        <w:t xml:space="preserve"> </w:t>
      </w:r>
      <w:r w:rsidRPr="001A5622">
        <w:rPr>
          <w:rStyle w:val="normaltextrun"/>
          <w:rFonts w:ascii="Arial" w:hAnsi="Arial" w:cs="Arial"/>
          <w:b/>
          <w:bCs/>
          <w:sz w:val="20"/>
          <w:szCs w:val="20"/>
          <w:lang w:val="en-GB"/>
        </w:rPr>
        <w:t>appears to potentially add confusion to an already complex landscape of sustainable products categorization</w:t>
      </w:r>
      <w:r w:rsidRPr="001A5622">
        <w:rPr>
          <w:rStyle w:val="normaltextrun"/>
          <w:rFonts w:ascii="Arial" w:hAnsi="Arial" w:cs="Arial"/>
          <w:sz w:val="20"/>
          <w:szCs w:val="20"/>
          <w:lang w:val="en-GB"/>
        </w:rPr>
        <w:t xml:space="preserve"> stemming from the set of regulations already in place, namely </w:t>
      </w:r>
      <w:r w:rsidRPr="001A5622">
        <w:rPr>
          <w:rStyle w:val="normaltextrun"/>
          <w:rFonts w:ascii="Arial" w:hAnsi="Arial" w:cs="Arial"/>
          <w:b/>
          <w:bCs/>
          <w:sz w:val="20"/>
          <w:szCs w:val="20"/>
          <w:lang w:val="en-GB"/>
        </w:rPr>
        <w:t>SFDR</w:t>
      </w:r>
      <w:r w:rsidRPr="001A5622">
        <w:rPr>
          <w:rStyle w:val="normaltextrun"/>
          <w:rFonts w:ascii="Arial" w:hAnsi="Arial" w:cs="Arial"/>
          <w:sz w:val="20"/>
          <w:szCs w:val="20"/>
          <w:lang w:val="en-GB"/>
        </w:rPr>
        <w:t xml:space="preserve"> and </w:t>
      </w:r>
      <w:r w:rsidRPr="001A5622">
        <w:rPr>
          <w:rStyle w:val="normaltextrun"/>
          <w:rFonts w:ascii="Arial" w:hAnsi="Arial" w:cs="Arial"/>
          <w:b/>
          <w:bCs/>
          <w:sz w:val="20"/>
          <w:szCs w:val="20"/>
          <w:lang w:val="en-GB"/>
        </w:rPr>
        <w:t xml:space="preserve">MIFID ESG Suitability </w:t>
      </w:r>
      <w:r w:rsidRPr="001A5622">
        <w:rPr>
          <w:rStyle w:val="normaltextrun"/>
          <w:rFonts w:ascii="Arial" w:hAnsi="Arial" w:cs="Arial"/>
          <w:sz w:val="20"/>
          <w:szCs w:val="20"/>
          <w:lang w:val="en-GB"/>
        </w:rPr>
        <w:t>provisions (MiFID Commission Delegated Regulation (EU) 2021/1253</w:t>
      </w:r>
      <w:r w:rsidR="00F9305D">
        <w:rPr>
          <w:rStyle w:val="normaltextrun"/>
          <w:rFonts w:ascii="Arial" w:hAnsi="Arial" w:cs="Arial"/>
          <w:sz w:val="20"/>
          <w:szCs w:val="20"/>
          <w:lang w:val="en-GB"/>
        </w:rPr>
        <w:t xml:space="preserve">). </w:t>
      </w:r>
      <w:proofErr w:type="gramStart"/>
      <w:r w:rsidRPr="001A5622">
        <w:rPr>
          <w:rStyle w:val="normaltextrun"/>
          <w:rFonts w:ascii="Arial" w:hAnsi="Arial" w:cs="Arial"/>
          <w:sz w:val="20"/>
          <w:szCs w:val="20"/>
          <w:lang w:val="en-GB"/>
        </w:rPr>
        <w:t>In order to</w:t>
      </w:r>
      <w:proofErr w:type="gramEnd"/>
      <w:r w:rsidRPr="001A5622">
        <w:rPr>
          <w:rStyle w:val="normaltextrun"/>
          <w:rFonts w:ascii="Arial" w:hAnsi="Arial" w:cs="Arial"/>
          <w:sz w:val="20"/>
          <w:szCs w:val="20"/>
          <w:lang w:val="en-GB"/>
        </w:rPr>
        <w:t xml:space="preserve"> design a consistent and effective framework, it is paramount to design a framework that </w:t>
      </w:r>
      <w:r w:rsidRPr="001A5622">
        <w:rPr>
          <w:rStyle w:val="normaltextrun"/>
          <w:rFonts w:ascii="Arial" w:hAnsi="Arial" w:cs="Arial"/>
          <w:b/>
          <w:bCs/>
          <w:sz w:val="20"/>
          <w:szCs w:val="20"/>
          <w:lang w:val="en-GB"/>
        </w:rPr>
        <w:t xml:space="preserve">aligns the naming rules to the existing classifications, so that products adhering to </w:t>
      </w:r>
      <w:r w:rsidR="001059AF" w:rsidRPr="001A5622">
        <w:rPr>
          <w:rStyle w:val="normaltextrun"/>
          <w:rFonts w:ascii="Arial" w:hAnsi="Arial" w:cs="Arial"/>
          <w:b/>
          <w:bCs/>
          <w:sz w:val="20"/>
          <w:szCs w:val="20"/>
          <w:lang w:val="en-GB"/>
        </w:rPr>
        <w:t>these guidelines</w:t>
      </w:r>
      <w:r w:rsidRPr="001A5622">
        <w:rPr>
          <w:rStyle w:val="normaltextrun"/>
          <w:rFonts w:ascii="Arial" w:hAnsi="Arial" w:cs="Arial"/>
          <w:b/>
          <w:bCs/>
          <w:sz w:val="20"/>
          <w:szCs w:val="20"/>
          <w:lang w:val="en-GB"/>
        </w:rPr>
        <w:t xml:space="preserve"> also meet any other necessary requirements already set by existing </w:t>
      </w:r>
      <w:r w:rsidR="00C22FEE">
        <w:rPr>
          <w:rStyle w:val="normaltextrun"/>
          <w:rFonts w:ascii="Arial" w:hAnsi="Arial" w:cs="Arial"/>
          <w:b/>
          <w:bCs/>
          <w:sz w:val="20"/>
          <w:szCs w:val="20"/>
          <w:lang w:val="en-GB"/>
        </w:rPr>
        <w:t>regulation</w:t>
      </w:r>
      <w:r w:rsidRPr="001A5622">
        <w:rPr>
          <w:rStyle w:val="normaltextrun"/>
          <w:rFonts w:ascii="Arial" w:hAnsi="Arial" w:cs="Arial"/>
          <w:b/>
          <w:bCs/>
          <w:sz w:val="20"/>
          <w:szCs w:val="20"/>
          <w:lang w:val="en-GB"/>
        </w:rPr>
        <w:t>.</w:t>
      </w:r>
      <w:r w:rsidRPr="001A5622">
        <w:rPr>
          <w:rStyle w:val="eop"/>
          <w:rFonts w:ascii="Arial" w:hAnsi="Arial" w:cs="Arial"/>
          <w:sz w:val="20"/>
          <w:szCs w:val="20"/>
          <w:lang w:val="en-GB"/>
        </w:rPr>
        <w:t> </w:t>
      </w:r>
    </w:p>
    <w:p w14:paraId="1E7F8542" w14:textId="77777777" w:rsidR="00C12DBA" w:rsidRPr="001A5622" w:rsidRDefault="00C12DBA" w:rsidP="00C12DBA">
      <w:pPr>
        <w:pStyle w:val="paragraph"/>
        <w:shd w:val="clear" w:color="auto" w:fill="FFFFFF"/>
        <w:spacing w:before="0" w:beforeAutospacing="0" w:after="0" w:afterAutospacing="0"/>
        <w:jc w:val="both"/>
        <w:textAlignment w:val="baseline"/>
        <w:rPr>
          <w:rFonts w:ascii="Arial" w:hAnsi="Arial" w:cs="Arial"/>
          <w:b/>
          <w:bCs/>
          <w:sz w:val="18"/>
          <w:szCs w:val="18"/>
          <w:lang w:val="en-GB"/>
        </w:rPr>
      </w:pPr>
      <w:r w:rsidRPr="001A5622">
        <w:rPr>
          <w:rStyle w:val="eop"/>
          <w:rFonts w:ascii="Arial" w:hAnsi="Arial" w:cs="Arial"/>
          <w:b/>
          <w:bCs/>
          <w:color w:val="111111"/>
          <w:sz w:val="20"/>
          <w:szCs w:val="20"/>
          <w:lang w:val="en-GB"/>
        </w:rPr>
        <w:t> </w:t>
      </w:r>
    </w:p>
    <w:p w14:paraId="1AB9A98B" w14:textId="335368EC" w:rsidR="00E12B80" w:rsidRPr="001A5622" w:rsidRDefault="00C12DBA" w:rsidP="00C12DBA">
      <w:pPr>
        <w:pStyle w:val="paragraph"/>
        <w:shd w:val="clear" w:color="auto" w:fill="FFFFFF"/>
        <w:spacing w:before="0" w:beforeAutospacing="0" w:after="0" w:afterAutospacing="0"/>
        <w:jc w:val="both"/>
        <w:textAlignment w:val="baseline"/>
        <w:rPr>
          <w:rStyle w:val="normaltextrun"/>
          <w:rFonts w:ascii="Arial" w:hAnsi="Arial" w:cs="Arial"/>
          <w:color w:val="111111"/>
          <w:sz w:val="20"/>
          <w:szCs w:val="20"/>
          <w:shd w:val="clear" w:color="auto" w:fill="FFFFFF"/>
          <w:lang w:val="en-GB"/>
        </w:rPr>
      </w:pPr>
      <w:r w:rsidRPr="001A5622">
        <w:rPr>
          <w:rStyle w:val="normaltextrun"/>
          <w:rFonts w:ascii="Arial" w:hAnsi="Arial" w:cs="Arial"/>
          <w:color w:val="111111"/>
          <w:sz w:val="20"/>
          <w:szCs w:val="20"/>
          <w:shd w:val="clear" w:color="auto" w:fill="FFFFFF"/>
          <w:lang w:val="en-GB"/>
        </w:rPr>
        <w:t xml:space="preserve">Although neither SFDR </w:t>
      </w:r>
      <w:r w:rsidR="00D73719" w:rsidRPr="001A5622">
        <w:rPr>
          <w:rStyle w:val="normaltextrun"/>
          <w:rFonts w:ascii="Arial" w:hAnsi="Arial" w:cs="Arial"/>
          <w:color w:val="111111"/>
          <w:sz w:val="20"/>
          <w:szCs w:val="20"/>
          <w:shd w:val="clear" w:color="auto" w:fill="FFFFFF"/>
          <w:lang w:val="en-GB"/>
        </w:rPr>
        <w:t>nor</w:t>
      </w:r>
      <w:r w:rsidRPr="001A5622">
        <w:rPr>
          <w:rStyle w:val="normaltextrun"/>
          <w:rFonts w:ascii="Arial" w:hAnsi="Arial" w:cs="Arial"/>
          <w:color w:val="111111"/>
          <w:sz w:val="20"/>
          <w:szCs w:val="20"/>
          <w:shd w:val="clear" w:color="auto" w:fill="FFFFFF"/>
          <w:lang w:val="en-GB"/>
        </w:rPr>
        <w:t xml:space="preserve"> MIFID ESG modification</w:t>
      </w:r>
      <w:r w:rsidR="00D73719" w:rsidRPr="001A5622">
        <w:rPr>
          <w:rStyle w:val="normaltextrun"/>
          <w:rFonts w:ascii="Arial" w:hAnsi="Arial" w:cs="Arial"/>
          <w:color w:val="111111"/>
          <w:sz w:val="20"/>
          <w:szCs w:val="20"/>
          <w:shd w:val="clear" w:color="auto" w:fill="FFFFFF"/>
          <w:lang w:val="en-GB"/>
        </w:rPr>
        <w:t>s</w:t>
      </w:r>
      <w:r w:rsidRPr="001A5622">
        <w:rPr>
          <w:rStyle w:val="normaltextrun"/>
          <w:rFonts w:ascii="Arial" w:hAnsi="Arial" w:cs="Arial"/>
          <w:color w:val="111111"/>
          <w:sz w:val="20"/>
          <w:szCs w:val="20"/>
          <w:shd w:val="clear" w:color="auto" w:fill="FFFFFF"/>
          <w:lang w:val="en-GB"/>
        </w:rPr>
        <w:t xml:space="preserve"> where intended as </w:t>
      </w:r>
      <w:r w:rsidR="00E12B80" w:rsidRPr="001A5622">
        <w:rPr>
          <w:rStyle w:val="normaltextrun"/>
          <w:rFonts w:ascii="Arial" w:hAnsi="Arial" w:cs="Arial"/>
          <w:color w:val="111111"/>
          <w:sz w:val="20"/>
          <w:szCs w:val="20"/>
          <w:shd w:val="clear" w:color="auto" w:fill="FFFFFF"/>
          <w:lang w:val="en-GB"/>
        </w:rPr>
        <w:t>labelling</w:t>
      </w:r>
      <w:r w:rsidRPr="001A5622">
        <w:rPr>
          <w:rStyle w:val="normaltextrun"/>
          <w:rFonts w:ascii="Arial" w:hAnsi="Arial" w:cs="Arial"/>
          <w:color w:val="111111"/>
          <w:sz w:val="20"/>
          <w:szCs w:val="20"/>
          <w:shd w:val="clear" w:color="auto" w:fill="FFFFFF"/>
          <w:lang w:val="en-GB"/>
        </w:rPr>
        <w:t xml:space="preserve"> tools, their implementation has led to an </w:t>
      </w:r>
      <w:r w:rsidR="00E12B80" w:rsidRPr="001A5622">
        <w:rPr>
          <w:rStyle w:val="normaltextrun"/>
          <w:rFonts w:ascii="Arial" w:hAnsi="Arial" w:cs="Arial"/>
          <w:color w:val="111111"/>
          <w:sz w:val="20"/>
          <w:szCs w:val="20"/>
          <w:shd w:val="clear" w:color="auto" w:fill="FFFFFF"/>
          <w:lang w:val="en-GB"/>
        </w:rPr>
        <w:t>implicit</w:t>
      </w:r>
      <w:r w:rsidRPr="001A5622">
        <w:rPr>
          <w:rStyle w:val="normaltextrun"/>
          <w:rFonts w:ascii="Arial" w:hAnsi="Arial" w:cs="Arial"/>
          <w:color w:val="111111"/>
          <w:sz w:val="20"/>
          <w:szCs w:val="20"/>
          <w:shd w:val="clear" w:color="auto" w:fill="FFFFFF"/>
          <w:lang w:val="en-GB"/>
        </w:rPr>
        <w:t xml:space="preserve"> fund classification that has to be kept into </w:t>
      </w:r>
      <w:r w:rsidR="00E12B80" w:rsidRPr="001A5622">
        <w:rPr>
          <w:rStyle w:val="normaltextrun"/>
          <w:rFonts w:ascii="Arial" w:hAnsi="Arial" w:cs="Arial"/>
          <w:color w:val="111111"/>
          <w:sz w:val="20"/>
          <w:szCs w:val="20"/>
          <w:shd w:val="clear" w:color="auto" w:fill="FFFFFF"/>
          <w:lang w:val="en-GB"/>
        </w:rPr>
        <w:t>account</w:t>
      </w:r>
      <w:r w:rsidRPr="001A5622">
        <w:rPr>
          <w:rStyle w:val="normaltextrun"/>
          <w:rFonts w:ascii="Arial" w:hAnsi="Arial" w:cs="Arial"/>
          <w:color w:val="111111"/>
          <w:sz w:val="20"/>
          <w:szCs w:val="20"/>
          <w:shd w:val="clear" w:color="auto" w:fill="FFFFFF"/>
          <w:lang w:val="en-GB"/>
        </w:rPr>
        <w:t xml:space="preserve"> when establishing naming regulation. </w:t>
      </w:r>
    </w:p>
    <w:p w14:paraId="1D27F125" w14:textId="775ADC8B" w:rsidR="00C12DBA" w:rsidRDefault="00C22FEE" w:rsidP="00C12DBA">
      <w:pPr>
        <w:pStyle w:val="paragraph"/>
        <w:shd w:val="clear" w:color="auto" w:fill="FFFFFF"/>
        <w:spacing w:before="0" w:beforeAutospacing="0" w:after="0" w:afterAutospacing="0"/>
        <w:jc w:val="both"/>
        <w:textAlignment w:val="baseline"/>
        <w:rPr>
          <w:rStyle w:val="normaltextrun"/>
          <w:rFonts w:ascii="Arial" w:hAnsi="Arial" w:cs="Arial"/>
          <w:color w:val="111111"/>
          <w:sz w:val="20"/>
          <w:szCs w:val="20"/>
          <w:shd w:val="clear" w:color="auto" w:fill="FFFFFF"/>
          <w:lang w:val="en-GB"/>
        </w:rPr>
      </w:pPr>
      <w:r>
        <w:rPr>
          <w:rStyle w:val="normaltextrun"/>
          <w:rFonts w:ascii="Arial" w:hAnsi="Arial" w:cs="Arial"/>
          <w:color w:val="111111"/>
          <w:sz w:val="20"/>
          <w:szCs w:val="20"/>
          <w:shd w:val="clear" w:color="auto" w:fill="FFFFFF"/>
          <w:lang w:val="en-GB"/>
        </w:rPr>
        <w:t>Instead, t</w:t>
      </w:r>
      <w:r w:rsidR="00C12DBA" w:rsidRPr="001A5622">
        <w:rPr>
          <w:rStyle w:val="normaltextrun"/>
          <w:rFonts w:ascii="Arial" w:hAnsi="Arial" w:cs="Arial"/>
          <w:color w:val="111111"/>
          <w:sz w:val="20"/>
          <w:szCs w:val="20"/>
          <w:shd w:val="clear" w:color="auto" w:fill="FFFFFF"/>
          <w:lang w:val="en-GB"/>
        </w:rPr>
        <w:t xml:space="preserve">he classification proposed by ESMA, while based on </w:t>
      </w:r>
      <w:r w:rsidR="00E12B80" w:rsidRPr="001A5622">
        <w:rPr>
          <w:rStyle w:val="normaltextrun"/>
          <w:rFonts w:ascii="Arial" w:hAnsi="Arial" w:cs="Arial"/>
          <w:color w:val="111111"/>
          <w:sz w:val="20"/>
          <w:szCs w:val="20"/>
          <w:shd w:val="clear" w:color="auto" w:fill="FFFFFF"/>
          <w:lang w:val="en-GB"/>
        </w:rPr>
        <w:t>information</w:t>
      </w:r>
      <w:r w:rsidR="00C12DBA" w:rsidRPr="001A5622">
        <w:rPr>
          <w:rStyle w:val="normaltextrun"/>
          <w:rFonts w:ascii="Arial" w:hAnsi="Arial" w:cs="Arial"/>
          <w:color w:val="111111"/>
          <w:sz w:val="20"/>
          <w:szCs w:val="20"/>
          <w:shd w:val="clear" w:color="auto" w:fill="FFFFFF"/>
          <w:lang w:val="en-GB"/>
        </w:rPr>
        <w:t xml:space="preserve"> disclosed in the</w:t>
      </w:r>
      <w:r w:rsidR="00E12B80" w:rsidRPr="001A5622">
        <w:rPr>
          <w:rStyle w:val="normaltextrun"/>
          <w:rFonts w:ascii="Arial" w:hAnsi="Arial" w:cs="Arial"/>
          <w:color w:val="111111"/>
          <w:sz w:val="20"/>
          <w:szCs w:val="20"/>
          <w:shd w:val="clear" w:color="auto" w:fill="FFFFFF"/>
          <w:lang w:val="en-GB"/>
        </w:rPr>
        <w:t xml:space="preserve"> </w:t>
      </w:r>
      <w:r w:rsidR="00C12DBA" w:rsidRPr="001A5622">
        <w:rPr>
          <w:rStyle w:val="normaltextrun"/>
          <w:rFonts w:ascii="Arial" w:hAnsi="Arial" w:cs="Arial"/>
          <w:color w:val="111111"/>
          <w:sz w:val="20"/>
          <w:szCs w:val="20"/>
          <w:shd w:val="clear" w:color="auto" w:fill="FFFFFF"/>
          <w:lang w:val="en-GB"/>
        </w:rPr>
        <w:t xml:space="preserve">SFDR, does not seem to be </w:t>
      </w:r>
      <w:r w:rsidR="00E12B80" w:rsidRPr="001A5622">
        <w:rPr>
          <w:rStyle w:val="normaltextrun"/>
          <w:rFonts w:ascii="Arial" w:hAnsi="Arial" w:cs="Arial"/>
          <w:color w:val="111111"/>
          <w:sz w:val="20"/>
          <w:szCs w:val="20"/>
          <w:shd w:val="clear" w:color="auto" w:fill="FFFFFF"/>
          <w:lang w:val="en-GB"/>
        </w:rPr>
        <w:t>consistent</w:t>
      </w:r>
      <w:r w:rsidR="00C12DBA" w:rsidRPr="001A5622">
        <w:rPr>
          <w:rStyle w:val="normaltextrun"/>
          <w:rFonts w:ascii="Arial" w:hAnsi="Arial" w:cs="Arial"/>
          <w:color w:val="111111"/>
          <w:sz w:val="20"/>
          <w:szCs w:val="20"/>
          <w:shd w:val="clear" w:color="auto" w:fill="FFFFFF"/>
          <w:lang w:val="en-GB"/>
        </w:rPr>
        <w:t xml:space="preserve"> with the existing framework</w:t>
      </w:r>
      <w:r w:rsidR="00E12B80" w:rsidRPr="001A5622">
        <w:rPr>
          <w:rStyle w:val="normaltextrun"/>
          <w:rFonts w:ascii="Arial" w:hAnsi="Arial" w:cs="Arial"/>
          <w:color w:val="111111"/>
          <w:sz w:val="20"/>
          <w:szCs w:val="20"/>
          <w:shd w:val="clear" w:color="auto" w:fill="FFFFFF"/>
          <w:lang w:val="en-GB"/>
        </w:rPr>
        <w:t>.</w:t>
      </w:r>
    </w:p>
    <w:p w14:paraId="56334267" w14:textId="77777777" w:rsidR="00E514A7" w:rsidRPr="001A5622" w:rsidRDefault="00E514A7" w:rsidP="00C12DBA">
      <w:pPr>
        <w:pStyle w:val="paragraph"/>
        <w:shd w:val="clear" w:color="auto" w:fill="FFFFFF"/>
        <w:spacing w:before="0" w:beforeAutospacing="0" w:after="0" w:afterAutospacing="0"/>
        <w:jc w:val="both"/>
        <w:textAlignment w:val="baseline"/>
        <w:rPr>
          <w:rFonts w:ascii="Arial" w:hAnsi="Arial" w:cs="Arial"/>
          <w:b/>
          <w:bCs/>
          <w:sz w:val="18"/>
          <w:szCs w:val="18"/>
          <w:lang w:val="en-GB"/>
        </w:rPr>
      </w:pPr>
    </w:p>
    <w:p w14:paraId="600C6613" w14:textId="31E998AE" w:rsidR="00C12DBA" w:rsidRPr="001A5622" w:rsidRDefault="00C12DBA" w:rsidP="00C12DBA">
      <w:pPr>
        <w:pStyle w:val="paragraph"/>
        <w:spacing w:before="0" w:beforeAutospacing="0" w:after="0" w:afterAutospacing="0"/>
        <w:jc w:val="both"/>
        <w:textAlignment w:val="baseline"/>
        <w:rPr>
          <w:rFonts w:ascii="Arial" w:hAnsi="Arial" w:cs="Arial"/>
          <w:sz w:val="22"/>
          <w:szCs w:val="22"/>
          <w:lang w:val="en-GB"/>
        </w:rPr>
      </w:pPr>
      <w:r w:rsidRPr="001A5622">
        <w:rPr>
          <w:rStyle w:val="normaltextrun"/>
          <w:rFonts w:ascii="Arial" w:hAnsi="Arial" w:cs="Arial"/>
          <w:sz w:val="20"/>
          <w:szCs w:val="20"/>
          <w:lang w:val="en-GB"/>
        </w:rPr>
        <w:t xml:space="preserve">As regards </w:t>
      </w:r>
      <w:r w:rsidRPr="001A5622">
        <w:rPr>
          <w:rStyle w:val="normaltextrun"/>
          <w:rFonts w:ascii="Arial" w:hAnsi="Arial" w:cs="Arial"/>
          <w:b/>
          <w:bCs/>
          <w:sz w:val="20"/>
          <w:szCs w:val="20"/>
          <w:lang w:val="en-GB"/>
        </w:rPr>
        <w:t>M</w:t>
      </w:r>
      <w:r w:rsidR="006F2668">
        <w:rPr>
          <w:rStyle w:val="normaltextrun"/>
          <w:rFonts w:ascii="Arial" w:hAnsi="Arial" w:cs="Arial"/>
          <w:b/>
          <w:bCs/>
          <w:sz w:val="20"/>
          <w:szCs w:val="20"/>
          <w:lang w:val="en-GB"/>
        </w:rPr>
        <w:t>I</w:t>
      </w:r>
      <w:r w:rsidRPr="001A5622">
        <w:rPr>
          <w:rStyle w:val="normaltextrun"/>
          <w:rFonts w:ascii="Arial" w:hAnsi="Arial" w:cs="Arial"/>
          <w:b/>
          <w:bCs/>
          <w:sz w:val="20"/>
          <w:szCs w:val="20"/>
          <w:lang w:val="en-GB"/>
        </w:rPr>
        <w:t>FID ESG</w:t>
      </w:r>
      <w:r w:rsidRPr="001A5622">
        <w:rPr>
          <w:rStyle w:val="normaltextrun"/>
          <w:rFonts w:ascii="Arial" w:hAnsi="Arial" w:cs="Arial"/>
          <w:sz w:val="20"/>
          <w:szCs w:val="20"/>
          <w:lang w:val="en-GB"/>
        </w:rPr>
        <w:t xml:space="preserve">, there is </w:t>
      </w:r>
      <w:r w:rsidRPr="001A5622">
        <w:rPr>
          <w:rStyle w:val="normaltextrun"/>
          <w:rFonts w:ascii="Arial" w:hAnsi="Arial" w:cs="Arial"/>
          <w:b/>
          <w:bCs/>
          <w:sz w:val="20"/>
          <w:szCs w:val="20"/>
          <w:lang w:val="en-GB"/>
        </w:rPr>
        <w:t xml:space="preserve">a risk that a category identified by the </w:t>
      </w:r>
      <w:r w:rsidR="00570F86" w:rsidRPr="001A5622">
        <w:rPr>
          <w:rStyle w:val="normaltextrun"/>
          <w:rFonts w:ascii="Arial" w:hAnsi="Arial" w:cs="Arial"/>
          <w:b/>
          <w:bCs/>
          <w:sz w:val="20"/>
          <w:szCs w:val="20"/>
          <w:lang w:val="en-GB"/>
        </w:rPr>
        <w:t>regulations</w:t>
      </w:r>
      <w:r w:rsidR="007C4D59" w:rsidRPr="001A5622">
        <w:rPr>
          <w:rStyle w:val="normaltextrun"/>
          <w:rFonts w:ascii="Arial" w:hAnsi="Arial" w:cs="Arial"/>
          <w:b/>
          <w:bCs/>
          <w:sz w:val="20"/>
          <w:szCs w:val="20"/>
          <w:lang w:val="en-GB"/>
        </w:rPr>
        <w:t xml:space="preserve"> suitable for </w:t>
      </w:r>
      <w:r w:rsidR="00570F86" w:rsidRPr="001A5622">
        <w:rPr>
          <w:rStyle w:val="normaltextrun"/>
          <w:rFonts w:ascii="Arial" w:hAnsi="Arial" w:cs="Arial"/>
          <w:b/>
          <w:bCs/>
          <w:sz w:val="20"/>
          <w:szCs w:val="20"/>
          <w:lang w:val="en-GB"/>
        </w:rPr>
        <w:t>clients with sustainability preferences</w:t>
      </w:r>
      <w:r w:rsidRPr="001A5622">
        <w:rPr>
          <w:rStyle w:val="normaltextrun"/>
          <w:rFonts w:ascii="Arial" w:hAnsi="Arial" w:cs="Arial"/>
          <w:b/>
          <w:bCs/>
          <w:sz w:val="20"/>
          <w:szCs w:val="20"/>
          <w:lang w:val="en-GB"/>
        </w:rPr>
        <w:t xml:space="preserve"> </w:t>
      </w:r>
      <w:r w:rsidR="00570F86" w:rsidRPr="001A5622">
        <w:rPr>
          <w:rStyle w:val="normaltextrun"/>
          <w:rFonts w:ascii="Arial" w:hAnsi="Arial" w:cs="Arial"/>
          <w:b/>
          <w:bCs/>
          <w:sz w:val="20"/>
          <w:szCs w:val="20"/>
          <w:lang w:val="en-GB"/>
        </w:rPr>
        <w:t>is</w:t>
      </w:r>
      <w:r w:rsidRPr="001A5622">
        <w:rPr>
          <w:rStyle w:val="normaltextrun"/>
          <w:rFonts w:ascii="Arial" w:hAnsi="Arial" w:cs="Arial"/>
          <w:b/>
          <w:bCs/>
          <w:sz w:val="20"/>
          <w:szCs w:val="20"/>
          <w:lang w:val="en-GB"/>
        </w:rPr>
        <w:t xml:space="preserve"> excluded from the possibility of applying ESG-related terms in its name</w:t>
      </w:r>
      <w:r w:rsidRPr="001A5622">
        <w:rPr>
          <w:rStyle w:val="normaltextrun"/>
          <w:rFonts w:ascii="Arial" w:hAnsi="Arial" w:cs="Arial"/>
          <w:sz w:val="20"/>
          <w:szCs w:val="20"/>
          <w:lang w:val="en-GB"/>
        </w:rPr>
        <w:t>.</w:t>
      </w:r>
      <w:r w:rsidRPr="001A5622">
        <w:rPr>
          <w:rStyle w:val="eop"/>
          <w:rFonts w:ascii="Arial" w:hAnsi="Arial" w:cs="Arial"/>
          <w:sz w:val="20"/>
          <w:szCs w:val="20"/>
          <w:lang w:val="en-GB"/>
        </w:rPr>
        <w:t> </w:t>
      </w:r>
      <w:r w:rsidR="00570F86" w:rsidRPr="001A5622">
        <w:rPr>
          <w:rStyle w:val="normaltextrun"/>
          <w:rFonts w:ascii="Arial" w:hAnsi="Arial" w:cs="Arial"/>
          <w:color w:val="111111"/>
          <w:sz w:val="20"/>
          <w:szCs w:val="20"/>
          <w:shd w:val="clear" w:color="auto" w:fill="FFFFFF"/>
          <w:lang w:val="en-GB"/>
        </w:rPr>
        <w:t xml:space="preserve">In fact </w:t>
      </w:r>
      <w:r w:rsidRPr="001A5622">
        <w:rPr>
          <w:rStyle w:val="normaltextrun"/>
          <w:rFonts w:ascii="Arial" w:hAnsi="Arial" w:cs="Arial"/>
          <w:color w:val="111111"/>
          <w:sz w:val="20"/>
          <w:szCs w:val="20"/>
          <w:shd w:val="clear" w:color="auto" w:fill="FFFFFF"/>
          <w:lang w:val="en-GB"/>
        </w:rPr>
        <w:t xml:space="preserve">, the third and last category (c) identified by MiFID ESG Regulation Art. 1 (1), as </w:t>
      </w:r>
      <w:r w:rsidRPr="001A5622">
        <w:rPr>
          <w:rStyle w:val="normaltextrun"/>
          <w:rFonts w:ascii="Arial" w:hAnsi="Arial" w:cs="Arial"/>
          <w:i/>
          <w:iCs/>
          <w:color w:val="111111"/>
          <w:sz w:val="20"/>
          <w:szCs w:val="20"/>
          <w:shd w:val="clear" w:color="auto" w:fill="FFFFFF"/>
          <w:lang w:val="en-GB"/>
        </w:rPr>
        <w:t xml:space="preserve">a financial instrument that considers principal adverse impacts (PAI) on sustainability factors where qualitative or quantitative elements demonstrating that consideration are determined by the client or potential client </w:t>
      </w:r>
      <w:r w:rsidRPr="001A5622">
        <w:rPr>
          <w:rStyle w:val="normaltextrun"/>
          <w:rFonts w:ascii="Arial" w:hAnsi="Arial" w:cs="Arial"/>
          <w:color w:val="111111"/>
          <w:sz w:val="20"/>
          <w:szCs w:val="20"/>
          <w:shd w:val="clear" w:color="auto" w:fill="FFFFFF"/>
          <w:lang w:val="en-GB"/>
        </w:rPr>
        <w:t xml:space="preserve">, although potentially susceptible to be integrated into the client's investments in accordance with its sustainability preferences, may not be eligible for the adoption of a name containing references to either the term ESG or the term sustainable. </w:t>
      </w:r>
      <w:r w:rsidRPr="001A5622">
        <w:rPr>
          <w:rStyle w:val="eop"/>
          <w:rFonts w:ascii="Arial" w:hAnsi="Arial" w:cs="Arial"/>
          <w:color w:val="111111"/>
          <w:sz w:val="20"/>
          <w:szCs w:val="20"/>
          <w:lang w:val="en-GB"/>
        </w:rPr>
        <w:t> </w:t>
      </w:r>
    </w:p>
    <w:p w14:paraId="7E790542" w14:textId="77777777" w:rsidR="000148B6" w:rsidRDefault="000148B6" w:rsidP="00574860">
      <w:pPr>
        <w:jc w:val="both"/>
        <w:rPr>
          <w:rStyle w:val="eop"/>
          <w:rFonts w:cs="Arial"/>
          <w:b/>
          <w:bCs/>
          <w:color w:val="2A2B2D"/>
          <w:szCs w:val="20"/>
        </w:rPr>
      </w:pPr>
    </w:p>
    <w:p w14:paraId="20BE0DF1" w14:textId="388C6E87" w:rsidR="00574860" w:rsidRDefault="00574860" w:rsidP="00574860">
      <w:pPr>
        <w:jc w:val="both"/>
      </w:pPr>
      <w:r>
        <w:t xml:space="preserve">This is further penalizing when considering the impact of adopting these thresholds </w:t>
      </w:r>
      <w:proofErr w:type="gramStart"/>
      <w:r>
        <w:t>in light of</w:t>
      </w:r>
      <w:proofErr w:type="gramEnd"/>
      <w:r>
        <w:t xml:space="preserve"> the misalignment that already exists between MiFID classification and that set by SFDR. Indeed, the classification made by the MiFID ESG Regulation does not </w:t>
      </w:r>
      <w:proofErr w:type="gramStart"/>
      <w:r>
        <w:t>take into account</w:t>
      </w:r>
      <w:proofErr w:type="gramEnd"/>
      <w:r>
        <w:t xml:space="preserve"> Article 8 financial products despite the fact that they are managed applying binding ESG policies.</w:t>
      </w:r>
    </w:p>
    <w:p w14:paraId="3629981D" w14:textId="77777777" w:rsidR="00574860" w:rsidRDefault="00574860" w:rsidP="00574860">
      <w:pPr>
        <w:jc w:val="both"/>
      </w:pPr>
      <w:r>
        <w:t xml:space="preserve"> </w:t>
      </w:r>
    </w:p>
    <w:p w14:paraId="595ECD38" w14:textId="5617072F" w:rsidR="00C12DBA" w:rsidRPr="003A7A28" w:rsidRDefault="00574860" w:rsidP="003A7A28">
      <w:pPr>
        <w:jc w:val="both"/>
        <w:rPr>
          <w:b/>
          <w:bCs/>
        </w:rPr>
      </w:pPr>
      <w:r w:rsidRPr="004A33A4">
        <w:rPr>
          <w:b/>
          <w:bCs/>
        </w:rPr>
        <w:t>Therefore, the application of ESMAs’ proposed quantitative threshold mechanism would entail an inconsistency for which there would be products art.8 SFDR that, if they do meet the threshold promoted by ESMA of 80 percent, would potentially be eligible to have ESG-related terms in their names - even though they are not, under the terms of the MiFID regulation, sufficiently ESG focused (or green enough) to meet the sustainability preferences of clients investing through MiFID distribution channels</w:t>
      </w:r>
      <w:r w:rsidR="00C22FEE">
        <w:rPr>
          <w:b/>
          <w:bCs/>
        </w:rPr>
        <w:t>;</w:t>
      </w:r>
      <w:r w:rsidRPr="004A33A4">
        <w:rPr>
          <w:b/>
          <w:bCs/>
        </w:rPr>
        <w:t xml:space="preserve"> </w:t>
      </w:r>
      <w:r w:rsidR="00C22FEE" w:rsidRPr="004A33A4">
        <w:rPr>
          <w:b/>
          <w:bCs/>
        </w:rPr>
        <w:t>at the same time</w:t>
      </w:r>
      <w:r w:rsidR="00C22FEE">
        <w:rPr>
          <w:b/>
          <w:bCs/>
        </w:rPr>
        <w:t>,</w:t>
      </w:r>
      <w:r w:rsidRPr="004A33A4">
        <w:rPr>
          <w:b/>
          <w:bCs/>
        </w:rPr>
        <w:t xml:space="preserve"> there would be</w:t>
      </w:r>
      <w:r w:rsidR="00C22FEE">
        <w:rPr>
          <w:b/>
          <w:bCs/>
        </w:rPr>
        <w:t xml:space="preserve"> </w:t>
      </w:r>
      <w:r w:rsidRPr="004A33A4">
        <w:rPr>
          <w:b/>
          <w:bCs/>
        </w:rPr>
        <w:t>products classified by MiFID as letter (c) financial instrument that considers principal adverse impacts (PAI) and likely to be integrated into clients' investments accordingly to its sustainability preferences that, however, are excluded from being identified by a name that refers to both the term sustainability or the term ESG.</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6A22A1E0" w14:textId="2EF06F64" w:rsidR="00C12DBA" w:rsidRPr="002E70C6" w:rsidRDefault="00C12DBA" w:rsidP="00C12DBA">
      <w:pPr>
        <w:pStyle w:val="paragraph"/>
        <w:spacing w:before="0" w:beforeAutospacing="0" w:after="0" w:afterAutospacing="0"/>
        <w:jc w:val="both"/>
        <w:textAlignment w:val="baseline"/>
        <w:rPr>
          <w:rStyle w:val="eop"/>
          <w:rFonts w:ascii="Arial" w:hAnsi="Arial" w:cs="Arial"/>
          <w:sz w:val="18"/>
          <w:szCs w:val="18"/>
          <w:lang w:val="en-GB"/>
        </w:rPr>
      </w:pPr>
      <w:permStart w:id="1305634831" w:edGrp="everyone"/>
      <w:r w:rsidRPr="008F0A16">
        <w:rPr>
          <w:rStyle w:val="normaltextrun"/>
          <w:rFonts w:ascii="Arial" w:hAnsi="Arial" w:cs="Arial"/>
          <w:sz w:val="20"/>
          <w:szCs w:val="20"/>
          <w:lang w:val="en-GB"/>
        </w:rPr>
        <w:t>In our view, setting a minimum threshold for investments promoting E/S characteristics at 80%</w:t>
      </w:r>
      <w:r w:rsidRPr="008F0A16">
        <w:rPr>
          <w:rStyle w:val="eop"/>
          <w:rFonts w:ascii="Arial" w:hAnsi="Arial" w:cs="Arial"/>
          <w:sz w:val="20"/>
          <w:szCs w:val="20"/>
          <w:lang w:val="en-GB"/>
        </w:rPr>
        <w:t> </w:t>
      </w:r>
      <w:r w:rsidRPr="008F0A16">
        <w:rPr>
          <w:rStyle w:val="normaltextrun"/>
          <w:rFonts w:ascii="Arial" w:hAnsi="Arial" w:cs="Arial"/>
          <w:sz w:val="20"/>
          <w:szCs w:val="20"/>
          <w:lang w:val="en-GB"/>
        </w:rPr>
        <w:t xml:space="preserve">of the total investments for the use of ESG-related terms in the name of funds appears to be </w:t>
      </w:r>
      <w:r w:rsidR="00D76E75" w:rsidRPr="008F0A16">
        <w:rPr>
          <w:rStyle w:val="normaltextrun"/>
          <w:rFonts w:ascii="Arial" w:hAnsi="Arial" w:cs="Arial"/>
          <w:b/>
          <w:bCs/>
          <w:sz w:val="20"/>
          <w:szCs w:val="20"/>
          <w:lang w:val="en-GB"/>
        </w:rPr>
        <w:t xml:space="preserve">difficult </w:t>
      </w:r>
      <w:r w:rsidR="00D92AC5" w:rsidRPr="008F0A16">
        <w:rPr>
          <w:rStyle w:val="normaltextrun"/>
          <w:rFonts w:ascii="Arial" w:hAnsi="Arial" w:cs="Arial"/>
          <w:b/>
          <w:bCs/>
          <w:sz w:val="20"/>
          <w:szCs w:val="20"/>
          <w:lang w:val="en-GB"/>
        </w:rPr>
        <w:t xml:space="preserve">to </w:t>
      </w:r>
      <w:r w:rsidRPr="008F0A16">
        <w:rPr>
          <w:rStyle w:val="normaltextrun"/>
          <w:rFonts w:ascii="Arial" w:hAnsi="Arial" w:cs="Arial"/>
          <w:b/>
          <w:bCs/>
          <w:sz w:val="20"/>
          <w:szCs w:val="20"/>
          <w:lang w:val="en-GB"/>
        </w:rPr>
        <w:t>appl</w:t>
      </w:r>
      <w:r w:rsidR="00D92AC5" w:rsidRPr="008F0A16">
        <w:rPr>
          <w:rStyle w:val="normaltextrun"/>
          <w:rFonts w:ascii="Arial" w:hAnsi="Arial" w:cs="Arial"/>
          <w:b/>
          <w:bCs/>
          <w:sz w:val="20"/>
          <w:szCs w:val="20"/>
          <w:lang w:val="en-GB"/>
        </w:rPr>
        <w:t>y</w:t>
      </w:r>
      <w:r w:rsidRPr="008F0A16">
        <w:rPr>
          <w:rStyle w:val="normaltextrun"/>
          <w:rFonts w:ascii="Arial" w:hAnsi="Arial" w:cs="Arial"/>
          <w:sz w:val="20"/>
          <w:szCs w:val="20"/>
          <w:lang w:val="en-GB"/>
        </w:rPr>
        <w:t xml:space="preserve"> </w:t>
      </w:r>
      <w:r w:rsidRPr="008F0A16">
        <w:rPr>
          <w:rStyle w:val="normaltextrun"/>
          <w:rFonts w:ascii="Arial" w:hAnsi="Arial" w:cs="Arial"/>
          <w:b/>
          <w:bCs/>
          <w:sz w:val="20"/>
          <w:szCs w:val="20"/>
          <w:lang w:val="en-GB"/>
        </w:rPr>
        <w:t>to all portfolios’ asset classes</w:t>
      </w:r>
      <w:r w:rsidRPr="008F0A16">
        <w:rPr>
          <w:rStyle w:val="normaltextrun"/>
          <w:rFonts w:ascii="Arial" w:hAnsi="Arial" w:cs="Arial"/>
          <w:sz w:val="20"/>
          <w:szCs w:val="20"/>
          <w:lang w:val="en-GB"/>
        </w:rPr>
        <w:t xml:space="preserve">, and this is particularly true if the denominator of the ratio used for this calculation refers to 100% of investments, here included cash and derivatives. </w:t>
      </w:r>
      <w:r w:rsidR="00015ADE" w:rsidRPr="008F0A16">
        <w:rPr>
          <w:rStyle w:val="normaltextrun"/>
          <w:rFonts w:ascii="Arial" w:hAnsi="Arial" w:cs="Arial"/>
          <w:sz w:val="20"/>
          <w:szCs w:val="20"/>
          <w:lang w:val="en-GB"/>
        </w:rPr>
        <w:t xml:space="preserve">While we do appreciate the choice of </w:t>
      </w:r>
      <w:r w:rsidR="00015ADE" w:rsidRPr="008F0A16">
        <w:rPr>
          <w:rStyle w:val="normaltextrun"/>
          <w:rFonts w:ascii="Arial" w:hAnsi="Arial" w:cs="Arial"/>
          <w:sz w:val="20"/>
          <w:szCs w:val="20"/>
          <w:lang w:val="en-GB"/>
        </w:rPr>
        <w:lastRenderedPageBreak/>
        <w:t xml:space="preserve">ESMA to </w:t>
      </w:r>
      <w:r w:rsidR="004C3E2E" w:rsidRPr="008F0A16">
        <w:rPr>
          <w:rStyle w:val="normaltextrun"/>
          <w:rFonts w:ascii="Arial" w:hAnsi="Arial" w:cs="Arial"/>
          <w:sz w:val="20"/>
          <w:szCs w:val="20"/>
          <w:lang w:val="en-GB"/>
        </w:rPr>
        <w:t xml:space="preserve">use the percentage that are published in the </w:t>
      </w:r>
      <w:r w:rsidR="00227F88" w:rsidRPr="008F0A16">
        <w:rPr>
          <w:rStyle w:val="normaltextrun"/>
          <w:rFonts w:ascii="Arial" w:hAnsi="Arial" w:cs="Arial"/>
          <w:sz w:val="20"/>
          <w:szCs w:val="20"/>
          <w:lang w:val="en-GB"/>
        </w:rPr>
        <w:t>SFDR annexes (as detailed in the SFD</w:t>
      </w:r>
      <w:r w:rsidR="008F6022">
        <w:rPr>
          <w:rStyle w:val="normaltextrun"/>
          <w:rFonts w:ascii="Arial" w:hAnsi="Arial" w:cs="Arial"/>
          <w:sz w:val="20"/>
          <w:szCs w:val="20"/>
          <w:lang w:val="en-GB"/>
        </w:rPr>
        <w:t>R</w:t>
      </w:r>
      <w:r w:rsidR="00227F88" w:rsidRPr="008F0A16">
        <w:rPr>
          <w:rStyle w:val="normaltextrun"/>
          <w:rFonts w:ascii="Arial" w:hAnsi="Arial" w:cs="Arial"/>
          <w:sz w:val="20"/>
          <w:szCs w:val="20"/>
          <w:lang w:val="en-GB"/>
        </w:rPr>
        <w:t xml:space="preserve"> templates)</w:t>
      </w:r>
      <w:r w:rsidR="004C3E2E" w:rsidRPr="008F0A16">
        <w:rPr>
          <w:rStyle w:val="normaltextrun"/>
          <w:rFonts w:ascii="Arial" w:hAnsi="Arial" w:cs="Arial"/>
          <w:sz w:val="20"/>
          <w:szCs w:val="20"/>
          <w:lang w:val="en-GB"/>
        </w:rPr>
        <w:t xml:space="preserve"> </w:t>
      </w:r>
      <w:r w:rsidR="00A934C2" w:rsidRPr="008F0A16">
        <w:rPr>
          <w:rStyle w:val="normaltextrun"/>
          <w:rFonts w:ascii="Arial" w:hAnsi="Arial" w:cs="Arial"/>
          <w:sz w:val="20"/>
          <w:szCs w:val="20"/>
          <w:lang w:val="en-GB"/>
        </w:rPr>
        <w:t>as the reference for the thresholds</w:t>
      </w:r>
      <w:r w:rsidR="00C22FEE">
        <w:rPr>
          <w:rStyle w:val="normaltextrun"/>
          <w:rFonts w:ascii="Arial" w:hAnsi="Arial" w:cs="Arial"/>
          <w:sz w:val="20"/>
          <w:szCs w:val="20"/>
          <w:lang w:val="en-GB"/>
        </w:rPr>
        <w:t xml:space="preserve"> (rather than</w:t>
      </w:r>
      <w:r w:rsidR="00A934C2" w:rsidRPr="008F0A16">
        <w:rPr>
          <w:rStyle w:val="normaltextrun"/>
          <w:rFonts w:ascii="Arial" w:hAnsi="Arial" w:cs="Arial"/>
          <w:sz w:val="20"/>
          <w:szCs w:val="20"/>
          <w:lang w:val="en-GB"/>
        </w:rPr>
        <w:t xml:space="preserve"> </w:t>
      </w:r>
      <w:r w:rsidR="00C22FEE">
        <w:rPr>
          <w:rStyle w:val="normaltextrun"/>
          <w:rFonts w:ascii="Arial" w:hAnsi="Arial" w:cs="Arial"/>
          <w:sz w:val="20"/>
          <w:szCs w:val="20"/>
          <w:lang w:val="en-GB"/>
        </w:rPr>
        <w:t xml:space="preserve">defining </w:t>
      </w:r>
      <w:r w:rsidR="00CE332E" w:rsidRPr="008F0A16">
        <w:rPr>
          <w:rStyle w:val="normaltextrun"/>
          <w:rFonts w:ascii="Arial" w:hAnsi="Arial" w:cs="Arial"/>
          <w:sz w:val="20"/>
          <w:szCs w:val="20"/>
          <w:lang w:val="en-GB"/>
        </w:rPr>
        <w:t>a new indicator</w:t>
      </w:r>
      <w:r w:rsidR="002114E5" w:rsidRPr="008F0A16">
        <w:rPr>
          <w:rStyle w:val="normaltextrun"/>
          <w:rFonts w:ascii="Arial" w:hAnsi="Arial" w:cs="Arial"/>
          <w:sz w:val="20"/>
          <w:szCs w:val="20"/>
          <w:lang w:val="en-GB"/>
        </w:rPr>
        <w:t xml:space="preserve"> for the purpose of naming</w:t>
      </w:r>
      <w:r w:rsidR="00C22FEE">
        <w:rPr>
          <w:rStyle w:val="normaltextrun"/>
          <w:rFonts w:ascii="Arial" w:hAnsi="Arial" w:cs="Arial"/>
          <w:sz w:val="20"/>
          <w:szCs w:val="20"/>
          <w:lang w:val="en-GB"/>
        </w:rPr>
        <w:t>)</w:t>
      </w:r>
      <w:r w:rsidR="00CE332E" w:rsidRPr="008F0A16">
        <w:rPr>
          <w:rStyle w:val="normaltextrun"/>
          <w:rFonts w:ascii="Arial" w:hAnsi="Arial" w:cs="Arial"/>
          <w:sz w:val="20"/>
          <w:szCs w:val="20"/>
          <w:lang w:val="en-GB"/>
        </w:rPr>
        <w:t xml:space="preserve">, it should be considered that </w:t>
      </w:r>
      <w:r w:rsidR="00FB5C80" w:rsidRPr="008F0A16">
        <w:rPr>
          <w:rStyle w:val="normaltextrun"/>
          <w:rFonts w:ascii="Arial" w:hAnsi="Arial" w:cs="Arial"/>
          <w:sz w:val="20"/>
          <w:szCs w:val="20"/>
          <w:lang w:val="en-GB"/>
        </w:rPr>
        <w:t>a fund</w:t>
      </w:r>
      <w:r w:rsidR="00C22FEE">
        <w:rPr>
          <w:rStyle w:val="normaltextrun"/>
          <w:rFonts w:ascii="Arial" w:hAnsi="Arial" w:cs="Arial"/>
          <w:sz w:val="20"/>
          <w:szCs w:val="20"/>
          <w:lang w:val="en-GB"/>
        </w:rPr>
        <w:t>’s</w:t>
      </w:r>
      <w:r w:rsidR="00FB5C80" w:rsidRPr="008F0A16">
        <w:rPr>
          <w:rStyle w:val="normaltextrun"/>
          <w:rFonts w:ascii="Arial" w:hAnsi="Arial" w:cs="Arial"/>
          <w:sz w:val="20"/>
          <w:szCs w:val="20"/>
          <w:lang w:val="en-GB"/>
        </w:rPr>
        <w:t xml:space="preserve"> assets are always </w:t>
      </w:r>
      <w:r w:rsidR="00A30F92" w:rsidRPr="008F0A16">
        <w:rPr>
          <w:rStyle w:val="normaltextrun"/>
          <w:rFonts w:ascii="Arial" w:hAnsi="Arial" w:cs="Arial"/>
          <w:sz w:val="20"/>
          <w:szCs w:val="20"/>
          <w:lang w:val="en-GB"/>
        </w:rPr>
        <w:t>invested</w:t>
      </w:r>
      <w:r w:rsidR="00FB5C80" w:rsidRPr="008F0A16">
        <w:rPr>
          <w:rStyle w:val="normaltextrun"/>
          <w:rFonts w:ascii="Arial" w:hAnsi="Arial" w:cs="Arial"/>
          <w:sz w:val="20"/>
          <w:szCs w:val="20"/>
          <w:lang w:val="en-GB"/>
        </w:rPr>
        <w:t xml:space="preserve"> in other </w:t>
      </w:r>
      <w:r w:rsidR="004030C0" w:rsidRPr="008F0A16">
        <w:rPr>
          <w:rStyle w:val="normaltextrun"/>
          <w:rFonts w:ascii="Arial" w:hAnsi="Arial" w:cs="Arial"/>
          <w:sz w:val="20"/>
          <w:szCs w:val="20"/>
          <w:lang w:val="en-GB"/>
        </w:rPr>
        <w:t>components in addition to the ass</w:t>
      </w:r>
      <w:r w:rsidR="00354637" w:rsidRPr="008F0A16">
        <w:rPr>
          <w:rStyle w:val="normaltextrun"/>
          <w:rFonts w:ascii="Arial" w:hAnsi="Arial" w:cs="Arial"/>
          <w:sz w:val="20"/>
          <w:szCs w:val="20"/>
          <w:lang w:val="en-GB"/>
        </w:rPr>
        <w:t>ets</w:t>
      </w:r>
      <w:r w:rsidR="004030C0" w:rsidRPr="008F0A16">
        <w:rPr>
          <w:rStyle w:val="normaltextrun"/>
          <w:rFonts w:ascii="Arial" w:hAnsi="Arial" w:cs="Arial"/>
          <w:sz w:val="20"/>
          <w:szCs w:val="20"/>
          <w:lang w:val="en-GB"/>
        </w:rPr>
        <w:t xml:space="preserve"> which are </w:t>
      </w:r>
      <w:r w:rsidR="00354637" w:rsidRPr="008F0A16">
        <w:rPr>
          <w:rStyle w:val="normaltextrun"/>
          <w:rFonts w:ascii="Arial" w:hAnsi="Arial" w:cs="Arial"/>
          <w:sz w:val="20"/>
          <w:szCs w:val="20"/>
          <w:lang w:val="en-GB"/>
        </w:rPr>
        <w:t>characteristics</w:t>
      </w:r>
      <w:r w:rsidR="004030C0" w:rsidRPr="008F0A16">
        <w:rPr>
          <w:rStyle w:val="normaltextrun"/>
          <w:rFonts w:ascii="Arial" w:hAnsi="Arial" w:cs="Arial"/>
          <w:sz w:val="20"/>
          <w:szCs w:val="20"/>
          <w:lang w:val="en-GB"/>
        </w:rPr>
        <w:t xml:space="preserve"> of that products (typically in cash and derivatives but also in </w:t>
      </w:r>
      <w:r w:rsidR="00354637" w:rsidRPr="008F0A16">
        <w:rPr>
          <w:rStyle w:val="normaltextrun"/>
          <w:rFonts w:ascii="Arial" w:hAnsi="Arial" w:cs="Arial"/>
          <w:sz w:val="20"/>
          <w:szCs w:val="20"/>
          <w:lang w:val="en-GB"/>
        </w:rPr>
        <w:t>other short term investment tools)</w:t>
      </w:r>
      <w:r w:rsidR="00A30F92" w:rsidRPr="008F0A16">
        <w:rPr>
          <w:rStyle w:val="normaltextrun"/>
          <w:rFonts w:ascii="Arial" w:hAnsi="Arial" w:cs="Arial"/>
          <w:sz w:val="20"/>
          <w:szCs w:val="20"/>
          <w:lang w:val="en-GB"/>
        </w:rPr>
        <w:t xml:space="preserve"> which are essential to the liquidity and the risk management of the products.</w:t>
      </w:r>
      <w:r w:rsidR="00E413B0" w:rsidRPr="008F0A16">
        <w:rPr>
          <w:rStyle w:val="normaltextrun"/>
          <w:rFonts w:ascii="Arial" w:hAnsi="Arial" w:cs="Arial"/>
          <w:sz w:val="20"/>
          <w:szCs w:val="20"/>
          <w:lang w:val="en-GB"/>
        </w:rPr>
        <w:t xml:space="preserve"> As a consequence</w:t>
      </w:r>
      <w:r w:rsidR="00BF280B">
        <w:rPr>
          <w:rStyle w:val="normaltextrun"/>
          <w:rFonts w:ascii="Arial" w:hAnsi="Arial" w:cs="Arial"/>
          <w:sz w:val="20"/>
          <w:szCs w:val="20"/>
          <w:lang w:val="en-GB"/>
        </w:rPr>
        <w:t xml:space="preserve">, </w:t>
      </w:r>
      <w:r w:rsidR="00E413B0" w:rsidRPr="008F0A16">
        <w:rPr>
          <w:rStyle w:val="normaltextrun"/>
          <w:rFonts w:ascii="Arial" w:hAnsi="Arial" w:cs="Arial"/>
          <w:sz w:val="20"/>
          <w:szCs w:val="20"/>
          <w:lang w:val="en-GB"/>
        </w:rPr>
        <w:t xml:space="preserve">setting 80% as the threshold </w:t>
      </w:r>
      <w:r w:rsidR="00457753" w:rsidRPr="008F0A16">
        <w:rPr>
          <w:rStyle w:val="normaltextrun"/>
          <w:rFonts w:ascii="Arial" w:hAnsi="Arial" w:cs="Arial"/>
          <w:sz w:val="20"/>
          <w:szCs w:val="20"/>
          <w:lang w:val="en-GB"/>
        </w:rPr>
        <w:t xml:space="preserve">based on the total asset of a product is extremely </w:t>
      </w:r>
      <w:r w:rsidR="00402D3A" w:rsidRPr="008F0A16">
        <w:rPr>
          <w:rStyle w:val="normaltextrun"/>
          <w:rFonts w:ascii="Arial" w:hAnsi="Arial" w:cs="Arial"/>
          <w:sz w:val="20"/>
          <w:szCs w:val="20"/>
          <w:lang w:val="en-GB"/>
        </w:rPr>
        <w:t>strict and even unrealistic for certain categories of products</w:t>
      </w:r>
      <w:r w:rsidR="00F21119" w:rsidRPr="008F0A16">
        <w:rPr>
          <w:rStyle w:val="normaltextrun"/>
          <w:rFonts w:ascii="Arial" w:hAnsi="Arial" w:cs="Arial"/>
          <w:sz w:val="20"/>
          <w:szCs w:val="20"/>
          <w:lang w:val="en-GB"/>
        </w:rPr>
        <w:t xml:space="preserve">: </w:t>
      </w:r>
      <w:r w:rsidRPr="008F0A16">
        <w:rPr>
          <w:rStyle w:val="normaltextrun"/>
          <w:rFonts w:ascii="Arial" w:hAnsi="Arial" w:cs="Arial"/>
          <w:sz w:val="20"/>
          <w:szCs w:val="20"/>
          <w:lang w:val="en-GB"/>
        </w:rPr>
        <w:t xml:space="preserve">whereas the 80% threshold might be considered </w:t>
      </w:r>
      <w:r w:rsidR="00F21119" w:rsidRPr="008F0A16">
        <w:rPr>
          <w:rStyle w:val="normaltextrun"/>
          <w:rFonts w:ascii="Arial" w:hAnsi="Arial" w:cs="Arial"/>
          <w:sz w:val="20"/>
          <w:szCs w:val="20"/>
          <w:lang w:val="en-GB"/>
        </w:rPr>
        <w:t>achievable</w:t>
      </w:r>
      <w:r w:rsidRPr="008F0A16">
        <w:rPr>
          <w:rStyle w:val="normaltextrun"/>
          <w:rFonts w:ascii="Arial" w:hAnsi="Arial" w:cs="Arial"/>
          <w:sz w:val="20"/>
          <w:szCs w:val="20"/>
          <w:lang w:val="en-GB"/>
        </w:rPr>
        <w:t xml:space="preserve"> for an equity fund, it might not be equally suitable for fixed income and/or multi-asset portfolios, since these latter hold more derivatives, government bonds and particularly cash – and this challenge is even more amplified when taken in the context of emerging markets, posing significant limits to hold investments where there’s no sufficient data to assess this alignment. </w:t>
      </w:r>
      <w:r w:rsidRPr="008F0A16">
        <w:rPr>
          <w:rStyle w:val="eop"/>
          <w:rFonts w:ascii="Arial" w:hAnsi="Arial" w:cs="Arial"/>
          <w:sz w:val="20"/>
          <w:szCs w:val="20"/>
          <w:lang w:val="en-GB"/>
        </w:rPr>
        <w:t> </w:t>
      </w:r>
    </w:p>
    <w:p w14:paraId="5410CAD3" w14:textId="77777777" w:rsidR="00D123A5" w:rsidRPr="008F0A16" w:rsidRDefault="00D123A5" w:rsidP="00C12DBA">
      <w:pPr>
        <w:pStyle w:val="paragraph"/>
        <w:spacing w:before="0" w:beforeAutospacing="0" w:after="0" w:afterAutospacing="0"/>
        <w:jc w:val="both"/>
        <w:textAlignment w:val="baseline"/>
        <w:rPr>
          <w:rFonts w:ascii="Arial" w:hAnsi="Arial" w:cs="Arial"/>
          <w:sz w:val="20"/>
          <w:szCs w:val="20"/>
          <w:lang w:val="en-GB"/>
        </w:rPr>
      </w:pPr>
    </w:p>
    <w:p w14:paraId="68A9E08F" w14:textId="15C72298" w:rsidR="00C12DBA" w:rsidRPr="008F0A16" w:rsidRDefault="00C12DBA" w:rsidP="00C12DBA">
      <w:pPr>
        <w:pStyle w:val="paragraph"/>
        <w:spacing w:before="0" w:beforeAutospacing="0" w:after="0" w:afterAutospacing="0"/>
        <w:jc w:val="both"/>
        <w:textAlignment w:val="baseline"/>
        <w:rPr>
          <w:rFonts w:ascii="Arial" w:hAnsi="Arial" w:cs="Arial"/>
          <w:sz w:val="18"/>
          <w:szCs w:val="18"/>
          <w:lang w:val="en-GB"/>
        </w:rPr>
      </w:pPr>
      <w:r w:rsidRPr="008F0A16">
        <w:rPr>
          <w:rStyle w:val="normaltextrun"/>
          <w:rFonts w:ascii="Arial" w:hAnsi="Arial" w:cs="Arial"/>
          <w:sz w:val="20"/>
          <w:szCs w:val="20"/>
          <w:lang w:val="en-GB"/>
        </w:rPr>
        <w:t xml:space="preserve">What would be advisable, if keeping 100% of investments- cash and derivatives included- as the denominator of the ratio for determining the minimum threshold, is therefore </w:t>
      </w:r>
      <w:r w:rsidRPr="008F0A16">
        <w:rPr>
          <w:rStyle w:val="normaltextrun"/>
          <w:rFonts w:ascii="Arial" w:hAnsi="Arial" w:cs="Arial"/>
          <w:b/>
          <w:bCs/>
          <w:sz w:val="20"/>
          <w:szCs w:val="20"/>
          <w:lang w:val="en-GB"/>
        </w:rPr>
        <w:t>lowering the minimum commitment to percentages more realistically achievable-</w:t>
      </w:r>
      <w:r w:rsidRPr="008F0A16">
        <w:rPr>
          <w:rStyle w:val="normaltextrun"/>
          <w:rFonts w:ascii="Arial" w:hAnsi="Arial" w:cs="Arial"/>
          <w:sz w:val="20"/>
          <w:szCs w:val="20"/>
          <w:lang w:val="en-GB"/>
        </w:rPr>
        <w:t>, in the current funds’ scenario, without, however, deviating drastically from that threshold proposed by ESMA.</w:t>
      </w:r>
      <w:r w:rsidRPr="008F0A16">
        <w:rPr>
          <w:rStyle w:val="eop"/>
          <w:rFonts w:ascii="Arial" w:hAnsi="Arial" w:cs="Arial"/>
          <w:sz w:val="20"/>
          <w:szCs w:val="20"/>
          <w:lang w:val="en-GB"/>
        </w:rPr>
        <w:t> </w:t>
      </w:r>
    </w:p>
    <w:p w14:paraId="5818B07B" w14:textId="546A7D26" w:rsidR="00C12DBA" w:rsidRPr="008F0A16" w:rsidRDefault="00C12DBA" w:rsidP="00C12DBA">
      <w:pPr>
        <w:pStyle w:val="paragraph"/>
        <w:spacing w:before="0" w:beforeAutospacing="0" w:after="0" w:afterAutospacing="0"/>
        <w:jc w:val="both"/>
        <w:textAlignment w:val="baseline"/>
        <w:rPr>
          <w:rFonts w:ascii="Arial" w:hAnsi="Arial" w:cs="Arial"/>
          <w:sz w:val="18"/>
          <w:szCs w:val="18"/>
          <w:lang w:val="en-GB"/>
        </w:rPr>
      </w:pPr>
      <w:r w:rsidRPr="008F0A16">
        <w:rPr>
          <w:rStyle w:val="normaltextrun"/>
          <w:rFonts w:ascii="Arial" w:hAnsi="Arial" w:cs="Arial"/>
          <w:sz w:val="20"/>
          <w:szCs w:val="20"/>
          <w:lang w:val="en-GB"/>
        </w:rPr>
        <w:t xml:space="preserve">In this light, </w:t>
      </w:r>
      <w:r w:rsidR="009E0D47" w:rsidRPr="008F0A16">
        <w:rPr>
          <w:rStyle w:val="normaltextrun"/>
          <w:rFonts w:ascii="Arial" w:hAnsi="Arial" w:cs="Arial"/>
          <w:sz w:val="20"/>
          <w:szCs w:val="20"/>
          <w:lang w:val="en-GB"/>
        </w:rPr>
        <w:t>we would argue</w:t>
      </w:r>
      <w:r w:rsidR="00771F66" w:rsidRPr="008F0A16">
        <w:rPr>
          <w:rStyle w:val="normaltextrun"/>
          <w:rFonts w:ascii="Arial" w:hAnsi="Arial" w:cs="Arial"/>
          <w:sz w:val="20"/>
          <w:szCs w:val="20"/>
          <w:lang w:val="en-GB"/>
        </w:rPr>
        <w:t xml:space="preserve"> that</w:t>
      </w:r>
      <w:r w:rsidRPr="008F0A16">
        <w:rPr>
          <w:rStyle w:val="normaltextrun"/>
          <w:rFonts w:ascii="Arial" w:hAnsi="Arial" w:cs="Arial"/>
          <w:sz w:val="20"/>
          <w:szCs w:val="20"/>
          <w:lang w:val="en-GB"/>
        </w:rPr>
        <w:t xml:space="preserve"> </w:t>
      </w:r>
      <w:r w:rsidRPr="008E3E4C">
        <w:rPr>
          <w:rStyle w:val="normaltextrun"/>
          <w:rFonts w:ascii="Arial" w:hAnsi="Arial" w:cs="Arial"/>
          <w:b/>
          <w:bCs/>
          <w:sz w:val="20"/>
          <w:szCs w:val="20"/>
          <w:lang w:val="en-GB"/>
        </w:rPr>
        <w:t>the minimum threshold should be lowered</w:t>
      </w:r>
      <w:r w:rsidRPr="008F0A16">
        <w:rPr>
          <w:rStyle w:val="normaltextrun"/>
          <w:rFonts w:ascii="Arial" w:hAnsi="Arial" w:cs="Arial"/>
          <w:sz w:val="20"/>
          <w:szCs w:val="20"/>
          <w:lang w:val="en-GB"/>
        </w:rPr>
        <w:t xml:space="preserve"> </w:t>
      </w:r>
      <w:r w:rsidRPr="008F0A16">
        <w:rPr>
          <w:rStyle w:val="normaltextrun"/>
          <w:rFonts w:ascii="Arial" w:hAnsi="Arial" w:cs="Arial"/>
          <w:b/>
          <w:bCs/>
          <w:sz w:val="20"/>
          <w:szCs w:val="20"/>
          <w:lang w:val="en-GB"/>
        </w:rPr>
        <w:t xml:space="preserve">to 2/3 or 66% of total investments, </w:t>
      </w:r>
      <w:r w:rsidRPr="008F0A16">
        <w:rPr>
          <w:rStyle w:val="normaltextrun"/>
          <w:rFonts w:ascii="Arial" w:hAnsi="Arial" w:cs="Arial"/>
          <w:sz w:val="20"/>
          <w:szCs w:val="20"/>
          <w:lang w:val="en-GB"/>
        </w:rPr>
        <w:t>in order to give funds’ managers enough flexibility in keeping sufficient cash and derivatives needed to efficiently manage the fund, especially during extraordinary market circumstances which would require such a flexibility in order to protect investors’ interests.</w:t>
      </w:r>
      <w:r w:rsidRPr="008F0A16">
        <w:rPr>
          <w:rStyle w:val="eop"/>
          <w:rFonts w:ascii="Arial" w:hAnsi="Arial" w:cs="Arial"/>
          <w:sz w:val="20"/>
          <w:szCs w:val="20"/>
          <w:lang w:val="en-GB"/>
        </w:rPr>
        <w:t> </w:t>
      </w:r>
    </w:p>
    <w:permEnd w:id="1305634831"/>
    <w:p w14:paraId="562CCC86" w14:textId="1033FA58"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51B063C8" w14:textId="1563A2DE" w:rsidR="00C12DBA" w:rsidRPr="00443651" w:rsidRDefault="00C12DBA" w:rsidP="00C12DBA">
      <w:pPr>
        <w:pStyle w:val="paragraph"/>
        <w:spacing w:before="0" w:beforeAutospacing="0" w:after="0" w:afterAutospacing="0"/>
        <w:textAlignment w:val="baseline"/>
        <w:rPr>
          <w:rFonts w:ascii="Arial" w:hAnsi="Arial" w:cs="Arial"/>
          <w:sz w:val="18"/>
          <w:szCs w:val="18"/>
          <w:lang w:val="en-GB"/>
        </w:rPr>
      </w:pPr>
      <w:permStart w:id="347949177" w:edGrp="everyone"/>
      <w:r w:rsidRPr="00443651">
        <w:rPr>
          <w:rStyle w:val="normaltextrun"/>
          <w:rFonts w:ascii="Arial" w:hAnsi="Arial" w:cs="Arial"/>
          <w:sz w:val="20"/>
          <w:szCs w:val="20"/>
          <w:lang w:val="en-GB"/>
        </w:rPr>
        <w:t>Firstly, we question the need to have a differentiated regime for the use of “sustainable” and “sustainability-related” terms compared to the one set for the use of “ESG-related” words in funds name, since it is doubtful that th</w:t>
      </w:r>
      <w:r w:rsidR="00A4783B">
        <w:rPr>
          <w:rStyle w:val="normaltextrun"/>
          <w:rFonts w:ascii="Arial" w:hAnsi="Arial" w:cs="Arial"/>
          <w:sz w:val="20"/>
          <w:szCs w:val="20"/>
          <w:lang w:val="en-GB"/>
        </w:rPr>
        <w:t>ese</w:t>
      </w:r>
      <w:r w:rsidRPr="00443651">
        <w:rPr>
          <w:rStyle w:val="normaltextrun"/>
          <w:rFonts w:ascii="Arial" w:hAnsi="Arial" w:cs="Arial"/>
          <w:sz w:val="20"/>
          <w:szCs w:val="20"/>
          <w:lang w:val="en-GB"/>
        </w:rPr>
        <w:t xml:space="preserve"> terms difference is easily perceived by retail investors and</w:t>
      </w:r>
      <w:r w:rsidR="00A4783B">
        <w:rPr>
          <w:rStyle w:val="normaltextrun"/>
          <w:rFonts w:ascii="Arial" w:hAnsi="Arial" w:cs="Arial"/>
          <w:sz w:val="20"/>
          <w:szCs w:val="20"/>
          <w:lang w:val="en-GB"/>
        </w:rPr>
        <w:t xml:space="preserve"> specifically that </w:t>
      </w:r>
      <w:r w:rsidRPr="00443651">
        <w:rPr>
          <w:rStyle w:val="normaltextrun"/>
          <w:rFonts w:ascii="Arial" w:hAnsi="Arial" w:cs="Arial"/>
          <w:sz w:val="20"/>
          <w:szCs w:val="20"/>
          <w:lang w:val="en-GB"/>
        </w:rPr>
        <w:t>the word “sustainable” is universally considered more meaningful than “green” or other related terms. One could argue that “sustainable” does not necessarily give the impression to be more qualifying than “ESG”. </w:t>
      </w:r>
      <w:r w:rsidRPr="00443651">
        <w:rPr>
          <w:rStyle w:val="eop"/>
          <w:rFonts w:ascii="Arial" w:hAnsi="Arial" w:cs="Arial"/>
          <w:sz w:val="20"/>
          <w:szCs w:val="20"/>
          <w:lang w:val="en-GB"/>
        </w:rPr>
        <w:t> </w:t>
      </w:r>
    </w:p>
    <w:p w14:paraId="76F0C4C6" w14:textId="3DC71D16" w:rsidR="00C12DBA" w:rsidRPr="00443651" w:rsidRDefault="00C12DBA" w:rsidP="00C12DBA">
      <w:pPr>
        <w:pStyle w:val="paragraph"/>
        <w:spacing w:before="0" w:beforeAutospacing="0" w:after="0" w:afterAutospacing="0"/>
        <w:textAlignment w:val="baseline"/>
        <w:rPr>
          <w:rFonts w:ascii="Arial" w:hAnsi="Arial" w:cs="Arial"/>
          <w:sz w:val="18"/>
          <w:szCs w:val="18"/>
          <w:lang w:val="en-GB"/>
        </w:rPr>
      </w:pPr>
      <w:r w:rsidRPr="00443651">
        <w:rPr>
          <w:rStyle w:val="normaltextrun"/>
          <w:rFonts w:ascii="Arial" w:hAnsi="Arial" w:cs="Arial"/>
          <w:sz w:val="20"/>
          <w:szCs w:val="20"/>
          <w:lang w:val="en-GB"/>
        </w:rPr>
        <w:t xml:space="preserve">Furthermore, </w:t>
      </w:r>
      <w:r w:rsidR="00DF357C" w:rsidRPr="00443651">
        <w:rPr>
          <w:rStyle w:val="normaltextrun"/>
          <w:rFonts w:ascii="Arial" w:hAnsi="Arial" w:cs="Arial"/>
          <w:sz w:val="20"/>
          <w:szCs w:val="20"/>
          <w:lang w:val="en-GB"/>
        </w:rPr>
        <w:t xml:space="preserve">we note that </w:t>
      </w:r>
      <w:r w:rsidRPr="00443651">
        <w:rPr>
          <w:rStyle w:val="normaltextrun"/>
          <w:rFonts w:ascii="Arial" w:hAnsi="Arial" w:cs="Arial"/>
          <w:b/>
          <w:bCs/>
          <w:sz w:val="20"/>
          <w:szCs w:val="20"/>
          <w:lang w:val="en-GB"/>
        </w:rPr>
        <w:t>there is a lack of clarity in the market regarding to what exactly qualifies as a “sustainable investment” under SFDR</w:t>
      </w:r>
      <w:r w:rsidRPr="00443651">
        <w:rPr>
          <w:rStyle w:val="normaltextrun"/>
          <w:rFonts w:ascii="Arial" w:hAnsi="Arial" w:cs="Arial"/>
          <w:sz w:val="20"/>
          <w:szCs w:val="20"/>
          <w:lang w:val="en-GB"/>
        </w:rPr>
        <w:t>, since we are still waiting for the Commission to respond to ESAs regarding operationalisation of the definition of sustainable investments according to SFDR. </w:t>
      </w:r>
      <w:r w:rsidRPr="00443651">
        <w:rPr>
          <w:rStyle w:val="eop"/>
          <w:rFonts w:ascii="Arial" w:hAnsi="Arial" w:cs="Arial"/>
          <w:sz w:val="20"/>
          <w:szCs w:val="20"/>
          <w:lang w:val="en-GB"/>
        </w:rPr>
        <w:t> </w:t>
      </w:r>
    </w:p>
    <w:p w14:paraId="0DB9C6F6" w14:textId="1A10844B" w:rsidR="00C12DBA" w:rsidRPr="00443651" w:rsidRDefault="00C12DBA" w:rsidP="00C12DBA">
      <w:pPr>
        <w:pStyle w:val="paragraph"/>
        <w:spacing w:before="0" w:beforeAutospacing="0" w:after="0" w:afterAutospacing="0"/>
        <w:textAlignment w:val="baseline"/>
        <w:rPr>
          <w:rFonts w:ascii="Arial" w:hAnsi="Arial" w:cs="Arial"/>
          <w:sz w:val="18"/>
          <w:szCs w:val="18"/>
          <w:lang w:val="en-GB"/>
        </w:rPr>
      </w:pPr>
      <w:r w:rsidRPr="00443651">
        <w:rPr>
          <w:rStyle w:val="normaltextrun"/>
          <w:rFonts w:ascii="Arial" w:hAnsi="Arial" w:cs="Arial"/>
          <w:sz w:val="20"/>
          <w:szCs w:val="20"/>
          <w:lang w:val="en-GB"/>
        </w:rPr>
        <w:t>ESMA argued how the proposed threshold does not undermine funds disclosing under Article 8 SFDR to be potentially able of being labelled as “sustainable”, since those funds are not excluded to allocate a relevant proportion of their portfolio in “sustainable investments”, being the latter structured as a subcategory of investments that promote E/S characteristics, accordingly to Asset Allocation template provided in Annex II of Delegated Regulation (EU) 2022/1288.</w:t>
      </w:r>
      <w:r w:rsidRPr="00443651">
        <w:rPr>
          <w:rStyle w:val="eop"/>
          <w:rFonts w:ascii="Arial" w:hAnsi="Arial" w:cs="Arial"/>
          <w:sz w:val="20"/>
          <w:szCs w:val="20"/>
          <w:lang w:val="en-GB"/>
        </w:rPr>
        <w:t> </w:t>
      </w:r>
    </w:p>
    <w:p w14:paraId="2B12758E" w14:textId="3A0E5D01" w:rsidR="00C12DBA" w:rsidRPr="00443651" w:rsidRDefault="00C12DBA" w:rsidP="00C12DBA">
      <w:pPr>
        <w:pStyle w:val="paragraph"/>
        <w:spacing w:before="0" w:beforeAutospacing="0" w:after="0" w:afterAutospacing="0"/>
        <w:textAlignment w:val="baseline"/>
        <w:rPr>
          <w:rFonts w:ascii="Arial" w:hAnsi="Arial" w:cs="Arial"/>
          <w:sz w:val="18"/>
          <w:szCs w:val="18"/>
          <w:lang w:val="en-GB"/>
        </w:rPr>
      </w:pPr>
      <w:r w:rsidRPr="00443651">
        <w:rPr>
          <w:rStyle w:val="normaltextrun"/>
          <w:rFonts w:ascii="Arial" w:hAnsi="Arial" w:cs="Arial"/>
          <w:sz w:val="20"/>
          <w:szCs w:val="20"/>
          <w:lang w:val="en-GB"/>
        </w:rPr>
        <w:t>However, this possibility is not matched by reality; a recent market research by Morningstar shows that a very small share of Article 8 funds (approximately 4%) is currently committed to 50% or more of sustainable investments</w:t>
      </w:r>
      <w:r w:rsidR="00B7413B">
        <w:rPr>
          <w:rFonts w:ascii="Arial" w:hAnsi="Arial" w:cs="Arial"/>
          <w:sz w:val="20"/>
          <w:szCs w:val="20"/>
          <w:lang w:val="en-GB"/>
        </w:rPr>
        <w:t xml:space="preserve"> </w:t>
      </w:r>
      <w:r w:rsidR="00B7413B" w:rsidRPr="00B7413B">
        <w:rPr>
          <w:rFonts w:ascii="Arial" w:hAnsi="Arial" w:cs="Arial"/>
          <w:sz w:val="20"/>
          <w:szCs w:val="20"/>
          <w:lang w:val="en-GB"/>
        </w:rPr>
        <w:t>(</w:t>
      </w:r>
      <w:r w:rsidR="00B7413B" w:rsidRPr="004835BA">
        <w:rPr>
          <w:rFonts w:ascii="Arial" w:hAnsi="Arial" w:cs="Arial"/>
          <w:i/>
          <w:iCs/>
          <w:sz w:val="20"/>
          <w:szCs w:val="20"/>
          <w:lang w:val="en-GB"/>
        </w:rPr>
        <w:t>SFDR Article 8 and Article9 funds: Q4 2022 in Review</w:t>
      </w:r>
      <w:r w:rsidR="00B7413B" w:rsidRPr="00B7413B">
        <w:rPr>
          <w:rFonts w:ascii="Arial" w:hAnsi="Arial" w:cs="Arial"/>
          <w:sz w:val="20"/>
          <w:szCs w:val="20"/>
          <w:lang w:val="en-GB"/>
        </w:rPr>
        <w:t>,</w:t>
      </w:r>
      <w:r w:rsidR="00741651">
        <w:rPr>
          <w:rFonts w:ascii="Arial" w:hAnsi="Arial" w:cs="Arial"/>
          <w:sz w:val="20"/>
          <w:szCs w:val="20"/>
          <w:lang w:val="en-GB"/>
        </w:rPr>
        <w:t xml:space="preserve"> </w:t>
      </w:r>
      <w:r w:rsidR="00B7413B" w:rsidRPr="00B7413B">
        <w:rPr>
          <w:rFonts w:ascii="Arial" w:hAnsi="Arial" w:cs="Arial"/>
          <w:sz w:val="20"/>
          <w:szCs w:val="20"/>
          <w:lang w:val="en-GB"/>
        </w:rPr>
        <w:t>Morningstar Manager Research from 26 January 2023,</w:t>
      </w:r>
      <w:r w:rsidR="00741651">
        <w:rPr>
          <w:rFonts w:ascii="Arial" w:hAnsi="Arial" w:cs="Arial"/>
          <w:sz w:val="20"/>
          <w:szCs w:val="20"/>
          <w:lang w:val="en-GB"/>
        </w:rPr>
        <w:t xml:space="preserve"> </w:t>
      </w:r>
      <w:r w:rsidR="00B7413B" w:rsidRPr="00B7413B">
        <w:rPr>
          <w:rFonts w:ascii="Arial" w:hAnsi="Arial" w:cs="Arial"/>
          <w:sz w:val="20"/>
          <w:szCs w:val="20"/>
          <w:lang w:val="en-GB"/>
        </w:rPr>
        <w:t>exhibit 30 in page 32)</w:t>
      </w:r>
      <w:r w:rsidRPr="00443651">
        <w:rPr>
          <w:rStyle w:val="normaltextrun"/>
          <w:rFonts w:ascii="Arial" w:hAnsi="Arial" w:cs="Arial"/>
          <w:sz w:val="20"/>
          <w:szCs w:val="20"/>
          <w:lang w:val="en-GB"/>
        </w:rPr>
        <w:t xml:space="preserve">. </w:t>
      </w:r>
      <w:r w:rsidR="00C22FEE">
        <w:rPr>
          <w:rStyle w:val="normaltextrun"/>
          <w:rFonts w:ascii="Arial" w:hAnsi="Arial" w:cs="Arial"/>
          <w:sz w:val="20"/>
          <w:szCs w:val="20"/>
          <w:lang w:val="en-GB"/>
        </w:rPr>
        <w:t>S</w:t>
      </w:r>
      <w:r w:rsidRPr="00443651">
        <w:rPr>
          <w:rStyle w:val="normaltextrun"/>
          <w:rFonts w:ascii="Arial" w:hAnsi="Arial" w:cs="Arial"/>
          <w:sz w:val="20"/>
          <w:szCs w:val="20"/>
          <w:lang w:val="en-GB"/>
        </w:rPr>
        <w:t xml:space="preserve">etting an additional-stringent- requirement, in terms of sustainable investment, for the use of the word </w:t>
      </w:r>
      <w:r w:rsidR="0084038F">
        <w:rPr>
          <w:rStyle w:val="normaltextrun"/>
          <w:rFonts w:ascii="Arial" w:hAnsi="Arial" w:cs="Arial"/>
          <w:sz w:val="20"/>
          <w:szCs w:val="20"/>
          <w:lang w:val="en-GB"/>
        </w:rPr>
        <w:t>“</w:t>
      </w:r>
      <w:r w:rsidRPr="00443651">
        <w:rPr>
          <w:rStyle w:val="normaltextrun"/>
          <w:rFonts w:ascii="Arial" w:hAnsi="Arial" w:cs="Arial"/>
          <w:sz w:val="20"/>
          <w:szCs w:val="20"/>
          <w:lang w:val="en-GB"/>
        </w:rPr>
        <w:t>sustainable</w:t>
      </w:r>
      <w:r w:rsidR="0084038F">
        <w:rPr>
          <w:rStyle w:val="normaltextrun"/>
          <w:rFonts w:ascii="Arial" w:hAnsi="Arial" w:cs="Arial"/>
          <w:sz w:val="20"/>
          <w:szCs w:val="20"/>
          <w:lang w:val="en-GB"/>
        </w:rPr>
        <w:t>”</w:t>
      </w:r>
      <w:r w:rsidRPr="00443651">
        <w:rPr>
          <w:rStyle w:val="normaltextrun"/>
          <w:rFonts w:ascii="Arial" w:hAnsi="Arial" w:cs="Arial"/>
          <w:sz w:val="20"/>
          <w:szCs w:val="20"/>
          <w:lang w:val="en-GB"/>
        </w:rPr>
        <w:t xml:space="preserve"> or similar in the name, would </w:t>
      </w:r>
      <w:r w:rsidR="00254269" w:rsidRPr="00443651">
        <w:rPr>
          <w:rStyle w:val="normaltextrun"/>
          <w:rFonts w:ascii="Arial" w:hAnsi="Arial" w:cs="Arial"/>
          <w:sz w:val="20"/>
          <w:szCs w:val="20"/>
          <w:lang w:val="en-GB"/>
        </w:rPr>
        <w:t>in practice mean that only</w:t>
      </w:r>
      <w:r w:rsidRPr="00443651">
        <w:rPr>
          <w:rStyle w:val="normaltextrun"/>
          <w:rFonts w:ascii="Arial" w:hAnsi="Arial" w:cs="Arial"/>
          <w:sz w:val="20"/>
          <w:szCs w:val="20"/>
          <w:lang w:val="en-GB"/>
        </w:rPr>
        <w:t xml:space="preserve"> Article 9 SFDR funds will be able to claim the term “sustainable” in the name.</w:t>
      </w:r>
      <w:r w:rsidRPr="00443651">
        <w:rPr>
          <w:rStyle w:val="eop"/>
          <w:rFonts w:ascii="Arial" w:hAnsi="Arial" w:cs="Arial"/>
          <w:sz w:val="20"/>
          <w:szCs w:val="20"/>
          <w:lang w:val="en-GB"/>
        </w:rPr>
        <w:t> </w:t>
      </w:r>
    </w:p>
    <w:p w14:paraId="49F76C8D" w14:textId="61E5A55A" w:rsidR="00E00729" w:rsidRDefault="003B6965" w:rsidP="00C12DBA">
      <w:pPr>
        <w:pStyle w:val="paragraph"/>
        <w:spacing w:before="0" w:beforeAutospacing="0" w:after="0" w:afterAutospacing="0"/>
        <w:jc w:val="both"/>
        <w:textAlignment w:val="baseline"/>
        <w:rPr>
          <w:rStyle w:val="normaltextrun"/>
          <w:rFonts w:ascii="Arial" w:hAnsi="Arial" w:cs="Arial"/>
          <w:sz w:val="20"/>
          <w:szCs w:val="20"/>
          <w:lang w:val="en-GB"/>
        </w:rPr>
      </w:pPr>
      <w:r w:rsidRPr="003B6965">
        <w:rPr>
          <w:rStyle w:val="normaltextrun"/>
          <w:rFonts w:ascii="Arial" w:hAnsi="Arial" w:cs="Arial"/>
          <w:sz w:val="20"/>
          <w:szCs w:val="20"/>
          <w:lang w:val="en-GB"/>
        </w:rPr>
        <w:t>Therefore, the additional threshold of at least 50</w:t>
      </w:r>
      <w:r>
        <w:rPr>
          <w:rStyle w:val="normaltextrun"/>
          <w:rFonts w:ascii="Arial" w:hAnsi="Arial" w:cs="Arial"/>
          <w:sz w:val="20"/>
          <w:szCs w:val="20"/>
          <w:lang w:val="en-GB"/>
        </w:rPr>
        <w:t xml:space="preserve">% </w:t>
      </w:r>
      <w:r w:rsidRPr="003B6965">
        <w:rPr>
          <w:rStyle w:val="normaltextrun"/>
          <w:rFonts w:ascii="Arial" w:hAnsi="Arial" w:cs="Arial"/>
          <w:sz w:val="20"/>
          <w:szCs w:val="20"/>
          <w:lang w:val="en-GB"/>
        </w:rPr>
        <w:t xml:space="preserve">for the use of </w:t>
      </w:r>
      <w:r w:rsidR="002822C2">
        <w:rPr>
          <w:rStyle w:val="normaltextrun"/>
          <w:rFonts w:ascii="Arial" w:hAnsi="Arial" w:cs="Arial"/>
          <w:sz w:val="20"/>
          <w:szCs w:val="20"/>
          <w:lang w:val="en-GB"/>
        </w:rPr>
        <w:t>“</w:t>
      </w:r>
      <w:r w:rsidRPr="003B6965">
        <w:rPr>
          <w:rStyle w:val="normaltextrun"/>
          <w:rFonts w:ascii="Arial" w:hAnsi="Arial" w:cs="Arial"/>
          <w:sz w:val="20"/>
          <w:szCs w:val="20"/>
          <w:lang w:val="en-GB"/>
        </w:rPr>
        <w:t>sustainable</w:t>
      </w:r>
      <w:r w:rsidR="002822C2">
        <w:rPr>
          <w:rStyle w:val="normaltextrun"/>
          <w:rFonts w:ascii="Arial" w:hAnsi="Arial" w:cs="Arial"/>
          <w:sz w:val="20"/>
          <w:szCs w:val="20"/>
          <w:lang w:val="en-GB"/>
        </w:rPr>
        <w:t>”</w:t>
      </w:r>
      <w:r w:rsidRPr="003B6965">
        <w:rPr>
          <w:rStyle w:val="normaltextrun"/>
          <w:rFonts w:ascii="Arial" w:hAnsi="Arial" w:cs="Arial"/>
          <w:sz w:val="20"/>
          <w:szCs w:val="20"/>
          <w:lang w:val="en-GB"/>
        </w:rPr>
        <w:t xml:space="preserve"> or sustainability-related terms in fund names </w:t>
      </w:r>
      <w:r w:rsidR="00C22FEE">
        <w:rPr>
          <w:rStyle w:val="normaltextrun"/>
          <w:rFonts w:ascii="Arial" w:hAnsi="Arial" w:cs="Arial"/>
          <w:sz w:val="20"/>
          <w:szCs w:val="20"/>
          <w:lang w:val="en-GB"/>
        </w:rPr>
        <w:t>would be</w:t>
      </w:r>
      <w:r w:rsidRPr="003B6965">
        <w:rPr>
          <w:rStyle w:val="normaltextrun"/>
          <w:rFonts w:ascii="Arial" w:hAnsi="Arial" w:cs="Arial"/>
          <w:sz w:val="20"/>
          <w:szCs w:val="20"/>
          <w:lang w:val="en-GB"/>
        </w:rPr>
        <w:t xml:space="preserve"> particularly binding and inflexible</w:t>
      </w:r>
      <w:r w:rsidR="00C22FEE">
        <w:rPr>
          <w:rStyle w:val="normaltextrun"/>
          <w:rFonts w:ascii="Arial" w:hAnsi="Arial" w:cs="Arial"/>
          <w:sz w:val="20"/>
          <w:szCs w:val="20"/>
          <w:lang w:val="en-GB"/>
        </w:rPr>
        <w:t xml:space="preserve"> and</w:t>
      </w:r>
      <w:r w:rsidRPr="003B6965">
        <w:rPr>
          <w:rStyle w:val="normaltextrun"/>
          <w:rFonts w:ascii="Arial" w:hAnsi="Arial" w:cs="Arial"/>
          <w:sz w:val="20"/>
          <w:szCs w:val="20"/>
          <w:lang w:val="en-GB"/>
        </w:rPr>
        <w:t xml:space="preserve"> become particularly and unjustifiably exclusive.</w:t>
      </w:r>
    </w:p>
    <w:p w14:paraId="400C5207" w14:textId="77777777" w:rsidR="00C12DBA" w:rsidRPr="00443651" w:rsidRDefault="00C12DBA" w:rsidP="00C12DBA">
      <w:pPr>
        <w:pStyle w:val="paragraph"/>
        <w:spacing w:before="0" w:beforeAutospacing="0" w:after="0" w:afterAutospacing="0"/>
        <w:jc w:val="both"/>
        <w:textAlignment w:val="baseline"/>
        <w:rPr>
          <w:rFonts w:ascii="Arial" w:hAnsi="Arial" w:cs="Arial"/>
          <w:sz w:val="18"/>
          <w:szCs w:val="18"/>
          <w:lang w:val="en-GB"/>
        </w:rPr>
      </w:pPr>
      <w:r w:rsidRPr="00443651">
        <w:rPr>
          <w:rStyle w:val="eop"/>
          <w:rFonts w:ascii="Arial" w:hAnsi="Arial" w:cs="Arial"/>
          <w:sz w:val="20"/>
          <w:szCs w:val="20"/>
          <w:lang w:val="en-GB"/>
        </w:rPr>
        <w:t> </w:t>
      </w:r>
    </w:p>
    <w:p w14:paraId="53282863" w14:textId="5C0D77C6" w:rsidR="00C12DBA" w:rsidRPr="006530A1" w:rsidRDefault="00C12DBA" w:rsidP="006530A1">
      <w:pPr>
        <w:pStyle w:val="paragraph"/>
        <w:spacing w:before="0" w:beforeAutospacing="0" w:after="0" w:afterAutospacing="0"/>
        <w:jc w:val="both"/>
        <w:textAlignment w:val="baseline"/>
        <w:rPr>
          <w:rFonts w:ascii="Arial" w:hAnsi="Arial" w:cs="Arial"/>
          <w:sz w:val="18"/>
          <w:szCs w:val="18"/>
          <w:lang w:val="en-GB"/>
        </w:rPr>
      </w:pPr>
      <w:r w:rsidRPr="00443651">
        <w:rPr>
          <w:rStyle w:val="normaltextrun"/>
          <w:rFonts w:ascii="Arial" w:hAnsi="Arial" w:cs="Arial"/>
          <w:b/>
          <w:bCs/>
          <w:sz w:val="20"/>
          <w:szCs w:val="20"/>
          <w:lang w:val="en-GB"/>
        </w:rPr>
        <w:t xml:space="preserve">Assogestioni </w:t>
      </w:r>
      <w:r w:rsidR="00C22FEE">
        <w:rPr>
          <w:rStyle w:val="normaltextrun"/>
          <w:rFonts w:ascii="Arial" w:hAnsi="Arial" w:cs="Arial"/>
          <w:b/>
          <w:bCs/>
          <w:sz w:val="20"/>
          <w:szCs w:val="20"/>
          <w:lang w:val="en-GB"/>
        </w:rPr>
        <w:t>recommends</w:t>
      </w:r>
      <w:r w:rsidRPr="00443651">
        <w:rPr>
          <w:rStyle w:val="normaltextrun"/>
          <w:rFonts w:ascii="Arial" w:hAnsi="Arial" w:cs="Arial"/>
          <w:b/>
          <w:bCs/>
          <w:sz w:val="20"/>
          <w:szCs w:val="20"/>
          <w:lang w:val="en-GB"/>
        </w:rPr>
        <w:t xml:space="preserve"> </w:t>
      </w:r>
      <w:r w:rsidR="00C22FEE">
        <w:rPr>
          <w:rStyle w:val="normaltextrun"/>
          <w:rFonts w:ascii="Arial" w:hAnsi="Arial" w:cs="Arial"/>
          <w:b/>
          <w:bCs/>
          <w:sz w:val="20"/>
          <w:szCs w:val="20"/>
          <w:lang w:val="en-GB"/>
        </w:rPr>
        <w:t xml:space="preserve">setting </w:t>
      </w:r>
      <w:r w:rsidRPr="00443651">
        <w:rPr>
          <w:rStyle w:val="normaltextrun"/>
          <w:rFonts w:ascii="Arial" w:hAnsi="Arial" w:cs="Arial"/>
          <w:b/>
          <w:bCs/>
          <w:sz w:val="20"/>
          <w:szCs w:val="20"/>
          <w:lang w:val="en-GB"/>
        </w:rPr>
        <w:t>this requirement in such a way that could allow</w:t>
      </w:r>
      <w:r w:rsidR="006530A1">
        <w:rPr>
          <w:rStyle w:val="normaltextrun"/>
          <w:rFonts w:ascii="Arial" w:hAnsi="Arial" w:cs="Arial"/>
          <w:sz w:val="20"/>
          <w:szCs w:val="20"/>
          <w:lang w:val="en-GB"/>
        </w:rPr>
        <w:t xml:space="preserve"> </w:t>
      </w:r>
      <w:r w:rsidR="006530A1" w:rsidRPr="000D43FE">
        <w:rPr>
          <w:rStyle w:val="normaltextrun"/>
          <w:rFonts w:ascii="Arial" w:hAnsi="Arial" w:cs="Arial"/>
          <w:b/>
          <w:bCs/>
          <w:sz w:val="20"/>
          <w:szCs w:val="20"/>
          <w:lang w:val="en-GB"/>
        </w:rPr>
        <w:t>t</w:t>
      </w:r>
      <w:r w:rsidRPr="000D43FE">
        <w:rPr>
          <w:rStyle w:val="normaltextrun"/>
          <w:rFonts w:ascii="Arial" w:hAnsi="Arial" w:cs="Arial"/>
          <w:b/>
          <w:bCs/>
          <w:sz w:val="20"/>
          <w:szCs w:val="20"/>
          <w:lang w:val="en-GB"/>
        </w:rPr>
        <w:t>he applicability to a broader range of financial products,</w:t>
      </w:r>
      <w:r w:rsidRPr="00443651">
        <w:rPr>
          <w:rStyle w:val="normaltextrun"/>
          <w:rFonts w:ascii="Arial" w:hAnsi="Arial" w:cs="Arial"/>
          <w:sz w:val="20"/>
          <w:szCs w:val="20"/>
          <w:lang w:val="en-GB"/>
        </w:rPr>
        <w:t> including also products disclosing under Art. 8 and allocating part of their assets in sustainable investments</w:t>
      </w:r>
      <w:r w:rsidR="006530A1">
        <w:rPr>
          <w:rStyle w:val="normaltextrun"/>
          <w:rFonts w:ascii="Arial" w:hAnsi="Arial" w:cs="Arial"/>
          <w:sz w:val="20"/>
          <w:szCs w:val="20"/>
          <w:lang w:val="en-GB"/>
        </w:rPr>
        <w:t>.</w:t>
      </w:r>
    </w:p>
    <w:p w14:paraId="46A25207" w14:textId="77777777" w:rsidR="00C12DBA" w:rsidRPr="00D041CA" w:rsidRDefault="00C12DBA" w:rsidP="00FB306E">
      <w:pPr>
        <w:pStyle w:val="paragraph"/>
        <w:spacing w:before="0" w:beforeAutospacing="0" w:after="0" w:afterAutospacing="0"/>
        <w:jc w:val="both"/>
        <w:textAlignment w:val="baseline"/>
        <w:rPr>
          <w:rFonts w:ascii="Arial" w:hAnsi="Arial" w:cs="Arial"/>
          <w:sz w:val="18"/>
          <w:szCs w:val="18"/>
          <w:lang w:val="en-GB"/>
        </w:rPr>
      </w:pPr>
      <w:r w:rsidRPr="00D041CA">
        <w:rPr>
          <w:rStyle w:val="eop"/>
          <w:rFonts w:ascii="Arial" w:hAnsi="Arial" w:cs="Arial"/>
          <w:sz w:val="20"/>
          <w:szCs w:val="20"/>
          <w:lang w:val="en-GB"/>
        </w:rPr>
        <w:t> </w:t>
      </w:r>
    </w:p>
    <w:p w14:paraId="5C31BE3E" w14:textId="77777777" w:rsidR="00C12DBA" w:rsidRPr="00D041CA" w:rsidRDefault="00C12DBA" w:rsidP="00C12DBA">
      <w:pPr>
        <w:pStyle w:val="paragraph"/>
        <w:spacing w:before="0" w:beforeAutospacing="0" w:after="0" w:afterAutospacing="0"/>
        <w:jc w:val="both"/>
        <w:textAlignment w:val="baseline"/>
        <w:rPr>
          <w:rFonts w:ascii="Arial" w:hAnsi="Arial" w:cs="Arial"/>
          <w:sz w:val="18"/>
          <w:szCs w:val="18"/>
          <w:lang w:val="en-GB"/>
        </w:rPr>
      </w:pPr>
      <w:r w:rsidRPr="00D041CA">
        <w:rPr>
          <w:rStyle w:val="eop"/>
          <w:rFonts w:ascii="Arial" w:hAnsi="Arial" w:cs="Arial"/>
          <w:sz w:val="20"/>
          <w:szCs w:val="20"/>
          <w:lang w:val="en-GB"/>
        </w:rPr>
        <w:t> </w:t>
      </w:r>
    </w:p>
    <w:p w14:paraId="25F6C6F7" w14:textId="0BB8D454" w:rsidR="00236690" w:rsidRPr="00443651" w:rsidRDefault="00C12DBA" w:rsidP="00C12DBA">
      <w:pPr>
        <w:pStyle w:val="paragraph"/>
        <w:spacing w:before="0" w:beforeAutospacing="0" w:after="0" w:afterAutospacing="0"/>
        <w:jc w:val="both"/>
        <w:textAlignment w:val="baseline"/>
        <w:rPr>
          <w:rFonts w:ascii="Arial" w:hAnsi="Arial" w:cs="Arial"/>
          <w:sz w:val="18"/>
          <w:szCs w:val="18"/>
          <w:lang w:val="en-GB"/>
        </w:rPr>
      </w:pPr>
      <w:r w:rsidRPr="00443651">
        <w:rPr>
          <w:rStyle w:val="normaltextrun"/>
          <w:rFonts w:ascii="Arial" w:hAnsi="Arial" w:cs="Arial"/>
          <w:sz w:val="20"/>
          <w:szCs w:val="20"/>
          <w:lang w:val="en-GB"/>
        </w:rPr>
        <w:lastRenderedPageBreak/>
        <w:t>In order to meet th</w:t>
      </w:r>
      <w:r w:rsidR="006530A1">
        <w:rPr>
          <w:rStyle w:val="normaltextrun"/>
          <w:rFonts w:ascii="Arial" w:hAnsi="Arial" w:cs="Arial"/>
          <w:sz w:val="20"/>
          <w:szCs w:val="20"/>
          <w:lang w:val="en-GB"/>
        </w:rPr>
        <w:t>is objective</w:t>
      </w:r>
      <w:r w:rsidR="000D43FE">
        <w:rPr>
          <w:rStyle w:val="normaltextrun"/>
          <w:rFonts w:ascii="Arial" w:hAnsi="Arial" w:cs="Arial"/>
          <w:sz w:val="20"/>
          <w:szCs w:val="20"/>
          <w:lang w:val="en-GB"/>
        </w:rPr>
        <w:t xml:space="preserve">, </w:t>
      </w:r>
      <w:r w:rsidR="00FB306E" w:rsidRPr="00443651">
        <w:rPr>
          <w:rStyle w:val="normaltextrun"/>
          <w:rFonts w:ascii="Arial" w:hAnsi="Arial" w:cs="Arial"/>
          <w:sz w:val="20"/>
          <w:szCs w:val="20"/>
          <w:lang w:val="en-GB"/>
        </w:rPr>
        <w:t xml:space="preserve">should ESMA decide to set an additional threshold </w:t>
      </w:r>
      <w:r w:rsidR="000A769E" w:rsidRPr="00443651">
        <w:rPr>
          <w:rStyle w:val="normaltextrun"/>
          <w:rFonts w:ascii="Arial" w:hAnsi="Arial" w:cs="Arial"/>
          <w:sz w:val="20"/>
          <w:szCs w:val="20"/>
          <w:lang w:val="en-GB"/>
        </w:rPr>
        <w:t>t</w:t>
      </w:r>
      <w:r w:rsidR="00FF5FF4" w:rsidRPr="00443651">
        <w:rPr>
          <w:rStyle w:val="normaltextrun"/>
          <w:rFonts w:ascii="Arial" w:hAnsi="Arial" w:cs="Arial"/>
          <w:sz w:val="20"/>
          <w:szCs w:val="20"/>
          <w:lang w:val="en-GB"/>
        </w:rPr>
        <w:t>o</w:t>
      </w:r>
      <w:r w:rsidR="000A769E" w:rsidRPr="00443651">
        <w:rPr>
          <w:rStyle w:val="normaltextrun"/>
          <w:rFonts w:ascii="Arial" w:hAnsi="Arial" w:cs="Arial"/>
          <w:sz w:val="20"/>
          <w:szCs w:val="20"/>
          <w:lang w:val="en-GB"/>
        </w:rPr>
        <w:t xml:space="preserve"> </w:t>
      </w:r>
      <w:r w:rsidR="00FF5FF4" w:rsidRPr="00443651">
        <w:rPr>
          <w:rStyle w:val="normaltextrun"/>
          <w:rFonts w:ascii="Arial" w:hAnsi="Arial" w:cs="Arial"/>
          <w:sz w:val="20"/>
          <w:szCs w:val="20"/>
          <w:lang w:val="en-GB"/>
        </w:rPr>
        <w:t>the</w:t>
      </w:r>
      <w:r w:rsidR="000A769E" w:rsidRPr="00443651">
        <w:rPr>
          <w:rStyle w:val="normaltextrun"/>
          <w:rFonts w:ascii="Arial" w:hAnsi="Arial" w:cs="Arial"/>
          <w:sz w:val="20"/>
          <w:szCs w:val="20"/>
          <w:lang w:val="en-GB"/>
        </w:rPr>
        <w:t xml:space="preserve"> use of the word sustainable,</w:t>
      </w:r>
      <w:r w:rsidRPr="00443651">
        <w:rPr>
          <w:rStyle w:val="normaltextrun"/>
          <w:rFonts w:ascii="Arial" w:hAnsi="Arial" w:cs="Arial"/>
          <w:sz w:val="20"/>
          <w:szCs w:val="20"/>
          <w:lang w:val="en-GB"/>
        </w:rPr>
        <w:t xml:space="preserve"> it is suggested </w:t>
      </w:r>
      <w:r w:rsidRPr="00443651">
        <w:rPr>
          <w:rStyle w:val="normaltextrun"/>
          <w:rFonts w:ascii="Arial" w:hAnsi="Arial" w:cs="Arial"/>
          <w:b/>
          <w:bCs/>
          <w:sz w:val="20"/>
          <w:szCs w:val="20"/>
          <w:lang w:val="en-GB"/>
        </w:rPr>
        <w:t>the minimum threshold</w:t>
      </w:r>
      <w:r w:rsidR="00FF5FF4" w:rsidRPr="00443651">
        <w:rPr>
          <w:rStyle w:val="normaltextrun"/>
          <w:rFonts w:ascii="Arial" w:hAnsi="Arial" w:cs="Arial"/>
          <w:b/>
          <w:bCs/>
          <w:sz w:val="20"/>
          <w:szCs w:val="20"/>
          <w:lang w:val="en-GB"/>
        </w:rPr>
        <w:t xml:space="preserve"> should be lowered</w:t>
      </w:r>
      <w:r w:rsidRPr="00443651">
        <w:rPr>
          <w:rStyle w:val="normaltextrun"/>
          <w:rFonts w:ascii="Arial" w:hAnsi="Arial" w:cs="Arial"/>
          <w:b/>
          <w:bCs/>
          <w:sz w:val="20"/>
          <w:szCs w:val="20"/>
          <w:lang w:val="en-GB"/>
        </w:rPr>
        <w:t xml:space="preserve"> to 30%</w:t>
      </w:r>
      <w:r w:rsidR="0081199F" w:rsidRPr="00443651">
        <w:rPr>
          <w:rStyle w:val="normaltextrun"/>
          <w:rFonts w:ascii="Arial" w:hAnsi="Arial" w:cs="Arial"/>
          <w:b/>
          <w:bCs/>
          <w:sz w:val="20"/>
          <w:szCs w:val="20"/>
          <w:lang w:val="en-GB"/>
        </w:rPr>
        <w:t xml:space="preserve"> - </w:t>
      </w:r>
      <w:r w:rsidR="0081199F" w:rsidRPr="00443651">
        <w:rPr>
          <w:rStyle w:val="normaltextrun"/>
          <w:rFonts w:ascii="Arial" w:hAnsi="Arial" w:cs="Arial"/>
          <w:sz w:val="20"/>
          <w:szCs w:val="20"/>
          <w:lang w:val="en-GB"/>
        </w:rPr>
        <w:t xml:space="preserve">already an ambitious </w:t>
      </w:r>
      <w:r w:rsidR="005E658D" w:rsidRPr="00443651">
        <w:rPr>
          <w:rStyle w:val="normaltextrun"/>
          <w:rFonts w:ascii="Arial" w:hAnsi="Arial" w:cs="Arial"/>
          <w:sz w:val="20"/>
          <w:szCs w:val="20"/>
          <w:lang w:val="en-GB"/>
        </w:rPr>
        <w:t>proportion</w:t>
      </w:r>
      <w:r w:rsidRPr="00443651">
        <w:rPr>
          <w:rStyle w:val="normaltextrun"/>
          <w:rFonts w:ascii="Arial" w:hAnsi="Arial" w:cs="Arial"/>
          <w:sz w:val="20"/>
          <w:szCs w:val="20"/>
          <w:lang w:val="en-GB"/>
        </w:rPr>
        <w:t xml:space="preserve"> in terms of minimum commitment. </w:t>
      </w:r>
      <w:r w:rsidRPr="00443651">
        <w:rPr>
          <w:rStyle w:val="eop"/>
          <w:rFonts w:ascii="Arial" w:hAnsi="Arial" w:cs="Arial"/>
          <w:sz w:val="20"/>
          <w:szCs w:val="20"/>
          <w:lang w:val="en-GB"/>
        </w:rPr>
        <w:t> </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7EE0FF62" w14:textId="73CE591A" w:rsidR="005E658D" w:rsidRPr="000D43FE" w:rsidRDefault="00C12DBA" w:rsidP="00C12DBA">
      <w:pPr>
        <w:pStyle w:val="paragraph"/>
        <w:spacing w:before="0" w:beforeAutospacing="0" w:after="0" w:afterAutospacing="0"/>
        <w:jc w:val="both"/>
        <w:textAlignment w:val="baseline"/>
        <w:rPr>
          <w:rStyle w:val="normaltextrun"/>
          <w:rFonts w:ascii="Arial" w:hAnsi="Arial" w:cs="Arial"/>
          <w:sz w:val="20"/>
          <w:szCs w:val="20"/>
          <w:lang w:val="en-GB"/>
        </w:rPr>
      </w:pPr>
      <w:permStart w:id="351877901" w:edGrp="everyone"/>
      <w:r w:rsidRPr="000D43FE">
        <w:rPr>
          <w:rStyle w:val="normaltextrun"/>
          <w:rFonts w:ascii="Arial" w:hAnsi="Arial" w:cs="Arial"/>
          <w:sz w:val="20"/>
          <w:szCs w:val="20"/>
          <w:lang w:val="en-GB"/>
        </w:rPr>
        <w:t xml:space="preserve">While we maintain that the preferable approach to naming would be in the </w:t>
      </w:r>
      <w:r w:rsidR="005E658D" w:rsidRPr="000D43FE">
        <w:rPr>
          <w:rStyle w:val="normaltextrun"/>
          <w:rFonts w:ascii="Arial" w:hAnsi="Arial" w:cs="Arial"/>
          <w:sz w:val="20"/>
          <w:szCs w:val="20"/>
          <w:lang w:val="en-GB"/>
        </w:rPr>
        <w:t>framework</w:t>
      </w:r>
      <w:r w:rsidRPr="000D43FE">
        <w:rPr>
          <w:rStyle w:val="normaltextrun"/>
          <w:rFonts w:ascii="Arial" w:hAnsi="Arial" w:cs="Arial"/>
          <w:sz w:val="20"/>
          <w:szCs w:val="20"/>
          <w:lang w:val="en-GB"/>
        </w:rPr>
        <w:t xml:space="preserve"> of the SFDR </w:t>
      </w:r>
      <w:r w:rsidR="005E658D" w:rsidRPr="000D43FE">
        <w:rPr>
          <w:rStyle w:val="normaltextrun"/>
          <w:rFonts w:ascii="Arial" w:hAnsi="Arial" w:cs="Arial"/>
          <w:sz w:val="20"/>
          <w:szCs w:val="20"/>
          <w:lang w:val="en-GB"/>
        </w:rPr>
        <w:t>revision and</w:t>
      </w:r>
      <w:r w:rsidRPr="000D43FE">
        <w:rPr>
          <w:rStyle w:val="normaltextrun"/>
          <w:rFonts w:ascii="Arial" w:hAnsi="Arial" w:cs="Arial"/>
          <w:sz w:val="20"/>
          <w:szCs w:val="20"/>
          <w:lang w:val="en-GB"/>
        </w:rPr>
        <w:t xml:space="preserve"> the </w:t>
      </w:r>
      <w:r w:rsidR="005E658D" w:rsidRPr="000D43FE">
        <w:rPr>
          <w:rStyle w:val="normaltextrun"/>
          <w:rFonts w:ascii="Arial" w:hAnsi="Arial" w:cs="Arial"/>
          <w:sz w:val="20"/>
          <w:szCs w:val="20"/>
          <w:lang w:val="en-GB"/>
        </w:rPr>
        <w:t>possible</w:t>
      </w:r>
      <w:r w:rsidRPr="000D43FE">
        <w:rPr>
          <w:rStyle w:val="normaltextrun"/>
          <w:rFonts w:ascii="Arial" w:hAnsi="Arial" w:cs="Arial"/>
          <w:sz w:val="20"/>
          <w:szCs w:val="20"/>
          <w:lang w:val="en-GB"/>
        </w:rPr>
        <w:t xml:space="preserve"> identification of fund categories complying with certain requirement and being allowed to use certain “labels”, we </w:t>
      </w:r>
      <w:r w:rsidR="005E658D" w:rsidRPr="000D43FE">
        <w:rPr>
          <w:rStyle w:val="normaltextrun"/>
          <w:rFonts w:ascii="Arial" w:hAnsi="Arial" w:cs="Arial"/>
          <w:sz w:val="20"/>
          <w:szCs w:val="20"/>
          <w:lang w:val="en-GB"/>
        </w:rPr>
        <w:t>consider</w:t>
      </w:r>
      <w:r w:rsidRPr="000D43FE">
        <w:rPr>
          <w:rStyle w:val="normaltextrun"/>
          <w:rFonts w:ascii="Arial" w:hAnsi="Arial" w:cs="Arial"/>
          <w:sz w:val="20"/>
          <w:szCs w:val="20"/>
          <w:lang w:val="en-GB"/>
        </w:rPr>
        <w:t xml:space="preserve"> </w:t>
      </w:r>
      <w:r w:rsidR="005E658D" w:rsidRPr="000D43FE">
        <w:rPr>
          <w:rStyle w:val="normaltextrun"/>
          <w:rFonts w:ascii="Arial" w:hAnsi="Arial" w:cs="Arial"/>
          <w:sz w:val="20"/>
          <w:szCs w:val="20"/>
          <w:lang w:val="en-GB"/>
        </w:rPr>
        <w:t>that an</w:t>
      </w:r>
      <w:r w:rsidRPr="000D43FE">
        <w:rPr>
          <w:rStyle w:val="normaltextrun"/>
          <w:rFonts w:ascii="Arial" w:hAnsi="Arial" w:cs="Arial"/>
          <w:sz w:val="20"/>
          <w:szCs w:val="20"/>
          <w:lang w:val="en-GB"/>
        </w:rPr>
        <w:t xml:space="preserve"> </w:t>
      </w:r>
      <w:r w:rsidR="005E658D" w:rsidRPr="000D43FE">
        <w:rPr>
          <w:rStyle w:val="normaltextrun"/>
          <w:rFonts w:ascii="Arial" w:hAnsi="Arial" w:cs="Arial"/>
          <w:sz w:val="20"/>
          <w:szCs w:val="20"/>
          <w:lang w:val="en-GB"/>
        </w:rPr>
        <w:t>alternative</w:t>
      </w:r>
      <w:r w:rsidRPr="000D43FE">
        <w:rPr>
          <w:rStyle w:val="normaltextrun"/>
          <w:rFonts w:ascii="Arial" w:hAnsi="Arial" w:cs="Arial"/>
          <w:sz w:val="20"/>
          <w:szCs w:val="20"/>
          <w:lang w:val="en-GB"/>
        </w:rPr>
        <w:t xml:space="preserve"> to setting firm </w:t>
      </w:r>
      <w:r w:rsidR="005E658D" w:rsidRPr="000D43FE">
        <w:rPr>
          <w:rStyle w:val="normaltextrun"/>
          <w:rFonts w:ascii="Arial" w:hAnsi="Arial" w:cs="Arial"/>
          <w:sz w:val="20"/>
          <w:szCs w:val="20"/>
          <w:lang w:val="en-GB"/>
        </w:rPr>
        <w:t>thresholds</w:t>
      </w:r>
      <w:r w:rsidRPr="000D43FE">
        <w:rPr>
          <w:rStyle w:val="normaltextrun"/>
          <w:rFonts w:ascii="Arial" w:hAnsi="Arial" w:cs="Arial"/>
          <w:sz w:val="20"/>
          <w:szCs w:val="20"/>
          <w:lang w:val="en-GB"/>
        </w:rPr>
        <w:t xml:space="preserve"> would be </w:t>
      </w:r>
      <w:r w:rsidR="005E658D" w:rsidRPr="000D43FE">
        <w:rPr>
          <w:rStyle w:val="normaltextrun"/>
          <w:rFonts w:ascii="Arial" w:hAnsi="Arial" w:cs="Arial"/>
          <w:b/>
          <w:bCs/>
          <w:sz w:val="20"/>
          <w:szCs w:val="20"/>
          <w:lang w:val="en-GB"/>
        </w:rPr>
        <w:t xml:space="preserve">to </w:t>
      </w:r>
      <w:r w:rsidR="005E658D" w:rsidRPr="000D43FE">
        <w:rPr>
          <w:rStyle w:val="eop"/>
          <w:rFonts w:ascii="Arial" w:hAnsi="Arial" w:cs="Arial"/>
          <w:b/>
          <w:bCs/>
          <w:sz w:val="20"/>
          <w:szCs w:val="20"/>
          <w:lang w:val="en-GB"/>
        </w:rPr>
        <w:t>measuring</w:t>
      </w:r>
      <w:r w:rsidRPr="000D43FE">
        <w:rPr>
          <w:rStyle w:val="normaltextrun"/>
          <w:rFonts w:ascii="Arial" w:hAnsi="Arial" w:cs="Arial"/>
          <w:b/>
          <w:bCs/>
          <w:sz w:val="20"/>
          <w:szCs w:val="20"/>
          <w:lang w:val="en-GB"/>
        </w:rPr>
        <w:t xml:space="preserve"> the S</w:t>
      </w:r>
      <w:r w:rsidR="00E86954">
        <w:rPr>
          <w:rStyle w:val="normaltextrun"/>
          <w:rFonts w:ascii="Arial" w:hAnsi="Arial" w:cs="Arial"/>
          <w:b/>
          <w:bCs/>
          <w:sz w:val="20"/>
          <w:szCs w:val="20"/>
          <w:lang w:val="en-GB"/>
        </w:rPr>
        <w:t xml:space="preserve">ustainable </w:t>
      </w:r>
      <w:r w:rsidRPr="000D43FE">
        <w:rPr>
          <w:rStyle w:val="normaltextrun"/>
          <w:rFonts w:ascii="Arial" w:hAnsi="Arial" w:cs="Arial"/>
          <w:b/>
          <w:bCs/>
          <w:sz w:val="20"/>
          <w:szCs w:val="20"/>
          <w:lang w:val="en-GB"/>
        </w:rPr>
        <w:t>I</w:t>
      </w:r>
      <w:r w:rsidR="00E86954">
        <w:rPr>
          <w:rStyle w:val="normaltextrun"/>
          <w:rFonts w:ascii="Arial" w:hAnsi="Arial" w:cs="Arial"/>
          <w:b/>
          <w:bCs/>
          <w:sz w:val="20"/>
          <w:szCs w:val="20"/>
          <w:lang w:val="en-GB"/>
        </w:rPr>
        <w:t>nvestment</w:t>
      </w:r>
      <w:r w:rsidRPr="000D43FE">
        <w:rPr>
          <w:rStyle w:val="normaltextrun"/>
          <w:rFonts w:ascii="Arial" w:hAnsi="Arial" w:cs="Arial"/>
          <w:b/>
          <w:bCs/>
          <w:sz w:val="20"/>
          <w:szCs w:val="20"/>
          <w:lang w:val="en-GB"/>
        </w:rPr>
        <w:t xml:space="preserve"> proportion of the fund relative to the S</w:t>
      </w:r>
      <w:r w:rsidR="0042499D">
        <w:rPr>
          <w:rStyle w:val="normaltextrun"/>
          <w:rFonts w:ascii="Arial" w:hAnsi="Arial" w:cs="Arial"/>
          <w:b/>
          <w:bCs/>
          <w:sz w:val="20"/>
          <w:szCs w:val="20"/>
          <w:lang w:val="en-GB"/>
        </w:rPr>
        <w:t xml:space="preserve">ustainable </w:t>
      </w:r>
      <w:r w:rsidRPr="000D43FE">
        <w:rPr>
          <w:rStyle w:val="normaltextrun"/>
          <w:rFonts w:ascii="Arial" w:hAnsi="Arial" w:cs="Arial"/>
          <w:b/>
          <w:bCs/>
          <w:sz w:val="20"/>
          <w:szCs w:val="20"/>
          <w:lang w:val="en-GB"/>
        </w:rPr>
        <w:t>I</w:t>
      </w:r>
      <w:r w:rsidR="0042499D">
        <w:rPr>
          <w:rStyle w:val="normaltextrun"/>
          <w:rFonts w:ascii="Arial" w:hAnsi="Arial" w:cs="Arial"/>
          <w:b/>
          <w:bCs/>
          <w:sz w:val="20"/>
          <w:szCs w:val="20"/>
          <w:lang w:val="en-GB"/>
        </w:rPr>
        <w:t>nvestment</w:t>
      </w:r>
      <w:r w:rsidRPr="000D43FE">
        <w:rPr>
          <w:rStyle w:val="normaltextrun"/>
          <w:rFonts w:ascii="Arial" w:hAnsi="Arial" w:cs="Arial"/>
          <w:b/>
          <w:bCs/>
          <w:sz w:val="20"/>
          <w:szCs w:val="20"/>
          <w:lang w:val="en-GB"/>
        </w:rPr>
        <w:t xml:space="preserve"> proportion of its </w:t>
      </w:r>
      <w:r w:rsidR="005E658D" w:rsidRPr="000D43FE">
        <w:rPr>
          <w:rStyle w:val="normaltextrun"/>
          <w:rFonts w:ascii="Arial" w:hAnsi="Arial" w:cs="Arial"/>
          <w:b/>
          <w:bCs/>
          <w:sz w:val="20"/>
          <w:szCs w:val="20"/>
          <w:lang w:val="en-GB"/>
        </w:rPr>
        <w:t>benchmark</w:t>
      </w:r>
      <w:r w:rsidRPr="000D43FE">
        <w:rPr>
          <w:rStyle w:val="normaltextrun"/>
          <w:rFonts w:ascii="Arial" w:hAnsi="Arial" w:cs="Arial"/>
          <w:b/>
          <w:bCs/>
          <w:sz w:val="20"/>
          <w:szCs w:val="20"/>
          <w:lang w:val="en-GB"/>
        </w:rPr>
        <w:t xml:space="preserve"> or its investment universe</w:t>
      </w:r>
      <w:r w:rsidRPr="000D43FE">
        <w:rPr>
          <w:rStyle w:val="normaltextrun"/>
          <w:rFonts w:ascii="Arial" w:hAnsi="Arial" w:cs="Arial"/>
          <w:sz w:val="20"/>
          <w:szCs w:val="20"/>
          <w:lang w:val="en-GB"/>
        </w:rPr>
        <w:t xml:space="preserve">, using the same assessment methodology. </w:t>
      </w:r>
    </w:p>
    <w:p w14:paraId="6A19D391" w14:textId="3FAFAFCD" w:rsidR="00C12DBA" w:rsidRPr="00C12DBA" w:rsidRDefault="00C12DBA" w:rsidP="00C12DBA">
      <w:pPr>
        <w:pStyle w:val="paragraph"/>
        <w:spacing w:before="0" w:beforeAutospacing="0" w:after="0" w:afterAutospacing="0"/>
        <w:jc w:val="both"/>
        <w:textAlignment w:val="baseline"/>
        <w:rPr>
          <w:rFonts w:ascii="Segoe UI" w:hAnsi="Segoe UI" w:cs="Segoe UI"/>
          <w:sz w:val="18"/>
          <w:szCs w:val="18"/>
          <w:lang w:val="en-GB"/>
        </w:rPr>
      </w:pPr>
      <w:r w:rsidRPr="000D43FE">
        <w:rPr>
          <w:rStyle w:val="normaltextrun"/>
          <w:rFonts w:ascii="Arial" w:hAnsi="Arial" w:cs="Arial"/>
          <w:sz w:val="20"/>
          <w:szCs w:val="20"/>
          <w:lang w:val="en-GB"/>
        </w:rPr>
        <w:t>In such a case, the word</w:t>
      </w:r>
      <w:r w:rsidR="00E9225C" w:rsidRPr="000D43FE">
        <w:rPr>
          <w:rStyle w:val="normaltextrun"/>
          <w:rFonts w:ascii="Arial" w:hAnsi="Arial" w:cs="Arial"/>
          <w:sz w:val="20"/>
          <w:szCs w:val="20"/>
          <w:lang w:val="en-GB"/>
        </w:rPr>
        <w:t>s</w:t>
      </w:r>
      <w:r w:rsidRPr="000D43FE">
        <w:rPr>
          <w:rStyle w:val="normaltextrun"/>
          <w:rFonts w:ascii="Arial" w:hAnsi="Arial" w:cs="Arial"/>
          <w:sz w:val="20"/>
          <w:szCs w:val="20"/>
          <w:lang w:val="en-GB"/>
        </w:rPr>
        <w:t xml:space="preserve"> “sustainable” could be used provided that the fund commit</w:t>
      </w:r>
      <w:r w:rsidR="0042499D">
        <w:rPr>
          <w:rStyle w:val="normaltextrun"/>
          <w:rFonts w:ascii="Arial" w:hAnsi="Arial" w:cs="Arial"/>
          <w:sz w:val="20"/>
          <w:szCs w:val="20"/>
          <w:lang w:val="en-GB"/>
        </w:rPr>
        <w:t>s</w:t>
      </w:r>
      <w:r w:rsidRPr="000D43FE">
        <w:rPr>
          <w:rStyle w:val="normaltextrun"/>
          <w:rFonts w:ascii="Arial" w:hAnsi="Arial" w:cs="Arial"/>
          <w:sz w:val="20"/>
          <w:szCs w:val="20"/>
          <w:lang w:val="en-GB"/>
        </w:rPr>
        <w:t xml:space="preserve"> to have a % S</w:t>
      </w:r>
      <w:r w:rsidR="00374784">
        <w:rPr>
          <w:rStyle w:val="normaltextrun"/>
          <w:rFonts w:ascii="Arial" w:hAnsi="Arial" w:cs="Arial"/>
          <w:sz w:val="20"/>
          <w:szCs w:val="20"/>
          <w:lang w:val="en-GB"/>
        </w:rPr>
        <w:t xml:space="preserve">ustainable </w:t>
      </w:r>
      <w:r w:rsidRPr="000D43FE">
        <w:rPr>
          <w:rStyle w:val="normaltextrun"/>
          <w:rFonts w:ascii="Arial" w:hAnsi="Arial" w:cs="Arial"/>
          <w:sz w:val="20"/>
          <w:szCs w:val="20"/>
          <w:lang w:val="en-GB"/>
        </w:rPr>
        <w:t>I</w:t>
      </w:r>
      <w:r w:rsidR="00374784">
        <w:rPr>
          <w:rStyle w:val="normaltextrun"/>
          <w:rFonts w:ascii="Arial" w:hAnsi="Arial" w:cs="Arial"/>
          <w:sz w:val="20"/>
          <w:szCs w:val="20"/>
          <w:lang w:val="en-GB"/>
        </w:rPr>
        <w:t>nvestment</w:t>
      </w:r>
      <w:r w:rsidRPr="000D43FE">
        <w:rPr>
          <w:rStyle w:val="normaltextrun"/>
          <w:rFonts w:ascii="Arial" w:hAnsi="Arial" w:cs="Arial"/>
          <w:sz w:val="20"/>
          <w:szCs w:val="20"/>
          <w:lang w:val="en-GB"/>
        </w:rPr>
        <w:t xml:space="preserve"> </w:t>
      </w:r>
      <w:proofErr w:type="gramStart"/>
      <w:r w:rsidRPr="000D43FE">
        <w:rPr>
          <w:rStyle w:val="normaltextrun"/>
          <w:rFonts w:ascii="Arial" w:hAnsi="Arial" w:cs="Arial"/>
          <w:sz w:val="20"/>
          <w:szCs w:val="20"/>
          <w:lang w:val="en-GB"/>
        </w:rPr>
        <w:t>exceeding</w:t>
      </w:r>
      <w:proofErr w:type="gramEnd"/>
      <w:r w:rsidRPr="000D43FE">
        <w:rPr>
          <w:rStyle w:val="normaltextrun"/>
          <w:rFonts w:ascii="Arial" w:hAnsi="Arial" w:cs="Arial"/>
          <w:sz w:val="20"/>
          <w:szCs w:val="20"/>
          <w:lang w:val="en-GB"/>
        </w:rPr>
        <w:t xml:space="preserve"> significantly the </w:t>
      </w:r>
      <w:r w:rsidR="00C22FEE">
        <w:rPr>
          <w:rStyle w:val="normaltextrun"/>
          <w:rFonts w:ascii="Arial" w:hAnsi="Arial" w:cs="Arial"/>
          <w:sz w:val="20"/>
          <w:szCs w:val="20"/>
          <w:lang w:val="en-GB"/>
        </w:rPr>
        <w:t>percentage of</w:t>
      </w:r>
      <w:r w:rsidRPr="000D43FE">
        <w:rPr>
          <w:rStyle w:val="normaltextrun"/>
          <w:rFonts w:ascii="Arial" w:hAnsi="Arial" w:cs="Arial"/>
          <w:sz w:val="20"/>
          <w:szCs w:val="20"/>
          <w:lang w:val="en-GB"/>
        </w:rPr>
        <w:t xml:space="preserve"> S</w:t>
      </w:r>
      <w:r w:rsidR="00374784">
        <w:rPr>
          <w:rStyle w:val="normaltextrun"/>
          <w:rFonts w:ascii="Arial" w:hAnsi="Arial" w:cs="Arial"/>
          <w:sz w:val="20"/>
          <w:szCs w:val="20"/>
          <w:lang w:val="en-GB"/>
        </w:rPr>
        <w:t xml:space="preserve">ustainable </w:t>
      </w:r>
      <w:r w:rsidRPr="000D43FE">
        <w:rPr>
          <w:rStyle w:val="normaltextrun"/>
          <w:rFonts w:ascii="Arial" w:hAnsi="Arial" w:cs="Arial"/>
          <w:sz w:val="20"/>
          <w:szCs w:val="20"/>
          <w:lang w:val="en-GB"/>
        </w:rPr>
        <w:t>I</w:t>
      </w:r>
      <w:r w:rsidR="00374784">
        <w:rPr>
          <w:rStyle w:val="normaltextrun"/>
          <w:rFonts w:ascii="Arial" w:hAnsi="Arial" w:cs="Arial"/>
          <w:sz w:val="20"/>
          <w:szCs w:val="20"/>
          <w:lang w:val="en-GB"/>
        </w:rPr>
        <w:t>nvestment</w:t>
      </w:r>
      <w:r w:rsidRPr="000D43FE">
        <w:rPr>
          <w:rStyle w:val="normaltextrun"/>
          <w:rFonts w:ascii="Arial" w:hAnsi="Arial" w:cs="Arial"/>
          <w:sz w:val="20"/>
          <w:szCs w:val="20"/>
          <w:lang w:val="en-GB"/>
        </w:rPr>
        <w:t xml:space="preserve"> of its investment universe. For funds without a reference benchmark or investment universe, the fund could identify a proxy reference to be in line with this requirement</w:t>
      </w:r>
      <w:r w:rsidR="00524EE7">
        <w:rPr>
          <w:rStyle w:val="normaltextrun"/>
          <w:rFonts w:ascii="Arial" w:hAnsi="Arial" w:cs="Arial"/>
          <w:sz w:val="20"/>
          <w:szCs w:val="20"/>
          <w:lang w:val="en-GB"/>
        </w:rPr>
        <w:t>; t</w:t>
      </w:r>
      <w:r w:rsidRPr="000D43FE">
        <w:rPr>
          <w:rStyle w:val="normaltextrun"/>
          <w:rFonts w:ascii="Arial" w:hAnsi="Arial" w:cs="Arial"/>
          <w:sz w:val="20"/>
          <w:szCs w:val="20"/>
          <w:lang w:val="en-GB"/>
        </w:rPr>
        <w:t>his would allow to adapt the threshold to the evolution of the market</w:t>
      </w:r>
      <w:r w:rsidR="005E658D" w:rsidRPr="000D43FE">
        <w:rPr>
          <w:rStyle w:val="normaltextrun"/>
          <w:rFonts w:ascii="Arial" w:hAnsi="Arial" w:cs="Arial"/>
          <w:sz w:val="20"/>
          <w:szCs w:val="20"/>
          <w:lang w:val="en-GB"/>
        </w:rPr>
        <w:t>.</w:t>
      </w:r>
      <w:r w:rsidRPr="00C12DBA">
        <w:rPr>
          <w:rStyle w:val="eop"/>
          <w:rFonts w:ascii="Lucida Sans" w:hAnsi="Lucida Sans" w:cs="Segoe UI"/>
          <w:sz w:val="20"/>
          <w:szCs w:val="20"/>
          <w:lang w:val="en-GB"/>
        </w:rPr>
        <w:t> </w:t>
      </w:r>
    </w:p>
    <w:permEnd w:id="351877901"/>
    <w:p w14:paraId="29DD3DB8" w14:textId="49677243"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782A4BDF" w14:textId="51F81C3F" w:rsidR="00C12DBA" w:rsidRPr="00524EE7" w:rsidRDefault="00C12DBA" w:rsidP="00C12DBA">
      <w:pPr>
        <w:pStyle w:val="paragraph"/>
        <w:spacing w:before="0" w:beforeAutospacing="0" w:after="0" w:afterAutospacing="0"/>
        <w:jc w:val="both"/>
        <w:textAlignment w:val="baseline"/>
        <w:rPr>
          <w:rFonts w:ascii="Arial" w:hAnsi="Arial" w:cs="Arial"/>
          <w:sz w:val="18"/>
          <w:szCs w:val="18"/>
          <w:lang w:val="en-GB"/>
        </w:rPr>
      </w:pPr>
      <w:permStart w:id="1539323392" w:edGrp="everyone"/>
      <w:r w:rsidRPr="00524EE7">
        <w:rPr>
          <w:rStyle w:val="normaltextrun"/>
          <w:rFonts w:ascii="Arial" w:hAnsi="Arial" w:cs="Arial"/>
          <w:sz w:val="20"/>
          <w:szCs w:val="20"/>
          <w:lang w:val="en-GB"/>
        </w:rPr>
        <w:t xml:space="preserve">It has already been argued in Q1 answer that the proposed thresholds mechanism advanced by ESMA could potentially lead to a further and additional categorisation of financial products with respect to those financial products’ classifications already made by SFDR and MiFID Commission Delegated Regulation (EU) 2021/1253 (also known as MiFID ESG Regulation), thereby </w:t>
      </w:r>
      <w:r w:rsidRPr="00362296">
        <w:rPr>
          <w:rStyle w:val="normaltextrun"/>
          <w:rFonts w:ascii="Arial" w:hAnsi="Arial" w:cs="Arial"/>
          <w:sz w:val="20"/>
          <w:szCs w:val="20"/>
          <w:lang w:val="en-GB"/>
        </w:rPr>
        <w:t>creating a</w:t>
      </w:r>
      <w:r w:rsidRPr="00524EE7">
        <w:rPr>
          <w:rStyle w:val="normaltextrun"/>
          <w:rFonts w:ascii="Arial" w:hAnsi="Arial" w:cs="Arial"/>
          <w:b/>
          <w:bCs/>
          <w:sz w:val="20"/>
          <w:szCs w:val="20"/>
          <w:lang w:val="en-GB"/>
        </w:rPr>
        <w:t xml:space="preserve"> </w:t>
      </w:r>
      <w:r w:rsidRPr="00524EE7">
        <w:rPr>
          <w:rStyle w:val="normaltextrun"/>
          <w:rFonts w:ascii="Arial" w:hAnsi="Arial" w:cs="Arial"/>
          <w:sz w:val="20"/>
          <w:szCs w:val="20"/>
          <w:lang w:val="en-GB"/>
        </w:rPr>
        <w:t>partial misalignment between products. </w:t>
      </w:r>
      <w:r w:rsidRPr="00524EE7">
        <w:rPr>
          <w:rStyle w:val="eop"/>
          <w:rFonts w:ascii="Arial" w:hAnsi="Arial" w:cs="Arial"/>
          <w:sz w:val="20"/>
          <w:szCs w:val="20"/>
          <w:lang w:val="en-GB"/>
        </w:rPr>
        <w:t> </w:t>
      </w:r>
    </w:p>
    <w:p w14:paraId="06C20D13" w14:textId="225D775E" w:rsidR="00C12DBA" w:rsidRPr="00524EE7" w:rsidRDefault="00C12DBA" w:rsidP="00C12DBA">
      <w:pPr>
        <w:pStyle w:val="paragraph"/>
        <w:spacing w:before="0" w:beforeAutospacing="0" w:after="0" w:afterAutospacing="0"/>
        <w:jc w:val="both"/>
        <w:textAlignment w:val="baseline"/>
        <w:rPr>
          <w:rFonts w:ascii="Arial" w:hAnsi="Arial" w:cs="Arial"/>
          <w:sz w:val="18"/>
          <w:szCs w:val="18"/>
          <w:lang w:val="en-GB"/>
        </w:rPr>
      </w:pPr>
      <w:r w:rsidRPr="00524EE7">
        <w:rPr>
          <w:rStyle w:val="normaltextrun"/>
          <w:rFonts w:ascii="Arial" w:hAnsi="Arial" w:cs="Arial"/>
          <w:sz w:val="20"/>
          <w:szCs w:val="20"/>
          <w:lang w:val="en-GB"/>
        </w:rPr>
        <w:t xml:space="preserve">Given the relevance of the issue of naming for funds and the attempt to reorganise the regulation of sustainable finance by making it consistent and coherent in its evolution, it appears more appropriate to consider the need to address this issue at a higher level in the hierarchy of sources; notably, it seems pertinent to discuss the introduction of specific provisions in using ESG/ sustainability-related terms in funds' names by means of first-level </w:t>
      </w:r>
      <w:r w:rsidR="00BE253F">
        <w:rPr>
          <w:rStyle w:val="normaltextrun"/>
          <w:rFonts w:ascii="Arial" w:hAnsi="Arial" w:cs="Arial"/>
          <w:sz w:val="20"/>
          <w:szCs w:val="20"/>
          <w:lang w:val="en-GB"/>
        </w:rPr>
        <w:t xml:space="preserve">and directly applicable </w:t>
      </w:r>
      <w:r w:rsidRPr="00524EE7">
        <w:rPr>
          <w:rStyle w:val="normaltextrun"/>
          <w:rFonts w:ascii="Arial" w:hAnsi="Arial" w:cs="Arial"/>
          <w:sz w:val="20"/>
          <w:szCs w:val="20"/>
          <w:lang w:val="en-GB"/>
        </w:rPr>
        <w:t>regulation, rather than in the third-level regulation. Specifically, given that the scope of application and the proposed threshold criterion refer directly to SFDR concepts, we indeed believe that this issue should be broadly debated in the interim of the upcoming review of the SFDR framework, or at least it should be rolled out as a joint ESG guidance under the SFDR framework.</w:t>
      </w:r>
      <w:r w:rsidRPr="00524EE7">
        <w:rPr>
          <w:rStyle w:val="eop"/>
          <w:rFonts w:ascii="Arial" w:hAnsi="Arial" w:cs="Arial"/>
          <w:sz w:val="20"/>
          <w:szCs w:val="20"/>
          <w:lang w:val="en-GB"/>
        </w:rPr>
        <w:t> </w:t>
      </w:r>
    </w:p>
    <w:p w14:paraId="5D7C4B85" w14:textId="77777777" w:rsidR="00C12DBA" w:rsidRPr="00524EE7" w:rsidRDefault="00C12DBA" w:rsidP="00C12DBA">
      <w:pPr>
        <w:pStyle w:val="paragraph"/>
        <w:spacing w:before="0" w:beforeAutospacing="0" w:after="0" w:afterAutospacing="0"/>
        <w:jc w:val="both"/>
        <w:textAlignment w:val="baseline"/>
        <w:rPr>
          <w:rFonts w:ascii="Arial" w:hAnsi="Arial" w:cs="Arial"/>
          <w:sz w:val="18"/>
          <w:szCs w:val="18"/>
          <w:lang w:val="en-GB"/>
        </w:rPr>
      </w:pPr>
      <w:r w:rsidRPr="00524EE7">
        <w:rPr>
          <w:rStyle w:val="eop"/>
          <w:rFonts w:ascii="Arial" w:hAnsi="Arial" w:cs="Arial"/>
          <w:sz w:val="20"/>
          <w:szCs w:val="20"/>
          <w:lang w:val="en-GB"/>
        </w:rPr>
        <w:t> </w:t>
      </w:r>
    </w:p>
    <w:p w14:paraId="046A214F" w14:textId="77777777" w:rsidR="00C12DBA" w:rsidRPr="00C12DBA" w:rsidRDefault="00C12DBA" w:rsidP="00C12DBA">
      <w:pPr>
        <w:pStyle w:val="paragraph"/>
        <w:spacing w:before="0" w:beforeAutospacing="0" w:after="0" w:afterAutospacing="0"/>
        <w:jc w:val="both"/>
        <w:textAlignment w:val="baseline"/>
        <w:rPr>
          <w:rFonts w:ascii="Segoe UI" w:hAnsi="Segoe UI" w:cs="Segoe UI"/>
          <w:sz w:val="18"/>
          <w:szCs w:val="18"/>
          <w:lang w:val="en-GB"/>
        </w:rPr>
      </w:pPr>
      <w:r w:rsidRPr="00524EE7">
        <w:rPr>
          <w:rStyle w:val="normaltextrun"/>
          <w:rFonts w:ascii="Arial" w:hAnsi="Arial" w:cs="Arial"/>
          <w:sz w:val="20"/>
          <w:szCs w:val="20"/>
          <w:lang w:val="en-GB"/>
        </w:rPr>
        <w:t>Ideally</w:t>
      </w:r>
      <w:r w:rsidRPr="00524EE7">
        <w:rPr>
          <w:rStyle w:val="normaltextrun"/>
          <w:rFonts w:ascii="Arial" w:hAnsi="Arial" w:cs="Arial"/>
          <w:b/>
          <w:bCs/>
          <w:sz w:val="20"/>
          <w:szCs w:val="20"/>
          <w:lang w:val="en-GB"/>
        </w:rPr>
        <w:t>, the timing of detailed guidance on fund names should align with changes in SFDR</w:t>
      </w:r>
      <w:r w:rsidRPr="00524EE7">
        <w:rPr>
          <w:rStyle w:val="normaltextrun"/>
          <w:rFonts w:ascii="Arial" w:hAnsi="Arial" w:cs="Arial"/>
          <w:sz w:val="20"/>
          <w:szCs w:val="20"/>
          <w:lang w:val="en-GB"/>
        </w:rPr>
        <w:t xml:space="preserve"> or, at least, should be faced </w:t>
      </w:r>
      <w:r w:rsidRPr="00524EE7">
        <w:rPr>
          <w:rStyle w:val="normaltextrun"/>
          <w:rFonts w:ascii="Arial" w:hAnsi="Arial" w:cs="Arial"/>
          <w:b/>
          <w:bCs/>
          <w:sz w:val="20"/>
          <w:szCs w:val="20"/>
          <w:lang w:val="en-GB"/>
        </w:rPr>
        <w:t>when further SFDR-related interpretations issues are being solved</w:t>
      </w:r>
      <w:r w:rsidRPr="00524EE7">
        <w:rPr>
          <w:rStyle w:val="normaltextrun"/>
          <w:rFonts w:ascii="Arial" w:hAnsi="Arial" w:cs="Arial"/>
          <w:sz w:val="20"/>
          <w:szCs w:val="20"/>
          <w:lang w:val="en-GB"/>
        </w:rPr>
        <w:t>. Temporary solutions that are not aligned with potential changes to SFDR would be highly undesirable given the time and resources needed to change the name and/or align portfolio and keep it aligned accordingly to these requirements.  </w:t>
      </w:r>
      <w:r w:rsidRPr="00524EE7">
        <w:rPr>
          <w:rStyle w:val="eop"/>
          <w:rFonts w:ascii="Arial" w:hAnsi="Arial" w:cs="Arial"/>
          <w:sz w:val="20"/>
          <w:szCs w:val="20"/>
          <w:lang w:val="en-GB"/>
        </w:rPr>
        <w:t> </w:t>
      </w:r>
    </w:p>
    <w:permEnd w:id="1539323392"/>
    <w:p w14:paraId="436D4354" w14:textId="6C8F5AA8"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717F9E94" w14:textId="77777777" w:rsidR="00FF3266" w:rsidRPr="00E506EA" w:rsidRDefault="00FF3266" w:rsidP="00FF3266">
      <w:pPr>
        <w:pStyle w:val="paragraph"/>
        <w:spacing w:before="0" w:beforeAutospacing="0" w:after="0" w:afterAutospacing="0"/>
        <w:jc w:val="both"/>
        <w:textAlignment w:val="baseline"/>
        <w:rPr>
          <w:rFonts w:ascii="Arial" w:hAnsi="Arial" w:cs="Arial"/>
          <w:sz w:val="18"/>
          <w:szCs w:val="18"/>
          <w:lang w:val="en-GB"/>
        </w:rPr>
      </w:pPr>
      <w:permStart w:id="175976681" w:edGrp="everyone"/>
      <w:r>
        <w:rPr>
          <w:rStyle w:val="normaltextrun"/>
          <w:rFonts w:ascii="Arial" w:hAnsi="Arial" w:cs="Arial"/>
          <w:sz w:val="20"/>
          <w:szCs w:val="20"/>
          <w:lang w:val="en-GB"/>
        </w:rPr>
        <w:lastRenderedPageBreak/>
        <w:t xml:space="preserve">  </w:t>
      </w:r>
      <w:r w:rsidRPr="00E506EA">
        <w:rPr>
          <w:rStyle w:val="normaltextrun"/>
          <w:rFonts w:ascii="Arial" w:hAnsi="Arial" w:cs="Arial"/>
          <w:sz w:val="20"/>
          <w:szCs w:val="20"/>
          <w:lang w:val="en-GB"/>
        </w:rPr>
        <w:t xml:space="preserve">In our view, requesting the application of such minimum safeguards goes clearly beyond the current requirements of the Disclosure Regulation; if additional exclusion criteria are needed, </w:t>
      </w:r>
      <w:r w:rsidRPr="00E506EA">
        <w:rPr>
          <w:rStyle w:val="normaltextrun"/>
          <w:rFonts w:ascii="Arial" w:hAnsi="Arial" w:cs="Arial"/>
          <w:b/>
          <w:bCs/>
          <w:sz w:val="20"/>
          <w:szCs w:val="20"/>
          <w:lang w:val="en-GB"/>
        </w:rPr>
        <w:t>they should be part of an overall approach to fund classification that consider consistency between art.8 and art.9 classifications, their naming and the eligibility for clients with sustainability preferences under the MiFID framework.</w:t>
      </w:r>
      <w:r w:rsidRPr="00E506EA">
        <w:rPr>
          <w:rStyle w:val="normaltextrun"/>
          <w:rFonts w:ascii="Arial" w:hAnsi="Arial" w:cs="Arial"/>
          <w:sz w:val="20"/>
          <w:szCs w:val="20"/>
          <w:lang w:val="en-GB"/>
        </w:rPr>
        <w:t> </w:t>
      </w:r>
      <w:r w:rsidRPr="00E506EA">
        <w:rPr>
          <w:rStyle w:val="eop"/>
          <w:rFonts w:ascii="Arial" w:hAnsi="Arial" w:cs="Arial"/>
          <w:sz w:val="20"/>
          <w:szCs w:val="20"/>
          <w:lang w:val="en-GB"/>
        </w:rPr>
        <w:t> </w:t>
      </w:r>
    </w:p>
    <w:p w14:paraId="764E819D" w14:textId="179A0686" w:rsidR="00FF3266" w:rsidRPr="00E506EA" w:rsidRDefault="00FF3266" w:rsidP="00C22FEE">
      <w:pPr>
        <w:pStyle w:val="paragraph"/>
        <w:spacing w:before="0" w:beforeAutospacing="0" w:after="0" w:afterAutospacing="0"/>
        <w:jc w:val="both"/>
        <w:textAlignment w:val="baseline"/>
        <w:rPr>
          <w:rFonts w:ascii="Arial" w:hAnsi="Arial" w:cs="Arial"/>
          <w:sz w:val="18"/>
          <w:szCs w:val="18"/>
          <w:lang w:val="en-GB"/>
        </w:rPr>
      </w:pPr>
      <w:r w:rsidRPr="00E506EA">
        <w:rPr>
          <w:rStyle w:val="normaltextrun"/>
          <w:rFonts w:ascii="Arial" w:hAnsi="Arial" w:cs="Arial"/>
          <w:sz w:val="20"/>
          <w:szCs w:val="20"/>
          <w:lang w:val="en-GB"/>
        </w:rPr>
        <w:t xml:space="preserve">In addition, it </w:t>
      </w:r>
      <w:proofErr w:type="gramStart"/>
      <w:r w:rsidRPr="00E506EA">
        <w:rPr>
          <w:rStyle w:val="normaltextrun"/>
          <w:rFonts w:ascii="Arial" w:hAnsi="Arial" w:cs="Arial"/>
          <w:sz w:val="20"/>
          <w:szCs w:val="20"/>
          <w:lang w:val="en-GB"/>
        </w:rPr>
        <w:t>has to</w:t>
      </w:r>
      <w:proofErr w:type="gramEnd"/>
      <w:r w:rsidRPr="00E506EA">
        <w:rPr>
          <w:rStyle w:val="normaltextrun"/>
          <w:rFonts w:ascii="Arial" w:hAnsi="Arial" w:cs="Arial"/>
          <w:sz w:val="20"/>
          <w:szCs w:val="20"/>
          <w:lang w:val="en-GB"/>
        </w:rPr>
        <w:t xml:space="preserve"> be underlined a general incongruity in the aim of these minimum safeguards as defined by ESMA; in the Consultation paper, in fact, ESMA seeks views about minimum safeguards that might be necessary for remaining investments of the funds (i.e.: investments not used to meet the environmental and/or social characteristics or objectives of the fund). To address this need, ESMA proposed to adopt minimum safeguards based on the exclusion criteria which apply to all investments of the fund. If applying these exclusion criteria to the overall investments of the fund, a </w:t>
      </w:r>
      <w:r w:rsidRPr="00E506EA">
        <w:rPr>
          <w:rStyle w:val="normaltextrun"/>
          <w:rFonts w:ascii="Arial" w:hAnsi="Arial" w:cs="Arial"/>
          <w:b/>
          <w:bCs/>
          <w:sz w:val="20"/>
          <w:szCs w:val="20"/>
          <w:lang w:val="en-GB"/>
        </w:rPr>
        <w:t>conceptual inconsistency with SFDR requirements for environmental or social characteristics</w:t>
      </w:r>
      <w:r w:rsidRPr="00E506EA">
        <w:rPr>
          <w:rStyle w:val="normaltextrun"/>
          <w:rFonts w:ascii="Arial" w:hAnsi="Arial" w:cs="Arial"/>
          <w:sz w:val="20"/>
          <w:szCs w:val="20"/>
          <w:lang w:val="en-GB"/>
        </w:rPr>
        <w:t xml:space="preserve"> </w:t>
      </w:r>
      <w:r w:rsidR="00C22FEE">
        <w:rPr>
          <w:rStyle w:val="normaltextrun"/>
          <w:rFonts w:ascii="Arial" w:hAnsi="Arial" w:cs="Arial"/>
          <w:sz w:val="20"/>
          <w:szCs w:val="20"/>
          <w:lang w:val="en-GB"/>
        </w:rPr>
        <w:t>would emerge</w:t>
      </w:r>
      <w:r w:rsidRPr="00E506EA">
        <w:rPr>
          <w:rStyle w:val="normaltextrun"/>
          <w:rFonts w:ascii="Arial" w:hAnsi="Arial" w:cs="Arial"/>
          <w:sz w:val="20"/>
          <w:szCs w:val="20"/>
          <w:lang w:val="en-GB"/>
        </w:rPr>
        <w:t xml:space="preserve"> and </w:t>
      </w:r>
      <w:r w:rsidR="00C22FEE">
        <w:rPr>
          <w:rStyle w:val="normaltextrun"/>
          <w:rFonts w:ascii="Arial" w:hAnsi="Arial" w:cs="Arial"/>
          <w:sz w:val="20"/>
          <w:szCs w:val="20"/>
          <w:lang w:val="en-GB"/>
        </w:rPr>
        <w:t xml:space="preserve">should be </w:t>
      </w:r>
      <w:r w:rsidRPr="00E506EA">
        <w:rPr>
          <w:rStyle w:val="normaltextrun"/>
          <w:rFonts w:ascii="Arial" w:hAnsi="Arial" w:cs="Arial"/>
          <w:sz w:val="20"/>
          <w:szCs w:val="20"/>
          <w:lang w:val="en-GB"/>
        </w:rPr>
        <w:t xml:space="preserve">avoided. Given that SFDR does not impose any material requirements for environmental or social characteristics that can be promoted as binding elements of the funds’ investment strategy, exclusion criteria, since based on certain environmental or social considerations, could be potentially qualified as relevant E/S characteristics that could be defined as relevant in the ESG templates for a product disclosing under Art.8 SFDR. This problem is particularly concrete and detrimental for those transition funds that, if they applied PAB-based exclusion criteria to the entire portfolio, would not be able to hold assets related to companies currently not green, but are </w:t>
      </w:r>
      <w:r w:rsidR="005E658D" w:rsidRPr="00E506EA">
        <w:rPr>
          <w:rStyle w:val="normaltextrun"/>
          <w:rFonts w:ascii="Arial" w:hAnsi="Arial" w:cs="Arial"/>
          <w:sz w:val="20"/>
          <w:szCs w:val="20"/>
          <w:lang w:val="en-GB"/>
        </w:rPr>
        <w:t>committed</w:t>
      </w:r>
      <w:r w:rsidRPr="00E506EA">
        <w:rPr>
          <w:rStyle w:val="normaltextrun"/>
          <w:rFonts w:ascii="Arial" w:hAnsi="Arial" w:cs="Arial"/>
          <w:sz w:val="20"/>
          <w:szCs w:val="20"/>
          <w:lang w:val="en-GB"/>
        </w:rPr>
        <w:t xml:space="preserve"> to the energy and sustainable transition, assets that could be qualified by the manager as " promoting E/S characteristics" under the SFDR. </w:t>
      </w:r>
      <w:r w:rsidRPr="00E506EA">
        <w:rPr>
          <w:rStyle w:val="eop"/>
          <w:rFonts w:ascii="Arial" w:hAnsi="Arial" w:cs="Arial"/>
          <w:sz w:val="20"/>
          <w:szCs w:val="20"/>
          <w:lang w:val="en-GB"/>
        </w:rPr>
        <w:t> </w:t>
      </w:r>
    </w:p>
    <w:p w14:paraId="3CCF54A7" w14:textId="77777777" w:rsidR="00FF3266" w:rsidRPr="00E506EA" w:rsidRDefault="00FF3266" w:rsidP="00FF3266">
      <w:pPr>
        <w:pStyle w:val="paragraph"/>
        <w:spacing w:before="0" w:beforeAutospacing="0" w:after="0" w:afterAutospacing="0"/>
        <w:textAlignment w:val="baseline"/>
        <w:rPr>
          <w:rFonts w:ascii="Arial" w:hAnsi="Arial" w:cs="Arial"/>
          <w:sz w:val="18"/>
          <w:szCs w:val="18"/>
          <w:lang w:val="en-GB"/>
        </w:rPr>
      </w:pPr>
      <w:r w:rsidRPr="00E506EA">
        <w:rPr>
          <w:rStyle w:val="eop"/>
          <w:rFonts w:ascii="Arial" w:hAnsi="Arial" w:cs="Arial"/>
          <w:sz w:val="20"/>
          <w:szCs w:val="20"/>
          <w:lang w:val="en-GB"/>
        </w:rPr>
        <w:t> </w:t>
      </w:r>
    </w:p>
    <w:p w14:paraId="78EF64CE" w14:textId="3939896C" w:rsidR="00FF3266" w:rsidRPr="00E506EA" w:rsidRDefault="00FF3266" w:rsidP="00FF3266">
      <w:pPr>
        <w:pStyle w:val="paragraph"/>
        <w:spacing w:before="0" w:beforeAutospacing="0" w:after="0" w:afterAutospacing="0"/>
        <w:textAlignment w:val="baseline"/>
        <w:rPr>
          <w:rFonts w:ascii="Arial" w:hAnsi="Arial" w:cs="Arial"/>
          <w:sz w:val="18"/>
          <w:szCs w:val="18"/>
          <w:lang w:val="en-GB"/>
        </w:rPr>
      </w:pPr>
      <w:r w:rsidRPr="00E506EA">
        <w:rPr>
          <w:rStyle w:val="normaltextrun"/>
          <w:rFonts w:ascii="Arial" w:hAnsi="Arial" w:cs="Arial"/>
          <w:sz w:val="20"/>
          <w:szCs w:val="20"/>
          <w:lang w:val="en-GB"/>
        </w:rPr>
        <w:t xml:space="preserve">Given these criticalities, </w:t>
      </w:r>
      <w:r w:rsidRPr="00E506EA">
        <w:rPr>
          <w:rStyle w:val="normaltextrun"/>
          <w:rFonts w:ascii="Arial" w:hAnsi="Arial" w:cs="Arial"/>
          <w:b/>
          <w:bCs/>
          <w:sz w:val="20"/>
          <w:szCs w:val="20"/>
          <w:lang w:val="en-GB"/>
        </w:rPr>
        <w:t>the adoption of minimum safeguards based on exclusion criteria applied to the entire portfolio is highly discouraged, especially if those are based on the minimum exclusions under the Paris-Aligned Benchmark (PAB)</w:t>
      </w:r>
      <w:r w:rsidRPr="00E506EA">
        <w:rPr>
          <w:rStyle w:val="normaltextrun"/>
          <w:rFonts w:ascii="Arial" w:hAnsi="Arial" w:cs="Arial"/>
          <w:sz w:val="20"/>
          <w:szCs w:val="20"/>
          <w:lang w:val="en-GB"/>
        </w:rPr>
        <w:t xml:space="preserve">. PAB minimum exclusions criteria were in fact designed to apply to very ambitious climate products and therefore are not suitable for a broader universe of ESG products; PAB exclusions may inhibit transition strategies especially in the energy sector, since they require fund managers to disinvest from certain company or sectors instead of incentivising the use of engagement tools for facilitating the transition. </w:t>
      </w:r>
      <w:r w:rsidRPr="00053F6B">
        <w:rPr>
          <w:rStyle w:val="normaltextrun"/>
          <w:rFonts w:ascii="Arial" w:hAnsi="Arial" w:cs="Arial"/>
          <w:sz w:val="20"/>
          <w:szCs w:val="20"/>
          <w:lang w:val="en-GB"/>
        </w:rPr>
        <w:t>It may be relatively more appropriate using the set of minimum exclusions proposed for Climate Transition Benchmark (CTB) as the reference for setting minimum safeguards.</w:t>
      </w:r>
      <w:r w:rsidRPr="00E506EA">
        <w:rPr>
          <w:rStyle w:val="normaltextrun"/>
          <w:rFonts w:ascii="Arial" w:hAnsi="Arial" w:cs="Arial"/>
          <w:sz w:val="20"/>
          <w:szCs w:val="20"/>
          <w:lang w:val="en-GB"/>
        </w:rPr>
        <w:t xml:space="preserve"> Exclusion criteria based both on CTB or PAB, however, are mainly climate-focused and therefore not suited for other labels or strategies which are not fully climate oriented (</w:t>
      </w:r>
      <w:proofErr w:type="spellStart"/>
      <w:r w:rsidRPr="00E506EA">
        <w:rPr>
          <w:rStyle w:val="normaltextrun"/>
          <w:rFonts w:ascii="Arial" w:hAnsi="Arial" w:cs="Arial"/>
          <w:sz w:val="20"/>
          <w:szCs w:val="20"/>
          <w:lang w:val="en-GB"/>
        </w:rPr>
        <w:t>eg</w:t>
      </w:r>
      <w:proofErr w:type="spellEnd"/>
      <w:r w:rsidRPr="00E506EA">
        <w:rPr>
          <w:rStyle w:val="normaltextrun"/>
          <w:rFonts w:ascii="Arial" w:hAnsi="Arial" w:cs="Arial"/>
          <w:sz w:val="20"/>
          <w:szCs w:val="20"/>
          <w:lang w:val="en-GB"/>
        </w:rPr>
        <w:t>: funds with a social objective).</w:t>
      </w:r>
      <w:r w:rsidRPr="00E506EA">
        <w:rPr>
          <w:rStyle w:val="eop"/>
          <w:rFonts w:ascii="Arial" w:hAnsi="Arial" w:cs="Arial"/>
          <w:sz w:val="20"/>
          <w:szCs w:val="20"/>
          <w:lang w:val="en-GB"/>
        </w:rPr>
        <w:t> </w:t>
      </w:r>
    </w:p>
    <w:p w14:paraId="12FB2062" w14:textId="77777777" w:rsidR="00FF3266" w:rsidRPr="00E506EA" w:rsidRDefault="00FF3266" w:rsidP="00FF3266">
      <w:pPr>
        <w:pStyle w:val="paragraph"/>
        <w:spacing w:before="0" w:beforeAutospacing="0" w:after="0" w:afterAutospacing="0"/>
        <w:textAlignment w:val="baseline"/>
        <w:rPr>
          <w:rFonts w:ascii="Arial" w:hAnsi="Arial" w:cs="Arial"/>
          <w:sz w:val="18"/>
          <w:szCs w:val="18"/>
          <w:lang w:val="en-GB"/>
        </w:rPr>
      </w:pPr>
      <w:r w:rsidRPr="00E506EA">
        <w:rPr>
          <w:rStyle w:val="eop"/>
          <w:rFonts w:ascii="Arial" w:hAnsi="Arial" w:cs="Arial"/>
          <w:sz w:val="20"/>
          <w:szCs w:val="20"/>
          <w:lang w:val="en-GB"/>
        </w:rPr>
        <w:t> </w:t>
      </w:r>
    </w:p>
    <w:p w14:paraId="471618A8" w14:textId="12315179" w:rsidR="00FF3266" w:rsidRPr="00E506EA" w:rsidRDefault="00FF3266" w:rsidP="00FF3266">
      <w:pPr>
        <w:pStyle w:val="paragraph"/>
        <w:spacing w:before="0" w:beforeAutospacing="0" w:after="0" w:afterAutospacing="0"/>
        <w:textAlignment w:val="baseline"/>
        <w:rPr>
          <w:rStyle w:val="eop"/>
          <w:rFonts w:ascii="Arial" w:hAnsi="Arial" w:cs="Arial"/>
          <w:sz w:val="20"/>
          <w:szCs w:val="20"/>
          <w:lang w:val="en-GB"/>
        </w:rPr>
      </w:pPr>
      <w:r w:rsidRPr="00E506EA">
        <w:rPr>
          <w:rStyle w:val="normaltextrun"/>
          <w:rFonts w:ascii="Arial" w:hAnsi="Arial" w:cs="Arial"/>
          <w:sz w:val="20"/>
          <w:szCs w:val="20"/>
          <w:lang w:val="en-GB"/>
        </w:rPr>
        <w:t xml:space="preserve">Therefore, we recommend the application of minimum safeguards to all the investments’ fund to enable overall coherence and consistency of its assets allocation and strategy, but </w:t>
      </w:r>
      <w:r w:rsidRPr="00E506EA">
        <w:rPr>
          <w:rStyle w:val="normaltextrun"/>
          <w:rFonts w:ascii="Arial" w:hAnsi="Arial" w:cs="Arial"/>
          <w:b/>
          <w:bCs/>
          <w:sz w:val="20"/>
          <w:szCs w:val="20"/>
          <w:lang w:val="en-GB"/>
        </w:rPr>
        <w:t xml:space="preserve">to design them </w:t>
      </w:r>
      <w:r w:rsidRPr="00E506EA">
        <w:rPr>
          <w:rStyle w:val="normaltextrun"/>
          <w:rFonts w:ascii="Arial" w:hAnsi="Arial" w:cs="Arial"/>
          <w:sz w:val="20"/>
          <w:szCs w:val="20"/>
          <w:lang w:val="en-GB"/>
        </w:rPr>
        <w:t xml:space="preserve">based on less stringent criteria, for example, </w:t>
      </w:r>
      <w:r w:rsidRPr="00E506EA">
        <w:rPr>
          <w:rStyle w:val="normaltextrun"/>
          <w:rFonts w:ascii="Arial" w:hAnsi="Arial" w:cs="Arial"/>
          <w:b/>
          <w:bCs/>
          <w:sz w:val="20"/>
          <w:szCs w:val="20"/>
          <w:lang w:val="en-GB"/>
        </w:rPr>
        <w:t xml:space="preserve">using as exclusions criteria the Violation of United Nations Global Compact (UNGC) principles or the Organisation for Economic Cooperation and Development (OECD) Guidelines for Multinational Enterprises. </w:t>
      </w:r>
      <w:r w:rsidRPr="00E506EA">
        <w:rPr>
          <w:rStyle w:val="eop"/>
          <w:rFonts w:ascii="Arial" w:hAnsi="Arial" w:cs="Arial"/>
          <w:sz w:val="20"/>
          <w:szCs w:val="20"/>
          <w:lang w:val="en-GB"/>
        </w:rPr>
        <w:t> </w:t>
      </w:r>
    </w:p>
    <w:p w14:paraId="090F5D09" w14:textId="77777777" w:rsidR="005E658D" w:rsidRPr="00E506EA" w:rsidRDefault="005E658D" w:rsidP="00FF3266">
      <w:pPr>
        <w:pStyle w:val="paragraph"/>
        <w:spacing w:before="0" w:beforeAutospacing="0" w:after="0" w:afterAutospacing="0"/>
        <w:textAlignment w:val="baseline"/>
        <w:rPr>
          <w:rFonts w:ascii="Arial" w:hAnsi="Arial" w:cs="Arial"/>
          <w:sz w:val="18"/>
          <w:szCs w:val="18"/>
          <w:lang w:val="en-GB"/>
        </w:rPr>
      </w:pPr>
    </w:p>
    <w:p w14:paraId="35BCC2B1" w14:textId="507999D2" w:rsidR="00FF3266" w:rsidRPr="00FF3266" w:rsidRDefault="00FF3266" w:rsidP="00FF3266">
      <w:pPr>
        <w:pStyle w:val="paragraph"/>
        <w:spacing w:before="0" w:beforeAutospacing="0" w:after="0" w:afterAutospacing="0"/>
        <w:textAlignment w:val="baseline"/>
        <w:rPr>
          <w:rFonts w:ascii="Segoe UI" w:hAnsi="Segoe UI" w:cs="Segoe UI"/>
          <w:sz w:val="18"/>
          <w:szCs w:val="18"/>
          <w:lang w:val="en-GB"/>
        </w:rPr>
      </w:pPr>
      <w:r w:rsidRPr="00E506EA">
        <w:rPr>
          <w:rStyle w:val="normaltextrun"/>
          <w:rFonts w:ascii="Arial" w:hAnsi="Arial" w:cs="Arial"/>
          <w:sz w:val="20"/>
          <w:szCs w:val="20"/>
          <w:lang w:val="en-GB"/>
        </w:rPr>
        <w:t xml:space="preserve">This requirement would also more easily find alignment with the </w:t>
      </w:r>
      <w:r w:rsidR="005E658D" w:rsidRPr="00E506EA">
        <w:rPr>
          <w:rStyle w:val="normaltextrun"/>
          <w:rFonts w:ascii="Arial" w:hAnsi="Arial" w:cs="Arial"/>
          <w:sz w:val="20"/>
          <w:szCs w:val="20"/>
          <w:lang w:val="en-GB"/>
        </w:rPr>
        <w:t>current</w:t>
      </w:r>
      <w:r w:rsidRPr="00E506EA">
        <w:rPr>
          <w:rStyle w:val="normaltextrun"/>
          <w:rFonts w:ascii="Arial" w:hAnsi="Arial" w:cs="Arial"/>
          <w:sz w:val="20"/>
          <w:szCs w:val="20"/>
          <w:lang w:val="en-GB"/>
        </w:rPr>
        <w:t xml:space="preserve"> SFDR </w:t>
      </w:r>
      <w:r w:rsidR="005E658D" w:rsidRPr="00E506EA">
        <w:rPr>
          <w:rStyle w:val="normaltextrun"/>
          <w:rFonts w:ascii="Arial" w:hAnsi="Arial" w:cs="Arial"/>
          <w:sz w:val="20"/>
          <w:szCs w:val="20"/>
          <w:lang w:val="en-GB"/>
        </w:rPr>
        <w:t>disclosure</w:t>
      </w:r>
      <w:r w:rsidRPr="00E506EA">
        <w:rPr>
          <w:rStyle w:val="normaltextrun"/>
          <w:rFonts w:ascii="Arial" w:hAnsi="Arial" w:cs="Arial"/>
          <w:sz w:val="20"/>
          <w:szCs w:val="20"/>
          <w:lang w:val="en-GB"/>
        </w:rPr>
        <w:t xml:space="preserve"> </w:t>
      </w:r>
      <w:r w:rsidR="005E658D" w:rsidRPr="00E506EA">
        <w:rPr>
          <w:rStyle w:val="normaltextrun"/>
          <w:rFonts w:ascii="Arial" w:hAnsi="Arial" w:cs="Arial"/>
          <w:sz w:val="20"/>
          <w:szCs w:val="20"/>
          <w:lang w:val="en-GB"/>
        </w:rPr>
        <w:t>where</w:t>
      </w:r>
      <w:r w:rsidRPr="00E506EA">
        <w:rPr>
          <w:rStyle w:val="normaltextrun"/>
          <w:rFonts w:ascii="Arial" w:hAnsi="Arial" w:cs="Arial"/>
          <w:sz w:val="20"/>
          <w:szCs w:val="20"/>
          <w:lang w:val="en-GB"/>
        </w:rPr>
        <w:t xml:space="preserve"> in the template there is a specific question that refers </w:t>
      </w:r>
      <w:r w:rsidR="005E658D" w:rsidRPr="00E506EA">
        <w:rPr>
          <w:rStyle w:val="normaltextrun"/>
          <w:rFonts w:ascii="Arial" w:hAnsi="Arial" w:cs="Arial"/>
          <w:sz w:val="20"/>
          <w:szCs w:val="20"/>
          <w:lang w:val="en-GB"/>
        </w:rPr>
        <w:t xml:space="preserve">to </w:t>
      </w:r>
      <w:r w:rsidRPr="00E506EA">
        <w:rPr>
          <w:rStyle w:val="normaltextrun"/>
          <w:rFonts w:ascii="Arial" w:hAnsi="Arial" w:cs="Arial"/>
          <w:sz w:val="20"/>
          <w:szCs w:val="20"/>
          <w:lang w:val="en-GB"/>
        </w:rPr>
        <w:t>t</w:t>
      </w:r>
      <w:r w:rsidR="005E658D" w:rsidRPr="00E506EA">
        <w:rPr>
          <w:rStyle w:val="normaltextrun"/>
          <w:rFonts w:ascii="Arial" w:hAnsi="Arial" w:cs="Arial"/>
          <w:sz w:val="20"/>
          <w:szCs w:val="20"/>
          <w:lang w:val="en-GB"/>
        </w:rPr>
        <w:t>hese criteria</w:t>
      </w:r>
      <w:r w:rsidRPr="00E506EA">
        <w:rPr>
          <w:rStyle w:val="normaltextrun"/>
          <w:rFonts w:ascii="Arial" w:hAnsi="Arial" w:cs="Arial"/>
          <w:sz w:val="20"/>
          <w:szCs w:val="20"/>
          <w:lang w:val="en-GB"/>
        </w:rPr>
        <w:t xml:space="preserve">, but it also refers to one of the indicators that </w:t>
      </w:r>
      <w:r w:rsidR="00053F6B">
        <w:rPr>
          <w:rStyle w:val="normaltextrun"/>
          <w:rFonts w:ascii="Arial" w:hAnsi="Arial" w:cs="Arial"/>
          <w:sz w:val="20"/>
          <w:szCs w:val="20"/>
          <w:lang w:val="en-GB"/>
        </w:rPr>
        <w:t>financial participants</w:t>
      </w:r>
      <w:r w:rsidRPr="00E506EA">
        <w:rPr>
          <w:rStyle w:val="normaltextrun"/>
          <w:rFonts w:ascii="Arial" w:hAnsi="Arial" w:cs="Arial"/>
          <w:sz w:val="20"/>
          <w:szCs w:val="20"/>
          <w:lang w:val="en-GB"/>
        </w:rPr>
        <w:t xml:space="preserve"> </w:t>
      </w:r>
      <w:r w:rsidR="00053F6B" w:rsidRPr="00E506EA">
        <w:rPr>
          <w:rStyle w:val="normaltextrun"/>
          <w:rFonts w:ascii="Arial" w:hAnsi="Arial" w:cs="Arial"/>
          <w:sz w:val="20"/>
          <w:szCs w:val="20"/>
          <w:lang w:val="en-GB"/>
        </w:rPr>
        <w:t>must</w:t>
      </w:r>
      <w:r w:rsidRPr="00E506EA">
        <w:rPr>
          <w:rStyle w:val="normaltextrun"/>
          <w:rFonts w:ascii="Arial" w:hAnsi="Arial" w:cs="Arial"/>
          <w:sz w:val="20"/>
          <w:szCs w:val="20"/>
          <w:lang w:val="en-GB"/>
        </w:rPr>
        <w:t xml:space="preserve"> disclose under SFDR regulation, calculated as share of investments in investee companies that have been involved in violations of the UNGC principles or OECD Guidelines for Multinational Enterprises.</w:t>
      </w:r>
      <w:r w:rsidRPr="00E506EA">
        <w:rPr>
          <w:rStyle w:val="eop"/>
          <w:rFonts w:ascii="Arial" w:hAnsi="Arial" w:cs="Arial"/>
          <w:sz w:val="20"/>
          <w:szCs w:val="20"/>
          <w:lang w:val="en-GB"/>
        </w:rPr>
        <w:t> </w:t>
      </w:r>
    </w:p>
    <w:permEnd w:id="175976681"/>
    <w:p w14:paraId="6EE97467" w14:textId="59294300"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294FF753" w14:textId="66DCE417" w:rsidR="004A3774" w:rsidRPr="00053F6B" w:rsidRDefault="004A3774" w:rsidP="004A3774">
      <w:pPr>
        <w:pStyle w:val="NormaleWeb"/>
        <w:rPr>
          <w:rFonts w:ascii="Arial" w:hAnsi="Arial" w:cs="Arial"/>
          <w:sz w:val="20"/>
          <w:szCs w:val="20"/>
          <w:lang w:eastAsia="it-IT"/>
        </w:rPr>
      </w:pPr>
      <w:permStart w:id="576722602" w:edGrp="everyone"/>
      <w:r w:rsidRPr="00053F6B">
        <w:rPr>
          <w:rFonts w:ascii="Arial" w:hAnsi="Arial" w:cs="Arial"/>
          <w:sz w:val="20"/>
          <w:szCs w:val="20"/>
        </w:rPr>
        <w:t xml:space="preserve">In </w:t>
      </w:r>
      <w:proofErr w:type="spellStart"/>
      <w:r w:rsidRPr="00053F6B">
        <w:rPr>
          <w:rFonts w:ascii="Arial" w:hAnsi="Arial" w:cs="Arial"/>
          <w:sz w:val="20"/>
          <w:szCs w:val="20"/>
        </w:rPr>
        <w:t>our</w:t>
      </w:r>
      <w:proofErr w:type="spellEnd"/>
      <w:r w:rsidRPr="00053F6B">
        <w:rPr>
          <w:rFonts w:ascii="Arial" w:hAnsi="Arial" w:cs="Arial"/>
          <w:sz w:val="20"/>
          <w:szCs w:val="20"/>
        </w:rPr>
        <w:t xml:space="preserve"> </w:t>
      </w:r>
      <w:proofErr w:type="spellStart"/>
      <w:r w:rsidRPr="00053F6B">
        <w:rPr>
          <w:rFonts w:ascii="Arial" w:hAnsi="Arial" w:cs="Arial"/>
          <w:sz w:val="20"/>
          <w:szCs w:val="20"/>
        </w:rPr>
        <w:t>view</w:t>
      </w:r>
      <w:proofErr w:type="spellEnd"/>
      <w:r w:rsidRPr="00053F6B">
        <w:rPr>
          <w:rFonts w:ascii="Arial" w:hAnsi="Arial" w:cs="Arial"/>
          <w:sz w:val="20"/>
          <w:szCs w:val="20"/>
        </w:rPr>
        <w:t xml:space="preserve">, </w:t>
      </w:r>
      <w:r w:rsidRPr="00053F6B">
        <w:rPr>
          <w:rStyle w:val="Enfasigrassetto"/>
          <w:rFonts w:ascii="Arial" w:hAnsi="Arial" w:cs="Arial"/>
          <w:sz w:val="20"/>
          <w:szCs w:val="20"/>
        </w:rPr>
        <w:t xml:space="preserve">ESMA Guidelines </w:t>
      </w:r>
      <w:proofErr w:type="spellStart"/>
      <w:r w:rsidRPr="00053F6B">
        <w:rPr>
          <w:rStyle w:val="Enfasigrassetto"/>
          <w:rFonts w:ascii="Arial" w:hAnsi="Arial" w:cs="Arial"/>
          <w:sz w:val="20"/>
          <w:szCs w:val="20"/>
        </w:rPr>
        <w:t>should</w:t>
      </w:r>
      <w:proofErr w:type="spellEnd"/>
      <w:r w:rsidRPr="00053F6B">
        <w:rPr>
          <w:rStyle w:val="Enfasigrassetto"/>
          <w:rFonts w:ascii="Arial" w:hAnsi="Arial" w:cs="Arial"/>
          <w:sz w:val="20"/>
          <w:szCs w:val="20"/>
        </w:rPr>
        <w:t xml:space="preserve"> </w:t>
      </w:r>
      <w:proofErr w:type="spellStart"/>
      <w:r w:rsidRPr="00053F6B">
        <w:rPr>
          <w:rStyle w:val="Enfasigrassetto"/>
          <w:rFonts w:ascii="Arial" w:hAnsi="Arial" w:cs="Arial"/>
          <w:sz w:val="20"/>
          <w:szCs w:val="20"/>
        </w:rPr>
        <w:t>abstain</w:t>
      </w:r>
      <w:proofErr w:type="spellEnd"/>
      <w:r w:rsidRPr="00053F6B">
        <w:rPr>
          <w:rStyle w:val="Enfasigrassetto"/>
          <w:rFonts w:ascii="Arial" w:hAnsi="Arial" w:cs="Arial"/>
          <w:sz w:val="20"/>
          <w:szCs w:val="20"/>
        </w:rPr>
        <w:t xml:space="preserve"> </w:t>
      </w:r>
      <w:proofErr w:type="spellStart"/>
      <w:r w:rsidRPr="00053F6B">
        <w:rPr>
          <w:rStyle w:val="Enfasigrassetto"/>
          <w:rFonts w:ascii="Arial" w:hAnsi="Arial" w:cs="Arial"/>
          <w:sz w:val="20"/>
          <w:szCs w:val="20"/>
        </w:rPr>
        <w:t>from</w:t>
      </w:r>
      <w:proofErr w:type="spellEnd"/>
      <w:r w:rsidRPr="00053F6B">
        <w:rPr>
          <w:rStyle w:val="Enfasigrassetto"/>
          <w:rFonts w:ascii="Arial" w:hAnsi="Arial" w:cs="Arial"/>
          <w:sz w:val="20"/>
          <w:szCs w:val="20"/>
        </w:rPr>
        <w:t xml:space="preserve"> </w:t>
      </w:r>
      <w:proofErr w:type="spellStart"/>
      <w:r w:rsidRPr="00053F6B">
        <w:rPr>
          <w:rStyle w:val="Enfasigrassetto"/>
          <w:rFonts w:ascii="Arial" w:hAnsi="Arial" w:cs="Arial"/>
          <w:sz w:val="20"/>
          <w:szCs w:val="20"/>
        </w:rPr>
        <w:t>any</w:t>
      </w:r>
      <w:proofErr w:type="spellEnd"/>
      <w:r w:rsidRPr="00053F6B">
        <w:rPr>
          <w:rStyle w:val="Enfasigrassetto"/>
          <w:rFonts w:ascii="Arial" w:hAnsi="Arial" w:cs="Arial"/>
          <w:sz w:val="20"/>
          <w:szCs w:val="20"/>
        </w:rPr>
        <w:t xml:space="preserve"> </w:t>
      </w:r>
      <w:proofErr w:type="spellStart"/>
      <w:r w:rsidRPr="00053F6B">
        <w:rPr>
          <w:rStyle w:val="Enfasigrassetto"/>
          <w:rFonts w:ascii="Arial" w:hAnsi="Arial" w:cs="Arial"/>
          <w:sz w:val="20"/>
          <w:szCs w:val="20"/>
        </w:rPr>
        <w:t>specific</w:t>
      </w:r>
      <w:proofErr w:type="spellEnd"/>
      <w:r w:rsidRPr="00053F6B">
        <w:rPr>
          <w:rStyle w:val="Enfasigrassetto"/>
          <w:rFonts w:ascii="Arial" w:hAnsi="Arial" w:cs="Arial"/>
          <w:sz w:val="20"/>
          <w:szCs w:val="20"/>
        </w:rPr>
        <w:t xml:space="preserve"> provisions for </w:t>
      </w:r>
      <w:proofErr w:type="spellStart"/>
      <w:r w:rsidRPr="00053F6B">
        <w:rPr>
          <w:rStyle w:val="Enfasigrassetto"/>
          <w:rFonts w:ascii="Arial" w:hAnsi="Arial" w:cs="Arial"/>
          <w:sz w:val="20"/>
          <w:szCs w:val="20"/>
        </w:rPr>
        <w:t>calculating</w:t>
      </w:r>
      <w:proofErr w:type="spellEnd"/>
      <w:r w:rsidRPr="00053F6B">
        <w:rPr>
          <w:rStyle w:val="Enfasigrassetto"/>
          <w:rFonts w:ascii="Arial" w:hAnsi="Arial" w:cs="Arial"/>
          <w:sz w:val="20"/>
          <w:szCs w:val="20"/>
        </w:rPr>
        <w:t xml:space="preserve"> </w:t>
      </w:r>
      <w:proofErr w:type="spellStart"/>
      <w:r w:rsidRPr="00053F6B">
        <w:rPr>
          <w:rStyle w:val="Enfasigrassetto"/>
          <w:rFonts w:ascii="Arial" w:hAnsi="Arial" w:cs="Arial"/>
          <w:sz w:val="20"/>
          <w:szCs w:val="20"/>
        </w:rPr>
        <w:t>thresholds</w:t>
      </w:r>
      <w:proofErr w:type="spellEnd"/>
      <w:r w:rsidRPr="00053F6B">
        <w:rPr>
          <w:rStyle w:val="Enfasigrassetto"/>
          <w:rFonts w:ascii="Arial" w:hAnsi="Arial" w:cs="Arial"/>
          <w:sz w:val="20"/>
          <w:szCs w:val="20"/>
        </w:rPr>
        <w:t xml:space="preserve"> in relation to </w:t>
      </w:r>
      <w:proofErr w:type="spellStart"/>
      <w:r w:rsidRPr="00053F6B">
        <w:rPr>
          <w:rStyle w:val="Enfasigrassetto"/>
          <w:rFonts w:ascii="Arial" w:hAnsi="Arial" w:cs="Arial"/>
          <w:sz w:val="20"/>
          <w:szCs w:val="20"/>
        </w:rPr>
        <w:t>derivatives</w:t>
      </w:r>
      <w:proofErr w:type="spellEnd"/>
      <w:r w:rsidRPr="00053F6B">
        <w:rPr>
          <w:rStyle w:val="Enfasigrassetto"/>
          <w:rFonts w:ascii="Arial" w:hAnsi="Arial" w:cs="Arial"/>
          <w:sz w:val="20"/>
          <w:szCs w:val="20"/>
        </w:rPr>
        <w:t xml:space="preserve"> or </w:t>
      </w:r>
      <w:proofErr w:type="spellStart"/>
      <w:r w:rsidRPr="00053F6B">
        <w:rPr>
          <w:rStyle w:val="Enfasigrassetto"/>
          <w:rFonts w:ascii="Arial" w:hAnsi="Arial" w:cs="Arial"/>
          <w:sz w:val="20"/>
          <w:szCs w:val="20"/>
        </w:rPr>
        <w:t>any</w:t>
      </w:r>
      <w:proofErr w:type="spellEnd"/>
      <w:r w:rsidRPr="00053F6B">
        <w:rPr>
          <w:rStyle w:val="Enfasigrassetto"/>
          <w:rFonts w:ascii="Arial" w:hAnsi="Arial" w:cs="Arial"/>
          <w:sz w:val="20"/>
          <w:szCs w:val="20"/>
        </w:rPr>
        <w:t xml:space="preserve"> </w:t>
      </w:r>
      <w:proofErr w:type="spellStart"/>
      <w:r w:rsidRPr="00053F6B">
        <w:rPr>
          <w:rStyle w:val="Enfasigrassetto"/>
          <w:rFonts w:ascii="Arial" w:hAnsi="Arial" w:cs="Arial"/>
          <w:sz w:val="20"/>
          <w:szCs w:val="20"/>
        </w:rPr>
        <w:t>other</w:t>
      </w:r>
      <w:proofErr w:type="spellEnd"/>
      <w:r w:rsidRPr="00053F6B">
        <w:rPr>
          <w:rStyle w:val="Enfasigrassetto"/>
          <w:rFonts w:ascii="Arial" w:hAnsi="Arial" w:cs="Arial"/>
          <w:sz w:val="20"/>
          <w:szCs w:val="20"/>
        </w:rPr>
        <w:t xml:space="preserve"> assets</w:t>
      </w:r>
      <w:r w:rsidRPr="00053F6B">
        <w:rPr>
          <w:rFonts w:ascii="Arial" w:hAnsi="Arial" w:cs="Arial"/>
          <w:sz w:val="20"/>
          <w:szCs w:val="20"/>
        </w:rPr>
        <w:t xml:space="preserve">. This </w:t>
      </w:r>
      <w:proofErr w:type="spellStart"/>
      <w:r w:rsidRPr="00053F6B">
        <w:rPr>
          <w:rFonts w:ascii="Arial" w:hAnsi="Arial" w:cs="Arial"/>
          <w:sz w:val="20"/>
          <w:szCs w:val="20"/>
        </w:rPr>
        <w:t>is</w:t>
      </w:r>
      <w:proofErr w:type="spellEnd"/>
      <w:r w:rsidRPr="00053F6B">
        <w:rPr>
          <w:rFonts w:ascii="Arial" w:hAnsi="Arial" w:cs="Arial"/>
          <w:sz w:val="20"/>
          <w:szCs w:val="20"/>
        </w:rPr>
        <w:t xml:space="preserve"> </w:t>
      </w:r>
      <w:proofErr w:type="spellStart"/>
      <w:r w:rsidRPr="00053F6B">
        <w:rPr>
          <w:rFonts w:ascii="Arial" w:hAnsi="Arial" w:cs="Arial"/>
          <w:sz w:val="20"/>
          <w:szCs w:val="20"/>
        </w:rPr>
        <w:t>because</w:t>
      </w:r>
      <w:proofErr w:type="spellEnd"/>
      <w:r w:rsidRPr="00053F6B">
        <w:rPr>
          <w:rFonts w:ascii="Arial" w:hAnsi="Arial" w:cs="Arial"/>
          <w:sz w:val="20"/>
          <w:szCs w:val="20"/>
        </w:rPr>
        <w:t xml:space="preserve"> </w:t>
      </w:r>
      <w:proofErr w:type="spellStart"/>
      <w:r w:rsidRPr="00053F6B">
        <w:rPr>
          <w:rStyle w:val="Enfasigrassetto"/>
          <w:rFonts w:ascii="Arial" w:hAnsi="Arial" w:cs="Arial"/>
          <w:sz w:val="20"/>
          <w:szCs w:val="20"/>
        </w:rPr>
        <w:t>calculation</w:t>
      </w:r>
      <w:proofErr w:type="spellEnd"/>
      <w:r w:rsidRPr="00053F6B">
        <w:rPr>
          <w:rStyle w:val="Enfasigrassetto"/>
          <w:rFonts w:ascii="Arial" w:hAnsi="Arial" w:cs="Arial"/>
          <w:sz w:val="20"/>
          <w:szCs w:val="20"/>
        </w:rPr>
        <w:t xml:space="preserve"> of the minimum </w:t>
      </w:r>
      <w:proofErr w:type="spellStart"/>
      <w:r w:rsidRPr="00053F6B">
        <w:rPr>
          <w:rStyle w:val="Enfasigrassetto"/>
          <w:rFonts w:ascii="Arial" w:hAnsi="Arial" w:cs="Arial"/>
          <w:sz w:val="20"/>
          <w:szCs w:val="20"/>
        </w:rPr>
        <w:t>commitments</w:t>
      </w:r>
      <w:proofErr w:type="spellEnd"/>
      <w:r w:rsidRPr="00053F6B">
        <w:rPr>
          <w:rFonts w:ascii="Arial" w:hAnsi="Arial" w:cs="Arial"/>
          <w:sz w:val="20"/>
          <w:szCs w:val="20"/>
        </w:rPr>
        <w:t xml:space="preserve"> </w:t>
      </w:r>
      <w:proofErr w:type="spellStart"/>
      <w:r w:rsidRPr="00053F6B">
        <w:rPr>
          <w:rFonts w:ascii="Arial" w:hAnsi="Arial" w:cs="Arial"/>
          <w:sz w:val="20"/>
          <w:szCs w:val="20"/>
        </w:rPr>
        <w:t>that</w:t>
      </w:r>
      <w:proofErr w:type="spellEnd"/>
      <w:r w:rsidRPr="00053F6B">
        <w:rPr>
          <w:rFonts w:ascii="Arial" w:hAnsi="Arial" w:cs="Arial"/>
          <w:sz w:val="20"/>
          <w:szCs w:val="20"/>
        </w:rPr>
        <w:t xml:space="preserve"> are relevant in </w:t>
      </w:r>
      <w:proofErr w:type="spellStart"/>
      <w:r w:rsidRPr="00053F6B">
        <w:rPr>
          <w:rFonts w:ascii="Arial" w:hAnsi="Arial" w:cs="Arial"/>
          <w:sz w:val="20"/>
          <w:szCs w:val="20"/>
        </w:rPr>
        <w:t>terms</w:t>
      </w:r>
      <w:proofErr w:type="spellEnd"/>
      <w:r w:rsidRPr="00053F6B">
        <w:rPr>
          <w:rFonts w:ascii="Arial" w:hAnsi="Arial" w:cs="Arial"/>
          <w:sz w:val="20"/>
          <w:szCs w:val="20"/>
        </w:rPr>
        <w:t xml:space="preserve"> of the </w:t>
      </w:r>
      <w:proofErr w:type="spellStart"/>
      <w:r w:rsidRPr="00053F6B">
        <w:rPr>
          <w:rFonts w:ascii="Arial" w:hAnsi="Arial" w:cs="Arial"/>
          <w:sz w:val="20"/>
          <w:szCs w:val="20"/>
        </w:rPr>
        <w:t>thresholds</w:t>
      </w:r>
      <w:proofErr w:type="spellEnd"/>
      <w:r w:rsidRPr="00053F6B">
        <w:rPr>
          <w:rFonts w:ascii="Arial" w:hAnsi="Arial" w:cs="Arial"/>
          <w:sz w:val="20"/>
          <w:szCs w:val="20"/>
        </w:rPr>
        <w:t xml:space="preserve"> </w:t>
      </w:r>
      <w:proofErr w:type="spellStart"/>
      <w:r w:rsidRPr="00053F6B">
        <w:rPr>
          <w:rFonts w:ascii="Arial" w:hAnsi="Arial" w:cs="Arial"/>
          <w:sz w:val="20"/>
          <w:szCs w:val="20"/>
        </w:rPr>
        <w:t>takes</w:t>
      </w:r>
      <w:proofErr w:type="spellEnd"/>
      <w:r w:rsidRPr="00053F6B">
        <w:rPr>
          <w:rFonts w:ascii="Arial" w:hAnsi="Arial" w:cs="Arial"/>
          <w:sz w:val="20"/>
          <w:szCs w:val="20"/>
        </w:rPr>
        <w:t xml:space="preserve"> place </w:t>
      </w:r>
      <w:proofErr w:type="spellStart"/>
      <w:r w:rsidRPr="00053F6B">
        <w:rPr>
          <w:rFonts w:ascii="Arial" w:hAnsi="Arial" w:cs="Arial"/>
          <w:sz w:val="20"/>
          <w:szCs w:val="20"/>
        </w:rPr>
        <w:t>under</w:t>
      </w:r>
      <w:proofErr w:type="spellEnd"/>
      <w:r w:rsidRPr="00053F6B">
        <w:rPr>
          <w:rFonts w:ascii="Arial" w:hAnsi="Arial" w:cs="Arial"/>
          <w:sz w:val="20"/>
          <w:szCs w:val="20"/>
        </w:rPr>
        <w:t xml:space="preserve"> SFDR and </w:t>
      </w:r>
      <w:proofErr w:type="spellStart"/>
      <w:r w:rsidRPr="00053F6B">
        <w:rPr>
          <w:rFonts w:ascii="Arial" w:hAnsi="Arial" w:cs="Arial"/>
          <w:sz w:val="20"/>
          <w:szCs w:val="20"/>
        </w:rPr>
        <w:t>should</w:t>
      </w:r>
      <w:proofErr w:type="spellEnd"/>
      <w:r w:rsidRPr="00053F6B">
        <w:rPr>
          <w:rFonts w:ascii="Arial" w:hAnsi="Arial" w:cs="Arial"/>
          <w:sz w:val="20"/>
          <w:szCs w:val="20"/>
        </w:rPr>
        <w:t xml:space="preserve"> </w:t>
      </w:r>
      <w:proofErr w:type="spellStart"/>
      <w:r w:rsidRPr="00053F6B">
        <w:rPr>
          <w:rFonts w:ascii="Arial" w:hAnsi="Arial" w:cs="Arial"/>
          <w:sz w:val="20"/>
          <w:szCs w:val="20"/>
        </w:rPr>
        <w:t>be</w:t>
      </w:r>
      <w:proofErr w:type="spellEnd"/>
      <w:r w:rsidRPr="00053F6B">
        <w:rPr>
          <w:rFonts w:ascii="Arial" w:hAnsi="Arial" w:cs="Arial"/>
          <w:sz w:val="20"/>
          <w:szCs w:val="20"/>
        </w:rPr>
        <w:t xml:space="preserve"> </w:t>
      </w:r>
      <w:proofErr w:type="spellStart"/>
      <w:r w:rsidRPr="00053F6B">
        <w:rPr>
          <w:rStyle w:val="Enfasigrassetto"/>
          <w:rFonts w:ascii="Arial" w:hAnsi="Arial" w:cs="Arial"/>
          <w:sz w:val="20"/>
          <w:szCs w:val="20"/>
        </w:rPr>
        <w:t>exclusively</w:t>
      </w:r>
      <w:proofErr w:type="spellEnd"/>
      <w:r w:rsidRPr="00053F6B">
        <w:rPr>
          <w:rStyle w:val="Enfasigrassetto"/>
          <w:rFonts w:ascii="Arial" w:hAnsi="Arial" w:cs="Arial"/>
          <w:sz w:val="20"/>
          <w:szCs w:val="20"/>
        </w:rPr>
        <w:t xml:space="preserve"> </w:t>
      </w:r>
      <w:proofErr w:type="spellStart"/>
      <w:r w:rsidRPr="00053F6B">
        <w:rPr>
          <w:rStyle w:val="Enfasigrassetto"/>
          <w:rFonts w:ascii="Arial" w:hAnsi="Arial" w:cs="Arial"/>
          <w:sz w:val="20"/>
          <w:szCs w:val="20"/>
        </w:rPr>
        <w:t>governed</w:t>
      </w:r>
      <w:proofErr w:type="spellEnd"/>
      <w:r w:rsidRPr="00053F6B">
        <w:rPr>
          <w:rStyle w:val="Enfasigrassetto"/>
          <w:rFonts w:ascii="Arial" w:hAnsi="Arial" w:cs="Arial"/>
          <w:sz w:val="20"/>
          <w:szCs w:val="20"/>
        </w:rPr>
        <w:t xml:space="preserve"> by SFDR </w:t>
      </w:r>
      <w:proofErr w:type="spellStart"/>
      <w:r w:rsidRPr="00053F6B">
        <w:rPr>
          <w:rStyle w:val="Enfasigrassetto"/>
          <w:rFonts w:ascii="Arial" w:hAnsi="Arial" w:cs="Arial"/>
          <w:sz w:val="20"/>
          <w:szCs w:val="20"/>
        </w:rPr>
        <w:t>rules</w:t>
      </w:r>
      <w:proofErr w:type="spellEnd"/>
      <w:r w:rsidRPr="00053F6B">
        <w:rPr>
          <w:rFonts w:ascii="Arial" w:hAnsi="Arial" w:cs="Arial"/>
          <w:sz w:val="20"/>
          <w:szCs w:val="20"/>
        </w:rPr>
        <w:t xml:space="preserve"> </w:t>
      </w:r>
      <w:proofErr w:type="spellStart"/>
      <w:r w:rsidRPr="00053F6B">
        <w:rPr>
          <w:rFonts w:ascii="Arial" w:hAnsi="Arial" w:cs="Arial"/>
          <w:sz w:val="20"/>
          <w:szCs w:val="20"/>
        </w:rPr>
        <w:t>that</w:t>
      </w:r>
      <w:proofErr w:type="spellEnd"/>
      <w:r w:rsidRPr="00053F6B">
        <w:rPr>
          <w:rFonts w:ascii="Arial" w:hAnsi="Arial" w:cs="Arial"/>
          <w:sz w:val="20"/>
          <w:szCs w:val="20"/>
        </w:rPr>
        <w:t xml:space="preserve"> </w:t>
      </w:r>
      <w:proofErr w:type="spellStart"/>
      <w:r w:rsidRPr="00053F6B">
        <w:rPr>
          <w:rFonts w:ascii="Arial" w:hAnsi="Arial" w:cs="Arial"/>
          <w:sz w:val="20"/>
          <w:szCs w:val="20"/>
        </w:rPr>
        <w:t>apply</w:t>
      </w:r>
      <w:proofErr w:type="spellEnd"/>
      <w:r w:rsidRPr="00053F6B">
        <w:rPr>
          <w:rFonts w:ascii="Arial" w:hAnsi="Arial" w:cs="Arial"/>
          <w:sz w:val="20"/>
          <w:szCs w:val="20"/>
        </w:rPr>
        <w:t xml:space="preserve"> </w:t>
      </w:r>
      <w:proofErr w:type="spellStart"/>
      <w:r w:rsidRPr="00053F6B">
        <w:rPr>
          <w:rFonts w:ascii="Arial" w:hAnsi="Arial" w:cs="Arial"/>
          <w:sz w:val="20"/>
          <w:szCs w:val="20"/>
        </w:rPr>
        <w:t>likewise</w:t>
      </w:r>
      <w:proofErr w:type="spellEnd"/>
      <w:r w:rsidRPr="00053F6B">
        <w:rPr>
          <w:rFonts w:ascii="Arial" w:hAnsi="Arial" w:cs="Arial"/>
          <w:sz w:val="20"/>
          <w:szCs w:val="20"/>
        </w:rPr>
        <w:t xml:space="preserve"> to </w:t>
      </w:r>
      <w:proofErr w:type="spellStart"/>
      <w:r w:rsidRPr="00053F6B">
        <w:rPr>
          <w:rFonts w:ascii="Arial" w:hAnsi="Arial" w:cs="Arial"/>
          <w:sz w:val="20"/>
          <w:szCs w:val="20"/>
        </w:rPr>
        <w:t>funds</w:t>
      </w:r>
      <w:proofErr w:type="spellEnd"/>
      <w:r w:rsidRPr="00053F6B">
        <w:rPr>
          <w:rFonts w:ascii="Arial" w:hAnsi="Arial" w:cs="Arial"/>
          <w:sz w:val="20"/>
          <w:szCs w:val="20"/>
        </w:rPr>
        <w:t xml:space="preserve"> and </w:t>
      </w:r>
      <w:proofErr w:type="spellStart"/>
      <w:r w:rsidRPr="00053F6B">
        <w:rPr>
          <w:rFonts w:ascii="Arial" w:hAnsi="Arial" w:cs="Arial"/>
          <w:sz w:val="20"/>
          <w:szCs w:val="20"/>
        </w:rPr>
        <w:t>other</w:t>
      </w:r>
      <w:proofErr w:type="spellEnd"/>
      <w:r w:rsidRPr="00053F6B">
        <w:rPr>
          <w:rFonts w:ascii="Arial" w:hAnsi="Arial" w:cs="Arial"/>
          <w:sz w:val="20"/>
          <w:szCs w:val="20"/>
        </w:rPr>
        <w:t xml:space="preserve"> relevant </w:t>
      </w:r>
      <w:proofErr w:type="spellStart"/>
      <w:r w:rsidRPr="00053F6B">
        <w:rPr>
          <w:rFonts w:ascii="Arial" w:hAnsi="Arial" w:cs="Arial"/>
          <w:sz w:val="20"/>
          <w:szCs w:val="20"/>
        </w:rPr>
        <w:t>financial</w:t>
      </w:r>
      <w:proofErr w:type="spellEnd"/>
      <w:r w:rsidRPr="00053F6B">
        <w:rPr>
          <w:rFonts w:ascii="Arial" w:hAnsi="Arial" w:cs="Arial"/>
          <w:sz w:val="20"/>
          <w:szCs w:val="20"/>
        </w:rPr>
        <w:t xml:space="preserve"> </w:t>
      </w:r>
      <w:proofErr w:type="spellStart"/>
      <w:r w:rsidRPr="00053F6B">
        <w:rPr>
          <w:rFonts w:ascii="Arial" w:hAnsi="Arial" w:cs="Arial"/>
          <w:sz w:val="20"/>
          <w:szCs w:val="20"/>
        </w:rPr>
        <w:t>products</w:t>
      </w:r>
      <w:proofErr w:type="spellEnd"/>
      <w:r w:rsidRPr="00053F6B">
        <w:rPr>
          <w:rFonts w:ascii="Arial" w:hAnsi="Arial" w:cs="Arial"/>
          <w:sz w:val="20"/>
          <w:szCs w:val="20"/>
        </w:rPr>
        <w:t xml:space="preserve">, </w:t>
      </w:r>
      <w:r w:rsidRPr="00053F6B">
        <w:rPr>
          <w:rFonts w:ascii="Arial" w:hAnsi="Arial" w:cs="Arial"/>
          <w:sz w:val="20"/>
          <w:szCs w:val="20"/>
        </w:rPr>
        <w:lastRenderedPageBreak/>
        <w:t xml:space="preserve">and </w:t>
      </w:r>
      <w:proofErr w:type="spellStart"/>
      <w:r w:rsidRPr="00053F6B">
        <w:rPr>
          <w:rFonts w:ascii="Arial" w:hAnsi="Arial" w:cs="Arial"/>
          <w:sz w:val="20"/>
          <w:szCs w:val="20"/>
        </w:rPr>
        <w:t>that</w:t>
      </w:r>
      <w:proofErr w:type="spellEnd"/>
      <w:r w:rsidRPr="00053F6B">
        <w:rPr>
          <w:rFonts w:ascii="Arial" w:hAnsi="Arial" w:cs="Arial"/>
          <w:sz w:val="20"/>
          <w:szCs w:val="20"/>
        </w:rPr>
        <w:t xml:space="preserve"> </w:t>
      </w:r>
      <w:proofErr w:type="spellStart"/>
      <w:r w:rsidRPr="00053F6B">
        <w:rPr>
          <w:rFonts w:ascii="Arial" w:hAnsi="Arial" w:cs="Arial"/>
          <w:sz w:val="20"/>
          <w:szCs w:val="20"/>
        </w:rPr>
        <w:t>currently</w:t>
      </w:r>
      <w:proofErr w:type="spellEnd"/>
      <w:r w:rsidRPr="00053F6B">
        <w:rPr>
          <w:rFonts w:ascii="Arial" w:hAnsi="Arial" w:cs="Arial"/>
          <w:sz w:val="20"/>
          <w:szCs w:val="20"/>
        </w:rPr>
        <w:t xml:space="preserve"> </w:t>
      </w:r>
      <w:proofErr w:type="spellStart"/>
      <w:r w:rsidRPr="00053F6B">
        <w:rPr>
          <w:rFonts w:ascii="Arial" w:hAnsi="Arial" w:cs="Arial"/>
          <w:sz w:val="20"/>
          <w:szCs w:val="20"/>
        </w:rPr>
        <w:t>does</w:t>
      </w:r>
      <w:proofErr w:type="spellEnd"/>
      <w:r w:rsidRPr="00053F6B">
        <w:rPr>
          <w:rFonts w:ascii="Arial" w:hAnsi="Arial" w:cs="Arial"/>
          <w:sz w:val="20"/>
          <w:szCs w:val="20"/>
        </w:rPr>
        <w:t xml:space="preserve"> not </w:t>
      </w:r>
      <w:proofErr w:type="spellStart"/>
      <w:r w:rsidRPr="00053F6B">
        <w:rPr>
          <w:rFonts w:ascii="Arial" w:hAnsi="Arial" w:cs="Arial"/>
          <w:sz w:val="20"/>
          <w:szCs w:val="20"/>
        </w:rPr>
        <w:t>define</w:t>
      </w:r>
      <w:proofErr w:type="spellEnd"/>
      <w:r w:rsidRPr="00053F6B">
        <w:rPr>
          <w:rFonts w:ascii="Arial" w:hAnsi="Arial" w:cs="Arial"/>
          <w:sz w:val="20"/>
          <w:szCs w:val="20"/>
        </w:rPr>
        <w:t xml:space="preserve"> </w:t>
      </w:r>
      <w:proofErr w:type="spellStart"/>
      <w:r w:rsidRPr="00053F6B">
        <w:rPr>
          <w:rFonts w:ascii="Arial" w:hAnsi="Arial" w:cs="Arial"/>
          <w:sz w:val="20"/>
          <w:szCs w:val="20"/>
        </w:rPr>
        <w:t>any</w:t>
      </w:r>
      <w:proofErr w:type="spellEnd"/>
      <w:r w:rsidRPr="00053F6B">
        <w:rPr>
          <w:rFonts w:ascii="Arial" w:hAnsi="Arial" w:cs="Arial"/>
          <w:sz w:val="20"/>
          <w:szCs w:val="20"/>
        </w:rPr>
        <w:t xml:space="preserve"> </w:t>
      </w:r>
      <w:proofErr w:type="spellStart"/>
      <w:r w:rsidRPr="00053F6B">
        <w:rPr>
          <w:rFonts w:ascii="Arial" w:hAnsi="Arial" w:cs="Arial"/>
          <w:sz w:val="20"/>
          <w:szCs w:val="20"/>
        </w:rPr>
        <w:t>regulatory</w:t>
      </w:r>
      <w:proofErr w:type="spellEnd"/>
      <w:r w:rsidRPr="00053F6B">
        <w:rPr>
          <w:rFonts w:ascii="Arial" w:hAnsi="Arial" w:cs="Arial"/>
          <w:sz w:val="20"/>
          <w:szCs w:val="20"/>
        </w:rPr>
        <w:t xml:space="preserve"> or </w:t>
      </w:r>
      <w:proofErr w:type="spellStart"/>
      <w:r w:rsidRPr="00053F6B">
        <w:rPr>
          <w:rFonts w:ascii="Arial" w:hAnsi="Arial" w:cs="Arial"/>
          <w:sz w:val="20"/>
          <w:szCs w:val="20"/>
        </w:rPr>
        <w:t>market</w:t>
      </w:r>
      <w:proofErr w:type="spellEnd"/>
      <w:r w:rsidRPr="00053F6B">
        <w:rPr>
          <w:rFonts w:ascii="Arial" w:hAnsi="Arial" w:cs="Arial"/>
          <w:sz w:val="20"/>
          <w:szCs w:val="20"/>
        </w:rPr>
        <w:t xml:space="preserve"> standards as to how </w:t>
      </w:r>
      <w:proofErr w:type="spellStart"/>
      <w:r w:rsidRPr="00053F6B">
        <w:rPr>
          <w:rFonts w:ascii="Arial" w:hAnsi="Arial" w:cs="Arial"/>
          <w:sz w:val="20"/>
          <w:szCs w:val="20"/>
        </w:rPr>
        <w:t>derivatives</w:t>
      </w:r>
      <w:proofErr w:type="spellEnd"/>
      <w:r w:rsidRPr="00053F6B">
        <w:rPr>
          <w:rFonts w:ascii="Arial" w:hAnsi="Arial" w:cs="Arial"/>
          <w:sz w:val="20"/>
          <w:szCs w:val="20"/>
        </w:rPr>
        <w:t xml:space="preserve"> </w:t>
      </w:r>
      <w:proofErr w:type="spellStart"/>
      <w:r w:rsidRPr="00053F6B">
        <w:rPr>
          <w:rFonts w:ascii="Arial" w:hAnsi="Arial" w:cs="Arial"/>
          <w:sz w:val="20"/>
          <w:szCs w:val="20"/>
        </w:rPr>
        <w:t>shall</w:t>
      </w:r>
      <w:proofErr w:type="spellEnd"/>
      <w:r w:rsidRPr="00053F6B">
        <w:rPr>
          <w:rFonts w:ascii="Arial" w:hAnsi="Arial" w:cs="Arial"/>
          <w:sz w:val="20"/>
          <w:szCs w:val="20"/>
        </w:rPr>
        <w:t xml:space="preserve"> </w:t>
      </w:r>
      <w:proofErr w:type="spellStart"/>
      <w:r w:rsidRPr="00053F6B">
        <w:rPr>
          <w:rFonts w:ascii="Arial" w:hAnsi="Arial" w:cs="Arial"/>
          <w:sz w:val="20"/>
          <w:szCs w:val="20"/>
        </w:rPr>
        <w:t>be</w:t>
      </w:r>
      <w:proofErr w:type="spellEnd"/>
      <w:r w:rsidRPr="00053F6B">
        <w:rPr>
          <w:rFonts w:ascii="Arial" w:hAnsi="Arial" w:cs="Arial"/>
          <w:sz w:val="20"/>
          <w:szCs w:val="20"/>
        </w:rPr>
        <w:t xml:space="preserve"> </w:t>
      </w:r>
      <w:proofErr w:type="spellStart"/>
      <w:r w:rsidRPr="00053F6B">
        <w:rPr>
          <w:rFonts w:ascii="Arial" w:hAnsi="Arial" w:cs="Arial"/>
          <w:sz w:val="20"/>
          <w:szCs w:val="20"/>
        </w:rPr>
        <w:t>taken</w:t>
      </w:r>
      <w:proofErr w:type="spellEnd"/>
      <w:r w:rsidRPr="00053F6B">
        <w:rPr>
          <w:rFonts w:ascii="Arial" w:hAnsi="Arial" w:cs="Arial"/>
          <w:sz w:val="20"/>
          <w:szCs w:val="20"/>
        </w:rPr>
        <w:t xml:space="preserve"> </w:t>
      </w:r>
      <w:proofErr w:type="spellStart"/>
      <w:r w:rsidRPr="00053F6B">
        <w:rPr>
          <w:rFonts w:ascii="Arial" w:hAnsi="Arial" w:cs="Arial"/>
          <w:sz w:val="20"/>
          <w:szCs w:val="20"/>
        </w:rPr>
        <w:t>into</w:t>
      </w:r>
      <w:proofErr w:type="spellEnd"/>
      <w:r w:rsidRPr="00053F6B">
        <w:rPr>
          <w:rFonts w:ascii="Arial" w:hAnsi="Arial" w:cs="Arial"/>
          <w:sz w:val="20"/>
          <w:szCs w:val="20"/>
        </w:rPr>
        <w:t xml:space="preserve"> </w:t>
      </w:r>
      <w:proofErr w:type="spellStart"/>
      <w:r w:rsidRPr="00053F6B">
        <w:rPr>
          <w:rFonts w:ascii="Arial" w:hAnsi="Arial" w:cs="Arial"/>
          <w:sz w:val="20"/>
          <w:szCs w:val="20"/>
        </w:rPr>
        <w:t>account</w:t>
      </w:r>
      <w:proofErr w:type="spellEnd"/>
      <w:r w:rsidRPr="00053F6B">
        <w:rPr>
          <w:rFonts w:ascii="Arial" w:hAnsi="Arial" w:cs="Arial"/>
          <w:sz w:val="20"/>
          <w:szCs w:val="20"/>
        </w:rPr>
        <w:t xml:space="preserve"> for </w:t>
      </w:r>
      <w:proofErr w:type="spellStart"/>
      <w:r w:rsidRPr="00053F6B">
        <w:rPr>
          <w:rFonts w:ascii="Arial" w:hAnsi="Arial" w:cs="Arial"/>
          <w:sz w:val="20"/>
          <w:szCs w:val="20"/>
        </w:rPr>
        <w:t>commitments</w:t>
      </w:r>
      <w:proofErr w:type="spellEnd"/>
      <w:r w:rsidRPr="00053F6B">
        <w:rPr>
          <w:rFonts w:ascii="Arial" w:hAnsi="Arial" w:cs="Arial"/>
          <w:sz w:val="20"/>
          <w:szCs w:val="20"/>
        </w:rPr>
        <w:t xml:space="preserve"> to E/S </w:t>
      </w:r>
      <w:proofErr w:type="spellStart"/>
      <w:r w:rsidRPr="00053F6B">
        <w:rPr>
          <w:rFonts w:ascii="Arial" w:hAnsi="Arial" w:cs="Arial"/>
          <w:sz w:val="20"/>
          <w:szCs w:val="20"/>
        </w:rPr>
        <w:t>characteristics</w:t>
      </w:r>
      <w:proofErr w:type="spellEnd"/>
      <w:r w:rsidRPr="00053F6B">
        <w:rPr>
          <w:rFonts w:ascii="Arial" w:hAnsi="Arial" w:cs="Arial"/>
          <w:sz w:val="20"/>
          <w:szCs w:val="20"/>
        </w:rPr>
        <w:t xml:space="preserve"> or </w:t>
      </w:r>
      <w:proofErr w:type="spellStart"/>
      <w:r w:rsidRPr="00053F6B">
        <w:rPr>
          <w:rFonts w:ascii="Arial" w:hAnsi="Arial" w:cs="Arial"/>
          <w:sz w:val="20"/>
          <w:szCs w:val="20"/>
        </w:rPr>
        <w:t>sustainable</w:t>
      </w:r>
      <w:proofErr w:type="spellEnd"/>
      <w:r w:rsidRPr="00053F6B">
        <w:rPr>
          <w:rFonts w:ascii="Arial" w:hAnsi="Arial" w:cs="Arial"/>
          <w:sz w:val="20"/>
          <w:szCs w:val="20"/>
        </w:rPr>
        <w:t xml:space="preserve"> </w:t>
      </w:r>
      <w:proofErr w:type="spellStart"/>
      <w:r w:rsidRPr="00053F6B">
        <w:rPr>
          <w:rFonts w:ascii="Arial" w:hAnsi="Arial" w:cs="Arial"/>
          <w:sz w:val="20"/>
          <w:szCs w:val="20"/>
        </w:rPr>
        <w:t>investments</w:t>
      </w:r>
      <w:proofErr w:type="spellEnd"/>
      <w:r w:rsidRPr="00053F6B">
        <w:rPr>
          <w:rFonts w:ascii="Arial" w:hAnsi="Arial" w:cs="Arial"/>
          <w:sz w:val="20"/>
          <w:szCs w:val="20"/>
        </w:rPr>
        <w:t>.</w:t>
      </w:r>
    </w:p>
    <w:p w14:paraId="7614792D" w14:textId="48857885" w:rsidR="004A3774" w:rsidRPr="00053F6B" w:rsidRDefault="004A3774" w:rsidP="004A3774">
      <w:pPr>
        <w:pStyle w:val="NormaleWeb"/>
        <w:rPr>
          <w:rFonts w:ascii="Arial" w:hAnsi="Arial" w:cs="Arial"/>
        </w:rPr>
      </w:pPr>
      <w:r w:rsidRPr="00053F6B">
        <w:rPr>
          <w:rFonts w:ascii="Arial" w:hAnsi="Arial" w:cs="Arial"/>
          <w:sz w:val="20"/>
          <w:szCs w:val="20"/>
        </w:rPr>
        <w:t xml:space="preserve">For the time </w:t>
      </w:r>
      <w:proofErr w:type="spellStart"/>
      <w:r w:rsidRPr="00053F6B">
        <w:rPr>
          <w:rFonts w:ascii="Arial" w:hAnsi="Arial" w:cs="Arial"/>
          <w:sz w:val="20"/>
          <w:szCs w:val="20"/>
        </w:rPr>
        <w:t>being</w:t>
      </w:r>
      <w:proofErr w:type="spellEnd"/>
      <w:r w:rsidRPr="00053F6B">
        <w:rPr>
          <w:rFonts w:ascii="Arial" w:hAnsi="Arial" w:cs="Arial"/>
          <w:sz w:val="20"/>
          <w:szCs w:val="20"/>
        </w:rPr>
        <w:t xml:space="preserve">, the ESG </w:t>
      </w:r>
      <w:proofErr w:type="spellStart"/>
      <w:r w:rsidRPr="00053F6B">
        <w:rPr>
          <w:rFonts w:ascii="Arial" w:hAnsi="Arial" w:cs="Arial"/>
          <w:sz w:val="20"/>
          <w:szCs w:val="20"/>
        </w:rPr>
        <w:t>templates</w:t>
      </w:r>
      <w:proofErr w:type="spellEnd"/>
      <w:r w:rsidRPr="00053F6B">
        <w:rPr>
          <w:rFonts w:ascii="Arial" w:hAnsi="Arial" w:cs="Arial"/>
          <w:sz w:val="20"/>
          <w:szCs w:val="20"/>
        </w:rPr>
        <w:t xml:space="preserve"> for </w:t>
      </w:r>
      <w:proofErr w:type="spellStart"/>
      <w:r w:rsidRPr="00053F6B">
        <w:rPr>
          <w:rFonts w:ascii="Arial" w:hAnsi="Arial" w:cs="Arial"/>
          <w:sz w:val="20"/>
          <w:szCs w:val="20"/>
        </w:rPr>
        <w:t>pre-contractual</w:t>
      </w:r>
      <w:proofErr w:type="spellEnd"/>
      <w:r w:rsidRPr="00053F6B">
        <w:rPr>
          <w:rFonts w:ascii="Arial" w:hAnsi="Arial" w:cs="Arial"/>
          <w:sz w:val="20"/>
          <w:szCs w:val="20"/>
        </w:rPr>
        <w:t xml:space="preserve"> </w:t>
      </w:r>
      <w:proofErr w:type="spellStart"/>
      <w:r w:rsidRPr="00053F6B">
        <w:rPr>
          <w:rFonts w:ascii="Arial" w:hAnsi="Arial" w:cs="Arial"/>
          <w:sz w:val="20"/>
          <w:szCs w:val="20"/>
        </w:rPr>
        <w:t>disclosures</w:t>
      </w:r>
      <w:proofErr w:type="spellEnd"/>
      <w:r w:rsidRPr="00053F6B">
        <w:rPr>
          <w:rFonts w:ascii="Arial" w:hAnsi="Arial" w:cs="Arial"/>
          <w:sz w:val="20"/>
          <w:szCs w:val="20"/>
        </w:rPr>
        <w:t xml:space="preserve"> </w:t>
      </w:r>
      <w:proofErr w:type="spellStart"/>
      <w:r w:rsidRPr="00053F6B">
        <w:rPr>
          <w:rFonts w:ascii="Arial" w:hAnsi="Arial" w:cs="Arial"/>
          <w:sz w:val="20"/>
          <w:szCs w:val="20"/>
        </w:rPr>
        <w:t>include</w:t>
      </w:r>
      <w:proofErr w:type="spellEnd"/>
      <w:r w:rsidRPr="00053F6B">
        <w:rPr>
          <w:rFonts w:ascii="Arial" w:hAnsi="Arial" w:cs="Arial"/>
          <w:sz w:val="20"/>
          <w:szCs w:val="20"/>
        </w:rPr>
        <w:t xml:space="preserve"> a </w:t>
      </w:r>
      <w:proofErr w:type="spellStart"/>
      <w:r w:rsidRPr="00053F6B">
        <w:rPr>
          <w:rFonts w:ascii="Arial" w:hAnsi="Arial" w:cs="Arial"/>
          <w:sz w:val="20"/>
          <w:szCs w:val="20"/>
        </w:rPr>
        <w:t>dedicated</w:t>
      </w:r>
      <w:proofErr w:type="spellEnd"/>
      <w:r w:rsidRPr="00053F6B">
        <w:rPr>
          <w:rFonts w:ascii="Arial" w:hAnsi="Arial" w:cs="Arial"/>
          <w:sz w:val="20"/>
          <w:szCs w:val="20"/>
        </w:rPr>
        <w:t xml:space="preserve"> </w:t>
      </w:r>
      <w:proofErr w:type="spellStart"/>
      <w:r w:rsidRPr="00053F6B">
        <w:rPr>
          <w:rFonts w:ascii="Arial" w:hAnsi="Arial" w:cs="Arial"/>
          <w:sz w:val="20"/>
          <w:szCs w:val="20"/>
        </w:rPr>
        <w:t>sub</w:t>
      </w:r>
      <w:proofErr w:type="spellEnd"/>
      <w:r w:rsidRPr="00053F6B">
        <w:rPr>
          <w:rFonts w:ascii="Arial" w:hAnsi="Arial" w:cs="Arial"/>
          <w:sz w:val="20"/>
          <w:szCs w:val="20"/>
        </w:rPr>
        <w:t xml:space="preserve">-section on </w:t>
      </w:r>
      <w:r w:rsidRPr="00022925">
        <w:rPr>
          <w:rFonts w:ascii="Arial" w:hAnsi="Arial" w:cs="Arial"/>
          <w:i/>
          <w:iCs/>
          <w:sz w:val="20"/>
          <w:szCs w:val="20"/>
        </w:rPr>
        <w:t xml:space="preserve">“how </w:t>
      </w:r>
      <w:proofErr w:type="spellStart"/>
      <w:r w:rsidRPr="00022925">
        <w:rPr>
          <w:rFonts w:ascii="Arial" w:hAnsi="Arial" w:cs="Arial"/>
          <w:i/>
          <w:iCs/>
          <w:sz w:val="20"/>
          <w:szCs w:val="20"/>
        </w:rPr>
        <w:t>does</w:t>
      </w:r>
      <w:proofErr w:type="spellEnd"/>
      <w:r w:rsidRPr="00022925">
        <w:rPr>
          <w:rFonts w:ascii="Arial" w:hAnsi="Arial" w:cs="Arial"/>
          <w:i/>
          <w:iCs/>
          <w:sz w:val="20"/>
          <w:szCs w:val="20"/>
        </w:rPr>
        <w:t xml:space="preserve"> the use of </w:t>
      </w:r>
      <w:proofErr w:type="spellStart"/>
      <w:r w:rsidRPr="00022925">
        <w:rPr>
          <w:rFonts w:ascii="Arial" w:hAnsi="Arial" w:cs="Arial"/>
          <w:i/>
          <w:iCs/>
          <w:sz w:val="20"/>
          <w:szCs w:val="20"/>
        </w:rPr>
        <w:t>derivatives</w:t>
      </w:r>
      <w:proofErr w:type="spellEnd"/>
      <w:r w:rsidRPr="00022925">
        <w:rPr>
          <w:rFonts w:ascii="Arial" w:hAnsi="Arial" w:cs="Arial"/>
          <w:i/>
          <w:iCs/>
          <w:sz w:val="20"/>
          <w:szCs w:val="20"/>
        </w:rPr>
        <w:t xml:space="preserve"> </w:t>
      </w:r>
      <w:proofErr w:type="spellStart"/>
      <w:r w:rsidRPr="00022925">
        <w:rPr>
          <w:rFonts w:ascii="Arial" w:hAnsi="Arial" w:cs="Arial"/>
          <w:i/>
          <w:iCs/>
          <w:sz w:val="20"/>
          <w:szCs w:val="20"/>
        </w:rPr>
        <w:t>attain</w:t>
      </w:r>
      <w:proofErr w:type="spellEnd"/>
      <w:r w:rsidRPr="00022925">
        <w:rPr>
          <w:rFonts w:ascii="Arial" w:hAnsi="Arial" w:cs="Arial"/>
          <w:i/>
          <w:iCs/>
          <w:sz w:val="20"/>
          <w:szCs w:val="20"/>
        </w:rPr>
        <w:t xml:space="preserve"> the </w:t>
      </w:r>
      <w:proofErr w:type="spellStart"/>
      <w:r w:rsidRPr="00022925">
        <w:rPr>
          <w:rFonts w:ascii="Arial" w:hAnsi="Arial" w:cs="Arial"/>
          <w:i/>
          <w:iCs/>
          <w:sz w:val="20"/>
          <w:szCs w:val="20"/>
        </w:rPr>
        <w:t>environmental</w:t>
      </w:r>
      <w:proofErr w:type="spellEnd"/>
      <w:r w:rsidRPr="00022925">
        <w:rPr>
          <w:rFonts w:ascii="Arial" w:hAnsi="Arial" w:cs="Arial"/>
          <w:i/>
          <w:iCs/>
          <w:sz w:val="20"/>
          <w:szCs w:val="20"/>
        </w:rPr>
        <w:t xml:space="preserve"> or social </w:t>
      </w:r>
      <w:proofErr w:type="spellStart"/>
      <w:r w:rsidRPr="00022925">
        <w:rPr>
          <w:rFonts w:ascii="Arial" w:hAnsi="Arial" w:cs="Arial"/>
          <w:i/>
          <w:iCs/>
          <w:sz w:val="20"/>
          <w:szCs w:val="20"/>
        </w:rPr>
        <w:t>characteristics</w:t>
      </w:r>
      <w:proofErr w:type="spellEnd"/>
      <w:r w:rsidRPr="00022925">
        <w:rPr>
          <w:rFonts w:ascii="Arial" w:hAnsi="Arial" w:cs="Arial"/>
          <w:i/>
          <w:iCs/>
          <w:sz w:val="20"/>
          <w:szCs w:val="20"/>
        </w:rPr>
        <w:t xml:space="preserve">/the </w:t>
      </w:r>
      <w:proofErr w:type="spellStart"/>
      <w:r w:rsidRPr="00022925">
        <w:rPr>
          <w:rFonts w:ascii="Arial" w:hAnsi="Arial" w:cs="Arial"/>
          <w:i/>
          <w:iCs/>
          <w:sz w:val="20"/>
          <w:szCs w:val="20"/>
        </w:rPr>
        <w:t>sustainable</w:t>
      </w:r>
      <w:proofErr w:type="spellEnd"/>
      <w:r w:rsidRPr="00022925">
        <w:rPr>
          <w:rFonts w:ascii="Arial" w:hAnsi="Arial" w:cs="Arial"/>
          <w:i/>
          <w:iCs/>
          <w:sz w:val="20"/>
          <w:szCs w:val="20"/>
        </w:rPr>
        <w:t xml:space="preserve"> </w:t>
      </w:r>
      <w:proofErr w:type="spellStart"/>
      <w:r w:rsidRPr="00022925">
        <w:rPr>
          <w:rFonts w:ascii="Arial" w:hAnsi="Arial" w:cs="Arial"/>
          <w:i/>
          <w:iCs/>
          <w:sz w:val="20"/>
          <w:szCs w:val="20"/>
        </w:rPr>
        <w:t>investment</w:t>
      </w:r>
      <w:proofErr w:type="spellEnd"/>
      <w:r w:rsidRPr="00022925">
        <w:rPr>
          <w:rFonts w:ascii="Arial" w:hAnsi="Arial" w:cs="Arial"/>
          <w:i/>
          <w:iCs/>
          <w:sz w:val="20"/>
          <w:szCs w:val="20"/>
        </w:rPr>
        <w:t xml:space="preserve"> objective”</w:t>
      </w:r>
      <w:r w:rsidRPr="00053F6B">
        <w:rPr>
          <w:rFonts w:ascii="Arial" w:hAnsi="Arial" w:cs="Arial"/>
          <w:sz w:val="20"/>
          <w:szCs w:val="20"/>
        </w:rPr>
        <w:t xml:space="preserve"> for Article 8 or </w:t>
      </w:r>
      <w:r w:rsidR="00022925">
        <w:rPr>
          <w:rFonts w:ascii="Arial" w:hAnsi="Arial" w:cs="Arial"/>
          <w:sz w:val="20"/>
          <w:szCs w:val="20"/>
        </w:rPr>
        <w:t xml:space="preserve">Article </w:t>
      </w:r>
      <w:r w:rsidRPr="00053F6B">
        <w:rPr>
          <w:rFonts w:ascii="Arial" w:hAnsi="Arial" w:cs="Arial"/>
          <w:sz w:val="20"/>
          <w:szCs w:val="20"/>
        </w:rPr>
        <w:t xml:space="preserve">9 </w:t>
      </w:r>
      <w:proofErr w:type="spellStart"/>
      <w:r w:rsidRPr="00053F6B">
        <w:rPr>
          <w:rFonts w:ascii="Arial" w:hAnsi="Arial" w:cs="Arial"/>
          <w:sz w:val="20"/>
          <w:szCs w:val="20"/>
        </w:rPr>
        <w:t>products</w:t>
      </w:r>
      <w:proofErr w:type="spellEnd"/>
      <w:r w:rsidRPr="00053F6B">
        <w:rPr>
          <w:rFonts w:ascii="Arial" w:hAnsi="Arial" w:cs="Arial"/>
          <w:sz w:val="20"/>
          <w:szCs w:val="20"/>
        </w:rPr>
        <w:t xml:space="preserve"> </w:t>
      </w:r>
      <w:proofErr w:type="spellStart"/>
      <w:r w:rsidRPr="00053F6B">
        <w:rPr>
          <w:rFonts w:ascii="Arial" w:hAnsi="Arial" w:cs="Arial"/>
          <w:sz w:val="20"/>
          <w:szCs w:val="20"/>
        </w:rPr>
        <w:t>respectively</w:t>
      </w:r>
      <w:proofErr w:type="spellEnd"/>
      <w:r w:rsidRPr="00053F6B">
        <w:rPr>
          <w:rFonts w:ascii="Arial" w:hAnsi="Arial" w:cs="Arial"/>
          <w:sz w:val="20"/>
          <w:szCs w:val="20"/>
        </w:rPr>
        <w:t xml:space="preserve">. </w:t>
      </w:r>
      <w:proofErr w:type="spellStart"/>
      <w:r w:rsidRPr="00053F6B">
        <w:rPr>
          <w:rFonts w:ascii="Arial" w:hAnsi="Arial" w:cs="Arial"/>
          <w:sz w:val="20"/>
          <w:szCs w:val="20"/>
        </w:rPr>
        <w:t>Here</w:t>
      </w:r>
      <w:proofErr w:type="spellEnd"/>
      <w:r w:rsidRPr="00053F6B">
        <w:rPr>
          <w:rFonts w:ascii="Arial" w:hAnsi="Arial" w:cs="Arial"/>
          <w:sz w:val="20"/>
          <w:szCs w:val="20"/>
        </w:rPr>
        <w:t xml:space="preserve">, </w:t>
      </w:r>
      <w:proofErr w:type="spellStart"/>
      <w:r w:rsidRPr="00053F6B">
        <w:rPr>
          <w:rFonts w:ascii="Arial" w:hAnsi="Arial" w:cs="Arial"/>
          <w:sz w:val="20"/>
          <w:szCs w:val="20"/>
        </w:rPr>
        <w:t>it</w:t>
      </w:r>
      <w:proofErr w:type="spellEnd"/>
      <w:r w:rsidR="00C50021" w:rsidRPr="00053F6B">
        <w:rPr>
          <w:rFonts w:ascii="Arial" w:hAnsi="Arial" w:cs="Arial"/>
          <w:sz w:val="20"/>
          <w:szCs w:val="20"/>
        </w:rPr>
        <w:t xml:space="preserve"> </w:t>
      </w:r>
      <w:proofErr w:type="spellStart"/>
      <w:r w:rsidR="009A49EA" w:rsidRPr="00053F6B">
        <w:rPr>
          <w:rFonts w:ascii="Arial" w:hAnsi="Arial" w:cs="Arial"/>
          <w:sz w:val="20"/>
          <w:szCs w:val="20"/>
        </w:rPr>
        <w:t>should</w:t>
      </w:r>
      <w:proofErr w:type="spellEnd"/>
      <w:r w:rsidR="009A49EA" w:rsidRPr="00053F6B">
        <w:rPr>
          <w:rFonts w:ascii="Arial" w:hAnsi="Arial" w:cs="Arial"/>
          <w:sz w:val="20"/>
          <w:szCs w:val="20"/>
        </w:rPr>
        <w:t xml:space="preserve"> </w:t>
      </w:r>
      <w:proofErr w:type="spellStart"/>
      <w:r w:rsidR="009A49EA" w:rsidRPr="00053F6B">
        <w:rPr>
          <w:rFonts w:ascii="Arial" w:hAnsi="Arial" w:cs="Arial"/>
          <w:sz w:val="20"/>
          <w:szCs w:val="20"/>
        </w:rPr>
        <w:t>be</w:t>
      </w:r>
      <w:proofErr w:type="spellEnd"/>
      <w:r w:rsidR="009A49EA" w:rsidRPr="00053F6B">
        <w:rPr>
          <w:rFonts w:ascii="Arial" w:hAnsi="Arial" w:cs="Arial"/>
          <w:sz w:val="20"/>
          <w:szCs w:val="20"/>
        </w:rPr>
        <w:t xml:space="preserve"> </w:t>
      </w:r>
      <w:proofErr w:type="spellStart"/>
      <w:r w:rsidRPr="00053F6B">
        <w:rPr>
          <w:rFonts w:ascii="Arial" w:hAnsi="Arial" w:cs="Arial"/>
          <w:sz w:val="20"/>
          <w:szCs w:val="20"/>
        </w:rPr>
        <w:t>explained</w:t>
      </w:r>
      <w:proofErr w:type="spellEnd"/>
      <w:r w:rsidRPr="00053F6B">
        <w:rPr>
          <w:rFonts w:ascii="Arial" w:hAnsi="Arial" w:cs="Arial"/>
          <w:sz w:val="20"/>
          <w:szCs w:val="20"/>
        </w:rPr>
        <w:t xml:space="preserve"> </w:t>
      </w:r>
      <w:proofErr w:type="spellStart"/>
      <w:r w:rsidRPr="00053F6B">
        <w:rPr>
          <w:rFonts w:ascii="Arial" w:hAnsi="Arial" w:cs="Arial"/>
          <w:sz w:val="20"/>
          <w:szCs w:val="20"/>
        </w:rPr>
        <w:t>whether</w:t>
      </w:r>
      <w:proofErr w:type="spellEnd"/>
      <w:r w:rsidRPr="00053F6B">
        <w:rPr>
          <w:rFonts w:ascii="Arial" w:hAnsi="Arial" w:cs="Arial"/>
          <w:sz w:val="20"/>
          <w:szCs w:val="20"/>
        </w:rPr>
        <w:t xml:space="preserve"> and </w:t>
      </w:r>
      <w:proofErr w:type="spellStart"/>
      <w:r w:rsidRPr="00053F6B">
        <w:rPr>
          <w:rFonts w:ascii="Arial" w:hAnsi="Arial" w:cs="Arial"/>
          <w:sz w:val="20"/>
          <w:szCs w:val="20"/>
        </w:rPr>
        <w:t>under</w:t>
      </w:r>
      <w:proofErr w:type="spellEnd"/>
      <w:r w:rsidRPr="00053F6B">
        <w:rPr>
          <w:rFonts w:ascii="Arial" w:hAnsi="Arial" w:cs="Arial"/>
          <w:sz w:val="20"/>
          <w:szCs w:val="20"/>
        </w:rPr>
        <w:t xml:space="preserve"> </w:t>
      </w:r>
      <w:proofErr w:type="spellStart"/>
      <w:r w:rsidRPr="00053F6B">
        <w:rPr>
          <w:rFonts w:ascii="Arial" w:hAnsi="Arial" w:cs="Arial"/>
          <w:sz w:val="20"/>
          <w:szCs w:val="20"/>
        </w:rPr>
        <w:t>which</w:t>
      </w:r>
      <w:proofErr w:type="spellEnd"/>
      <w:r w:rsidRPr="00053F6B">
        <w:rPr>
          <w:rFonts w:ascii="Arial" w:hAnsi="Arial" w:cs="Arial"/>
          <w:sz w:val="20"/>
          <w:szCs w:val="20"/>
        </w:rPr>
        <w:t xml:space="preserve"> conditions a </w:t>
      </w:r>
      <w:proofErr w:type="spellStart"/>
      <w:r w:rsidRPr="00053F6B">
        <w:rPr>
          <w:rFonts w:ascii="Arial" w:hAnsi="Arial" w:cs="Arial"/>
          <w:sz w:val="20"/>
          <w:szCs w:val="20"/>
        </w:rPr>
        <w:t>fund</w:t>
      </w:r>
      <w:proofErr w:type="spellEnd"/>
      <w:r w:rsidRPr="00053F6B">
        <w:rPr>
          <w:rFonts w:ascii="Arial" w:hAnsi="Arial" w:cs="Arial"/>
          <w:sz w:val="20"/>
          <w:szCs w:val="20"/>
        </w:rPr>
        <w:t xml:space="preserve"> can </w:t>
      </w:r>
      <w:proofErr w:type="spellStart"/>
      <w:r w:rsidRPr="00053F6B">
        <w:rPr>
          <w:rFonts w:ascii="Arial" w:hAnsi="Arial" w:cs="Arial"/>
          <w:sz w:val="20"/>
          <w:szCs w:val="20"/>
        </w:rPr>
        <w:t>invest</w:t>
      </w:r>
      <w:proofErr w:type="spellEnd"/>
      <w:r w:rsidRPr="00053F6B">
        <w:rPr>
          <w:rFonts w:ascii="Arial" w:hAnsi="Arial" w:cs="Arial"/>
          <w:sz w:val="20"/>
          <w:szCs w:val="20"/>
        </w:rPr>
        <w:t xml:space="preserve"> in </w:t>
      </w:r>
      <w:proofErr w:type="spellStart"/>
      <w:r w:rsidRPr="00053F6B">
        <w:rPr>
          <w:rFonts w:ascii="Arial" w:hAnsi="Arial" w:cs="Arial"/>
          <w:sz w:val="20"/>
          <w:szCs w:val="20"/>
        </w:rPr>
        <w:t>derivatives</w:t>
      </w:r>
      <w:proofErr w:type="spellEnd"/>
      <w:r w:rsidRPr="00053F6B">
        <w:rPr>
          <w:rFonts w:ascii="Arial" w:hAnsi="Arial" w:cs="Arial"/>
          <w:sz w:val="20"/>
          <w:szCs w:val="20"/>
        </w:rPr>
        <w:t xml:space="preserve"> as part of </w:t>
      </w:r>
      <w:proofErr w:type="spellStart"/>
      <w:r w:rsidRPr="00053F6B">
        <w:rPr>
          <w:rFonts w:ascii="Arial" w:hAnsi="Arial" w:cs="Arial"/>
          <w:sz w:val="20"/>
          <w:szCs w:val="20"/>
        </w:rPr>
        <w:t>its</w:t>
      </w:r>
      <w:proofErr w:type="spellEnd"/>
      <w:r w:rsidRPr="00053F6B">
        <w:rPr>
          <w:rFonts w:ascii="Arial" w:hAnsi="Arial" w:cs="Arial"/>
          <w:sz w:val="20"/>
          <w:szCs w:val="20"/>
        </w:rPr>
        <w:t xml:space="preserve"> ESG </w:t>
      </w:r>
      <w:proofErr w:type="spellStart"/>
      <w:r w:rsidRPr="00053F6B">
        <w:rPr>
          <w:rFonts w:ascii="Arial" w:hAnsi="Arial" w:cs="Arial"/>
          <w:sz w:val="20"/>
          <w:szCs w:val="20"/>
        </w:rPr>
        <w:t>investment</w:t>
      </w:r>
      <w:proofErr w:type="spellEnd"/>
      <w:r w:rsidRPr="00053F6B">
        <w:rPr>
          <w:rFonts w:ascii="Arial" w:hAnsi="Arial" w:cs="Arial"/>
          <w:sz w:val="20"/>
          <w:szCs w:val="20"/>
        </w:rPr>
        <w:t xml:space="preserve"> </w:t>
      </w:r>
      <w:proofErr w:type="spellStart"/>
      <w:r w:rsidRPr="00053F6B">
        <w:rPr>
          <w:rFonts w:ascii="Arial" w:hAnsi="Arial" w:cs="Arial"/>
          <w:sz w:val="20"/>
          <w:szCs w:val="20"/>
        </w:rPr>
        <w:t>strategy</w:t>
      </w:r>
      <w:proofErr w:type="spellEnd"/>
      <w:r w:rsidRPr="00053F6B">
        <w:rPr>
          <w:rFonts w:ascii="Arial" w:hAnsi="Arial" w:cs="Arial"/>
          <w:sz w:val="20"/>
          <w:szCs w:val="20"/>
        </w:rPr>
        <w:t xml:space="preserve">. This </w:t>
      </w:r>
      <w:proofErr w:type="spellStart"/>
      <w:r w:rsidRPr="00053F6B">
        <w:rPr>
          <w:rFonts w:ascii="Arial" w:hAnsi="Arial" w:cs="Arial"/>
          <w:sz w:val="20"/>
          <w:szCs w:val="20"/>
        </w:rPr>
        <w:t>transparency-based</w:t>
      </w:r>
      <w:proofErr w:type="spellEnd"/>
      <w:r w:rsidRPr="00053F6B">
        <w:rPr>
          <w:rFonts w:ascii="Arial" w:hAnsi="Arial" w:cs="Arial"/>
          <w:sz w:val="20"/>
          <w:szCs w:val="20"/>
        </w:rPr>
        <w:t xml:space="preserve"> solution </w:t>
      </w:r>
      <w:proofErr w:type="spellStart"/>
      <w:r w:rsidRPr="00053F6B">
        <w:rPr>
          <w:rFonts w:ascii="Arial" w:hAnsi="Arial" w:cs="Arial"/>
          <w:sz w:val="20"/>
          <w:szCs w:val="20"/>
        </w:rPr>
        <w:t>should</w:t>
      </w:r>
      <w:proofErr w:type="spellEnd"/>
      <w:r w:rsidRPr="00053F6B">
        <w:rPr>
          <w:rFonts w:ascii="Arial" w:hAnsi="Arial" w:cs="Arial"/>
          <w:sz w:val="20"/>
          <w:szCs w:val="20"/>
        </w:rPr>
        <w:t xml:space="preserve"> </w:t>
      </w:r>
      <w:proofErr w:type="spellStart"/>
      <w:r w:rsidRPr="00053F6B">
        <w:rPr>
          <w:rFonts w:ascii="Arial" w:hAnsi="Arial" w:cs="Arial"/>
          <w:sz w:val="20"/>
          <w:szCs w:val="20"/>
        </w:rPr>
        <w:t>be</w:t>
      </w:r>
      <w:proofErr w:type="spellEnd"/>
      <w:r w:rsidRPr="00053F6B">
        <w:rPr>
          <w:rFonts w:ascii="Arial" w:hAnsi="Arial" w:cs="Arial"/>
          <w:sz w:val="20"/>
          <w:szCs w:val="20"/>
        </w:rPr>
        <w:t xml:space="preserve"> </w:t>
      </w:r>
      <w:proofErr w:type="spellStart"/>
      <w:r w:rsidRPr="00053F6B">
        <w:rPr>
          <w:rFonts w:ascii="Arial" w:hAnsi="Arial" w:cs="Arial"/>
          <w:sz w:val="20"/>
          <w:szCs w:val="20"/>
        </w:rPr>
        <w:t>considered</w:t>
      </w:r>
      <w:proofErr w:type="spellEnd"/>
      <w:r w:rsidRPr="00053F6B">
        <w:rPr>
          <w:rFonts w:ascii="Arial" w:hAnsi="Arial" w:cs="Arial"/>
          <w:sz w:val="20"/>
          <w:szCs w:val="20"/>
        </w:rPr>
        <w:t xml:space="preserve"> </w:t>
      </w:r>
      <w:proofErr w:type="spellStart"/>
      <w:r w:rsidRPr="00053F6B">
        <w:rPr>
          <w:rFonts w:ascii="Arial" w:hAnsi="Arial" w:cs="Arial"/>
          <w:sz w:val="20"/>
          <w:szCs w:val="20"/>
        </w:rPr>
        <w:t>sufficient</w:t>
      </w:r>
      <w:proofErr w:type="spellEnd"/>
      <w:r w:rsidRPr="00053F6B">
        <w:rPr>
          <w:rFonts w:ascii="Arial" w:hAnsi="Arial" w:cs="Arial"/>
          <w:sz w:val="20"/>
          <w:szCs w:val="20"/>
        </w:rPr>
        <w:t xml:space="preserve"> in the </w:t>
      </w:r>
      <w:proofErr w:type="spellStart"/>
      <w:r w:rsidRPr="00053F6B">
        <w:rPr>
          <w:rFonts w:ascii="Arial" w:hAnsi="Arial" w:cs="Arial"/>
          <w:sz w:val="20"/>
          <w:szCs w:val="20"/>
        </w:rPr>
        <w:t>context</w:t>
      </w:r>
      <w:proofErr w:type="spellEnd"/>
      <w:r w:rsidRPr="00053F6B">
        <w:rPr>
          <w:rFonts w:ascii="Arial" w:hAnsi="Arial" w:cs="Arial"/>
          <w:sz w:val="20"/>
          <w:szCs w:val="20"/>
        </w:rPr>
        <w:t xml:space="preserve"> of the ESMA Guidelines. In </w:t>
      </w:r>
      <w:proofErr w:type="spellStart"/>
      <w:r w:rsidRPr="00053F6B">
        <w:rPr>
          <w:rFonts w:ascii="Arial" w:hAnsi="Arial" w:cs="Arial"/>
          <w:sz w:val="20"/>
          <w:szCs w:val="20"/>
        </w:rPr>
        <w:t>any</w:t>
      </w:r>
      <w:proofErr w:type="spellEnd"/>
      <w:r w:rsidRPr="00053F6B">
        <w:rPr>
          <w:rFonts w:ascii="Arial" w:hAnsi="Arial" w:cs="Arial"/>
          <w:sz w:val="20"/>
          <w:szCs w:val="20"/>
        </w:rPr>
        <w:t xml:space="preserve"> case, clarifications of the </w:t>
      </w:r>
      <w:proofErr w:type="spellStart"/>
      <w:r w:rsidRPr="00053F6B">
        <w:rPr>
          <w:rFonts w:ascii="Arial" w:hAnsi="Arial" w:cs="Arial"/>
          <w:sz w:val="20"/>
          <w:szCs w:val="20"/>
        </w:rPr>
        <w:t>calculation</w:t>
      </w:r>
      <w:proofErr w:type="spellEnd"/>
      <w:r w:rsidRPr="00053F6B">
        <w:rPr>
          <w:rFonts w:ascii="Arial" w:hAnsi="Arial" w:cs="Arial"/>
          <w:sz w:val="20"/>
          <w:szCs w:val="20"/>
        </w:rPr>
        <w:t xml:space="preserve"> </w:t>
      </w:r>
      <w:proofErr w:type="spellStart"/>
      <w:r w:rsidRPr="00053F6B">
        <w:rPr>
          <w:rFonts w:ascii="Arial" w:hAnsi="Arial" w:cs="Arial"/>
          <w:sz w:val="20"/>
          <w:szCs w:val="20"/>
        </w:rPr>
        <w:t>approach</w:t>
      </w:r>
      <w:proofErr w:type="spellEnd"/>
      <w:r w:rsidRPr="00053F6B">
        <w:rPr>
          <w:rFonts w:ascii="Arial" w:hAnsi="Arial" w:cs="Arial"/>
          <w:sz w:val="20"/>
          <w:szCs w:val="20"/>
        </w:rPr>
        <w:t xml:space="preserve">, if </w:t>
      </w:r>
      <w:proofErr w:type="spellStart"/>
      <w:r w:rsidRPr="00053F6B">
        <w:rPr>
          <w:rFonts w:ascii="Arial" w:hAnsi="Arial" w:cs="Arial"/>
          <w:sz w:val="20"/>
          <w:szCs w:val="20"/>
        </w:rPr>
        <w:t>deemed</w:t>
      </w:r>
      <w:proofErr w:type="spellEnd"/>
      <w:r w:rsidRPr="00053F6B">
        <w:rPr>
          <w:rFonts w:ascii="Arial" w:hAnsi="Arial" w:cs="Arial"/>
          <w:sz w:val="20"/>
          <w:szCs w:val="20"/>
        </w:rPr>
        <w:t xml:space="preserve"> </w:t>
      </w:r>
      <w:proofErr w:type="spellStart"/>
      <w:r w:rsidRPr="00053F6B">
        <w:rPr>
          <w:rFonts w:ascii="Arial" w:hAnsi="Arial" w:cs="Arial"/>
          <w:sz w:val="20"/>
          <w:szCs w:val="20"/>
        </w:rPr>
        <w:t>necessary</w:t>
      </w:r>
      <w:proofErr w:type="spellEnd"/>
      <w:r w:rsidRPr="00053F6B">
        <w:rPr>
          <w:rFonts w:ascii="Arial" w:hAnsi="Arial" w:cs="Arial"/>
          <w:sz w:val="20"/>
          <w:szCs w:val="20"/>
        </w:rPr>
        <w:t xml:space="preserve">, </w:t>
      </w:r>
      <w:proofErr w:type="spellStart"/>
      <w:r w:rsidRPr="00053F6B">
        <w:rPr>
          <w:rFonts w:ascii="Arial" w:hAnsi="Arial" w:cs="Arial"/>
          <w:sz w:val="20"/>
          <w:szCs w:val="20"/>
        </w:rPr>
        <w:t>should</w:t>
      </w:r>
      <w:proofErr w:type="spellEnd"/>
      <w:r w:rsidRPr="00053F6B">
        <w:rPr>
          <w:rFonts w:ascii="Arial" w:hAnsi="Arial" w:cs="Arial"/>
          <w:sz w:val="20"/>
          <w:szCs w:val="20"/>
        </w:rPr>
        <w:t xml:space="preserve"> </w:t>
      </w:r>
      <w:proofErr w:type="spellStart"/>
      <w:r w:rsidRPr="00053F6B">
        <w:rPr>
          <w:rFonts w:ascii="Arial" w:hAnsi="Arial" w:cs="Arial"/>
          <w:sz w:val="20"/>
          <w:szCs w:val="20"/>
        </w:rPr>
        <w:t>be</w:t>
      </w:r>
      <w:proofErr w:type="spellEnd"/>
      <w:r w:rsidRPr="00053F6B">
        <w:rPr>
          <w:rFonts w:ascii="Arial" w:hAnsi="Arial" w:cs="Arial"/>
          <w:sz w:val="20"/>
          <w:szCs w:val="20"/>
        </w:rPr>
        <w:t xml:space="preserve"> </w:t>
      </w:r>
      <w:proofErr w:type="spellStart"/>
      <w:r w:rsidRPr="00053F6B">
        <w:rPr>
          <w:rFonts w:ascii="Arial" w:hAnsi="Arial" w:cs="Arial"/>
          <w:sz w:val="20"/>
          <w:szCs w:val="20"/>
        </w:rPr>
        <w:t>sought</w:t>
      </w:r>
      <w:proofErr w:type="spellEnd"/>
      <w:r w:rsidRPr="00053F6B">
        <w:rPr>
          <w:rFonts w:ascii="Arial" w:hAnsi="Arial" w:cs="Arial"/>
          <w:sz w:val="20"/>
          <w:szCs w:val="20"/>
        </w:rPr>
        <w:t xml:space="preserve"> in the </w:t>
      </w:r>
      <w:proofErr w:type="spellStart"/>
      <w:r w:rsidRPr="00053F6B">
        <w:rPr>
          <w:rFonts w:ascii="Arial" w:hAnsi="Arial" w:cs="Arial"/>
          <w:sz w:val="20"/>
          <w:szCs w:val="20"/>
        </w:rPr>
        <w:t>broader</w:t>
      </w:r>
      <w:proofErr w:type="spellEnd"/>
      <w:r w:rsidRPr="00053F6B">
        <w:rPr>
          <w:rFonts w:ascii="Arial" w:hAnsi="Arial" w:cs="Arial"/>
          <w:sz w:val="20"/>
          <w:szCs w:val="20"/>
        </w:rPr>
        <w:t xml:space="preserve"> </w:t>
      </w:r>
      <w:proofErr w:type="spellStart"/>
      <w:r w:rsidRPr="00053F6B">
        <w:rPr>
          <w:rFonts w:ascii="Arial" w:hAnsi="Arial" w:cs="Arial"/>
          <w:sz w:val="20"/>
          <w:szCs w:val="20"/>
        </w:rPr>
        <w:t>context</w:t>
      </w:r>
      <w:proofErr w:type="spellEnd"/>
      <w:r w:rsidRPr="00053F6B">
        <w:rPr>
          <w:rFonts w:ascii="Arial" w:hAnsi="Arial" w:cs="Arial"/>
          <w:sz w:val="20"/>
          <w:szCs w:val="20"/>
        </w:rPr>
        <w:t xml:space="preserve"> of SFDR in </w:t>
      </w:r>
      <w:proofErr w:type="spellStart"/>
      <w:r w:rsidRPr="00053F6B">
        <w:rPr>
          <w:rFonts w:ascii="Arial" w:hAnsi="Arial" w:cs="Arial"/>
          <w:sz w:val="20"/>
          <w:szCs w:val="20"/>
        </w:rPr>
        <w:t>order</w:t>
      </w:r>
      <w:proofErr w:type="spellEnd"/>
      <w:r w:rsidRPr="00053F6B">
        <w:rPr>
          <w:rFonts w:ascii="Arial" w:hAnsi="Arial" w:cs="Arial"/>
          <w:sz w:val="20"/>
          <w:szCs w:val="20"/>
        </w:rPr>
        <w:t xml:space="preserve"> to </w:t>
      </w:r>
      <w:proofErr w:type="spellStart"/>
      <w:r w:rsidRPr="00053F6B">
        <w:rPr>
          <w:rFonts w:ascii="Arial" w:hAnsi="Arial" w:cs="Arial"/>
          <w:sz w:val="20"/>
          <w:szCs w:val="20"/>
        </w:rPr>
        <w:t>ensure</w:t>
      </w:r>
      <w:proofErr w:type="spellEnd"/>
      <w:r w:rsidRPr="00053F6B">
        <w:rPr>
          <w:rFonts w:ascii="Arial" w:hAnsi="Arial" w:cs="Arial"/>
          <w:sz w:val="20"/>
          <w:szCs w:val="20"/>
        </w:rPr>
        <w:t xml:space="preserve"> </w:t>
      </w:r>
      <w:proofErr w:type="spellStart"/>
      <w:r w:rsidRPr="00053F6B">
        <w:rPr>
          <w:rFonts w:ascii="Arial" w:hAnsi="Arial" w:cs="Arial"/>
          <w:sz w:val="20"/>
          <w:szCs w:val="20"/>
        </w:rPr>
        <w:t>equal</w:t>
      </w:r>
      <w:proofErr w:type="spellEnd"/>
      <w:r w:rsidRPr="00053F6B">
        <w:rPr>
          <w:rFonts w:ascii="Arial" w:hAnsi="Arial" w:cs="Arial"/>
          <w:sz w:val="20"/>
          <w:szCs w:val="20"/>
        </w:rPr>
        <w:t xml:space="preserve"> </w:t>
      </w:r>
      <w:proofErr w:type="spellStart"/>
      <w:r w:rsidRPr="00053F6B">
        <w:rPr>
          <w:rFonts w:ascii="Arial" w:hAnsi="Arial" w:cs="Arial"/>
          <w:sz w:val="20"/>
          <w:szCs w:val="20"/>
        </w:rPr>
        <w:t>treatment</w:t>
      </w:r>
      <w:proofErr w:type="spellEnd"/>
      <w:r w:rsidRPr="00053F6B">
        <w:rPr>
          <w:rFonts w:ascii="Arial" w:hAnsi="Arial" w:cs="Arial"/>
          <w:sz w:val="20"/>
          <w:szCs w:val="20"/>
        </w:rPr>
        <w:t xml:space="preserve"> of all Article 8 and </w:t>
      </w:r>
      <w:r w:rsidR="00B03BA8">
        <w:rPr>
          <w:rFonts w:ascii="Arial" w:hAnsi="Arial" w:cs="Arial"/>
          <w:sz w:val="20"/>
          <w:szCs w:val="20"/>
        </w:rPr>
        <w:t xml:space="preserve">Article </w:t>
      </w:r>
      <w:r w:rsidRPr="00053F6B">
        <w:rPr>
          <w:rFonts w:ascii="Arial" w:hAnsi="Arial" w:cs="Arial"/>
          <w:sz w:val="20"/>
          <w:szCs w:val="20"/>
        </w:rPr>
        <w:t xml:space="preserve">9 </w:t>
      </w:r>
      <w:proofErr w:type="spellStart"/>
      <w:r w:rsidRPr="00053F6B">
        <w:rPr>
          <w:rFonts w:ascii="Arial" w:hAnsi="Arial" w:cs="Arial"/>
          <w:sz w:val="20"/>
          <w:szCs w:val="20"/>
        </w:rPr>
        <w:t>products</w:t>
      </w:r>
      <w:proofErr w:type="spellEnd"/>
      <w:r w:rsidRPr="00053F6B">
        <w:rPr>
          <w:rFonts w:ascii="Arial" w:hAnsi="Arial" w:cs="Arial"/>
        </w:rPr>
        <w:t>. </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436D6866" w:rsidR="00B92885" w:rsidRPr="00C1080A" w:rsidRDefault="00B92885" w:rsidP="00B92885">
      <w:pPr>
        <w:rPr>
          <w:lang w:val="en-US"/>
        </w:rPr>
      </w:pPr>
      <w:permStart w:id="1071974531" w:edGrp="everyone"/>
      <w:r w:rsidRPr="00C1080A">
        <w:rPr>
          <w:lang w:val="en-US"/>
        </w:rPr>
        <w:t>T</w:t>
      </w:r>
      <w:r w:rsidR="00C1080A" w:rsidRPr="00C1080A">
        <w:rPr>
          <w:lang w:val="en-US"/>
        </w:rPr>
        <w:t>he approach should be t</w:t>
      </w:r>
      <w:r w:rsidR="00C1080A">
        <w:rPr>
          <w:lang w:val="en-US"/>
        </w:rPr>
        <w:t xml:space="preserve">he same as the one adopted for </w:t>
      </w:r>
      <w:r w:rsidR="00AE020A">
        <w:rPr>
          <w:lang w:val="en-US"/>
        </w:rPr>
        <w:t>the SFDR disclosure</w:t>
      </w:r>
      <w:r w:rsidR="00B03BA8">
        <w:rPr>
          <w:lang w:val="en-US"/>
        </w:rPr>
        <w:t>.</w:t>
      </w:r>
      <w:r w:rsidR="00C1080A">
        <w:rPr>
          <w:lang w:val="en-US"/>
        </w:rPr>
        <w:t xml:space="preserve"> </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7A3CF11C" w14:textId="709EE9E9" w:rsidR="00AB1C4B" w:rsidRPr="00B03BA8" w:rsidRDefault="00C12DBA" w:rsidP="00B92885">
      <w:pPr>
        <w:rPr>
          <w:rFonts w:cs="Arial"/>
        </w:rPr>
      </w:pPr>
      <w:permStart w:id="650455330" w:edGrp="everyone"/>
      <w:r w:rsidRPr="00B03BA8">
        <w:rPr>
          <w:rFonts w:cs="Arial"/>
        </w:rPr>
        <w:t xml:space="preserve">Considering the specificity of index funds, such as mutual funds/ETFs, designed </w:t>
      </w:r>
      <w:r w:rsidR="00FF3266" w:rsidRPr="00B03BA8">
        <w:rPr>
          <w:rFonts w:cs="Arial"/>
        </w:rPr>
        <w:t>to</w:t>
      </w:r>
      <w:r w:rsidRPr="00B03BA8">
        <w:rPr>
          <w:rFonts w:cs="Arial"/>
        </w:rPr>
        <w:t xml:space="preserve"> follow certain pre-set rules so that the fund can track a specific basket of underlying investments by designating an index as a benchmark</w:t>
      </w:r>
      <w:r w:rsidRPr="00C22FEE">
        <w:rPr>
          <w:rFonts w:cs="Arial"/>
        </w:rPr>
        <w:t xml:space="preserve">, it is not deemed appropriate to apply the same conditions as those applied to non-index funds </w:t>
      </w:r>
      <w:proofErr w:type="gramStart"/>
      <w:r w:rsidRPr="00C22FEE">
        <w:rPr>
          <w:rFonts w:cs="Arial"/>
        </w:rPr>
        <w:t>with regard to</w:t>
      </w:r>
      <w:proofErr w:type="gramEnd"/>
      <w:r w:rsidRPr="00C22FEE">
        <w:rPr>
          <w:rFonts w:cs="Arial"/>
        </w:rPr>
        <w:t xml:space="preserve"> the use of terms specifically related to ESG/sustainability in their name.</w:t>
      </w:r>
      <w:r w:rsidR="00FF3266" w:rsidRPr="00C22FEE">
        <w:rPr>
          <w:rFonts w:cs="Arial"/>
        </w:rPr>
        <w:t xml:space="preserve"> The main reason behind this consideration is that as their objective is to track the index</w:t>
      </w:r>
      <w:r w:rsidR="00FF3266" w:rsidRPr="00B03BA8">
        <w:rPr>
          <w:rFonts w:cs="Arial"/>
        </w:rPr>
        <w:t xml:space="preserve"> they are linked to, those funds are obliged under index licensing terms to include the name of the chosen benchmark in their funds name, leaving no room for flexibility to fund managers in choosing the name.</w:t>
      </w:r>
      <w:r w:rsidR="002D7F71" w:rsidRPr="00B03BA8">
        <w:rPr>
          <w:rFonts w:cs="Arial"/>
        </w:rPr>
        <w:t xml:space="preserve"> </w:t>
      </w:r>
      <w:r w:rsidR="00AB1C4B" w:rsidRPr="00B03BA8">
        <w:rPr>
          <w:rFonts w:cs="Arial"/>
        </w:rPr>
        <w:t>ESMA itself, in the Supervisory Briefing, Paragraph 30, setting principles-based guidance on fund names points out that</w:t>
      </w:r>
    </w:p>
    <w:p w14:paraId="4FBF0420" w14:textId="5EACDFDB" w:rsidR="00AB1C4B" w:rsidRPr="00B03BA8" w:rsidRDefault="00AB1C4B" w:rsidP="00AB1C4B">
      <w:pPr>
        <w:rPr>
          <w:rFonts w:cs="Arial"/>
        </w:rPr>
      </w:pPr>
      <w:r w:rsidRPr="00B03BA8">
        <w:rPr>
          <w:rFonts w:cs="Arial"/>
          <w:i/>
          <w:iCs/>
        </w:rPr>
        <w:t xml:space="preserve">Funds designating an index as a reference benchmark could use any ESG-related terms if the index the fund designates is itself ESG-focused </w:t>
      </w:r>
      <w:proofErr w:type="gramStart"/>
      <w:r w:rsidRPr="00B03BA8">
        <w:rPr>
          <w:rFonts w:cs="Arial"/>
          <w:i/>
          <w:iCs/>
        </w:rPr>
        <w:t>as long as</w:t>
      </w:r>
      <w:proofErr w:type="gramEnd"/>
      <w:r w:rsidRPr="00B03BA8">
        <w:rPr>
          <w:rFonts w:cs="Arial"/>
        </w:rPr>
        <w:t xml:space="preserve"> [..] an index-tracking fund does not apply an exclusion policy that only excludes a small number of securities or where the holdings are </w:t>
      </w:r>
      <w:r w:rsidR="00A3065E" w:rsidRPr="00B03BA8">
        <w:rPr>
          <w:rFonts w:cs="Arial"/>
        </w:rPr>
        <w:t>materially different from a similar non-ESG index.</w:t>
      </w:r>
    </w:p>
    <w:p w14:paraId="02CFF2E8" w14:textId="77777777" w:rsidR="00AB1C4B" w:rsidRPr="00B03BA8" w:rsidRDefault="00AB1C4B" w:rsidP="00B92885">
      <w:pPr>
        <w:rPr>
          <w:rFonts w:cs="Arial"/>
        </w:rPr>
      </w:pPr>
    </w:p>
    <w:p w14:paraId="737A5FA8" w14:textId="6ECC1440" w:rsidR="00B92885" w:rsidRDefault="002D7F71" w:rsidP="00B92885">
      <w:r w:rsidRPr="00B03BA8">
        <w:rPr>
          <w:rFonts w:cs="Arial"/>
        </w:rPr>
        <w:t>An eventual application of requirements for the use of ESG/sustainability terms by ESMA will therefore have to take this specificity into account, as well as the difficulty in applying exclusion criteria to index funds, given that the rebalancing rules of many indices only allow the index composition to be adjusted at certain intervals, usually quarterly, so that potential exclusions in the interim period cannot be reflected in the index composition before the date of the next rebalancing.</w:t>
      </w:r>
      <w:r w:rsidRPr="002D7F71">
        <w:rPr>
          <w:rFonts w:ascii="Lucida Sans" w:hAnsi="Lucida Sans"/>
        </w:rPr>
        <w:t xml:space="preserve"> </w:t>
      </w:r>
      <w:permEnd w:id="650455330"/>
      <w:r w:rsidR="00B92885">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lastRenderedPageBreak/>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7729AE3F" w14:textId="36A7BD87" w:rsidR="00BD2FE3" w:rsidRPr="004219B1" w:rsidRDefault="00A3065E" w:rsidP="00B92885">
      <w:pPr>
        <w:rPr>
          <w:rFonts w:cs="Arial"/>
        </w:rPr>
      </w:pPr>
      <w:permStart w:id="1992309739" w:edGrp="everyone"/>
      <w:r w:rsidRPr="004219B1">
        <w:rPr>
          <w:rFonts w:cs="Arial"/>
        </w:rPr>
        <w:t xml:space="preserve">Given the characteristics and objective of impact </w:t>
      </w:r>
      <w:r w:rsidR="00F55B2B" w:rsidRPr="004219B1">
        <w:rPr>
          <w:rFonts w:cs="Arial"/>
        </w:rPr>
        <w:t xml:space="preserve">investments defined by the GIIN, as </w:t>
      </w:r>
      <w:r w:rsidRPr="004219B1">
        <w:rPr>
          <w:rFonts w:cs="Arial"/>
        </w:rPr>
        <w:t>investments are made with the intention to generate positive, measurable social and environmental impact alongside a financial return,</w:t>
      </w:r>
      <w:r w:rsidR="00F55B2B" w:rsidRPr="004219B1">
        <w:rPr>
          <w:rFonts w:cs="Arial"/>
        </w:rPr>
        <w:t xml:space="preserve"> </w:t>
      </w:r>
      <w:r w:rsidRPr="004219B1">
        <w:rPr>
          <w:rFonts w:cs="Arial"/>
          <w:b/>
          <w:bCs/>
        </w:rPr>
        <w:t>Assogestioni promotes the application of an alternative approach for funds using impact or impact-related terms in their name that can take these peculiarities into account and doe</w:t>
      </w:r>
      <w:r w:rsidR="00F55B2B" w:rsidRPr="004219B1">
        <w:rPr>
          <w:rFonts w:cs="Arial"/>
          <w:b/>
          <w:bCs/>
        </w:rPr>
        <w:t xml:space="preserve">s </w:t>
      </w:r>
      <w:r w:rsidRPr="004219B1">
        <w:rPr>
          <w:rFonts w:cs="Arial"/>
          <w:b/>
          <w:bCs/>
        </w:rPr>
        <w:t>not undermine their operability.</w:t>
      </w:r>
      <w:r w:rsidRPr="004219B1">
        <w:rPr>
          <w:rFonts w:cs="Arial"/>
        </w:rPr>
        <w:t xml:space="preserve"> </w:t>
      </w:r>
      <w:r w:rsidR="00F55B2B" w:rsidRPr="004219B1">
        <w:rPr>
          <w:rFonts w:cs="Arial"/>
        </w:rPr>
        <w:t xml:space="preserve">Firstly, funds pursuing impact-related strategies may find difficulties to meet the DNSH criteria for sustainable investments, mainly because in order to achieve a positive impact they do need to invest also in companies aimed at decreasing negative outcomes arising from their actions – </w:t>
      </w:r>
      <w:proofErr w:type="gramStart"/>
      <w:r w:rsidR="005E658D" w:rsidRPr="004219B1">
        <w:rPr>
          <w:rFonts w:cs="Arial"/>
        </w:rPr>
        <w:t>e.g.</w:t>
      </w:r>
      <w:proofErr w:type="gramEnd"/>
      <w:r w:rsidR="00044C7E">
        <w:rPr>
          <w:rFonts w:cs="Arial"/>
        </w:rPr>
        <w:t xml:space="preserve"> </w:t>
      </w:r>
      <w:r w:rsidR="00F55B2B" w:rsidRPr="004219B1">
        <w:rPr>
          <w:rFonts w:cs="Arial"/>
        </w:rPr>
        <w:t xml:space="preserve">transition companies that still have a significant proportion of non-sustainable activities involved in the transition. Therefore, </w:t>
      </w:r>
      <w:r w:rsidR="005539BF" w:rsidRPr="004219B1">
        <w:rPr>
          <w:rFonts w:cs="Arial"/>
        </w:rPr>
        <w:t>while</w:t>
      </w:r>
      <w:r w:rsidR="005E658D" w:rsidRPr="004219B1">
        <w:rPr>
          <w:rFonts w:cs="Arial"/>
        </w:rPr>
        <w:t xml:space="preserve"> </w:t>
      </w:r>
      <w:r w:rsidR="005539BF" w:rsidRPr="004219B1">
        <w:rPr>
          <w:rFonts w:cs="Arial"/>
        </w:rPr>
        <w:t xml:space="preserve">the application of the E/S threshold may seem to work, the requirement of compliance with the threshold on sustainable investments </w:t>
      </w:r>
      <w:proofErr w:type="gramStart"/>
      <w:r w:rsidR="005539BF" w:rsidRPr="004219B1">
        <w:rPr>
          <w:rFonts w:cs="Arial"/>
        </w:rPr>
        <w:t>is considered to be</w:t>
      </w:r>
      <w:proofErr w:type="gramEnd"/>
      <w:r w:rsidR="005539BF" w:rsidRPr="004219B1">
        <w:rPr>
          <w:rFonts w:cs="Arial"/>
        </w:rPr>
        <w:t xml:space="preserve"> unenforceable</w:t>
      </w:r>
      <w:r w:rsidR="005E658D" w:rsidRPr="004219B1">
        <w:rPr>
          <w:rFonts w:cs="Arial"/>
        </w:rPr>
        <w:t xml:space="preserve">. </w:t>
      </w:r>
      <w:r w:rsidR="005539BF" w:rsidRPr="004219B1">
        <w:rPr>
          <w:rFonts w:cs="Arial"/>
        </w:rPr>
        <w:t xml:space="preserve">Additionally, compliance with the GIIN Principles or the Operating Principles for Impact Management should be required which are widely adopted industry standards. </w:t>
      </w:r>
      <w:r w:rsidR="00BD2FE3" w:rsidRPr="004219B1">
        <w:rPr>
          <w:rFonts w:cs="Arial"/>
        </w:rPr>
        <w:t>Assogestioni agrees with ESMA’s suggestion that funds referring to “impact” in their name must strive for generating positive and measurable social or environmental impact alongside a financial return and therefore recognises the need to assess this impact also through different channels, including stewardship and engagement</w:t>
      </w:r>
      <w:r w:rsidR="0081734E" w:rsidRPr="004219B1">
        <w:rPr>
          <w:rFonts w:cs="Arial"/>
        </w:rPr>
        <w:t xml:space="preserve">, aimed also at clearly understanding how the fund is positioned in the impact value chain. </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0643B633" w14:textId="31770885" w:rsidR="00B92885" w:rsidRDefault="0081734E" w:rsidP="00B92885">
      <w:permStart w:id="1423966990" w:edGrp="everyone"/>
      <w:r w:rsidRPr="00DF01D9">
        <w:rPr>
          <w:rStyle w:val="normaltextrun"/>
          <w:rFonts w:cs="Arial"/>
          <w:color w:val="000000"/>
          <w:szCs w:val="20"/>
          <w:shd w:val="clear" w:color="auto" w:fill="FFFFFF"/>
        </w:rPr>
        <w:t xml:space="preserve">We would </w:t>
      </w:r>
      <w:r w:rsidR="007B1EDB" w:rsidRPr="00DF01D9">
        <w:rPr>
          <w:rStyle w:val="normaltextrun"/>
          <w:rFonts w:cs="Arial"/>
          <w:color w:val="000000"/>
          <w:szCs w:val="20"/>
          <w:shd w:val="clear" w:color="auto" w:fill="FFFFFF"/>
        </w:rPr>
        <w:t>consider</w:t>
      </w:r>
      <w:r w:rsidRPr="00DF01D9">
        <w:rPr>
          <w:rStyle w:val="normaltextrun"/>
          <w:rFonts w:cs="Arial"/>
          <w:color w:val="000000"/>
          <w:szCs w:val="20"/>
          <w:shd w:val="clear" w:color="auto" w:fill="FFFFFF"/>
        </w:rPr>
        <w:t xml:space="preserve"> </w:t>
      </w:r>
      <w:r w:rsidR="00DF01D9">
        <w:rPr>
          <w:rStyle w:val="normaltextrun"/>
          <w:rFonts w:cs="Arial"/>
          <w:color w:val="000000"/>
          <w:szCs w:val="20"/>
          <w:shd w:val="clear" w:color="auto" w:fill="FFFFFF"/>
        </w:rPr>
        <w:t>L</w:t>
      </w:r>
      <w:r w:rsidRPr="00DF01D9">
        <w:rPr>
          <w:rStyle w:val="normaltextrun"/>
          <w:rFonts w:cs="Arial"/>
          <w:color w:val="000000"/>
          <w:szCs w:val="20"/>
          <w:shd w:val="clear" w:color="auto" w:fill="FFFFFF"/>
        </w:rPr>
        <w:t xml:space="preserve">evel 1 </w:t>
      </w:r>
      <w:r w:rsidR="007B1EDB" w:rsidRPr="00DF01D9">
        <w:rPr>
          <w:rStyle w:val="normaltextrun"/>
          <w:rFonts w:cs="Arial"/>
          <w:color w:val="000000"/>
          <w:szCs w:val="20"/>
          <w:shd w:val="clear" w:color="auto" w:fill="FFFFFF"/>
        </w:rPr>
        <w:t>regulations</w:t>
      </w:r>
      <w:r w:rsidRPr="00DF01D9">
        <w:rPr>
          <w:rStyle w:val="normaltextrun"/>
          <w:rFonts w:cs="Arial"/>
          <w:color w:val="000000"/>
          <w:szCs w:val="20"/>
          <w:shd w:val="clear" w:color="auto" w:fill="FFFFFF"/>
        </w:rPr>
        <w:t xml:space="preserve"> to </w:t>
      </w:r>
      <w:r w:rsidR="007B1EDB" w:rsidRPr="00DF01D9">
        <w:rPr>
          <w:rStyle w:val="normaltextrun"/>
          <w:rFonts w:cs="Arial"/>
          <w:color w:val="000000"/>
          <w:szCs w:val="20"/>
          <w:shd w:val="clear" w:color="auto" w:fill="FFFFFF"/>
        </w:rPr>
        <w:t>be</w:t>
      </w:r>
      <w:r w:rsidRPr="00DF01D9">
        <w:rPr>
          <w:rStyle w:val="normaltextrun"/>
          <w:rFonts w:cs="Arial"/>
          <w:color w:val="000000"/>
          <w:szCs w:val="20"/>
          <w:shd w:val="clear" w:color="auto" w:fill="FFFFFF"/>
        </w:rPr>
        <w:t xml:space="preserve"> the most appropriate </w:t>
      </w:r>
      <w:r w:rsidR="007B1EDB" w:rsidRPr="00DF01D9">
        <w:rPr>
          <w:rStyle w:val="normaltextrun"/>
          <w:rFonts w:cs="Arial"/>
          <w:color w:val="000000"/>
          <w:szCs w:val="20"/>
          <w:shd w:val="clear" w:color="auto" w:fill="FFFFFF"/>
        </w:rPr>
        <w:t>regulatory</w:t>
      </w:r>
      <w:r w:rsidRPr="00DF01D9">
        <w:rPr>
          <w:rStyle w:val="normaltextrun"/>
          <w:rFonts w:cs="Arial"/>
          <w:color w:val="000000"/>
          <w:szCs w:val="20"/>
          <w:shd w:val="clear" w:color="auto" w:fill="FFFFFF"/>
        </w:rPr>
        <w:t xml:space="preserve"> tool to envisage the creation of such a category. However, should ESMA proceed with the proposed guidelines and introduce PA</w:t>
      </w:r>
      <w:r w:rsidR="007B1EDB" w:rsidRPr="00DF01D9">
        <w:rPr>
          <w:rStyle w:val="normaltextrun"/>
          <w:rFonts w:cs="Arial"/>
          <w:color w:val="000000"/>
          <w:szCs w:val="20"/>
          <w:shd w:val="clear" w:color="auto" w:fill="FFFFFF"/>
        </w:rPr>
        <w:t>B-</w:t>
      </w:r>
      <w:r w:rsidRPr="00DF01D9">
        <w:rPr>
          <w:rStyle w:val="normaltextrun"/>
          <w:rFonts w:cs="Arial"/>
          <w:color w:val="000000"/>
          <w:szCs w:val="20"/>
          <w:shd w:val="clear" w:color="auto" w:fill="FFFFFF"/>
        </w:rPr>
        <w:t xml:space="preserve">based </w:t>
      </w:r>
      <w:r w:rsidR="007B1EDB" w:rsidRPr="00DF01D9">
        <w:rPr>
          <w:rStyle w:val="normaltextrun"/>
          <w:rFonts w:cs="Arial"/>
          <w:color w:val="000000"/>
          <w:szCs w:val="20"/>
          <w:shd w:val="clear" w:color="auto" w:fill="FFFFFF"/>
        </w:rPr>
        <w:t xml:space="preserve">exclusion criteria as </w:t>
      </w:r>
      <w:r w:rsidRPr="00DF01D9">
        <w:rPr>
          <w:rStyle w:val="normaltextrun"/>
          <w:rFonts w:cs="Arial"/>
          <w:color w:val="000000"/>
          <w:szCs w:val="20"/>
          <w:shd w:val="clear" w:color="auto" w:fill="FFFFFF"/>
        </w:rPr>
        <w:t xml:space="preserve">minimum safeguards, we would favour allowing product that invest in companies engaged in </w:t>
      </w:r>
      <w:r w:rsidRPr="00DF01D9">
        <w:rPr>
          <w:rStyle w:val="normaltextrun"/>
          <w:rFonts w:cs="Arial"/>
          <w:b/>
          <w:bCs/>
          <w:color w:val="000000"/>
          <w:szCs w:val="20"/>
          <w:shd w:val="clear" w:color="auto" w:fill="FFFFFF"/>
        </w:rPr>
        <w:t xml:space="preserve">transition to </w:t>
      </w:r>
      <w:r w:rsidR="00DF01D9">
        <w:rPr>
          <w:rStyle w:val="normaltextrun"/>
          <w:rFonts w:cs="Arial"/>
          <w:b/>
          <w:bCs/>
          <w:color w:val="000000"/>
          <w:szCs w:val="20"/>
          <w:shd w:val="clear" w:color="auto" w:fill="FFFFFF"/>
        </w:rPr>
        <w:t>use</w:t>
      </w:r>
      <w:r w:rsidRPr="00DF01D9">
        <w:rPr>
          <w:rStyle w:val="normaltextrun"/>
          <w:rFonts w:cs="Arial"/>
          <w:b/>
          <w:bCs/>
          <w:color w:val="000000"/>
          <w:szCs w:val="20"/>
          <w:shd w:val="clear" w:color="auto" w:fill="FFFFFF"/>
        </w:rPr>
        <w:t xml:space="preserve"> specific terms </w:t>
      </w:r>
      <w:r w:rsidR="007B1EDB" w:rsidRPr="00DF01D9">
        <w:rPr>
          <w:rStyle w:val="normaltextrun"/>
          <w:rFonts w:cs="Arial"/>
          <w:b/>
          <w:bCs/>
          <w:color w:val="000000"/>
          <w:szCs w:val="20"/>
          <w:shd w:val="clear" w:color="auto" w:fill="FFFFFF"/>
        </w:rPr>
        <w:t>such</w:t>
      </w:r>
      <w:r w:rsidRPr="00DF01D9">
        <w:rPr>
          <w:rStyle w:val="normaltextrun"/>
          <w:rFonts w:cs="Arial"/>
          <w:b/>
          <w:bCs/>
          <w:color w:val="000000"/>
          <w:szCs w:val="20"/>
          <w:shd w:val="clear" w:color="auto" w:fill="FFFFFF"/>
        </w:rPr>
        <w:t xml:space="preserve"> </w:t>
      </w:r>
      <w:r w:rsidR="007B1EDB" w:rsidRPr="00DF01D9">
        <w:rPr>
          <w:rStyle w:val="normaltextrun"/>
          <w:rFonts w:cs="Arial"/>
          <w:b/>
          <w:bCs/>
          <w:color w:val="000000"/>
          <w:szCs w:val="20"/>
          <w:shd w:val="clear" w:color="auto" w:fill="FFFFFF"/>
        </w:rPr>
        <w:t>as</w:t>
      </w:r>
      <w:r w:rsidRPr="00DF01D9">
        <w:rPr>
          <w:rStyle w:val="normaltextrun"/>
          <w:rFonts w:cs="Arial"/>
          <w:b/>
          <w:bCs/>
          <w:color w:val="000000"/>
          <w:szCs w:val="20"/>
          <w:shd w:val="clear" w:color="auto" w:fill="FFFFFF"/>
        </w:rPr>
        <w:t xml:space="preserve"> green transition or </w:t>
      </w:r>
      <w:proofErr w:type="gramStart"/>
      <w:r w:rsidRPr="00DF01D9">
        <w:rPr>
          <w:rStyle w:val="normaltextrun"/>
          <w:rFonts w:cs="Arial"/>
          <w:b/>
          <w:bCs/>
          <w:color w:val="000000"/>
          <w:szCs w:val="20"/>
          <w:shd w:val="clear" w:color="auto" w:fill="FFFFFF"/>
        </w:rPr>
        <w:t>similar</w:t>
      </w:r>
      <w:r w:rsidRPr="007B1EDB">
        <w:rPr>
          <w:rStyle w:val="normaltextrun"/>
          <w:rFonts w:cs="Arial"/>
          <w:b/>
          <w:bCs/>
          <w:color w:val="000000"/>
          <w:szCs w:val="20"/>
          <w:shd w:val="clear" w:color="auto" w:fill="FFFFFF"/>
        </w:rPr>
        <w:t>.</w:t>
      </w:r>
      <w:permEnd w:id="1423966990"/>
      <w:r w:rsidR="00B92885">
        <w:t>&lt;</w:t>
      </w:r>
      <w:proofErr w:type="gramEnd"/>
      <w:r w:rsidR="00B92885">
        <w: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FEF452E" w14:textId="77777777" w:rsidR="00DD08FF" w:rsidRDefault="00DD08FF" w:rsidP="00B92885">
      <w:pPr>
        <w:rPr>
          <w:rStyle w:val="eop"/>
          <w:rFonts w:cs="Arial"/>
          <w:szCs w:val="20"/>
          <w:shd w:val="clear" w:color="auto" w:fill="FFFFFF"/>
        </w:rPr>
      </w:pPr>
      <w:permStart w:id="1434478937" w:edGrp="everyone"/>
      <w:r>
        <w:rPr>
          <w:rStyle w:val="normaltextrun"/>
          <w:rFonts w:cs="Arial"/>
          <w:szCs w:val="20"/>
          <w:shd w:val="clear" w:color="auto" w:fill="FFFFFF"/>
        </w:rPr>
        <w:t>TYPE YOUR TEXT HERE</w:t>
      </w:r>
      <w:r w:rsidR="0081734E" w:rsidRPr="00CD04E8">
        <w:rPr>
          <w:rStyle w:val="eop"/>
          <w:rFonts w:cs="Arial"/>
          <w:szCs w:val="20"/>
          <w:shd w:val="clear" w:color="auto" w:fill="FFFFFF"/>
        </w:rPr>
        <w:t> </w:t>
      </w:r>
    </w:p>
    <w:permEnd w:id="1434478937"/>
    <w:p w14:paraId="70EEE415" w14:textId="76817841"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76F28068" w14:textId="31440836" w:rsidR="0020404A" w:rsidRPr="00BE5B51" w:rsidRDefault="0020404A" w:rsidP="00B92885">
      <w:pPr>
        <w:rPr>
          <w:rFonts w:cs="Arial"/>
        </w:rPr>
      </w:pPr>
      <w:permStart w:id="489244833" w:edGrp="everyone"/>
      <w:r w:rsidRPr="00DD3427">
        <w:rPr>
          <w:rFonts w:cs="Arial"/>
        </w:rPr>
        <w:t xml:space="preserve">Assogestioni would suggest </w:t>
      </w:r>
      <w:r w:rsidR="00A74919" w:rsidRPr="00DD3427">
        <w:rPr>
          <w:rFonts w:cs="Arial"/>
        </w:rPr>
        <w:t>extending</w:t>
      </w:r>
      <w:r w:rsidRPr="00DD3427">
        <w:rPr>
          <w:rFonts w:cs="Arial"/>
        </w:rPr>
        <w:t xml:space="preserve"> the transitional period needed for existing funds to comply with the Guidelines to </w:t>
      </w:r>
      <w:r w:rsidRPr="00DD3427">
        <w:rPr>
          <w:rFonts w:cs="Arial"/>
          <w:b/>
          <w:bCs/>
        </w:rPr>
        <w:t>at least twelve months</w:t>
      </w:r>
      <w:r w:rsidRPr="00DD3427">
        <w:rPr>
          <w:rFonts w:cs="Arial"/>
        </w:rPr>
        <w:t xml:space="preserve"> from the date of application of the Guidelines, in order to assure that the industry has sufficient time to adapt, by changing their names or by adjusting their asset allocation, and to revise their pre-contractual documents in line with the new requirements. </w:t>
      </w:r>
    </w:p>
    <w:permEnd w:id="489244833"/>
    <w:p w14:paraId="739467F4" w14:textId="339BB16D" w:rsidR="00B92885" w:rsidRDefault="00B92885" w:rsidP="00B92885">
      <w:r>
        <w:lastRenderedPageBreak/>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00ADF191" w14:textId="7CDE864D" w:rsidR="00B92885" w:rsidRDefault="004924A2" w:rsidP="00B92885">
      <w:permStart w:id="929254269" w:edGrp="everyone"/>
      <w:r w:rsidRPr="00EC5587">
        <w:rPr>
          <w:rFonts w:cs="Arial"/>
        </w:rPr>
        <w:t xml:space="preserve">The introduction of the guidelines as proposed by ESMA entails potential problems of adaptation with existing regulation, given the interoperability issues with the SFDR and MIFID discussed at length above. </w:t>
      </w:r>
      <w:r w:rsidR="000A224A" w:rsidRPr="00EC5587">
        <w:rPr>
          <w:rFonts w:cs="Arial"/>
        </w:rPr>
        <w:t xml:space="preserve">Among the main unintended consequences that the application of these guidelines could have, must be mentioned the risk of increasing greenwashing, instead of </w:t>
      </w:r>
      <w:r w:rsidR="00C22FEE">
        <w:rPr>
          <w:rFonts w:cs="Arial"/>
        </w:rPr>
        <w:t>reducing</w:t>
      </w:r>
      <w:r w:rsidR="000A224A" w:rsidRPr="00EC5587">
        <w:rPr>
          <w:rFonts w:cs="Arial"/>
        </w:rPr>
        <w:t xml:space="preserve"> it,  since these thresholds are set upon concepts not clearly defined, to which is added the risk of green-bleaching, since the requirements set by these guidelines appear to be way too stringent and inadequate – before all, the setting of PAB-based exclusion criteria as minimum safeguard to all the portfolio and the 50% of total investment requirement for the use of any sustainability-related term in funds name- to lead funds’ manager to stay out of ESG strategies</w:t>
      </w:r>
      <w:r w:rsidR="00BE5B51">
        <w:rPr>
          <w:rFonts w:cs="Arial"/>
        </w:rPr>
        <w:t>,</w:t>
      </w:r>
      <w:r w:rsidR="000A224A" w:rsidRPr="00EC5587">
        <w:rPr>
          <w:rFonts w:cs="Arial"/>
        </w:rPr>
        <w:t xml:space="preserve"> circumventing the risk of breaches of inflexible and unclear regulatory requirements.</w:t>
      </w:r>
      <w:r w:rsidRPr="004924A2">
        <w:t xml:space="preserve"> </w:t>
      </w:r>
      <w:permEnd w:id="929254269"/>
      <w:r w:rsidR="00B92885">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ED3F" w14:textId="77777777" w:rsidR="007E6BAB" w:rsidRDefault="007E6BAB">
      <w:r>
        <w:separator/>
      </w:r>
    </w:p>
    <w:p w14:paraId="7DB15F60" w14:textId="77777777" w:rsidR="007E6BAB" w:rsidRDefault="007E6BAB"/>
  </w:endnote>
  <w:endnote w:type="continuationSeparator" w:id="0">
    <w:p w14:paraId="0A8E2E42" w14:textId="77777777" w:rsidR="007E6BAB" w:rsidRDefault="007E6BAB">
      <w:r>
        <w:continuationSeparator/>
      </w:r>
    </w:p>
    <w:p w14:paraId="0B91527A" w14:textId="77777777" w:rsidR="007E6BAB" w:rsidRDefault="007E6BAB"/>
  </w:endnote>
  <w:endnote w:type="continuationNotice" w:id="1">
    <w:p w14:paraId="1B12B7A1" w14:textId="77777777" w:rsidR="007E6BAB" w:rsidRDefault="007E6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Pidipagina"/>
      <w:tabs>
        <w:tab w:val="clear" w:pos="4536"/>
        <w:tab w:val="clear" w:pos="9072"/>
        <w:tab w:val="left" w:pos="8227"/>
        <w:tab w:val="right" w:pos="9412"/>
      </w:tabs>
    </w:pPr>
    <w:r>
      <w:tab/>
    </w:r>
    <w:r w:rsidR="00B92885">
      <w:tab/>
    </w:r>
  </w:p>
  <w:p w14:paraId="3A793707" w14:textId="084F8123" w:rsidR="00B92885" w:rsidRDefault="00B92885" w:rsidP="00B92885">
    <w:pPr>
      <w:pStyle w:val="Pidipagina"/>
      <w:tabs>
        <w:tab w:val="clear" w:pos="4536"/>
        <w:tab w:val="clear" w:pos="9072"/>
        <w:tab w:val="left" w:pos="8227"/>
        <w:tab w:val="right" w:pos="9412"/>
      </w:tabs>
    </w:pPr>
    <w:r>
      <w:tab/>
    </w:r>
    <w:r>
      <w:tab/>
    </w:r>
    <w:r>
      <w:tab/>
    </w:r>
  </w:p>
  <w:p w14:paraId="6D19C66C" w14:textId="10DE0B9B" w:rsidR="00B92885" w:rsidRDefault="00B92885" w:rsidP="00B92885">
    <w:pPr>
      <w:pStyle w:val="Pidipagina"/>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F1A9" w14:textId="77777777" w:rsidR="007E6BAB" w:rsidRDefault="007E6BAB">
      <w:r>
        <w:separator/>
      </w:r>
    </w:p>
    <w:p w14:paraId="11F9ABB3" w14:textId="77777777" w:rsidR="007E6BAB" w:rsidRDefault="007E6BAB"/>
  </w:footnote>
  <w:footnote w:type="continuationSeparator" w:id="0">
    <w:p w14:paraId="5ECDD331" w14:textId="77777777" w:rsidR="007E6BAB" w:rsidRDefault="007E6BAB">
      <w:r>
        <w:continuationSeparator/>
      </w:r>
    </w:p>
    <w:p w14:paraId="192BF770" w14:textId="77777777" w:rsidR="007E6BAB" w:rsidRDefault="007E6BAB"/>
  </w:footnote>
  <w:footnote w:type="continuationNotice" w:id="1">
    <w:p w14:paraId="599ABAB3" w14:textId="77777777" w:rsidR="007E6BAB" w:rsidRDefault="007E6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Intestazione"/>
    </w:pPr>
    <w:r>
      <w:rPr>
        <w:noProof/>
        <w:lang w:eastAsia="en-GB"/>
      </w:rPr>
      <w:drawing>
        <wp:anchor distT="0" distB="0" distL="114300" distR="114300" simplePos="0" relativeHeight="251661312"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12"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7216"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DB262" id="Line 16" o:spid="_x0000_s1026" style="position:absolute;z-index:251657216;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Intestazione"/>
      <w:jc w:val="right"/>
    </w:pPr>
    <w:r>
      <w:rPr>
        <w:noProof/>
        <w:lang w:eastAsia="en-GB"/>
      </w:rPr>
      <w:drawing>
        <wp:anchor distT="0" distB="0" distL="114300" distR="114300" simplePos="0" relativeHeight="251659264"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13"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14"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Intestazione"/>
      <w:rPr>
        <w:lang w:val="fr-FR"/>
      </w:rPr>
    </w:pPr>
  </w:p>
  <w:p w14:paraId="3F30C70B" w14:textId="77777777" w:rsidR="00267551" w:rsidRPr="002F4496" w:rsidRDefault="00267551" w:rsidP="000C06C9">
    <w:pPr>
      <w:pStyle w:val="Intestazione"/>
      <w:tabs>
        <w:tab w:val="clear" w:pos="4536"/>
        <w:tab w:val="clear" w:pos="9072"/>
        <w:tab w:val="left" w:pos="8227"/>
      </w:tabs>
      <w:rPr>
        <w:lang w:val="fr-FR"/>
      </w:rPr>
    </w:pPr>
  </w:p>
  <w:p w14:paraId="4D50BC39" w14:textId="77777777" w:rsidR="00267551" w:rsidRPr="002F4496" w:rsidRDefault="00267551" w:rsidP="00583885">
    <w:pPr>
      <w:pStyle w:val="Intestazione"/>
      <w:jc w:val="right"/>
      <w:rPr>
        <w:lang w:val="fr-FR"/>
      </w:rPr>
    </w:pPr>
  </w:p>
  <w:p w14:paraId="2D51BEA2" w14:textId="77777777" w:rsidR="00267551" w:rsidRPr="002F4496" w:rsidRDefault="00267551">
    <w:pPr>
      <w:pStyle w:val="Intestazione"/>
      <w:rPr>
        <w:lang w:val="fr-FR"/>
      </w:rPr>
    </w:pPr>
  </w:p>
  <w:p w14:paraId="340B2438" w14:textId="77777777" w:rsidR="00267551" w:rsidRPr="002F4496" w:rsidRDefault="00267551">
    <w:pPr>
      <w:pStyle w:val="Intestazione"/>
      <w:rPr>
        <w:lang w:val="fr-FR"/>
      </w:rPr>
    </w:pPr>
  </w:p>
  <w:p w14:paraId="2A794A3E" w14:textId="77777777" w:rsidR="00267551" w:rsidRPr="002F4496" w:rsidRDefault="00267551">
    <w:pPr>
      <w:pStyle w:val="Intestazione"/>
      <w:rPr>
        <w:lang w:val="fr-FR"/>
      </w:rPr>
    </w:pPr>
  </w:p>
  <w:p w14:paraId="0A21F475" w14:textId="77777777" w:rsidR="00267551" w:rsidRPr="002F4496" w:rsidRDefault="00267551">
    <w:pPr>
      <w:pStyle w:val="Intestazione"/>
      <w:rPr>
        <w:highlight w:val="yellow"/>
        <w:lang w:val="fr-FR"/>
      </w:rPr>
    </w:pPr>
  </w:p>
  <w:p w14:paraId="53ABEE5D" w14:textId="77777777" w:rsidR="00267551" w:rsidRDefault="00267551">
    <w:pPr>
      <w:pStyle w:val="Intestazion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EBB46"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319A5"/>
    <w:multiLevelType w:val="multilevel"/>
    <w:tmpl w:val="2C64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984A0D"/>
    <w:multiLevelType w:val="multilevel"/>
    <w:tmpl w:val="0DE66E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F761CDC"/>
    <w:multiLevelType w:val="hybridMultilevel"/>
    <w:tmpl w:val="BF86E79E"/>
    <w:lvl w:ilvl="0" w:tplc="651C3B0C">
      <w:start w:val="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34C950B2"/>
    <w:multiLevelType w:val="multilevel"/>
    <w:tmpl w:val="1272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441275A"/>
    <w:multiLevelType w:val="hybridMultilevel"/>
    <w:tmpl w:val="E9C60B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8D67826"/>
    <w:multiLevelType w:val="hybridMultilevel"/>
    <w:tmpl w:val="4CE67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5FB276B2"/>
    <w:multiLevelType w:val="multilevel"/>
    <w:tmpl w:val="D818D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34C0079"/>
    <w:multiLevelType w:val="hybridMultilevel"/>
    <w:tmpl w:val="E9C0F0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354890664">
    <w:abstractNumId w:val="20"/>
  </w:num>
  <w:num w:numId="2" w16cid:durableId="2128620384">
    <w:abstractNumId w:val="22"/>
  </w:num>
  <w:num w:numId="3" w16cid:durableId="1580674007">
    <w:abstractNumId w:val="15"/>
  </w:num>
  <w:num w:numId="4" w16cid:durableId="61217272">
    <w:abstractNumId w:val="29"/>
  </w:num>
  <w:num w:numId="5" w16cid:durableId="1042706769">
    <w:abstractNumId w:val="31"/>
  </w:num>
  <w:num w:numId="6" w16cid:durableId="870650139">
    <w:abstractNumId w:val="0"/>
  </w:num>
  <w:num w:numId="7" w16cid:durableId="9260521">
    <w:abstractNumId w:val="4"/>
  </w:num>
  <w:num w:numId="8" w16cid:durableId="1104422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9203025">
    <w:abstractNumId w:val="38"/>
  </w:num>
  <w:num w:numId="10" w16cid:durableId="4027216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212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2286524">
    <w:abstractNumId w:val="33"/>
  </w:num>
  <w:num w:numId="13" w16cid:durableId="1635745527">
    <w:abstractNumId w:val="37"/>
  </w:num>
  <w:num w:numId="14" w16cid:durableId="119804910">
    <w:abstractNumId w:val="28"/>
  </w:num>
  <w:num w:numId="15" w16cid:durableId="693848384">
    <w:abstractNumId w:val="13"/>
  </w:num>
  <w:num w:numId="16" w16cid:durableId="176584932">
    <w:abstractNumId w:val="1"/>
  </w:num>
  <w:num w:numId="17" w16cid:durableId="141197198">
    <w:abstractNumId w:val="18"/>
  </w:num>
  <w:num w:numId="18" w16cid:durableId="861237513">
    <w:abstractNumId w:val="19"/>
  </w:num>
  <w:num w:numId="19" w16cid:durableId="1434394833">
    <w:abstractNumId w:val="21"/>
  </w:num>
  <w:num w:numId="20" w16cid:durableId="109206533">
    <w:abstractNumId w:val="32"/>
  </w:num>
  <w:num w:numId="21" w16cid:durableId="499391787">
    <w:abstractNumId w:val="43"/>
  </w:num>
  <w:num w:numId="22" w16cid:durableId="1427536575">
    <w:abstractNumId w:val="30"/>
  </w:num>
  <w:num w:numId="23" w16cid:durableId="1655795846">
    <w:abstractNumId w:val="12"/>
  </w:num>
  <w:num w:numId="24" w16cid:durableId="669792581">
    <w:abstractNumId w:val="35"/>
  </w:num>
  <w:num w:numId="25" w16cid:durableId="1209951254">
    <w:abstractNumId w:val="34"/>
  </w:num>
  <w:num w:numId="26" w16cid:durableId="1100565147">
    <w:abstractNumId w:val="24"/>
  </w:num>
  <w:num w:numId="27" w16cid:durableId="1754669743">
    <w:abstractNumId w:val="39"/>
  </w:num>
  <w:num w:numId="28" w16cid:durableId="1114638544">
    <w:abstractNumId w:val="46"/>
  </w:num>
  <w:num w:numId="29" w16cid:durableId="1902210901">
    <w:abstractNumId w:val="10"/>
  </w:num>
  <w:num w:numId="30" w16cid:durableId="542982415">
    <w:abstractNumId w:val="2"/>
  </w:num>
  <w:num w:numId="31" w16cid:durableId="467673787">
    <w:abstractNumId w:val="27"/>
  </w:num>
  <w:num w:numId="32" w16cid:durableId="1702241082">
    <w:abstractNumId w:val="26"/>
  </w:num>
  <w:num w:numId="33" w16cid:durableId="2130119642">
    <w:abstractNumId w:val="41"/>
  </w:num>
  <w:num w:numId="34" w16cid:durableId="781152497">
    <w:abstractNumId w:val="40"/>
  </w:num>
  <w:num w:numId="35" w16cid:durableId="966591484">
    <w:abstractNumId w:val="6"/>
  </w:num>
  <w:num w:numId="36" w16cid:durableId="973831040">
    <w:abstractNumId w:val="42"/>
  </w:num>
  <w:num w:numId="37" w16cid:durableId="2146967445">
    <w:abstractNumId w:val="26"/>
    <w:lvlOverride w:ilvl="0">
      <w:startOverride w:val="1"/>
    </w:lvlOverride>
  </w:num>
  <w:num w:numId="38" w16cid:durableId="920018152">
    <w:abstractNumId w:val="26"/>
  </w:num>
  <w:num w:numId="39" w16cid:durableId="555968995">
    <w:abstractNumId w:val="16"/>
  </w:num>
  <w:num w:numId="40" w16cid:durableId="1303080734">
    <w:abstractNumId w:val="7"/>
  </w:num>
  <w:num w:numId="41" w16cid:durableId="250312465">
    <w:abstractNumId w:val="23"/>
  </w:num>
  <w:num w:numId="42" w16cid:durableId="542787707">
    <w:abstractNumId w:val="25"/>
  </w:num>
  <w:num w:numId="43" w16cid:durableId="1802184528">
    <w:abstractNumId w:val="44"/>
  </w:num>
  <w:num w:numId="44" w16cid:durableId="1158421683">
    <w:abstractNumId w:val="3"/>
  </w:num>
  <w:num w:numId="45" w16cid:durableId="796415464">
    <w:abstractNumId w:val="14"/>
  </w:num>
  <w:num w:numId="46" w16cid:durableId="194852710">
    <w:abstractNumId w:val="36"/>
  </w:num>
  <w:num w:numId="47" w16cid:durableId="365444857">
    <w:abstractNumId w:val="5"/>
  </w:num>
  <w:num w:numId="48" w16cid:durableId="101515467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8B6"/>
    <w:rsid w:val="00014A95"/>
    <w:rsid w:val="00015ADE"/>
    <w:rsid w:val="00015B5E"/>
    <w:rsid w:val="00015F1D"/>
    <w:rsid w:val="0001725D"/>
    <w:rsid w:val="0001774B"/>
    <w:rsid w:val="00020D0F"/>
    <w:rsid w:val="000215EB"/>
    <w:rsid w:val="00021E83"/>
    <w:rsid w:val="00022925"/>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4C7E"/>
    <w:rsid w:val="00045CA6"/>
    <w:rsid w:val="000463A6"/>
    <w:rsid w:val="00046CC9"/>
    <w:rsid w:val="00046E91"/>
    <w:rsid w:val="00047350"/>
    <w:rsid w:val="000502FE"/>
    <w:rsid w:val="0005126D"/>
    <w:rsid w:val="00051992"/>
    <w:rsid w:val="00051E9A"/>
    <w:rsid w:val="000521A7"/>
    <w:rsid w:val="00052F47"/>
    <w:rsid w:val="000537BB"/>
    <w:rsid w:val="0005399B"/>
    <w:rsid w:val="00053F6B"/>
    <w:rsid w:val="00054DE6"/>
    <w:rsid w:val="000569D7"/>
    <w:rsid w:val="000576D7"/>
    <w:rsid w:val="00060F72"/>
    <w:rsid w:val="0006170E"/>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9A8"/>
    <w:rsid w:val="00083AA3"/>
    <w:rsid w:val="00085947"/>
    <w:rsid w:val="000868FE"/>
    <w:rsid w:val="000878D1"/>
    <w:rsid w:val="000921AE"/>
    <w:rsid w:val="000921D7"/>
    <w:rsid w:val="000925FF"/>
    <w:rsid w:val="000928A3"/>
    <w:rsid w:val="000932E0"/>
    <w:rsid w:val="00094853"/>
    <w:rsid w:val="00094C4C"/>
    <w:rsid w:val="00096762"/>
    <w:rsid w:val="000969C8"/>
    <w:rsid w:val="0009752D"/>
    <w:rsid w:val="00097AEE"/>
    <w:rsid w:val="000A014A"/>
    <w:rsid w:val="000A0396"/>
    <w:rsid w:val="000A04B6"/>
    <w:rsid w:val="000A0E36"/>
    <w:rsid w:val="000A1BD2"/>
    <w:rsid w:val="000A2127"/>
    <w:rsid w:val="000A224A"/>
    <w:rsid w:val="000A358F"/>
    <w:rsid w:val="000A395E"/>
    <w:rsid w:val="000A43CC"/>
    <w:rsid w:val="000A609F"/>
    <w:rsid w:val="000A7314"/>
    <w:rsid w:val="000A769E"/>
    <w:rsid w:val="000A7B53"/>
    <w:rsid w:val="000A7B64"/>
    <w:rsid w:val="000B0BF1"/>
    <w:rsid w:val="000B275C"/>
    <w:rsid w:val="000B2C3D"/>
    <w:rsid w:val="000B55C0"/>
    <w:rsid w:val="000B5DF2"/>
    <w:rsid w:val="000B7102"/>
    <w:rsid w:val="000C06C9"/>
    <w:rsid w:val="000C1DCC"/>
    <w:rsid w:val="000C1FBC"/>
    <w:rsid w:val="000C2054"/>
    <w:rsid w:val="000C2B6A"/>
    <w:rsid w:val="000C2F88"/>
    <w:rsid w:val="000C55C8"/>
    <w:rsid w:val="000C57C4"/>
    <w:rsid w:val="000C5FD3"/>
    <w:rsid w:val="000C701D"/>
    <w:rsid w:val="000C7C4A"/>
    <w:rsid w:val="000D17AA"/>
    <w:rsid w:val="000D2D0B"/>
    <w:rsid w:val="000D43FE"/>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59AF"/>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622"/>
    <w:rsid w:val="001A6A0D"/>
    <w:rsid w:val="001A6C51"/>
    <w:rsid w:val="001A6FAA"/>
    <w:rsid w:val="001A7D73"/>
    <w:rsid w:val="001B0188"/>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3920"/>
    <w:rsid w:val="0020404A"/>
    <w:rsid w:val="00204CBC"/>
    <w:rsid w:val="002051F1"/>
    <w:rsid w:val="002067BA"/>
    <w:rsid w:val="002073F1"/>
    <w:rsid w:val="0021058D"/>
    <w:rsid w:val="002114E5"/>
    <w:rsid w:val="00211E2F"/>
    <w:rsid w:val="00211E9E"/>
    <w:rsid w:val="00214FB4"/>
    <w:rsid w:val="00215940"/>
    <w:rsid w:val="00217C23"/>
    <w:rsid w:val="00220561"/>
    <w:rsid w:val="00220CE4"/>
    <w:rsid w:val="00222D9B"/>
    <w:rsid w:val="00223788"/>
    <w:rsid w:val="00223D11"/>
    <w:rsid w:val="002242D3"/>
    <w:rsid w:val="00227C1A"/>
    <w:rsid w:val="00227F88"/>
    <w:rsid w:val="002301E6"/>
    <w:rsid w:val="00230C71"/>
    <w:rsid w:val="00232F90"/>
    <w:rsid w:val="00233B08"/>
    <w:rsid w:val="00233C3B"/>
    <w:rsid w:val="0023499C"/>
    <w:rsid w:val="00235CE3"/>
    <w:rsid w:val="0023636A"/>
    <w:rsid w:val="00236690"/>
    <w:rsid w:val="00236F34"/>
    <w:rsid w:val="002372F7"/>
    <w:rsid w:val="00240651"/>
    <w:rsid w:val="00240803"/>
    <w:rsid w:val="0024426D"/>
    <w:rsid w:val="00244F1D"/>
    <w:rsid w:val="00245004"/>
    <w:rsid w:val="00245FB4"/>
    <w:rsid w:val="00250898"/>
    <w:rsid w:val="00250E70"/>
    <w:rsid w:val="00251EA9"/>
    <w:rsid w:val="00252843"/>
    <w:rsid w:val="00254269"/>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2C2"/>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D77AA"/>
    <w:rsid w:val="002D7F71"/>
    <w:rsid w:val="002E036D"/>
    <w:rsid w:val="002E1517"/>
    <w:rsid w:val="002E1760"/>
    <w:rsid w:val="002E1B22"/>
    <w:rsid w:val="002E387F"/>
    <w:rsid w:val="002E70C6"/>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AE"/>
    <w:rsid w:val="003223D7"/>
    <w:rsid w:val="00323D9F"/>
    <w:rsid w:val="00324FDB"/>
    <w:rsid w:val="00325F48"/>
    <w:rsid w:val="00327CF4"/>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637"/>
    <w:rsid w:val="00354A6F"/>
    <w:rsid w:val="00354B48"/>
    <w:rsid w:val="00355789"/>
    <w:rsid w:val="003609B6"/>
    <w:rsid w:val="00361119"/>
    <w:rsid w:val="00362296"/>
    <w:rsid w:val="0036538D"/>
    <w:rsid w:val="00365D12"/>
    <w:rsid w:val="00366E20"/>
    <w:rsid w:val="00367622"/>
    <w:rsid w:val="0037018D"/>
    <w:rsid w:val="00372299"/>
    <w:rsid w:val="00372F02"/>
    <w:rsid w:val="00373729"/>
    <w:rsid w:val="00373C91"/>
    <w:rsid w:val="00374784"/>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9718A"/>
    <w:rsid w:val="003A51C5"/>
    <w:rsid w:val="003A5DAC"/>
    <w:rsid w:val="003A6591"/>
    <w:rsid w:val="003A6E9A"/>
    <w:rsid w:val="003A7A28"/>
    <w:rsid w:val="003B08C8"/>
    <w:rsid w:val="003B2567"/>
    <w:rsid w:val="003B381A"/>
    <w:rsid w:val="003B4976"/>
    <w:rsid w:val="003B4B3F"/>
    <w:rsid w:val="003B6258"/>
    <w:rsid w:val="003B6965"/>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6A8A"/>
    <w:rsid w:val="003E79B0"/>
    <w:rsid w:val="003F0403"/>
    <w:rsid w:val="003F1094"/>
    <w:rsid w:val="003F2E45"/>
    <w:rsid w:val="003F3EFE"/>
    <w:rsid w:val="003F40B8"/>
    <w:rsid w:val="003F5C06"/>
    <w:rsid w:val="00400195"/>
    <w:rsid w:val="0040254B"/>
    <w:rsid w:val="00402D3A"/>
    <w:rsid w:val="00403086"/>
    <w:rsid w:val="004030C0"/>
    <w:rsid w:val="00403460"/>
    <w:rsid w:val="004040FF"/>
    <w:rsid w:val="00404284"/>
    <w:rsid w:val="004042C4"/>
    <w:rsid w:val="00406E90"/>
    <w:rsid w:val="00410240"/>
    <w:rsid w:val="00410760"/>
    <w:rsid w:val="00412253"/>
    <w:rsid w:val="004142ED"/>
    <w:rsid w:val="0041634D"/>
    <w:rsid w:val="00416ABC"/>
    <w:rsid w:val="00417EF7"/>
    <w:rsid w:val="004219B1"/>
    <w:rsid w:val="00422A7D"/>
    <w:rsid w:val="00422BFC"/>
    <w:rsid w:val="00424642"/>
    <w:rsid w:val="0042499D"/>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2AC6"/>
    <w:rsid w:val="004332A4"/>
    <w:rsid w:val="0043453F"/>
    <w:rsid w:val="00434A74"/>
    <w:rsid w:val="00437929"/>
    <w:rsid w:val="00437A4A"/>
    <w:rsid w:val="00440541"/>
    <w:rsid w:val="0044162D"/>
    <w:rsid w:val="00441DDE"/>
    <w:rsid w:val="0044277A"/>
    <w:rsid w:val="004434EF"/>
    <w:rsid w:val="00443651"/>
    <w:rsid w:val="004456DC"/>
    <w:rsid w:val="00447FBE"/>
    <w:rsid w:val="0045035E"/>
    <w:rsid w:val="0045175A"/>
    <w:rsid w:val="00451ED9"/>
    <w:rsid w:val="00452180"/>
    <w:rsid w:val="00453072"/>
    <w:rsid w:val="004539F8"/>
    <w:rsid w:val="00453F26"/>
    <w:rsid w:val="0045503F"/>
    <w:rsid w:val="00455273"/>
    <w:rsid w:val="0045658C"/>
    <w:rsid w:val="00457753"/>
    <w:rsid w:val="00460905"/>
    <w:rsid w:val="00461E35"/>
    <w:rsid w:val="004621DB"/>
    <w:rsid w:val="004634A7"/>
    <w:rsid w:val="00463787"/>
    <w:rsid w:val="00466926"/>
    <w:rsid w:val="00466FDA"/>
    <w:rsid w:val="004671D0"/>
    <w:rsid w:val="004674D1"/>
    <w:rsid w:val="00467BF4"/>
    <w:rsid w:val="00470773"/>
    <w:rsid w:val="00471A69"/>
    <w:rsid w:val="00471FF9"/>
    <w:rsid w:val="00473E74"/>
    <w:rsid w:val="00473FEF"/>
    <w:rsid w:val="00475B8E"/>
    <w:rsid w:val="0048104E"/>
    <w:rsid w:val="004814BB"/>
    <w:rsid w:val="004815DA"/>
    <w:rsid w:val="00482458"/>
    <w:rsid w:val="004835BA"/>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2"/>
    <w:rsid w:val="004924A8"/>
    <w:rsid w:val="004934E9"/>
    <w:rsid w:val="00494226"/>
    <w:rsid w:val="00494737"/>
    <w:rsid w:val="00494D5C"/>
    <w:rsid w:val="00495A6A"/>
    <w:rsid w:val="004964F6"/>
    <w:rsid w:val="00496821"/>
    <w:rsid w:val="00497750"/>
    <w:rsid w:val="00497B44"/>
    <w:rsid w:val="004A00E5"/>
    <w:rsid w:val="004A01A7"/>
    <w:rsid w:val="004A0D09"/>
    <w:rsid w:val="004A116E"/>
    <w:rsid w:val="004A357F"/>
    <w:rsid w:val="004A3774"/>
    <w:rsid w:val="004A3DAD"/>
    <w:rsid w:val="004A4B64"/>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3E2E"/>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4EE7"/>
    <w:rsid w:val="005252DD"/>
    <w:rsid w:val="00530A8D"/>
    <w:rsid w:val="00531C6D"/>
    <w:rsid w:val="00532EF4"/>
    <w:rsid w:val="005335A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68A5"/>
    <w:rsid w:val="00550F4E"/>
    <w:rsid w:val="00551E98"/>
    <w:rsid w:val="005532B5"/>
    <w:rsid w:val="005539BF"/>
    <w:rsid w:val="00554A05"/>
    <w:rsid w:val="00555849"/>
    <w:rsid w:val="005559A8"/>
    <w:rsid w:val="00556184"/>
    <w:rsid w:val="00557048"/>
    <w:rsid w:val="00557FB5"/>
    <w:rsid w:val="00561AED"/>
    <w:rsid w:val="005648A8"/>
    <w:rsid w:val="00564D0B"/>
    <w:rsid w:val="00564DE3"/>
    <w:rsid w:val="00564E44"/>
    <w:rsid w:val="00566C6A"/>
    <w:rsid w:val="00566CE5"/>
    <w:rsid w:val="00566D36"/>
    <w:rsid w:val="00570F86"/>
    <w:rsid w:val="00573569"/>
    <w:rsid w:val="00573871"/>
    <w:rsid w:val="0057389E"/>
    <w:rsid w:val="0057452E"/>
    <w:rsid w:val="00574860"/>
    <w:rsid w:val="005765C0"/>
    <w:rsid w:val="005778DE"/>
    <w:rsid w:val="00580B3F"/>
    <w:rsid w:val="005825F2"/>
    <w:rsid w:val="00583885"/>
    <w:rsid w:val="00584200"/>
    <w:rsid w:val="005860AF"/>
    <w:rsid w:val="00587F1D"/>
    <w:rsid w:val="00590348"/>
    <w:rsid w:val="00591161"/>
    <w:rsid w:val="00591CDF"/>
    <w:rsid w:val="00592318"/>
    <w:rsid w:val="00593133"/>
    <w:rsid w:val="0059575D"/>
    <w:rsid w:val="00596825"/>
    <w:rsid w:val="00596B1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6C4F"/>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58D"/>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0A1"/>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668"/>
    <w:rsid w:val="006F3948"/>
    <w:rsid w:val="006F4403"/>
    <w:rsid w:val="006F45CA"/>
    <w:rsid w:val="006F45EC"/>
    <w:rsid w:val="006F47B8"/>
    <w:rsid w:val="006F47D2"/>
    <w:rsid w:val="006F4B04"/>
    <w:rsid w:val="006F5456"/>
    <w:rsid w:val="006F57F2"/>
    <w:rsid w:val="006F6468"/>
    <w:rsid w:val="006F69A1"/>
    <w:rsid w:val="006F71FA"/>
    <w:rsid w:val="00700247"/>
    <w:rsid w:val="00701051"/>
    <w:rsid w:val="00701E69"/>
    <w:rsid w:val="007021C2"/>
    <w:rsid w:val="00702502"/>
    <w:rsid w:val="0070317F"/>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1651"/>
    <w:rsid w:val="00743DE7"/>
    <w:rsid w:val="0074509E"/>
    <w:rsid w:val="007459CB"/>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1F66"/>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1EDB"/>
    <w:rsid w:val="007B21DE"/>
    <w:rsid w:val="007B2BB9"/>
    <w:rsid w:val="007B43E8"/>
    <w:rsid w:val="007B4740"/>
    <w:rsid w:val="007B502C"/>
    <w:rsid w:val="007B5F3B"/>
    <w:rsid w:val="007C02B0"/>
    <w:rsid w:val="007C063E"/>
    <w:rsid w:val="007C1901"/>
    <w:rsid w:val="007C49C0"/>
    <w:rsid w:val="007C4D59"/>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E6BAB"/>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99F"/>
    <w:rsid w:val="00811EDA"/>
    <w:rsid w:val="00812403"/>
    <w:rsid w:val="00812FD7"/>
    <w:rsid w:val="0081734E"/>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38F"/>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2EEB"/>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51F6"/>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3E4C"/>
    <w:rsid w:val="008E5625"/>
    <w:rsid w:val="008E5C5B"/>
    <w:rsid w:val="008E6A37"/>
    <w:rsid w:val="008F0354"/>
    <w:rsid w:val="008F085A"/>
    <w:rsid w:val="008F0A16"/>
    <w:rsid w:val="008F1462"/>
    <w:rsid w:val="008F2413"/>
    <w:rsid w:val="008F248D"/>
    <w:rsid w:val="008F4B2C"/>
    <w:rsid w:val="008F4C08"/>
    <w:rsid w:val="008F6022"/>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4502"/>
    <w:rsid w:val="009360F6"/>
    <w:rsid w:val="009371DC"/>
    <w:rsid w:val="0093759D"/>
    <w:rsid w:val="00940239"/>
    <w:rsid w:val="009424FB"/>
    <w:rsid w:val="00942BD6"/>
    <w:rsid w:val="00942DED"/>
    <w:rsid w:val="00944404"/>
    <w:rsid w:val="009452D7"/>
    <w:rsid w:val="00945BCF"/>
    <w:rsid w:val="00945FD1"/>
    <w:rsid w:val="00946CCC"/>
    <w:rsid w:val="0094707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9EA"/>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0D47"/>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65E"/>
    <w:rsid w:val="00A30BDE"/>
    <w:rsid w:val="00A30F92"/>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83B"/>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919"/>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34C2"/>
    <w:rsid w:val="00A958CA"/>
    <w:rsid w:val="00A966B6"/>
    <w:rsid w:val="00A96B46"/>
    <w:rsid w:val="00AA003B"/>
    <w:rsid w:val="00AA016B"/>
    <w:rsid w:val="00AA15DD"/>
    <w:rsid w:val="00AA1C09"/>
    <w:rsid w:val="00AA2F67"/>
    <w:rsid w:val="00AA3569"/>
    <w:rsid w:val="00AA5F4C"/>
    <w:rsid w:val="00AA615C"/>
    <w:rsid w:val="00AA6711"/>
    <w:rsid w:val="00AB1C4B"/>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64A"/>
    <w:rsid w:val="00AD4B87"/>
    <w:rsid w:val="00AD4FF2"/>
    <w:rsid w:val="00AD506C"/>
    <w:rsid w:val="00AD6BE5"/>
    <w:rsid w:val="00AD783E"/>
    <w:rsid w:val="00AE020A"/>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BA8"/>
    <w:rsid w:val="00B03CE2"/>
    <w:rsid w:val="00B06544"/>
    <w:rsid w:val="00B06B87"/>
    <w:rsid w:val="00B105F2"/>
    <w:rsid w:val="00B10991"/>
    <w:rsid w:val="00B12128"/>
    <w:rsid w:val="00B12945"/>
    <w:rsid w:val="00B12C1E"/>
    <w:rsid w:val="00B1467D"/>
    <w:rsid w:val="00B155DF"/>
    <w:rsid w:val="00B156CF"/>
    <w:rsid w:val="00B1570E"/>
    <w:rsid w:val="00B1687B"/>
    <w:rsid w:val="00B176B9"/>
    <w:rsid w:val="00B17AD5"/>
    <w:rsid w:val="00B17DC8"/>
    <w:rsid w:val="00B17E1E"/>
    <w:rsid w:val="00B207F1"/>
    <w:rsid w:val="00B20A42"/>
    <w:rsid w:val="00B20BDE"/>
    <w:rsid w:val="00B20C41"/>
    <w:rsid w:val="00B2138D"/>
    <w:rsid w:val="00B21768"/>
    <w:rsid w:val="00B23806"/>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9AD"/>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413B"/>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2FE3"/>
    <w:rsid w:val="00BD45A4"/>
    <w:rsid w:val="00BD4A5F"/>
    <w:rsid w:val="00BD59AA"/>
    <w:rsid w:val="00BD65E6"/>
    <w:rsid w:val="00BD6AF7"/>
    <w:rsid w:val="00BE19EF"/>
    <w:rsid w:val="00BE253F"/>
    <w:rsid w:val="00BE425B"/>
    <w:rsid w:val="00BE51BB"/>
    <w:rsid w:val="00BE5B36"/>
    <w:rsid w:val="00BE5B51"/>
    <w:rsid w:val="00BE7595"/>
    <w:rsid w:val="00BE77D3"/>
    <w:rsid w:val="00BF0138"/>
    <w:rsid w:val="00BF114B"/>
    <w:rsid w:val="00BF1620"/>
    <w:rsid w:val="00BF1AC3"/>
    <w:rsid w:val="00BF280B"/>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80A"/>
    <w:rsid w:val="00C10BE6"/>
    <w:rsid w:val="00C11296"/>
    <w:rsid w:val="00C11905"/>
    <w:rsid w:val="00C11917"/>
    <w:rsid w:val="00C1234A"/>
    <w:rsid w:val="00C12661"/>
    <w:rsid w:val="00C126E3"/>
    <w:rsid w:val="00C12DBA"/>
    <w:rsid w:val="00C1330F"/>
    <w:rsid w:val="00C13ED7"/>
    <w:rsid w:val="00C14615"/>
    <w:rsid w:val="00C14F48"/>
    <w:rsid w:val="00C15296"/>
    <w:rsid w:val="00C17750"/>
    <w:rsid w:val="00C2094B"/>
    <w:rsid w:val="00C20DC5"/>
    <w:rsid w:val="00C20DE8"/>
    <w:rsid w:val="00C228C1"/>
    <w:rsid w:val="00C2294E"/>
    <w:rsid w:val="00C22A5B"/>
    <w:rsid w:val="00C22FEE"/>
    <w:rsid w:val="00C23412"/>
    <w:rsid w:val="00C245EF"/>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021"/>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52C8"/>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4E8"/>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332E"/>
    <w:rsid w:val="00CE6FC6"/>
    <w:rsid w:val="00CE7FF1"/>
    <w:rsid w:val="00CF2056"/>
    <w:rsid w:val="00CF4471"/>
    <w:rsid w:val="00CF51C0"/>
    <w:rsid w:val="00CF5B2A"/>
    <w:rsid w:val="00CF5F57"/>
    <w:rsid w:val="00CF64A7"/>
    <w:rsid w:val="00CF6730"/>
    <w:rsid w:val="00CF70E5"/>
    <w:rsid w:val="00CF7CEC"/>
    <w:rsid w:val="00D00B0F"/>
    <w:rsid w:val="00D01BF4"/>
    <w:rsid w:val="00D0272C"/>
    <w:rsid w:val="00D041CA"/>
    <w:rsid w:val="00D045CE"/>
    <w:rsid w:val="00D05082"/>
    <w:rsid w:val="00D06163"/>
    <w:rsid w:val="00D06937"/>
    <w:rsid w:val="00D07AFD"/>
    <w:rsid w:val="00D11749"/>
    <w:rsid w:val="00D123A5"/>
    <w:rsid w:val="00D12A7D"/>
    <w:rsid w:val="00D13AB0"/>
    <w:rsid w:val="00D140F9"/>
    <w:rsid w:val="00D1519E"/>
    <w:rsid w:val="00D152B7"/>
    <w:rsid w:val="00D153A5"/>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3719"/>
    <w:rsid w:val="00D75603"/>
    <w:rsid w:val="00D75FEE"/>
    <w:rsid w:val="00D76933"/>
    <w:rsid w:val="00D76D88"/>
    <w:rsid w:val="00D76E75"/>
    <w:rsid w:val="00D77CC9"/>
    <w:rsid w:val="00D83D4B"/>
    <w:rsid w:val="00D871C6"/>
    <w:rsid w:val="00D91010"/>
    <w:rsid w:val="00D9143D"/>
    <w:rsid w:val="00D920D1"/>
    <w:rsid w:val="00D92AC5"/>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08FF"/>
    <w:rsid w:val="00DD2CDA"/>
    <w:rsid w:val="00DD2D92"/>
    <w:rsid w:val="00DD3026"/>
    <w:rsid w:val="00DD33DC"/>
    <w:rsid w:val="00DD3427"/>
    <w:rsid w:val="00DD3BB0"/>
    <w:rsid w:val="00DD61F5"/>
    <w:rsid w:val="00DD7418"/>
    <w:rsid w:val="00DE64A6"/>
    <w:rsid w:val="00DE66EB"/>
    <w:rsid w:val="00DE7035"/>
    <w:rsid w:val="00DF01D9"/>
    <w:rsid w:val="00DF12E3"/>
    <w:rsid w:val="00DF2A20"/>
    <w:rsid w:val="00DF357C"/>
    <w:rsid w:val="00DF3F1D"/>
    <w:rsid w:val="00DF595C"/>
    <w:rsid w:val="00DF7EA7"/>
    <w:rsid w:val="00E00729"/>
    <w:rsid w:val="00E04548"/>
    <w:rsid w:val="00E0484E"/>
    <w:rsid w:val="00E063F8"/>
    <w:rsid w:val="00E113B5"/>
    <w:rsid w:val="00E114D6"/>
    <w:rsid w:val="00E1166E"/>
    <w:rsid w:val="00E11DBD"/>
    <w:rsid w:val="00E12B80"/>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3B0"/>
    <w:rsid w:val="00E41F32"/>
    <w:rsid w:val="00E42608"/>
    <w:rsid w:val="00E43536"/>
    <w:rsid w:val="00E43DA3"/>
    <w:rsid w:val="00E44B80"/>
    <w:rsid w:val="00E45938"/>
    <w:rsid w:val="00E47430"/>
    <w:rsid w:val="00E506EA"/>
    <w:rsid w:val="00E50FB7"/>
    <w:rsid w:val="00E514A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19B2"/>
    <w:rsid w:val="00E72CC6"/>
    <w:rsid w:val="00E73D44"/>
    <w:rsid w:val="00E7494A"/>
    <w:rsid w:val="00E74BE2"/>
    <w:rsid w:val="00E74C66"/>
    <w:rsid w:val="00E75933"/>
    <w:rsid w:val="00E77A1B"/>
    <w:rsid w:val="00E808BE"/>
    <w:rsid w:val="00E81E36"/>
    <w:rsid w:val="00E81E40"/>
    <w:rsid w:val="00E82ECE"/>
    <w:rsid w:val="00E86954"/>
    <w:rsid w:val="00E8713B"/>
    <w:rsid w:val="00E90774"/>
    <w:rsid w:val="00E90C61"/>
    <w:rsid w:val="00E9225C"/>
    <w:rsid w:val="00E92A82"/>
    <w:rsid w:val="00E92AA8"/>
    <w:rsid w:val="00E9344E"/>
    <w:rsid w:val="00E93E39"/>
    <w:rsid w:val="00E94391"/>
    <w:rsid w:val="00E97E2B"/>
    <w:rsid w:val="00EA08CA"/>
    <w:rsid w:val="00EA0C0C"/>
    <w:rsid w:val="00EA14D2"/>
    <w:rsid w:val="00EA2AEA"/>
    <w:rsid w:val="00EA332B"/>
    <w:rsid w:val="00EA3D36"/>
    <w:rsid w:val="00EA40AA"/>
    <w:rsid w:val="00EA57E2"/>
    <w:rsid w:val="00EA6C06"/>
    <w:rsid w:val="00EA7186"/>
    <w:rsid w:val="00EB018B"/>
    <w:rsid w:val="00EB1003"/>
    <w:rsid w:val="00EB167E"/>
    <w:rsid w:val="00EB24ED"/>
    <w:rsid w:val="00EB2A00"/>
    <w:rsid w:val="00EB2FF2"/>
    <w:rsid w:val="00EB309B"/>
    <w:rsid w:val="00EB3AA2"/>
    <w:rsid w:val="00EB4763"/>
    <w:rsid w:val="00EB6CB7"/>
    <w:rsid w:val="00EC078B"/>
    <w:rsid w:val="00EC07A0"/>
    <w:rsid w:val="00EC08E4"/>
    <w:rsid w:val="00EC3CB4"/>
    <w:rsid w:val="00EC443E"/>
    <w:rsid w:val="00EC4D83"/>
    <w:rsid w:val="00EC4EEE"/>
    <w:rsid w:val="00EC5587"/>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46D5"/>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11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B2B"/>
    <w:rsid w:val="00F574D0"/>
    <w:rsid w:val="00F578D6"/>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6889"/>
    <w:rsid w:val="00F8730F"/>
    <w:rsid w:val="00F87897"/>
    <w:rsid w:val="00F87DA3"/>
    <w:rsid w:val="00F90004"/>
    <w:rsid w:val="00F90EF4"/>
    <w:rsid w:val="00F917BF"/>
    <w:rsid w:val="00F920B4"/>
    <w:rsid w:val="00F9260D"/>
    <w:rsid w:val="00F92727"/>
    <w:rsid w:val="00F9305D"/>
    <w:rsid w:val="00F93CCF"/>
    <w:rsid w:val="00F94307"/>
    <w:rsid w:val="00F9580B"/>
    <w:rsid w:val="00F95F15"/>
    <w:rsid w:val="00F975CA"/>
    <w:rsid w:val="00FA0B60"/>
    <w:rsid w:val="00FA2528"/>
    <w:rsid w:val="00FA5524"/>
    <w:rsid w:val="00FA5535"/>
    <w:rsid w:val="00FA7206"/>
    <w:rsid w:val="00FA7EFB"/>
    <w:rsid w:val="00FB0816"/>
    <w:rsid w:val="00FB08C2"/>
    <w:rsid w:val="00FB306E"/>
    <w:rsid w:val="00FB3DD1"/>
    <w:rsid w:val="00FB51FD"/>
    <w:rsid w:val="00FB5667"/>
    <w:rsid w:val="00FB5C80"/>
    <w:rsid w:val="00FB7A97"/>
    <w:rsid w:val="00FC1601"/>
    <w:rsid w:val="00FC1B9B"/>
    <w:rsid w:val="00FC29DD"/>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E58A1"/>
    <w:rsid w:val="00FF097B"/>
    <w:rsid w:val="00FF0B6E"/>
    <w:rsid w:val="00FF1C1B"/>
    <w:rsid w:val="00FF2067"/>
    <w:rsid w:val="00FF3266"/>
    <w:rsid w:val="00FF3BC4"/>
    <w:rsid w:val="00FF4B66"/>
    <w:rsid w:val="00FF5939"/>
    <w:rsid w:val="00FF5FF4"/>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uiPriority w:val="99"/>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Carpredefinitoparagrafo"/>
    <w:link w:val="Questionstyle"/>
    <w:locked/>
    <w:rsid w:val="000A609F"/>
    <w:rPr>
      <w:rFonts w:ascii="Arial" w:eastAsiaTheme="minorEastAsia" w:hAnsi="Arial" w:cs="Arial"/>
      <w:b/>
      <w:lang w:val="en-US"/>
    </w:rPr>
  </w:style>
  <w:style w:type="paragraph" w:customStyle="1" w:styleId="Questionstyle">
    <w:name w:val="Question style"/>
    <w:basedOn w:val="Normale"/>
    <w:next w:val="Normale"/>
    <w:link w:val="QuestionstyleChar"/>
    <w:autoRedefine/>
    <w:qFormat/>
    <w:rsid w:val="000A609F"/>
    <w:pPr>
      <w:spacing w:after="250" w:line="276" w:lineRule="auto"/>
      <w:contextualSpacing/>
      <w:jc w:val="both"/>
    </w:pPr>
    <w:rPr>
      <w:rFonts w:eastAsiaTheme="minorEastAsia" w:cs="Arial"/>
      <w:b/>
      <w:szCs w:val="20"/>
      <w:lang w:val="en-US" w:eastAsia="en-GB"/>
    </w:rPr>
  </w:style>
  <w:style w:type="character" w:customStyle="1" w:styleId="none">
    <w:name w:val="none"/>
    <w:basedOn w:val="Carpredefinitoparagrafo"/>
    <w:rsid w:val="00236690"/>
  </w:style>
  <w:style w:type="paragraph" w:customStyle="1" w:styleId="paragraph">
    <w:name w:val="paragraph"/>
    <w:basedOn w:val="Normale"/>
    <w:rsid w:val="00C12DBA"/>
    <w:pPr>
      <w:spacing w:before="100" w:beforeAutospacing="1" w:after="100" w:afterAutospacing="1"/>
    </w:pPr>
    <w:rPr>
      <w:rFonts w:ascii="Times New Roman" w:hAnsi="Times New Roman"/>
      <w:sz w:val="24"/>
      <w:lang w:val="it-IT" w:eastAsia="it-IT"/>
    </w:rPr>
  </w:style>
  <w:style w:type="character" w:customStyle="1" w:styleId="normaltextrun">
    <w:name w:val="normaltextrun"/>
    <w:basedOn w:val="Carpredefinitoparagrafo"/>
    <w:rsid w:val="00C12DBA"/>
  </w:style>
  <w:style w:type="character" w:customStyle="1" w:styleId="eop">
    <w:name w:val="eop"/>
    <w:basedOn w:val="Carpredefinitoparagrafo"/>
    <w:rsid w:val="00C12DBA"/>
  </w:style>
  <w:style w:type="character" w:customStyle="1" w:styleId="pagebreaktextspan">
    <w:name w:val="pagebreaktextspan"/>
    <w:basedOn w:val="Carpredefinitoparagrafo"/>
    <w:rsid w:val="00C12DBA"/>
  </w:style>
  <w:style w:type="character" w:customStyle="1" w:styleId="superscript">
    <w:name w:val="superscript"/>
    <w:basedOn w:val="Carpredefinitoparagrafo"/>
    <w:rsid w:val="00C12DBA"/>
  </w:style>
  <w:style w:type="character" w:customStyle="1" w:styleId="scxw33524123">
    <w:name w:val="scxw33524123"/>
    <w:basedOn w:val="Carpredefinitoparagrafo"/>
    <w:rsid w:val="00C12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11484647">
      <w:bodyDiv w:val="1"/>
      <w:marLeft w:val="0"/>
      <w:marRight w:val="0"/>
      <w:marTop w:val="0"/>
      <w:marBottom w:val="0"/>
      <w:divBdr>
        <w:top w:val="none" w:sz="0" w:space="0" w:color="auto"/>
        <w:left w:val="none" w:sz="0" w:space="0" w:color="auto"/>
        <w:bottom w:val="none" w:sz="0" w:space="0" w:color="auto"/>
        <w:right w:val="none" w:sz="0" w:space="0" w:color="auto"/>
      </w:divBdr>
      <w:divsChild>
        <w:div w:id="366374226">
          <w:marLeft w:val="0"/>
          <w:marRight w:val="0"/>
          <w:marTop w:val="0"/>
          <w:marBottom w:val="0"/>
          <w:divBdr>
            <w:top w:val="none" w:sz="0" w:space="0" w:color="auto"/>
            <w:left w:val="none" w:sz="0" w:space="0" w:color="auto"/>
            <w:bottom w:val="none" w:sz="0" w:space="0" w:color="auto"/>
            <w:right w:val="none" w:sz="0" w:space="0" w:color="auto"/>
          </w:divBdr>
        </w:div>
        <w:div w:id="417022444">
          <w:marLeft w:val="0"/>
          <w:marRight w:val="0"/>
          <w:marTop w:val="0"/>
          <w:marBottom w:val="0"/>
          <w:divBdr>
            <w:top w:val="none" w:sz="0" w:space="0" w:color="auto"/>
            <w:left w:val="none" w:sz="0" w:space="0" w:color="auto"/>
            <w:bottom w:val="none" w:sz="0" w:space="0" w:color="auto"/>
            <w:right w:val="none" w:sz="0" w:space="0" w:color="auto"/>
          </w:divBdr>
        </w:div>
        <w:div w:id="565456024">
          <w:marLeft w:val="0"/>
          <w:marRight w:val="0"/>
          <w:marTop w:val="0"/>
          <w:marBottom w:val="0"/>
          <w:divBdr>
            <w:top w:val="none" w:sz="0" w:space="0" w:color="auto"/>
            <w:left w:val="none" w:sz="0" w:space="0" w:color="auto"/>
            <w:bottom w:val="none" w:sz="0" w:space="0" w:color="auto"/>
            <w:right w:val="none" w:sz="0" w:space="0" w:color="auto"/>
          </w:divBdr>
        </w:div>
        <w:div w:id="1262688051">
          <w:marLeft w:val="0"/>
          <w:marRight w:val="0"/>
          <w:marTop w:val="0"/>
          <w:marBottom w:val="0"/>
          <w:divBdr>
            <w:top w:val="none" w:sz="0" w:space="0" w:color="auto"/>
            <w:left w:val="none" w:sz="0" w:space="0" w:color="auto"/>
            <w:bottom w:val="none" w:sz="0" w:space="0" w:color="auto"/>
            <w:right w:val="none" w:sz="0" w:space="0" w:color="auto"/>
          </w:divBdr>
        </w:div>
        <w:div w:id="378437191">
          <w:marLeft w:val="0"/>
          <w:marRight w:val="0"/>
          <w:marTop w:val="0"/>
          <w:marBottom w:val="0"/>
          <w:divBdr>
            <w:top w:val="none" w:sz="0" w:space="0" w:color="auto"/>
            <w:left w:val="none" w:sz="0" w:space="0" w:color="auto"/>
            <w:bottom w:val="none" w:sz="0" w:space="0" w:color="auto"/>
            <w:right w:val="none" w:sz="0" w:space="0" w:color="auto"/>
          </w:divBdr>
        </w:div>
        <w:div w:id="518541898">
          <w:marLeft w:val="0"/>
          <w:marRight w:val="0"/>
          <w:marTop w:val="0"/>
          <w:marBottom w:val="0"/>
          <w:divBdr>
            <w:top w:val="none" w:sz="0" w:space="0" w:color="auto"/>
            <w:left w:val="none" w:sz="0" w:space="0" w:color="auto"/>
            <w:bottom w:val="none" w:sz="0" w:space="0" w:color="auto"/>
            <w:right w:val="none" w:sz="0" w:space="0" w:color="auto"/>
          </w:divBdr>
        </w:div>
        <w:div w:id="294801394">
          <w:marLeft w:val="0"/>
          <w:marRight w:val="0"/>
          <w:marTop w:val="0"/>
          <w:marBottom w:val="0"/>
          <w:divBdr>
            <w:top w:val="none" w:sz="0" w:space="0" w:color="auto"/>
            <w:left w:val="none" w:sz="0" w:space="0" w:color="auto"/>
            <w:bottom w:val="none" w:sz="0" w:space="0" w:color="auto"/>
            <w:right w:val="none" w:sz="0" w:space="0" w:color="auto"/>
          </w:divBdr>
        </w:div>
        <w:div w:id="109402619">
          <w:marLeft w:val="0"/>
          <w:marRight w:val="0"/>
          <w:marTop w:val="0"/>
          <w:marBottom w:val="0"/>
          <w:divBdr>
            <w:top w:val="none" w:sz="0" w:space="0" w:color="auto"/>
            <w:left w:val="none" w:sz="0" w:space="0" w:color="auto"/>
            <w:bottom w:val="none" w:sz="0" w:space="0" w:color="auto"/>
            <w:right w:val="none" w:sz="0" w:space="0" w:color="auto"/>
          </w:divBdr>
        </w:div>
        <w:div w:id="284386488">
          <w:marLeft w:val="0"/>
          <w:marRight w:val="0"/>
          <w:marTop w:val="0"/>
          <w:marBottom w:val="0"/>
          <w:divBdr>
            <w:top w:val="none" w:sz="0" w:space="0" w:color="auto"/>
            <w:left w:val="none" w:sz="0" w:space="0" w:color="auto"/>
            <w:bottom w:val="none" w:sz="0" w:space="0" w:color="auto"/>
            <w:right w:val="none" w:sz="0" w:space="0" w:color="auto"/>
          </w:divBdr>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25533333">
      <w:bodyDiv w:val="1"/>
      <w:marLeft w:val="0"/>
      <w:marRight w:val="0"/>
      <w:marTop w:val="0"/>
      <w:marBottom w:val="0"/>
      <w:divBdr>
        <w:top w:val="none" w:sz="0" w:space="0" w:color="auto"/>
        <w:left w:val="none" w:sz="0" w:space="0" w:color="auto"/>
        <w:bottom w:val="none" w:sz="0" w:space="0" w:color="auto"/>
        <w:right w:val="none" w:sz="0" w:space="0" w:color="auto"/>
      </w:divBdr>
      <w:divsChild>
        <w:div w:id="1299148788">
          <w:marLeft w:val="0"/>
          <w:marRight w:val="0"/>
          <w:marTop w:val="0"/>
          <w:marBottom w:val="0"/>
          <w:divBdr>
            <w:top w:val="none" w:sz="0" w:space="0" w:color="auto"/>
            <w:left w:val="none" w:sz="0" w:space="0" w:color="auto"/>
            <w:bottom w:val="none" w:sz="0" w:space="0" w:color="auto"/>
            <w:right w:val="none" w:sz="0" w:space="0" w:color="auto"/>
          </w:divBdr>
        </w:div>
        <w:div w:id="140731091">
          <w:marLeft w:val="0"/>
          <w:marRight w:val="0"/>
          <w:marTop w:val="0"/>
          <w:marBottom w:val="0"/>
          <w:divBdr>
            <w:top w:val="none" w:sz="0" w:space="0" w:color="auto"/>
            <w:left w:val="none" w:sz="0" w:space="0" w:color="auto"/>
            <w:bottom w:val="none" w:sz="0" w:space="0" w:color="auto"/>
            <w:right w:val="none" w:sz="0" w:space="0" w:color="auto"/>
          </w:divBdr>
        </w:div>
        <w:div w:id="1485469617">
          <w:marLeft w:val="0"/>
          <w:marRight w:val="0"/>
          <w:marTop w:val="0"/>
          <w:marBottom w:val="0"/>
          <w:divBdr>
            <w:top w:val="none" w:sz="0" w:space="0" w:color="auto"/>
            <w:left w:val="none" w:sz="0" w:space="0" w:color="auto"/>
            <w:bottom w:val="none" w:sz="0" w:space="0" w:color="auto"/>
            <w:right w:val="none" w:sz="0" w:space="0" w:color="auto"/>
          </w:divBdr>
        </w:div>
        <w:div w:id="1551527621">
          <w:marLeft w:val="0"/>
          <w:marRight w:val="0"/>
          <w:marTop w:val="0"/>
          <w:marBottom w:val="0"/>
          <w:divBdr>
            <w:top w:val="none" w:sz="0" w:space="0" w:color="auto"/>
            <w:left w:val="none" w:sz="0" w:space="0" w:color="auto"/>
            <w:bottom w:val="none" w:sz="0" w:space="0" w:color="auto"/>
            <w:right w:val="none" w:sz="0" w:space="0" w:color="auto"/>
          </w:divBdr>
        </w:div>
        <w:div w:id="116995066">
          <w:marLeft w:val="0"/>
          <w:marRight w:val="0"/>
          <w:marTop w:val="0"/>
          <w:marBottom w:val="0"/>
          <w:divBdr>
            <w:top w:val="none" w:sz="0" w:space="0" w:color="auto"/>
            <w:left w:val="none" w:sz="0" w:space="0" w:color="auto"/>
            <w:bottom w:val="none" w:sz="0" w:space="0" w:color="auto"/>
            <w:right w:val="none" w:sz="0" w:space="0" w:color="auto"/>
          </w:divBdr>
          <w:divsChild>
            <w:div w:id="600381000">
              <w:marLeft w:val="0"/>
              <w:marRight w:val="0"/>
              <w:marTop w:val="0"/>
              <w:marBottom w:val="0"/>
              <w:divBdr>
                <w:top w:val="none" w:sz="0" w:space="0" w:color="auto"/>
                <w:left w:val="none" w:sz="0" w:space="0" w:color="auto"/>
                <w:bottom w:val="none" w:sz="0" w:space="0" w:color="auto"/>
                <w:right w:val="none" w:sz="0" w:space="0" w:color="auto"/>
              </w:divBdr>
            </w:div>
            <w:div w:id="1493255679">
              <w:marLeft w:val="0"/>
              <w:marRight w:val="0"/>
              <w:marTop w:val="0"/>
              <w:marBottom w:val="0"/>
              <w:divBdr>
                <w:top w:val="none" w:sz="0" w:space="0" w:color="auto"/>
                <w:left w:val="none" w:sz="0" w:space="0" w:color="auto"/>
                <w:bottom w:val="none" w:sz="0" w:space="0" w:color="auto"/>
                <w:right w:val="none" w:sz="0" w:space="0" w:color="auto"/>
              </w:divBdr>
            </w:div>
            <w:div w:id="1911037777">
              <w:marLeft w:val="0"/>
              <w:marRight w:val="0"/>
              <w:marTop w:val="0"/>
              <w:marBottom w:val="0"/>
              <w:divBdr>
                <w:top w:val="none" w:sz="0" w:space="0" w:color="auto"/>
                <w:left w:val="none" w:sz="0" w:space="0" w:color="auto"/>
                <w:bottom w:val="none" w:sz="0" w:space="0" w:color="auto"/>
                <w:right w:val="none" w:sz="0" w:space="0" w:color="auto"/>
              </w:divBdr>
            </w:div>
            <w:div w:id="163909085">
              <w:marLeft w:val="0"/>
              <w:marRight w:val="0"/>
              <w:marTop w:val="0"/>
              <w:marBottom w:val="0"/>
              <w:divBdr>
                <w:top w:val="none" w:sz="0" w:space="0" w:color="auto"/>
                <w:left w:val="none" w:sz="0" w:space="0" w:color="auto"/>
                <w:bottom w:val="none" w:sz="0" w:space="0" w:color="auto"/>
                <w:right w:val="none" w:sz="0" w:space="0" w:color="auto"/>
              </w:divBdr>
            </w:div>
            <w:div w:id="2061593978">
              <w:marLeft w:val="0"/>
              <w:marRight w:val="0"/>
              <w:marTop w:val="0"/>
              <w:marBottom w:val="0"/>
              <w:divBdr>
                <w:top w:val="none" w:sz="0" w:space="0" w:color="auto"/>
                <w:left w:val="none" w:sz="0" w:space="0" w:color="auto"/>
                <w:bottom w:val="none" w:sz="0" w:space="0" w:color="auto"/>
                <w:right w:val="none" w:sz="0" w:space="0" w:color="auto"/>
              </w:divBdr>
            </w:div>
          </w:divsChild>
        </w:div>
        <w:div w:id="1384526698">
          <w:marLeft w:val="0"/>
          <w:marRight w:val="0"/>
          <w:marTop w:val="0"/>
          <w:marBottom w:val="0"/>
          <w:divBdr>
            <w:top w:val="none" w:sz="0" w:space="0" w:color="auto"/>
            <w:left w:val="none" w:sz="0" w:space="0" w:color="auto"/>
            <w:bottom w:val="none" w:sz="0" w:space="0" w:color="auto"/>
            <w:right w:val="none" w:sz="0" w:space="0" w:color="auto"/>
          </w:divBdr>
          <w:divsChild>
            <w:div w:id="1465008176">
              <w:marLeft w:val="0"/>
              <w:marRight w:val="0"/>
              <w:marTop w:val="0"/>
              <w:marBottom w:val="0"/>
              <w:divBdr>
                <w:top w:val="none" w:sz="0" w:space="0" w:color="auto"/>
                <w:left w:val="none" w:sz="0" w:space="0" w:color="auto"/>
                <w:bottom w:val="none" w:sz="0" w:space="0" w:color="auto"/>
                <w:right w:val="none" w:sz="0" w:space="0" w:color="auto"/>
              </w:divBdr>
            </w:div>
            <w:div w:id="2074545192">
              <w:marLeft w:val="0"/>
              <w:marRight w:val="0"/>
              <w:marTop w:val="0"/>
              <w:marBottom w:val="0"/>
              <w:divBdr>
                <w:top w:val="none" w:sz="0" w:space="0" w:color="auto"/>
                <w:left w:val="none" w:sz="0" w:space="0" w:color="auto"/>
                <w:bottom w:val="none" w:sz="0" w:space="0" w:color="auto"/>
                <w:right w:val="none" w:sz="0" w:space="0" w:color="auto"/>
              </w:divBdr>
            </w:div>
            <w:div w:id="1395808702">
              <w:marLeft w:val="0"/>
              <w:marRight w:val="0"/>
              <w:marTop w:val="0"/>
              <w:marBottom w:val="0"/>
              <w:divBdr>
                <w:top w:val="none" w:sz="0" w:space="0" w:color="auto"/>
                <w:left w:val="none" w:sz="0" w:space="0" w:color="auto"/>
                <w:bottom w:val="none" w:sz="0" w:space="0" w:color="auto"/>
                <w:right w:val="none" w:sz="0" w:space="0" w:color="auto"/>
              </w:divBdr>
            </w:div>
            <w:div w:id="1860045159">
              <w:marLeft w:val="0"/>
              <w:marRight w:val="0"/>
              <w:marTop w:val="0"/>
              <w:marBottom w:val="0"/>
              <w:divBdr>
                <w:top w:val="none" w:sz="0" w:space="0" w:color="auto"/>
                <w:left w:val="none" w:sz="0" w:space="0" w:color="auto"/>
                <w:bottom w:val="none" w:sz="0" w:space="0" w:color="auto"/>
                <w:right w:val="none" w:sz="0" w:space="0" w:color="auto"/>
              </w:divBdr>
            </w:div>
            <w:div w:id="7770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33367393">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67847144">
      <w:bodyDiv w:val="1"/>
      <w:marLeft w:val="0"/>
      <w:marRight w:val="0"/>
      <w:marTop w:val="0"/>
      <w:marBottom w:val="0"/>
      <w:divBdr>
        <w:top w:val="none" w:sz="0" w:space="0" w:color="auto"/>
        <w:left w:val="none" w:sz="0" w:space="0" w:color="auto"/>
        <w:bottom w:val="none" w:sz="0" w:space="0" w:color="auto"/>
        <w:right w:val="none" w:sz="0" w:space="0" w:color="auto"/>
      </w:divBdr>
      <w:divsChild>
        <w:div w:id="539324230">
          <w:marLeft w:val="0"/>
          <w:marRight w:val="0"/>
          <w:marTop w:val="0"/>
          <w:marBottom w:val="0"/>
          <w:divBdr>
            <w:top w:val="none" w:sz="0" w:space="0" w:color="auto"/>
            <w:left w:val="none" w:sz="0" w:space="0" w:color="auto"/>
            <w:bottom w:val="none" w:sz="0" w:space="0" w:color="auto"/>
            <w:right w:val="none" w:sz="0" w:space="0" w:color="auto"/>
          </w:divBdr>
        </w:div>
        <w:div w:id="1877353682">
          <w:marLeft w:val="0"/>
          <w:marRight w:val="0"/>
          <w:marTop w:val="0"/>
          <w:marBottom w:val="0"/>
          <w:divBdr>
            <w:top w:val="none" w:sz="0" w:space="0" w:color="auto"/>
            <w:left w:val="none" w:sz="0" w:space="0" w:color="auto"/>
            <w:bottom w:val="none" w:sz="0" w:space="0" w:color="auto"/>
            <w:right w:val="none" w:sz="0" w:space="0" w:color="auto"/>
          </w:divBdr>
        </w:div>
        <w:div w:id="285703732">
          <w:marLeft w:val="0"/>
          <w:marRight w:val="0"/>
          <w:marTop w:val="0"/>
          <w:marBottom w:val="0"/>
          <w:divBdr>
            <w:top w:val="none" w:sz="0" w:space="0" w:color="auto"/>
            <w:left w:val="none" w:sz="0" w:space="0" w:color="auto"/>
            <w:bottom w:val="none" w:sz="0" w:space="0" w:color="auto"/>
            <w:right w:val="none" w:sz="0" w:space="0" w:color="auto"/>
          </w:divBdr>
        </w:div>
        <w:div w:id="979190940">
          <w:marLeft w:val="0"/>
          <w:marRight w:val="0"/>
          <w:marTop w:val="0"/>
          <w:marBottom w:val="0"/>
          <w:divBdr>
            <w:top w:val="none" w:sz="0" w:space="0" w:color="auto"/>
            <w:left w:val="none" w:sz="0" w:space="0" w:color="auto"/>
            <w:bottom w:val="none" w:sz="0" w:space="0" w:color="auto"/>
            <w:right w:val="none" w:sz="0" w:space="0" w:color="auto"/>
          </w:divBdr>
        </w:div>
      </w:divsChild>
    </w:div>
    <w:div w:id="785201305">
      <w:bodyDiv w:val="1"/>
      <w:marLeft w:val="0"/>
      <w:marRight w:val="0"/>
      <w:marTop w:val="0"/>
      <w:marBottom w:val="0"/>
      <w:divBdr>
        <w:top w:val="none" w:sz="0" w:space="0" w:color="auto"/>
        <w:left w:val="none" w:sz="0" w:space="0" w:color="auto"/>
        <w:bottom w:val="none" w:sz="0" w:space="0" w:color="auto"/>
        <w:right w:val="none" w:sz="0" w:space="0" w:color="auto"/>
      </w:divBdr>
      <w:divsChild>
        <w:div w:id="1341355382">
          <w:marLeft w:val="0"/>
          <w:marRight w:val="0"/>
          <w:marTop w:val="0"/>
          <w:marBottom w:val="0"/>
          <w:divBdr>
            <w:top w:val="none" w:sz="0" w:space="0" w:color="auto"/>
            <w:left w:val="none" w:sz="0" w:space="0" w:color="auto"/>
            <w:bottom w:val="none" w:sz="0" w:space="0" w:color="auto"/>
            <w:right w:val="none" w:sz="0" w:space="0" w:color="auto"/>
          </w:divBdr>
        </w:div>
        <w:div w:id="1440566262">
          <w:marLeft w:val="0"/>
          <w:marRight w:val="0"/>
          <w:marTop w:val="0"/>
          <w:marBottom w:val="0"/>
          <w:divBdr>
            <w:top w:val="none" w:sz="0" w:space="0" w:color="auto"/>
            <w:left w:val="none" w:sz="0" w:space="0" w:color="auto"/>
            <w:bottom w:val="none" w:sz="0" w:space="0" w:color="auto"/>
            <w:right w:val="none" w:sz="0" w:space="0" w:color="auto"/>
          </w:divBdr>
        </w:div>
        <w:div w:id="779758445">
          <w:marLeft w:val="0"/>
          <w:marRight w:val="0"/>
          <w:marTop w:val="0"/>
          <w:marBottom w:val="0"/>
          <w:divBdr>
            <w:top w:val="none" w:sz="0" w:space="0" w:color="auto"/>
            <w:left w:val="none" w:sz="0" w:space="0" w:color="auto"/>
            <w:bottom w:val="none" w:sz="0" w:space="0" w:color="auto"/>
            <w:right w:val="none" w:sz="0" w:space="0" w:color="auto"/>
          </w:divBdr>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88046304">
              <w:marLeft w:val="0"/>
              <w:marRight w:val="0"/>
              <w:marTop w:val="0"/>
              <w:marBottom w:val="0"/>
              <w:divBdr>
                <w:top w:val="none" w:sz="0" w:space="0" w:color="auto"/>
                <w:left w:val="none" w:sz="0" w:space="0" w:color="auto"/>
                <w:bottom w:val="none" w:sz="0" w:space="0" w:color="auto"/>
                <w:right w:val="none" w:sz="0" w:space="0" w:color="auto"/>
              </w:divBdr>
            </w:div>
            <w:div w:id="273755236">
              <w:marLeft w:val="0"/>
              <w:marRight w:val="0"/>
              <w:marTop w:val="0"/>
              <w:marBottom w:val="0"/>
              <w:divBdr>
                <w:top w:val="none" w:sz="0" w:space="0" w:color="auto"/>
                <w:left w:val="none" w:sz="0" w:space="0" w:color="auto"/>
                <w:bottom w:val="none" w:sz="0" w:space="0" w:color="auto"/>
                <w:right w:val="none" w:sz="0" w:space="0" w:color="auto"/>
              </w:divBdr>
            </w:div>
            <w:div w:id="218325769">
              <w:marLeft w:val="0"/>
              <w:marRight w:val="0"/>
              <w:marTop w:val="0"/>
              <w:marBottom w:val="0"/>
              <w:divBdr>
                <w:top w:val="none" w:sz="0" w:space="0" w:color="auto"/>
                <w:left w:val="none" w:sz="0" w:space="0" w:color="auto"/>
                <w:bottom w:val="none" w:sz="0" w:space="0" w:color="auto"/>
                <w:right w:val="none" w:sz="0" w:space="0" w:color="auto"/>
              </w:divBdr>
            </w:div>
            <w:div w:id="1707297070">
              <w:marLeft w:val="0"/>
              <w:marRight w:val="0"/>
              <w:marTop w:val="0"/>
              <w:marBottom w:val="0"/>
              <w:divBdr>
                <w:top w:val="none" w:sz="0" w:space="0" w:color="auto"/>
                <w:left w:val="none" w:sz="0" w:space="0" w:color="auto"/>
                <w:bottom w:val="none" w:sz="0" w:space="0" w:color="auto"/>
                <w:right w:val="none" w:sz="0" w:space="0" w:color="auto"/>
              </w:divBdr>
            </w:div>
            <w:div w:id="131950328">
              <w:marLeft w:val="0"/>
              <w:marRight w:val="0"/>
              <w:marTop w:val="0"/>
              <w:marBottom w:val="0"/>
              <w:divBdr>
                <w:top w:val="none" w:sz="0" w:space="0" w:color="auto"/>
                <w:left w:val="none" w:sz="0" w:space="0" w:color="auto"/>
                <w:bottom w:val="none" w:sz="0" w:space="0" w:color="auto"/>
                <w:right w:val="none" w:sz="0" w:space="0" w:color="auto"/>
              </w:divBdr>
            </w:div>
          </w:divsChild>
        </w:div>
        <w:div w:id="501971900">
          <w:marLeft w:val="0"/>
          <w:marRight w:val="0"/>
          <w:marTop w:val="0"/>
          <w:marBottom w:val="0"/>
          <w:divBdr>
            <w:top w:val="none" w:sz="0" w:space="0" w:color="auto"/>
            <w:left w:val="none" w:sz="0" w:space="0" w:color="auto"/>
            <w:bottom w:val="none" w:sz="0" w:space="0" w:color="auto"/>
            <w:right w:val="none" w:sz="0" w:space="0" w:color="auto"/>
          </w:divBdr>
          <w:divsChild>
            <w:div w:id="1642467734">
              <w:marLeft w:val="0"/>
              <w:marRight w:val="0"/>
              <w:marTop w:val="0"/>
              <w:marBottom w:val="0"/>
              <w:divBdr>
                <w:top w:val="none" w:sz="0" w:space="0" w:color="auto"/>
                <w:left w:val="none" w:sz="0" w:space="0" w:color="auto"/>
                <w:bottom w:val="none" w:sz="0" w:space="0" w:color="auto"/>
                <w:right w:val="none" w:sz="0" w:space="0" w:color="auto"/>
              </w:divBdr>
            </w:div>
            <w:div w:id="920331129">
              <w:marLeft w:val="0"/>
              <w:marRight w:val="0"/>
              <w:marTop w:val="0"/>
              <w:marBottom w:val="0"/>
              <w:divBdr>
                <w:top w:val="none" w:sz="0" w:space="0" w:color="auto"/>
                <w:left w:val="none" w:sz="0" w:space="0" w:color="auto"/>
                <w:bottom w:val="none" w:sz="0" w:space="0" w:color="auto"/>
                <w:right w:val="none" w:sz="0" w:space="0" w:color="auto"/>
              </w:divBdr>
            </w:div>
            <w:div w:id="1531650405">
              <w:marLeft w:val="0"/>
              <w:marRight w:val="0"/>
              <w:marTop w:val="0"/>
              <w:marBottom w:val="0"/>
              <w:divBdr>
                <w:top w:val="none" w:sz="0" w:space="0" w:color="auto"/>
                <w:left w:val="none" w:sz="0" w:space="0" w:color="auto"/>
                <w:bottom w:val="none" w:sz="0" w:space="0" w:color="auto"/>
                <w:right w:val="none" w:sz="0" w:space="0" w:color="auto"/>
              </w:divBdr>
            </w:div>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6739471">
          <w:marLeft w:val="0"/>
          <w:marRight w:val="0"/>
          <w:marTop w:val="0"/>
          <w:marBottom w:val="0"/>
          <w:divBdr>
            <w:top w:val="none" w:sz="0" w:space="0" w:color="auto"/>
            <w:left w:val="none" w:sz="0" w:space="0" w:color="auto"/>
            <w:bottom w:val="none" w:sz="0" w:space="0" w:color="auto"/>
            <w:right w:val="none" w:sz="0" w:space="0" w:color="auto"/>
          </w:divBdr>
        </w:div>
        <w:div w:id="1135874994">
          <w:marLeft w:val="0"/>
          <w:marRight w:val="0"/>
          <w:marTop w:val="0"/>
          <w:marBottom w:val="0"/>
          <w:divBdr>
            <w:top w:val="none" w:sz="0" w:space="0" w:color="auto"/>
            <w:left w:val="none" w:sz="0" w:space="0" w:color="auto"/>
            <w:bottom w:val="none" w:sz="0" w:space="0" w:color="auto"/>
            <w:right w:val="none" w:sz="0" w:space="0" w:color="auto"/>
          </w:divBdr>
        </w:div>
      </w:divsChild>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35840596">
      <w:bodyDiv w:val="1"/>
      <w:marLeft w:val="0"/>
      <w:marRight w:val="0"/>
      <w:marTop w:val="0"/>
      <w:marBottom w:val="0"/>
      <w:divBdr>
        <w:top w:val="none" w:sz="0" w:space="0" w:color="auto"/>
        <w:left w:val="none" w:sz="0" w:space="0" w:color="auto"/>
        <w:bottom w:val="none" w:sz="0" w:space="0" w:color="auto"/>
        <w:right w:val="none" w:sz="0" w:space="0" w:color="auto"/>
      </w:divBdr>
      <w:divsChild>
        <w:div w:id="109276710">
          <w:marLeft w:val="0"/>
          <w:marRight w:val="0"/>
          <w:marTop w:val="0"/>
          <w:marBottom w:val="0"/>
          <w:divBdr>
            <w:top w:val="none" w:sz="0" w:space="0" w:color="auto"/>
            <w:left w:val="none" w:sz="0" w:space="0" w:color="auto"/>
            <w:bottom w:val="none" w:sz="0" w:space="0" w:color="auto"/>
            <w:right w:val="none" w:sz="0" w:space="0" w:color="auto"/>
          </w:divBdr>
        </w:div>
        <w:div w:id="1371685077">
          <w:marLeft w:val="0"/>
          <w:marRight w:val="0"/>
          <w:marTop w:val="0"/>
          <w:marBottom w:val="0"/>
          <w:divBdr>
            <w:top w:val="none" w:sz="0" w:space="0" w:color="auto"/>
            <w:left w:val="none" w:sz="0" w:space="0" w:color="auto"/>
            <w:bottom w:val="none" w:sz="0" w:space="0" w:color="auto"/>
            <w:right w:val="none" w:sz="0" w:space="0" w:color="auto"/>
          </w:divBdr>
        </w:div>
        <w:div w:id="1080523605">
          <w:marLeft w:val="0"/>
          <w:marRight w:val="0"/>
          <w:marTop w:val="0"/>
          <w:marBottom w:val="0"/>
          <w:divBdr>
            <w:top w:val="none" w:sz="0" w:space="0" w:color="auto"/>
            <w:left w:val="none" w:sz="0" w:space="0" w:color="auto"/>
            <w:bottom w:val="none" w:sz="0" w:space="0" w:color="auto"/>
            <w:right w:val="none" w:sz="0" w:space="0" w:color="auto"/>
          </w:divBdr>
        </w:div>
        <w:div w:id="599029085">
          <w:marLeft w:val="0"/>
          <w:marRight w:val="0"/>
          <w:marTop w:val="0"/>
          <w:marBottom w:val="0"/>
          <w:divBdr>
            <w:top w:val="none" w:sz="0" w:space="0" w:color="auto"/>
            <w:left w:val="none" w:sz="0" w:space="0" w:color="auto"/>
            <w:bottom w:val="none" w:sz="0" w:space="0" w:color="auto"/>
            <w:right w:val="none" w:sz="0" w:space="0" w:color="auto"/>
          </w:divBdr>
        </w:div>
        <w:div w:id="147284861">
          <w:marLeft w:val="0"/>
          <w:marRight w:val="0"/>
          <w:marTop w:val="0"/>
          <w:marBottom w:val="0"/>
          <w:divBdr>
            <w:top w:val="none" w:sz="0" w:space="0" w:color="auto"/>
            <w:left w:val="none" w:sz="0" w:space="0" w:color="auto"/>
            <w:bottom w:val="none" w:sz="0" w:space="0" w:color="auto"/>
            <w:right w:val="none" w:sz="0" w:space="0" w:color="auto"/>
          </w:divBdr>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3351210">
      <w:bodyDiv w:val="1"/>
      <w:marLeft w:val="0"/>
      <w:marRight w:val="0"/>
      <w:marTop w:val="0"/>
      <w:marBottom w:val="0"/>
      <w:divBdr>
        <w:top w:val="none" w:sz="0" w:space="0" w:color="auto"/>
        <w:left w:val="none" w:sz="0" w:space="0" w:color="auto"/>
        <w:bottom w:val="none" w:sz="0" w:space="0" w:color="auto"/>
        <w:right w:val="none" w:sz="0" w:space="0" w:color="auto"/>
      </w:divBdr>
      <w:divsChild>
        <w:div w:id="1586838735">
          <w:marLeft w:val="0"/>
          <w:marRight w:val="0"/>
          <w:marTop w:val="0"/>
          <w:marBottom w:val="0"/>
          <w:divBdr>
            <w:top w:val="none" w:sz="0" w:space="0" w:color="auto"/>
            <w:left w:val="none" w:sz="0" w:space="0" w:color="auto"/>
            <w:bottom w:val="none" w:sz="0" w:space="0" w:color="auto"/>
            <w:right w:val="none" w:sz="0" w:space="0" w:color="auto"/>
          </w:divBdr>
        </w:div>
        <w:div w:id="1573656905">
          <w:marLeft w:val="0"/>
          <w:marRight w:val="0"/>
          <w:marTop w:val="0"/>
          <w:marBottom w:val="0"/>
          <w:divBdr>
            <w:top w:val="none" w:sz="0" w:space="0" w:color="auto"/>
            <w:left w:val="none" w:sz="0" w:space="0" w:color="auto"/>
            <w:bottom w:val="none" w:sz="0" w:space="0" w:color="auto"/>
            <w:right w:val="none" w:sz="0" w:space="0" w:color="auto"/>
          </w:divBdr>
        </w:div>
        <w:div w:id="41443740">
          <w:marLeft w:val="0"/>
          <w:marRight w:val="0"/>
          <w:marTop w:val="0"/>
          <w:marBottom w:val="0"/>
          <w:divBdr>
            <w:top w:val="none" w:sz="0" w:space="0" w:color="auto"/>
            <w:left w:val="none" w:sz="0" w:space="0" w:color="auto"/>
            <w:bottom w:val="none" w:sz="0" w:space="0" w:color="auto"/>
            <w:right w:val="none" w:sz="0" w:space="0" w:color="auto"/>
          </w:divBdr>
        </w:div>
        <w:div w:id="1028526711">
          <w:marLeft w:val="0"/>
          <w:marRight w:val="0"/>
          <w:marTop w:val="0"/>
          <w:marBottom w:val="0"/>
          <w:divBdr>
            <w:top w:val="none" w:sz="0" w:space="0" w:color="auto"/>
            <w:left w:val="none" w:sz="0" w:space="0" w:color="auto"/>
            <w:bottom w:val="none" w:sz="0" w:space="0" w:color="auto"/>
            <w:right w:val="none" w:sz="0" w:space="0" w:color="auto"/>
          </w:divBdr>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22048185">
      <w:bodyDiv w:val="1"/>
      <w:marLeft w:val="0"/>
      <w:marRight w:val="0"/>
      <w:marTop w:val="0"/>
      <w:marBottom w:val="0"/>
      <w:divBdr>
        <w:top w:val="none" w:sz="0" w:space="0" w:color="auto"/>
        <w:left w:val="none" w:sz="0" w:space="0" w:color="auto"/>
        <w:bottom w:val="none" w:sz="0" w:space="0" w:color="auto"/>
        <w:right w:val="none" w:sz="0" w:space="0" w:color="auto"/>
      </w:divBdr>
      <w:divsChild>
        <w:div w:id="1259942725">
          <w:marLeft w:val="0"/>
          <w:marRight w:val="0"/>
          <w:marTop w:val="0"/>
          <w:marBottom w:val="0"/>
          <w:divBdr>
            <w:top w:val="none" w:sz="0" w:space="0" w:color="auto"/>
            <w:left w:val="none" w:sz="0" w:space="0" w:color="auto"/>
            <w:bottom w:val="none" w:sz="0" w:space="0" w:color="auto"/>
            <w:right w:val="none" w:sz="0" w:space="0" w:color="auto"/>
          </w:divBdr>
        </w:div>
        <w:div w:id="1659074308">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6633986">
      <w:bodyDiv w:val="1"/>
      <w:marLeft w:val="0"/>
      <w:marRight w:val="0"/>
      <w:marTop w:val="0"/>
      <w:marBottom w:val="0"/>
      <w:divBdr>
        <w:top w:val="none" w:sz="0" w:space="0" w:color="auto"/>
        <w:left w:val="none" w:sz="0" w:space="0" w:color="auto"/>
        <w:bottom w:val="none" w:sz="0" w:space="0" w:color="auto"/>
        <w:right w:val="none" w:sz="0" w:space="0" w:color="auto"/>
      </w:divBdr>
      <w:divsChild>
        <w:div w:id="975140907">
          <w:marLeft w:val="0"/>
          <w:marRight w:val="0"/>
          <w:marTop w:val="0"/>
          <w:marBottom w:val="0"/>
          <w:divBdr>
            <w:top w:val="none" w:sz="0" w:space="0" w:color="auto"/>
            <w:left w:val="none" w:sz="0" w:space="0" w:color="auto"/>
            <w:bottom w:val="none" w:sz="0" w:space="0" w:color="auto"/>
            <w:right w:val="none" w:sz="0" w:space="0" w:color="auto"/>
          </w:divBdr>
        </w:div>
        <w:div w:id="829364842">
          <w:marLeft w:val="0"/>
          <w:marRight w:val="0"/>
          <w:marTop w:val="0"/>
          <w:marBottom w:val="0"/>
          <w:divBdr>
            <w:top w:val="none" w:sz="0" w:space="0" w:color="auto"/>
            <w:left w:val="none" w:sz="0" w:space="0" w:color="auto"/>
            <w:bottom w:val="none" w:sz="0" w:space="0" w:color="auto"/>
            <w:right w:val="none" w:sz="0" w:space="0" w:color="auto"/>
          </w:divBdr>
        </w:div>
        <w:div w:id="1672180685">
          <w:marLeft w:val="0"/>
          <w:marRight w:val="0"/>
          <w:marTop w:val="0"/>
          <w:marBottom w:val="0"/>
          <w:divBdr>
            <w:top w:val="none" w:sz="0" w:space="0" w:color="auto"/>
            <w:left w:val="none" w:sz="0" w:space="0" w:color="auto"/>
            <w:bottom w:val="none" w:sz="0" w:space="0" w:color="auto"/>
            <w:right w:val="none" w:sz="0" w:space="0" w:color="auto"/>
          </w:divBdr>
        </w:div>
        <w:div w:id="904996593">
          <w:marLeft w:val="0"/>
          <w:marRight w:val="0"/>
          <w:marTop w:val="0"/>
          <w:marBottom w:val="0"/>
          <w:divBdr>
            <w:top w:val="none" w:sz="0" w:space="0" w:color="auto"/>
            <w:left w:val="none" w:sz="0" w:space="0" w:color="auto"/>
            <w:bottom w:val="none" w:sz="0" w:space="0" w:color="auto"/>
            <w:right w:val="none" w:sz="0" w:space="0" w:color="auto"/>
          </w:divBdr>
        </w:div>
        <w:div w:id="2056659474">
          <w:marLeft w:val="0"/>
          <w:marRight w:val="0"/>
          <w:marTop w:val="0"/>
          <w:marBottom w:val="0"/>
          <w:divBdr>
            <w:top w:val="none" w:sz="0" w:space="0" w:color="auto"/>
            <w:left w:val="none" w:sz="0" w:space="0" w:color="auto"/>
            <w:bottom w:val="none" w:sz="0" w:space="0" w:color="auto"/>
            <w:right w:val="none" w:sz="0" w:space="0" w:color="auto"/>
          </w:divBdr>
        </w:div>
        <w:div w:id="513737224">
          <w:marLeft w:val="0"/>
          <w:marRight w:val="0"/>
          <w:marTop w:val="0"/>
          <w:marBottom w:val="0"/>
          <w:divBdr>
            <w:top w:val="none" w:sz="0" w:space="0" w:color="auto"/>
            <w:left w:val="none" w:sz="0" w:space="0" w:color="auto"/>
            <w:bottom w:val="none" w:sz="0" w:space="0" w:color="auto"/>
            <w:right w:val="none" w:sz="0" w:space="0" w:color="auto"/>
          </w:divBdr>
        </w:div>
      </w:divsChild>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4422</Words>
  <Characters>25209</Characters>
  <Application>Microsoft Office Word</Application>
  <DocSecurity>8</DocSecurity>
  <Lines>210</Lines>
  <Paragraphs>59</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29572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Giada Arundine</cp:lastModifiedBy>
  <cp:revision>2</cp:revision>
  <cp:lastPrinted>2023-02-20T10:59:00Z</cp:lastPrinted>
  <dcterms:created xsi:type="dcterms:W3CDTF">2023-02-20T13:32:00Z</dcterms:created>
  <dcterms:modified xsi:type="dcterms:W3CDTF">2023-02-20T13:32:00Z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