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1C5D3C05" w:rsidR="00C2682A" w:rsidRPr="00AB6D88" w:rsidRDefault="00FE3AD2" w:rsidP="00FA5524">
                <w:pPr>
                  <w:rPr>
                    <w:rStyle w:val="PlaceholderText"/>
                    <w:rFonts w:cs="Arial"/>
                  </w:rPr>
                </w:pPr>
                <w:r>
                  <w:rPr>
                    <w:rStyle w:val="PlaceholderText"/>
                    <w:rFonts w:cs="Arial"/>
                  </w:rPr>
                  <w:t xml:space="preserve">UBS </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91309B5" w:rsidR="00C2682A" w:rsidRPr="00AB6D88" w:rsidRDefault="0040188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E3AD2">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34F3310" w:rsidR="00C2682A" w:rsidRPr="00AB6D88" w:rsidRDefault="00FE3AD2"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7F560C63" w14:textId="77777777" w:rsidR="00505D26" w:rsidRDefault="00505D26" w:rsidP="00505D26">
      <w:pPr>
        <w:jc w:val="both"/>
      </w:pPr>
      <w:permStart w:id="1100430741" w:edGrp="everyone"/>
      <w:r>
        <w:t xml:space="preserve">In addition to the specific consultation questions, we would like to stress the following point: </w:t>
      </w:r>
    </w:p>
    <w:p w14:paraId="2326201D" w14:textId="77777777" w:rsidR="00505D26" w:rsidRDefault="00505D26" w:rsidP="00505D26">
      <w:pPr>
        <w:jc w:val="both"/>
      </w:pPr>
    </w:p>
    <w:p w14:paraId="08AAAC9D" w14:textId="77777777" w:rsidR="00505D26" w:rsidRPr="009472FD" w:rsidRDefault="00505D26" w:rsidP="00505D26">
      <w:pPr>
        <w:pStyle w:val="ListParagraph"/>
        <w:numPr>
          <w:ilvl w:val="0"/>
          <w:numId w:val="46"/>
        </w:numPr>
        <w:spacing w:after="160" w:line="259" w:lineRule="auto"/>
        <w:ind w:left="311" w:hanging="311"/>
        <w:jc w:val="both"/>
      </w:pPr>
      <w:r w:rsidRPr="001D7A4B">
        <w:rPr>
          <w:u w:val="single"/>
        </w:rPr>
        <w:t>Terminology</w:t>
      </w:r>
      <w:r w:rsidRPr="009472FD">
        <w:t xml:space="preserve">: It is not clear what constitutes an ‘ESG-related term’ or a ‘sustainable-related’ term. We would welcome guidance from ESMA on the type of terms that it considers are caught, even if this is non-exhaustive. Clear guidance on how potentially ambiguous name terms should be construed would also be welcome. For example, we would welcome guidance setting out that it will not be presumed that terms used to refer to </w:t>
      </w:r>
      <w:r>
        <w:t>technical</w:t>
      </w:r>
      <w:r w:rsidRPr="009472FD">
        <w:t xml:space="preserve"> features of a fund are ESG or sustainable</w:t>
      </w:r>
      <w:r>
        <w:t xml:space="preserve">-related </w:t>
      </w:r>
      <w:r w:rsidRPr="009472FD">
        <w:t>terms. An example is the use of ‘evergreen’ to denote an open-ended fund structure</w:t>
      </w:r>
      <w:r>
        <w:t>. ESMA should confirm that</w:t>
      </w:r>
      <w:r w:rsidRPr="009472FD">
        <w:t xml:space="preserve"> potential ambiguities will be assessed </w:t>
      </w:r>
      <w:r>
        <w:t xml:space="preserve">not at face value but </w:t>
      </w:r>
      <w:r w:rsidRPr="009472FD">
        <w:t>in the context of the fund’s actual investment objectives and strategy.</w:t>
      </w:r>
    </w:p>
    <w:p w14:paraId="16ACBFBB" w14:textId="77777777" w:rsidR="00505D26" w:rsidRPr="009472FD" w:rsidRDefault="00505D26" w:rsidP="00505D26">
      <w:pPr>
        <w:pStyle w:val="ListParagraph"/>
        <w:ind w:left="311"/>
        <w:jc w:val="both"/>
      </w:pPr>
    </w:p>
    <w:p w14:paraId="7C44215A" w14:textId="77777777" w:rsidR="00505D26" w:rsidRPr="00AE0D00" w:rsidRDefault="00505D26" w:rsidP="00505D26">
      <w:pPr>
        <w:pStyle w:val="ListParagraph"/>
        <w:numPr>
          <w:ilvl w:val="0"/>
          <w:numId w:val="46"/>
        </w:numPr>
        <w:spacing w:after="160" w:line="259" w:lineRule="auto"/>
        <w:ind w:left="311" w:hanging="311"/>
        <w:jc w:val="both"/>
      </w:pPr>
      <w:r w:rsidRPr="009472FD">
        <w:rPr>
          <w:u w:val="single"/>
        </w:rPr>
        <w:t>International Alignment</w:t>
      </w:r>
      <w:r>
        <w:t xml:space="preserve">: Given similar proposals in other jurisdictions such as the UK, which will soon consider application to incoming funds from other jurisdictions, UBS is keen to see as much international alignment as possible </w:t>
      </w:r>
      <w:r w:rsidRPr="000207AF">
        <w:t xml:space="preserve">to </w:t>
      </w:r>
      <w:r>
        <w:t xml:space="preserve">maximise </w:t>
      </w:r>
      <w:r w:rsidRPr="000207AF">
        <w:t>international capital flows</w:t>
      </w:r>
      <w:r>
        <w:t xml:space="preserve"> directed at financing the transition</w:t>
      </w:r>
      <w:r w:rsidRPr="000207AF">
        <w:t>.</w:t>
      </w:r>
      <w:r>
        <w:t xml:space="preserve"> One way to achieve this could be by adopting a</w:t>
      </w:r>
      <w:r w:rsidRPr="00AE0D00">
        <w:t xml:space="preserve"> category </w:t>
      </w:r>
      <w:r>
        <w:t xml:space="preserve">aimed at </w:t>
      </w:r>
      <w:r w:rsidRPr="006B1091">
        <w:t>sustainability improvers</w:t>
      </w:r>
      <w:r>
        <w:t xml:space="preserve"> (see our answer to Q11)</w:t>
      </w:r>
      <w:r w:rsidRPr="00AE0D00">
        <w:t>.</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3C6FDCFC" w14:textId="77777777" w:rsidR="00505D26" w:rsidRDefault="00505D26" w:rsidP="00505D26">
      <w:pPr>
        <w:jc w:val="both"/>
      </w:pPr>
      <w:permStart w:id="1596738700" w:edGrp="everyone"/>
      <w:r w:rsidRPr="00AE0D00">
        <w:t xml:space="preserve">UBS </w:t>
      </w:r>
      <w:r w:rsidRPr="00AE0D00">
        <w:rPr>
          <w:b/>
          <w:bCs/>
        </w:rPr>
        <w:t>supports</w:t>
      </w:r>
      <w:r w:rsidRPr="00AE0D00">
        <w:t xml:space="preserve"> </w:t>
      </w:r>
      <w:r w:rsidRPr="00AE0D00">
        <w:rPr>
          <w:b/>
          <w:bCs/>
        </w:rPr>
        <w:t>minimum standards</w:t>
      </w:r>
      <w:r w:rsidRPr="00AE0D00">
        <w:t xml:space="preserve"> for funds that – prominently though their names - hold themselves out as ESG or sustainable funds.</w:t>
      </w:r>
      <w:r>
        <w:t xml:space="preserve"> </w:t>
      </w:r>
      <w:r w:rsidRPr="00AE0D00">
        <w:t xml:space="preserve">Over time, this will bolster the industry’s reputation for </w:t>
      </w:r>
      <w:r w:rsidRPr="00AE0D00">
        <w:rPr>
          <w:b/>
          <w:bCs/>
        </w:rPr>
        <w:t>robust</w:t>
      </w:r>
      <w:r w:rsidRPr="00AE0D00">
        <w:t xml:space="preserve"> ESG/sustainable funds, increasing investors’ trust and facilitat</w:t>
      </w:r>
      <w:r>
        <w:t xml:space="preserve">e </w:t>
      </w:r>
      <w:r w:rsidRPr="00AE0D00">
        <w:t>the EU meeting</w:t>
      </w:r>
      <w:r>
        <w:t xml:space="preserve"> its</w:t>
      </w:r>
      <w:r w:rsidRPr="00AE0D00">
        <w:t xml:space="preserve"> sustainability </w:t>
      </w:r>
      <w:r>
        <w:t>goals</w:t>
      </w:r>
      <w:r w:rsidRPr="00AE0D00">
        <w:t>.</w:t>
      </w:r>
    </w:p>
    <w:p w14:paraId="66E7A9FD" w14:textId="77777777" w:rsidR="00505D26" w:rsidRDefault="00505D26" w:rsidP="00505D26">
      <w:pPr>
        <w:jc w:val="both"/>
      </w:pPr>
    </w:p>
    <w:p w14:paraId="2A7D7528" w14:textId="1294860F" w:rsidR="00505D26" w:rsidRDefault="00505D26" w:rsidP="00505D26">
      <w:pPr>
        <w:jc w:val="both"/>
      </w:pPr>
      <w:r>
        <w:t xml:space="preserve">However, when designing such thresholds - indeed the EU sustainable finance regime generally - the guiding principle should be that the approach chosen should be </w:t>
      </w:r>
      <w:r w:rsidRPr="009472FD">
        <w:rPr>
          <w:i/>
          <w:iCs/>
        </w:rPr>
        <w:t>in line with investors’ expectations</w:t>
      </w:r>
      <w:r>
        <w:t>. It should also be simple and transparent to understand and not add additional complexity to the EU’s (already complex) sustainable finance regime.</w:t>
      </w:r>
    </w:p>
    <w:p w14:paraId="749BECB9" w14:textId="77777777" w:rsidR="00505D26" w:rsidRDefault="00505D26" w:rsidP="00505D26">
      <w:pPr>
        <w:jc w:val="both"/>
      </w:pPr>
    </w:p>
    <w:p w14:paraId="2A044F8E" w14:textId="6071461F" w:rsidR="00505D26" w:rsidRDefault="00505D26" w:rsidP="00505D26">
      <w:pPr>
        <w:jc w:val="both"/>
      </w:pPr>
      <w:r>
        <w:t xml:space="preserve">Investors’ expectations from fund names stem from common-sense, namely that a majority of the fund’s investments will reflect the name. Existing EU Member State standards are testament to this.  For example, in Germany, the BaFin requires an equity or bond fund to be invested as to 50% or more in equities or bonds respectively. However, at the moment, applying such an expected approach to sustainable funds may be challenging due to a lack of data from companies as to how sustainable they are.            </w:t>
      </w:r>
    </w:p>
    <w:p w14:paraId="4353D6E9" w14:textId="77777777" w:rsidR="00505D26" w:rsidRDefault="00505D26" w:rsidP="00505D26">
      <w:pPr>
        <w:jc w:val="both"/>
      </w:pPr>
    </w:p>
    <w:p w14:paraId="026CD421" w14:textId="1CD570C4" w:rsidR="00505D26" w:rsidRDefault="00505D26" w:rsidP="00505D26">
      <w:pPr>
        <w:jc w:val="both"/>
      </w:pPr>
      <w:r>
        <w:t xml:space="preserve">Even more fundamentally, the Guidelines cannot meet an objective standard because there is no EU definition of what constitutes a ‘sustainable investment’ or an ‘environmental or social characteristic’. Instead, firms calibrate their own individual approaches. Imposing quantitative requirements by reference to flexible definitions is only an illusion of minimum standards. Accordingly, we are supportive of introducing clear definitions into the EU sustainability regime, especially as to what constitutes a ‘sustainable investment’. </w:t>
      </w:r>
    </w:p>
    <w:p w14:paraId="7D688BF7" w14:textId="77777777" w:rsidR="00505D26" w:rsidRDefault="00505D26" w:rsidP="00505D26">
      <w:pPr>
        <w:jc w:val="both"/>
      </w:pPr>
    </w:p>
    <w:p w14:paraId="2412ABCA" w14:textId="02687BF8" w:rsidR="00505D26" w:rsidRDefault="00505D26" w:rsidP="00505D26">
      <w:pPr>
        <w:jc w:val="both"/>
      </w:pPr>
      <w:r>
        <w:t xml:space="preserve">In this context, </w:t>
      </w:r>
      <w:r w:rsidRPr="009472FD">
        <w:rPr>
          <w:b/>
          <w:bCs/>
        </w:rPr>
        <w:t>we believe there is merit in ESMA delaying the</w:t>
      </w:r>
      <w:r>
        <w:rPr>
          <w:b/>
          <w:bCs/>
        </w:rPr>
        <w:t>se</w:t>
      </w:r>
      <w:r w:rsidRPr="009472FD">
        <w:rPr>
          <w:b/>
          <w:bCs/>
        </w:rPr>
        <w:t xml:space="preserve"> Guidelines until</w:t>
      </w:r>
      <w:r>
        <w:t xml:space="preserve">: </w:t>
      </w:r>
      <w:proofErr w:type="spellStart"/>
      <w:r>
        <w:t>i</w:t>
      </w:r>
      <w:proofErr w:type="spellEnd"/>
      <w:r>
        <w:t xml:space="preserve">) more companies have started reporting ESG and SI data under CSRD; and 2) clear definitions, especially as to what constitutes a ‘sustainable investment’, have been adopted under the EU sustainability regime. </w:t>
      </w:r>
      <w:r w:rsidRPr="009472FD">
        <w:rPr>
          <w:b/>
          <w:bCs/>
        </w:rPr>
        <w:t>At this point, a simple easily understood minimum standard in line with investors’ expectations can be introduced.</w:t>
      </w:r>
      <w:r>
        <w:t xml:space="preserve"> </w:t>
      </w:r>
    </w:p>
    <w:p w14:paraId="456D7D76" w14:textId="77777777" w:rsidR="00505D26" w:rsidRDefault="00505D26" w:rsidP="00505D26">
      <w:pPr>
        <w:jc w:val="both"/>
      </w:pPr>
    </w:p>
    <w:p w14:paraId="7B5527E4" w14:textId="32800E11" w:rsidR="00505D26" w:rsidRPr="00AE0D00" w:rsidRDefault="00505D26" w:rsidP="00505D26">
      <w:pPr>
        <w:jc w:val="both"/>
      </w:pPr>
      <w:r>
        <w:t>If ESMA decides, nonetheless, to adopt these Guidelines without delay, we set out how in the meantime the thresholds might be calibrated given current data availability and lack of definitions but stress the approach falls short of meeting investors’ expectations or being simple to understand.</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162E7B45" w14:textId="7DA1C6BD" w:rsidR="00505D26" w:rsidRPr="00AE0D00" w:rsidRDefault="00505D26" w:rsidP="00505D26">
      <w:pPr>
        <w:spacing w:afterLines="160" w:after="384"/>
        <w:jc w:val="both"/>
      </w:pPr>
      <w:permStart w:id="1305634831" w:edGrp="everyone"/>
      <w:r w:rsidRPr="00AE0D00">
        <w:t xml:space="preserve">A universal 80% threshold for the E/S characteristics </w:t>
      </w:r>
      <w:r w:rsidRPr="00AE0D00">
        <w:rPr>
          <w:b/>
          <w:bCs/>
        </w:rPr>
        <w:t>is too high</w:t>
      </w:r>
      <w:r w:rsidRPr="00AE0D00">
        <w:t xml:space="preserve">. To take into account different asset classes’ ESG data availability a goal of: </w:t>
      </w:r>
      <w:proofErr w:type="spellStart"/>
      <w:r w:rsidRPr="00AE0D00">
        <w:t>i</w:t>
      </w:r>
      <w:proofErr w:type="spellEnd"/>
      <w:r w:rsidRPr="00AE0D00">
        <w:t xml:space="preserve">) </w:t>
      </w:r>
      <w:r w:rsidRPr="00AE0D00">
        <w:rPr>
          <w:b/>
          <w:bCs/>
        </w:rPr>
        <w:t>70%</w:t>
      </w:r>
      <w:r w:rsidRPr="00AE0D00">
        <w:t xml:space="preserve"> is appropriate for </w:t>
      </w:r>
      <w:r w:rsidRPr="00AE0D00">
        <w:rPr>
          <w:b/>
          <w:bCs/>
        </w:rPr>
        <w:t>passive, active</w:t>
      </w:r>
      <w:r>
        <w:rPr>
          <w:b/>
          <w:bCs/>
        </w:rPr>
        <w:t xml:space="preserve"> </w:t>
      </w:r>
      <w:r w:rsidRPr="00AE0D00">
        <w:rPr>
          <w:b/>
          <w:bCs/>
        </w:rPr>
        <w:t>equity</w:t>
      </w:r>
      <w:r>
        <w:rPr>
          <w:b/>
          <w:bCs/>
        </w:rPr>
        <w:t xml:space="preserve">, </w:t>
      </w:r>
      <w:r w:rsidRPr="00AE0D00">
        <w:rPr>
          <w:b/>
          <w:bCs/>
        </w:rPr>
        <w:t>multi-asset</w:t>
      </w:r>
      <w:r>
        <w:rPr>
          <w:b/>
          <w:bCs/>
        </w:rPr>
        <w:t>, real estate and private market funds</w:t>
      </w:r>
      <w:r w:rsidRPr="00AE0D00">
        <w:t xml:space="preserve">; and ii) </w:t>
      </w:r>
      <w:r w:rsidRPr="00AE0D00">
        <w:rPr>
          <w:b/>
          <w:bCs/>
        </w:rPr>
        <w:t xml:space="preserve">50% </w:t>
      </w:r>
      <w:r w:rsidRPr="00AE0D00">
        <w:t xml:space="preserve">is appropriate for </w:t>
      </w:r>
      <w:r w:rsidRPr="00AE0D00">
        <w:rPr>
          <w:b/>
          <w:bCs/>
        </w:rPr>
        <w:t>fixed income (FI) funds</w:t>
      </w:r>
      <w:r w:rsidRPr="00AE0D00">
        <w:t>.</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51F9BD7E" w14:textId="77777777" w:rsidR="00505D26" w:rsidRDefault="00505D26" w:rsidP="00505D26">
      <w:pPr>
        <w:spacing w:before="120"/>
        <w:jc w:val="both"/>
      </w:pPr>
      <w:permStart w:id="347949177" w:edGrp="everyone"/>
      <w:r w:rsidRPr="00AE0D00">
        <w:lastRenderedPageBreak/>
        <w:t xml:space="preserve">The proposed 50% SI threshold is </w:t>
      </w:r>
      <w:r w:rsidRPr="00AE0D00">
        <w:rPr>
          <w:b/>
          <w:bCs/>
        </w:rPr>
        <w:t>extremely difficult to attain</w:t>
      </w:r>
      <w:r w:rsidRPr="00AE0D00">
        <w:t xml:space="preserve"> – a very low number of investments currently meet the definition</w:t>
      </w:r>
      <w:r>
        <w:t xml:space="preserve">. To illustrate this,  only approximately 22% of the constituents of the </w:t>
      </w:r>
      <w:r w:rsidRPr="006C0B80">
        <w:t>MSCI</w:t>
      </w:r>
      <w:r>
        <w:t>’s</w:t>
      </w:r>
      <w:r w:rsidRPr="006C0B80">
        <w:t xml:space="preserve"> ACWI Climate</w:t>
      </w:r>
      <w:r>
        <w:t xml:space="preserve"> </w:t>
      </w:r>
      <w:r w:rsidRPr="006C0B80">
        <w:t>Paris-Aligned Benchmark</w:t>
      </w:r>
      <w:r>
        <w:t xml:space="preserve"> are sustainable investments under SFDR according to</w:t>
      </w:r>
      <w:r w:rsidRPr="006C0B80">
        <w:t xml:space="preserve"> the </w:t>
      </w:r>
      <w:r>
        <w:t xml:space="preserve">methodology that </w:t>
      </w:r>
      <w:r w:rsidRPr="006C0B80">
        <w:t xml:space="preserve">MSCI </w:t>
      </w:r>
      <w:r>
        <w:t>has adopted to ascertain this.</w:t>
      </w:r>
      <w:r w:rsidRPr="006C0B80">
        <w:t xml:space="preserve"> </w:t>
      </w:r>
    </w:p>
    <w:p w14:paraId="74E7711F" w14:textId="77777777" w:rsidR="00505D26" w:rsidRDefault="00505D26" w:rsidP="00505D26">
      <w:pPr>
        <w:spacing w:before="120"/>
        <w:jc w:val="both"/>
      </w:pPr>
      <w:r w:rsidRPr="00AE0D00">
        <w:t xml:space="preserve"> In terms of global compatibility, other jurisdictions’ regimes such as the</w:t>
      </w:r>
      <w:r>
        <w:t xml:space="preserve"> proposed </w:t>
      </w:r>
      <w:r w:rsidRPr="00AE0D00">
        <w:rPr>
          <w:i/>
          <w:iCs/>
        </w:rPr>
        <w:t>SEC ESG Names Rule</w:t>
      </w:r>
      <w:r w:rsidRPr="00AE0D00">
        <w:t xml:space="preserve"> and the </w:t>
      </w:r>
      <w:r w:rsidRPr="00AE0D00">
        <w:rPr>
          <w:i/>
          <w:iCs/>
        </w:rPr>
        <w:t>UK</w:t>
      </w:r>
      <w:r>
        <w:rPr>
          <w:i/>
          <w:iCs/>
        </w:rPr>
        <w:t xml:space="preserve"> FCA</w:t>
      </w:r>
      <w:r w:rsidRPr="00AE0D00">
        <w:rPr>
          <w:i/>
          <w:iCs/>
        </w:rPr>
        <w:t>’s Sustainable Disclosure Regime (SDR)</w:t>
      </w:r>
      <w:r w:rsidRPr="00AE0D00">
        <w:t xml:space="preserve"> thresholds operate by reference to characteristics similar to the EU’s E/S characteristics and </w:t>
      </w:r>
      <w:r w:rsidRPr="00AE0D00">
        <w:rPr>
          <w:i/>
          <w:iCs/>
        </w:rPr>
        <w:t>not</w:t>
      </w:r>
      <w:r w:rsidRPr="00AE0D00">
        <w:t xml:space="preserve"> sustainable investments. </w:t>
      </w:r>
    </w:p>
    <w:p w14:paraId="6DEBB71B" w14:textId="57188BC2" w:rsidR="00505D26" w:rsidRPr="00C30841" w:rsidRDefault="00505D26" w:rsidP="00505D26">
      <w:pPr>
        <w:spacing w:before="120"/>
        <w:jc w:val="both"/>
      </w:pPr>
      <w:r w:rsidRPr="00AE0D00">
        <w:rPr>
          <w:b/>
          <w:bCs/>
        </w:rPr>
        <w:t>ESMA should consider adopting only the E/S threshold for both ESG and sustainable name terms</w:t>
      </w:r>
      <w:r>
        <w:t xml:space="preserve"> (not least because, in practice, few investors will make a distinction between these terms). We would also like ESMA to confirm that the terms ‘environmental or social characteristics’ and ‘sustainable investments’ have the same meaning as under SFDR.</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380325C0" w14:textId="77777777" w:rsidR="00505D26" w:rsidRPr="00AE0D00" w:rsidRDefault="00505D26" w:rsidP="00505D26">
      <w:pPr>
        <w:spacing w:before="80"/>
        <w:contextualSpacing/>
        <w:jc w:val="both"/>
      </w:pPr>
      <w:permStart w:id="351877901" w:edGrp="everyone"/>
      <w:r w:rsidRPr="00AE0D00">
        <w:t xml:space="preserve">Sustainability is </w:t>
      </w:r>
      <w:r w:rsidRPr="00AE0D00">
        <w:rPr>
          <w:b/>
          <w:bCs/>
        </w:rPr>
        <w:t>not static</w:t>
      </w:r>
      <w:r w:rsidRPr="00AE0D00">
        <w:t xml:space="preserve">. ESG data </w:t>
      </w:r>
      <w:r>
        <w:t>(especially with the forthcoming adoption of CSRD in the EU)</w:t>
      </w:r>
      <w:r w:rsidRPr="00AE0D00">
        <w:t xml:space="preserve"> and </w:t>
      </w:r>
      <w:r w:rsidRPr="00AE0D00">
        <w:rPr>
          <w:b/>
          <w:bCs/>
        </w:rPr>
        <w:t>companies’ sustainability</w:t>
      </w:r>
      <w:r w:rsidRPr="00AE0D00">
        <w:t xml:space="preserve"> will increase over time</w:t>
      </w:r>
      <w:r>
        <w:t xml:space="preserve"> and, as such, we would propose adopting thresholds which increase over time</w:t>
      </w:r>
      <w:r w:rsidRPr="00AE0D00">
        <w:t>.</w:t>
      </w:r>
      <w:r>
        <w:t xml:space="preserve"> We would prefer that ESMA only adopts the E/S threshold but, if ESMA decides to adopt the sustainable investments threshold as well, then the same principle of increasing the threshold over time should apply. </w:t>
      </w:r>
      <w:r w:rsidRPr="00AE0D00">
        <w:t xml:space="preserve"> </w:t>
      </w:r>
      <w:r>
        <w:t>As such, we would propose</w:t>
      </w:r>
      <w:r w:rsidRPr="00AE0D00">
        <w:t xml:space="preserve">: </w:t>
      </w:r>
    </w:p>
    <w:p w14:paraId="6BCC1023" w14:textId="77777777" w:rsidR="00505D26" w:rsidRPr="00174F81" w:rsidRDefault="00505D26" w:rsidP="00505D26">
      <w:pPr>
        <w:spacing w:before="80"/>
        <w:contextualSpacing/>
        <w:jc w:val="both"/>
        <w:rPr>
          <w:b/>
          <w:bCs/>
          <w:color w:val="000000" w:themeColor="text1"/>
          <w:sz w:val="24"/>
        </w:rPr>
      </w:pPr>
      <w:r w:rsidRPr="00174F81">
        <w:rPr>
          <w:sz w:val="24"/>
        </w:rPr>
        <w:t xml:space="preserve"> </w:t>
      </w:r>
    </w:p>
    <w:tbl>
      <w:tblPr>
        <w:tblStyle w:val="TableGrid"/>
        <w:tblW w:w="0" w:type="auto"/>
        <w:tblInd w:w="-5" w:type="dxa"/>
        <w:tblLook w:val="04A0" w:firstRow="1" w:lastRow="0" w:firstColumn="1" w:lastColumn="0" w:noHBand="0" w:noVBand="1"/>
      </w:tblPr>
      <w:tblGrid>
        <w:gridCol w:w="1134"/>
        <w:gridCol w:w="3402"/>
        <w:gridCol w:w="1985"/>
        <w:gridCol w:w="2410"/>
      </w:tblGrid>
      <w:tr w:rsidR="00505D26" w14:paraId="1B358EC4" w14:textId="77777777" w:rsidTr="00571C7F">
        <w:tc>
          <w:tcPr>
            <w:tcW w:w="1134" w:type="dxa"/>
            <w:vMerge w:val="restart"/>
            <w:shd w:val="clear" w:color="auto" w:fill="EEECE1" w:themeFill="background2"/>
          </w:tcPr>
          <w:p w14:paraId="0E94034E" w14:textId="77777777" w:rsidR="00505D26" w:rsidRPr="008846CC" w:rsidRDefault="00505D26" w:rsidP="00571C7F">
            <w:pPr>
              <w:contextualSpacing/>
              <w:jc w:val="center"/>
              <w:rPr>
                <w:b/>
                <w:bCs/>
                <w:szCs w:val="20"/>
              </w:rPr>
            </w:pPr>
            <w:r w:rsidRPr="008846CC">
              <w:rPr>
                <w:b/>
                <w:bCs/>
                <w:szCs w:val="20"/>
              </w:rPr>
              <w:t>Phase</w:t>
            </w:r>
          </w:p>
        </w:tc>
        <w:tc>
          <w:tcPr>
            <w:tcW w:w="5387" w:type="dxa"/>
            <w:gridSpan w:val="2"/>
            <w:tcBorders>
              <w:bottom w:val="nil"/>
            </w:tcBorders>
            <w:shd w:val="clear" w:color="auto" w:fill="EEECE1" w:themeFill="background2"/>
          </w:tcPr>
          <w:p w14:paraId="5F4F9316" w14:textId="77777777" w:rsidR="00505D26" w:rsidRPr="008846CC" w:rsidRDefault="00505D26" w:rsidP="00571C7F">
            <w:pPr>
              <w:contextualSpacing/>
              <w:jc w:val="center"/>
              <w:rPr>
                <w:b/>
                <w:bCs/>
                <w:szCs w:val="20"/>
              </w:rPr>
            </w:pPr>
            <w:r>
              <w:rPr>
                <w:b/>
                <w:bCs/>
                <w:szCs w:val="20"/>
              </w:rPr>
              <w:t xml:space="preserve">                                   </w:t>
            </w:r>
            <w:r w:rsidRPr="008846CC">
              <w:rPr>
                <w:b/>
                <w:bCs/>
                <w:szCs w:val="20"/>
              </w:rPr>
              <w:t>E/S</w:t>
            </w:r>
            <w:r>
              <w:rPr>
                <w:b/>
                <w:bCs/>
                <w:szCs w:val="20"/>
              </w:rPr>
              <w:t xml:space="preserve"> %</w:t>
            </w:r>
          </w:p>
        </w:tc>
        <w:tc>
          <w:tcPr>
            <w:tcW w:w="2410" w:type="dxa"/>
            <w:vMerge w:val="restart"/>
            <w:shd w:val="clear" w:color="auto" w:fill="EEECE1" w:themeFill="background2"/>
          </w:tcPr>
          <w:p w14:paraId="0ACAA556" w14:textId="77777777" w:rsidR="00505D26" w:rsidRPr="008846CC" w:rsidRDefault="00505D26" w:rsidP="00571C7F">
            <w:pPr>
              <w:contextualSpacing/>
              <w:jc w:val="center"/>
              <w:rPr>
                <w:b/>
                <w:bCs/>
                <w:szCs w:val="20"/>
              </w:rPr>
            </w:pPr>
            <w:r w:rsidRPr="008846CC">
              <w:rPr>
                <w:b/>
                <w:bCs/>
                <w:szCs w:val="20"/>
              </w:rPr>
              <w:t>Sustainable</w:t>
            </w:r>
            <w:r>
              <w:rPr>
                <w:b/>
                <w:bCs/>
                <w:szCs w:val="20"/>
              </w:rPr>
              <w:t xml:space="preserve"> %</w:t>
            </w:r>
          </w:p>
        </w:tc>
      </w:tr>
      <w:tr w:rsidR="00505D26" w14:paraId="5878B571" w14:textId="77777777" w:rsidTr="00571C7F">
        <w:tc>
          <w:tcPr>
            <w:tcW w:w="1134" w:type="dxa"/>
            <w:vMerge/>
            <w:shd w:val="clear" w:color="auto" w:fill="EEECE1" w:themeFill="background2"/>
          </w:tcPr>
          <w:p w14:paraId="70B2A35B" w14:textId="77777777" w:rsidR="00505D26" w:rsidRPr="008846CC" w:rsidRDefault="00505D26" w:rsidP="00571C7F">
            <w:pPr>
              <w:jc w:val="center"/>
              <w:rPr>
                <w:b/>
                <w:bCs/>
                <w:szCs w:val="20"/>
              </w:rPr>
            </w:pPr>
          </w:p>
        </w:tc>
        <w:tc>
          <w:tcPr>
            <w:tcW w:w="3402" w:type="dxa"/>
            <w:tcBorders>
              <w:top w:val="nil"/>
            </w:tcBorders>
            <w:shd w:val="clear" w:color="auto" w:fill="EEECE1" w:themeFill="background2"/>
          </w:tcPr>
          <w:p w14:paraId="1031D611" w14:textId="77777777" w:rsidR="00505D26" w:rsidRPr="008846CC" w:rsidRDefault="00505D26" w:rsidP="00571C7F">
            <w:pPr>
              <w:jc w:val="center"/>
              <w:rPr>
                <w:szCs w:val="20"/>
              </w:rPr>
            </w:pPr>
            <w:r w:rsidRPr="008846CC">
              <w:rPr>
                <w:szCs w:val="20"/>
              </w:rPr>
              <w:t>Active Equity, Passive</w:t>
            </w:r>
            <w:r>
              <w:rPr>
                <w:szCs w:val="20"/>
              </w:rPr>
              <w:t xml:space="preserve">, </w:t>
            </w:r>
            <w:r w:rsidRPr="008846CC">
              <w:rPr>
                <w:szCs w:val="20"/>
              </w:rPr>
              <w:t>M</w:t>
            </w:r>
            <w:r>
              <w:rPr>
                <w:szCs w:val="20"/>
              </w:rPr>
              <w:t>ulti-</w:t>
            </w:r>
            <w:r w:rsidRPr="008846CC">
              <w:rPr>
                <w:szCs w:val="20"/>
              </w:rPr>
              <w:t>A</w:t>
            </w:r>
            <w:r>
              <w:rPr>
                <w:szCs w:val="20"/>
              </w:rPr>
              <w:t xml:space="preserve">ssets &amp; Real Estate and Private Markets </w:t>
            </w:r>
          </w:p>
        </w:tc>
        <w:tc>
          <w:tcPr>
            <w:tcW w:w="1985" w:type="dxa"/>
            <w:tcBorders>
              <w:top w:val="nil"/>
            </w:tcBorders>
            <w:shd w:val="clear" w:color="auto" w:fill="EEECE1" w:themeFill="background2"/>
          </w:tcPr>
          <w:p w14:paraId="62EE1554" w14:textId="77777777" w:rsidR="00505D26" w:rsidRPr="008846CC" w:rsidRDefault="00505D26" w:rsidP="00571C7F">
            <w:pPr>
              <w:jc w:val="center"/>
              <w:rPr>
                <w:szCs w:val="20"/>
              </w:rPr>
            </w:pPr>
            <w:r w:rsidRPr="008846CC">
              <w:rPr>
                <w:szCs w:val="20"/>
              </w:rPr>
              <w:t>F</w:t>
            </w:r>
            <w:r>
              <w:rPr>
                <w:szCs w:val="20"/>
              </w:rPr>
              <w:t>ixed Income</w:t>
            </w:r>
          </w:p>
        </w:tc>
        <w:tc>
          <w:tcPr>
            <w:tcW w:w="2410" w:type="dxa"/>
            <w:vMerge/>
            <w:shd w:val="clear" w:color="auto" w:fill="EEECE1" w:themeFill="background2"/>
          </w:tcPr>
          <w:p w14:paraId="62B51879" w14:textId="77777777" w:rsidR="00505D26" w:rsidRPr="008846CC" w:rsidRDefault="00505D26" w:rsidP="00571C7F">
            <w:pPr>
              <w:jc w:val="center"/>
              <w:rPr>
                <w:b/>
                <w:bCs/>
                <w:szCs w:val="20"/>
              </w:rPr>
            </w:pPr>
          </w:p>
        </w:tc>
      </w:tr>
      <w:tr w:rsidR="00505D26" w14:paraId="2295F8CF" w14:textId="77777777" w:rsidTr="00571C7F">
        <w:tc>
          <w:tcPr>
            <w:tcW w:w="1134" w:type="dxa"/>
          </w:tcPr>
          <w:p w14:paraId="29D5A7F0" w14:textId="77777777" w:rsidR="00505D26" w:rsidRPr="008846CC" w:rsidRDefault="00505D26" w:rsidP="00571C7F">
            <w:pPr>
              <w:jc w:val="center"/>
              <w:rPr>
                <w:szCs w:val="20"/>
              </w:rPr>
            </w:pPr>
            <w:r w:rsidRPr="008846CC">
              <w:rPr>
                <w:szCs w:val="20"/>
              </w:rPr>
              <w:t>1</w:t>
            </w:r>
            <w:r>
              <w:rPr>
                <w:szCs w:val="20"/>
              </w:rPr>
              <w:t xml:space="preserve"> – Now </w:t>
            </w:r>
          </w:p>
        </w:tc>
        <w:tc>
          <w:tcPr>
            <w:tcW w:w="3402" w:type="dxa"/>
          </w:tcPr>
          <w:p w14:paraId="04986DA5" w14:textId="77777777" w:rsidR="00505D26" w:rsidRPr="008846CC" w:rsidRDefault="00505D26" w:rsidP="00571C7F">
            <w:pPr>
              <w:jc w:val="center"/>
              <w:rPr>
                <w:szCs w:val="20"/>
              </w:rPr>
            </w:pPr>
            <w:r>
              <w:rPr>
                <w:szCs w:val="20"/>
              </w:rPr>
              <w:t>60</w:t>
            </w:r>
          </w:p>
        </w:tc>
        <w:tc>
          <w:tcPr>
            <w:tcW w:w="1985" w:type="dxa"/>
          </w:tcPr>
          <w:p w14:paraId="66B3030B" w14:textId="77777777" w:rsidR="00505D26" w:rsidRPr="008846CC" w:rsidRDefault="00505D26" w:rsidP="00571C7F">
            <w:pPr>
              <w:jc w:val="center"/>
              <w:rPr>
                <w:szCs w:val="20"/>
              </w:rPr>
            </w:pPr>
            <w:r>
              <w:rPr>
                <w:szCs w:val="20"/>
              </w:rPr>
              <w:t>40</w:t>
            </w:r>
          </w:p>
        </w:tc>
        <w:tc>
          <w:tcPr>
            <w:tcW w:w="2410" w:type="dxa"/>
          </w:tcPr>
          <w:p w14:paraId="7C88AE5C" w14:textId="77777777" w:rsidR="00505D26" w:rsidRPr="008846CC" w:rsidRDefault="00505D26" w:rsidP="00571C7F">
            <w:pPr>
              <w:jc w:val="center"/>
              <w:rPr>
                <w:szCs w:val="20"/>
              </w:rPr>
            </w:pPr>
            <w:r>
              <w:rPr>
                <w:szCs w:val="20"/>
              </w:rPr>
              <w:t>20</w:t>
            </w:r>
          </w:p>
        </w:tc>
      </w:tr>
      <w:tr w:rsidR="00505D26" w14:paraId="08E6276E" w14:textId="77777777" w:rsidTr="00571C7F">
        <w:tc>
          <w:tcPr>
            <w:tcW w:w="1134" w:type="dxa"/>
          </w:tcPr>
          <w:p w14:paraId="6E76DA90" w14:textId="77777777" w:rsidR="00505D26" w:rsidRPr="008846CC" w:rsidRDefault="00505D26" w:rsidP="00571C7F">
            <w:pPr>
              <w:jc w:val="center"/>
              <w:rPr>
                <w:szCs w:val="20"/>
              </w:rPr>
            </w:pPr>
            <w:r w:rsidRPr="008846CC">
              <w:rPr>
                <w:szCs w:val="20"/>
              </w:rPr>
              <w:t>2</w:t>
            </w:r>
            <w:r>
              <w:rPr>
                <w:szCs w:val="20"/>
              </w:rPr>
              <w:t xml:space="preserve"> – 2026</w:t>
            </w:r>
          </w:p>
        </w:tc>
        <w:tc>
          <w:tcPr>
            <w:tcW w:w="3402" w:type="dxa"/>
          </w:tcPr>
          <w:p w14:paraId="60ABBD72" w14:textId="77777777" w:rsidR="00505D26" w:rsidRPr="008846CC" w:rsidRDefault="00505D26" w:rsidP="00571C7F">
            <w:pPr>
              <w:jc w:val="center"/>
              <w:rPr>
                <w:szCs w:val="20"/>
              </w:rPr>
            </w:pPr>
            <w:r>
              <w:rPr>
                <w:szCs w:val="20"/>
              </w:rPr>
              <w:t>65</w:t>
            </w:r>
          </w:p>
        </w:tc>
        <w:tc>
          <w:tcPr>
            <w:tcW w:w="1985" w:type="dxa"/>
          </w:tcPr>
          <w:p w14:paraId="378FB76D" w14:textId="77777777" w:rsidR="00505D26" w:rsidRPr="008846CC" w:rsidRDefault="00505D26" w:rsidP="00571C7F">
            <w:pPr>
              <w:jc w:val="center"/>
              <w:rPr>
                <w:szCs w:val="20"/>
              </w:rPr>
            </w:pPr>
            <w:r>
              <w:rPr>
                <w:szCs w:val="20"/>
              </w:rPr>
              <w:t>45</w:t>
            </w:r>
          </w:p>
        </w:tc>
        <w:tc>
          <w:tcPr>
            <w:tcW w:w="2410" w:type="dxa"/>
          </w:tcPr>
          <w:p w14:paraId="1F7C917D" w14:textId="77777777" w:rsidR="00505D26" w:rsidRPr="008846CC" w:rsidRDefault="00505D26" w:rsidP="00571C7F">
            <w:pPr>
              <w:jc w:val="center"/>
              <w:rPr>
                <w:szCs w:val="20"/>
              </w:rPr>
            </w:pPr>
            <w:r>
              <w:rPr>
                <w:szCs w:val="20"/>
              </w:rPr>
              <w:t>27</w:t>
            </w:r>
          </w:p>
        </w:tc>
      </w:tr>
      <w:tr w:rsidR="00505D26" w14:paraId="3D6485F6" w14:textId="77777777" w:rsidTr="00571C7F">
        <w:tc>
          <w:tcPr>
            <w:tcW w:w="1134" w:type="dxa"/>
          </w:tcPr>
          <w:p w14:paraId="0083513A" w14:textId="77777777" w:rsidR="00505D26" w:rsidRPr="008846CC" w:rsidRDefault="00505D26" w:rsidP="00571C7F">
            <w:pPr>
              <w:jc w:val="center"/>
              <w:rPr>
                <w:szCs w:val="20"/>
              </w:rPr>
            </w:pPr>
            <w:r w:rsidRPr="008846CC">
              <w:rPr>
                <w:szCs w:val="20"/>
              </w:rPr>
              <w:t>3</w:t>
            </w:r>
            <w:r>
              <w:rPr>
                <w:szCs w:val="20"/>
              </w:rPr>
              <w:t xml:space="preserve"> – 2028</w:t>
            </w:r>
          </w:p>
        </w:tc>
        <w:tc>
          <w:tcPr>
            <w:tcW w:w="3402" w:type="dxa"/>
          </w:tcPr>
          <w:p w14:paraId="48CFBC44" w14:textId="77777777" w:rsidR="00505D26" w:rsidRPr="008846CC" w:rsidRDefault="00505D26" w:rsidP="00571C7F">
            <w:pPr>
              <w:jc w:val="center"/>
              <w:rPr>
                <w:szCs w:val="20"/>
              </w:rPr>
            </w:pPr>
            <w:r>
              <w:rPr>
                <w:szCs w:val="20"/>
              </w:rPr>
              <w:t>70</w:t>
            </w:r>
          </w:p>
        </w:tc>
        <w:tc>
          <w:tcPr>
            <w:tcW w:w="1985" w:type="dxa"/>
          </w:tcPr>
          <w:p w14:paraId="64765E42" w14:textId="77777777" w:rsidR="00505D26" w:rsidRPr="008846CC" w:rsidRDefault="00505D26" w:rsidP="00571C7F">
            <w:pPr>
              <w:jc w:val="center"/>
              <w:rPr>
                <w:szCs w:val="20"/>
              </w:rPr>
            </w:pPr>
            <w:r>
              <w:rPr>
                <w:szCs w:val="20"/>
              </w:rPr>
              <w:t>50</w:t>
            </w:r>
          </w:p>
        </w:tc>
        <w:tc>
          <w:tcPr>
            <w:tcW w:w="2410" w:type="dxa"/>
          </w:tcPr>
          <w:p w14:paraId="2C0B0250" w14:textId="77777777" w:rsidR="00505D26" w:rsidRPr="008846CC" w:rsidRDefault="00505D26" w:rsidP="00571C7F">
            <w:pPr>
              <w:jc w:val="center"/>
              <w:rPr>
                <w:szCs w:val="20"/>
              </w:rPr>
            </w:pPr>
            <w:r>
              <w:rPr>
                <w:szCs w:val="20"/>
              </w:rPr>
              <w:t>35</w:t>
            </w:r>
          </w:p>
        </w:tc>
      </w:tr>
    </w:tbl>
    <w:p w14:paraId="54741278" w14:textId="77777777" w:rsidR="00505D26" w:rsidRPr="00BC1C32" w:rsidRDefault="00505D26" w:rsidP="00505D26">
      <w:pPr>
        <w:pStyle w:val="ListParagraph"/>
        <w:pBdr>
          <w:bottom w:val="single" w:sz="4" w:space="1" w:color="D9D9D9" w:themeColor="background1" w:themeShade="D9"/>
        </w:pBdr>
        <w:tabs>
          <w:tab w:val="left" w:pos="6783"/>
        </w:tabs>
        <w:ind w:left="567"/>
        <w:jc w:val="both"/>
        <w:rPr>
          <w:b/>
          <w:bCs/>
          <w:color w:val="000000" w:themeColor="text1"/>
          <w:sz w:val="24"/>
        </w:rPr>
      </w:pPr>
      <w:r w:rsidRPr="00BC1C32">
        <w:rPr>
          <w:b/>
          <w:bCs/>
          <w:color w:val="000000" w:themeColor="text1"/>
          <w:sz w:val="24"/>
        </w:rPr>
        <w:tab/>
      </w:r>
    </w:p>
    <w:p w14:paraId="03F57936" w14:textId="77777777" w:rsidR="00505D26" w:rsidRDefault="00505D26" w:rsidP="00505D26">
      <w:pPr>
        <w:pStyle w:val="ListParagraph"/>
        <w:ind w:left="0"/>
        <w:jc w:val="both"/>
        <w:rPr>
          <w:color w:val="000000" w:themeColor="text1"/>
        </w:rPr>
      </w:pPr>
      <w:r w:rsidRPr="006C0B80">
        <w:rPr>
          <w:color w:val="000000" w:themeColor="text1"/>
        </w:rPr>
        <w:t>Adopting such an approach would allow funds to gradually increase their standards in line with market developments and reduce sudden and significant changes to fund ranges which will not be beneficial to investors.  Another point to consider is that many companies are currently in the beginning phase of transitioning. Accordingly, slowly increasing these targets over time will fit in with this</w:t>
      </w:r>
      <w:r>
        <w:rPr>
          <w:color w:val="000000" w:themeColor="text1"/>
        </w:rPr>
        <w:t xml:space="preserve"> transition.</w:t>
      </w:r>
      <w:r w:rsidRPr="006C0B80">
        <w:rPr>
          <w:color w:val="000000" w:themeColor="text1"/>
        </w:rPr>
        <w:t xml:space="preserve"> Please see Q11 where we detail the need for a category for transitioning investments.</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3B8EAE27" w14:textId="77777777" w:rsidR="00505D26" w:rsidRDefault="00505D26" w:rsidP="00B92885">
      <w:permStart w:id="1539323392" w:edGrp="everyone"/>
      <w:r w:rsidRPr="00293D78">
        <w:rPr>
          <w:rFonts w:cs="Arial"/>
        </w:rPr>
        <w:t>TYPE YOUR TEXT HERE</w:t>
      </w:r>
      <w:r>
        <w:t xml:space="preserve"> </w:t>
      </w:r>
    </w:p>
    <w:permEnd w:id="1539323392"/>
    <w:p w14:paraId="436D4354" w14:textId="6BEE99C9"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45D72B26" w14:textId="77777777" w:rsidR="00505D26" w:rsidRPr="00AE0D00" w:rsidRDefault="00505D26" w:rsidP="00505D26">
      <w:pPr>
        <w:jc w:val="both"/>
      </w:pPr>
      <w:permStart w:id="175976681" w:edGrp="everyone"/>
      <w:r w:rsidRPr="00AE0D00">
        <w:lastRenderedPageBreak/>
        <w:t>Applying Paris-aligned benchmark (PAB) exclusions to all funds that have ESG or sustainability name terms is</w:t>
      </w:r>
      <w:r w:rsidRPr="00AE0D00">
        <w:rPr>
          <w:b/>
          <w:bCs/>
        </w:rPr>
        <w:t xml:space="preserve"> too stringent</w:t>
      </w:r>
      <w:r>
        <w:t>.</w:t>
      </w:r>
      <w:r w:rsidRPr="00AE0D00">
        <w:t xml:space="preserve"> </w:t>
      </w:r>
      <w:r>
        <w:t>It</w:t>
      </w:r>
      <w:r w:rsidRPr="00AE0D00">
        <w:t xml:space="preserve"> w</w:t>
      </w:r>
      <w:r>
        <w:t>ill</w:t>
      </w:r>
      <w:r w:rsidRPr="00AE0D00">
        <w:t xml:space="preserve"> reduce the investible universe to the detriment of funds being able to meet the E/S and </w:t>
      </w:r>
      <w:r>
        <w:t>sustainable investments</w:t>
      </w:r>
      <w:r w:rsidRPr="00AE0D00">
        <w:t xml:space="preserve"> threshold</w:t>
      </w:r>
      <w:r>
        <w:t>s</w:t>
      </w:r>
      <w:r w:rsidRPr="00AE0D00">
        <w:t xml:space="preserve"> as well as to financial returns.    </w:t>
      </w:r>
    </w:p>
    <w:p w14:paraId="516A7B84" w14:textId="77777777" w:rsidR="002D6687" w:rsidRDefault="002D6687" w:rsidP="00505D26">
      <w:pPr>
        <w:jc w:val="both"/>
      </w:pPr>
    </w:p>
    <w:p w14:paraId="6A9F3668" w14:textId="48B48BF8" w:rsidR="00505D26" w:rsidRPr="00AE0D00" w:rsidRDefault="00505D26" w:rsidP="00505D26">
      <w:pPr>
        <w:jc w:val="both"/>
      </w:pPr>
      <w:r>
        <w:t>Instead, w</w:t>
      </w:r>
      <w:r w:rsidRPr="00EA5F1E">
        <w:t xml:space="preserve">e would suggest adopting the EU </w:t>
      </w:r>
      <w:r w:rsidRPr="00EA5F1E">
        <w:rPr>
          <w:b/>
          <w:bCs/>
        </w:rPr>
        <w:t>Climate</w:t>
      </w:r>
      <w:r w:rsidRPr="00EA5F1E">
        <w:t xml:space="preserve"> </w:t>
      </w:r>
      <w:r w:rsidRPr="00EA5F1E">
        <w:rPr>
          <w:b/>
          <w:bCs/>
        </w:rPr>
        <w:t>Transition Benchmark</w:t>
      </w:r>
      <w:r w:rsidRPr="00EA5F1E">
        <w:t xml:space="preserve"> exclusions set out in Article 12(1), points (a) (controversial weapons), (b) (tobacco) and (c) (UN OECD Guidelines) of the </w:t>
      </w:r>
      <w:r>
        <w:t xml:space="preserve">EU </w:t>
      </w:r>
      <w:r w:rsidRPr="00EA5F1E">
        <w:t>Benchmark Delegat</w:t>
      </w:r>
      <w:r>
        <w:t xml:space="preserve">ed Regulation. In particular, this should apply </w:t>
      </w:r>
      <w:r w:rsidRPr="00EA5F1E">
        <w:t>for</w:t>
      </w:r>
      <w:r>
        <w:t xml:space="preserve">: </w:t>
      </w:r>
      <w:proofErr w:type="spellStart"/>
      <w:r>
        <w:t>i</w:t>
      </w:r>
      <w:proofErr w:type="spellEnd"/>
      <w:r>
        <w:t>)</w:t>
      </w:r>
      <w:r w:rsidRPr="00EA5F1E">
        <w:t xml:space="preserve"> funds </w:t>
      </w:r>
      <w:r>
        <w:t xml:space="preserve">using </w:t>
      </w:r>
      <w:r w:rsidRPr="00FF25D3">
        <w:rPr>
          <w:b/>
          <w:bCs/>
        </w:rPr>
        <w:t>ESG terms</w:t>
      </w:r>
      <w:r>
        <w:t xml:space="preserve"> in their names; and ii) funds </w:t>
      </w:r>
      <w:r w:rsidRPr="00EA5F1E">
        <w:t xml:space="preserve">using the terms </w:t>
      </w:r>
      <w:r w:rsidRPr="00EA5F1E">
        <w:rPr>
          <w:b/>
          <w:bCs/>
        </w:rPr>
        <w:t>impact or transition</w:t>
      </w:r>
      <w:r w:rsidRPr="00EA5F1E">
        <w:t xml:space="preserve"> in their names. By definition</w:t>
      </w:r>
      <w:r>
        <w:t xml:space="preserve">, impact or transition funds </w:t>
      </w:r>
      <w:r w:rsidRPr="00EA5F1E">
        <w:t>will – intentionally - include investments that, currently, will not meet the PAB fossil fuel exclusions or may not meet the ‘do no significant harm requirements’ of the Taxonomy Regulation’s environmental objectives.</w:t>
      </w:r>
      <w:r>
        <w:t xml:space="preserve"> </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77EE8F5C" w14:textId="77777777" w:rsidR="00505D26" w:rsidRDefault="00505D26" w:rsidP="00505D26">
      <w:pPr>
        <w:jc w:val="both"/>
      </w:pPr>
      <w:permStart w:id="576722602" w:edGrp="everyone"/>
      <w:r w:rsidRPr="00D70261">
        <w:t xml:space="preserve">Currently, there is very little guidance in the EU sustainability regime (or, indeed, other </w:t>
      </w:r>
      <w:r>
        <w:t>SI regulations/</w:t>
      </w:r>
      <w:r w:rsidRPr="00D70261">
        <w:t xml:space="preserve">industry standards) as to how derivatives should be </w:t>
      </w:r>
      <w:r>
        <w:t>considered</w:t>
      </w:r>
      <w:r w:rsidRPr="00D70261">
        <w:t>.</w:t>
      </w:r>
      <w:r>
        <w:t xml:space="preserve"> </w:t>
      </w:r>
      <w:r w:rsidRPr="00D70261">
        <w:t>We see merit in ESMA introduc</w:t>
      </w:r>
      <w:r>
        <w:t>ing</w:t>
      </w:r>
      <w:r w:rsidRPr="00D70261">
        <w:t xml:space="preserve"> guidance as to how derivatives</w:t>
      </w:r>
      <w:r w:rsidRPr="00D70261">
        <w:rPr>
          <w:b/>
          <w:bCs/>
        </w:rPr>
        <w:t xml:space="preserve"> </w:t>
      </w:r>
      <w:r w:rsidRPr="00D70261">
        <w:t>should be taken into account</w:t>
      </w:r>
      <w:r>
        <w:t xml:space="preserve"> but for the purposes of the EU sustainability regime overall and not solely </w:t>
      </w:r>
      <w:r w:rsidRPr="00D70261">
        <w:t>for the</w:t>
      </w:r>
      <w:r>
        <w:t>se</w:t>
      </w:r>
      <w:r w:rsidRPr="00D70261">
        <w:t xml:space="preserve"> </w:t>
      </w:r>
      <w:r>
        <w:t xml:space="preserve">Guidelines.  Whatever is adopted should be applied in the same way under SFDR and the broader EU sustainability regime for a consistent approach. </w:t>
      </w:r>
    </w:p>
    <w:p w14:paraId="3C27BD83" w14:textId="77777777" w:rsidR="00505D26" w:rsidRDefault="00505D26" w:rsidP="00505D26">
      <w:pPr>
        <w:jc w:val="both"/>
      </w:pPr>
    </w:p>
    <w:p w14:paraId="15FEB6B5" w14:textId="449FA91E" w:rsidR="00505D26" w:rsidRDefault="00505D26" w:rsidP="00505D26">
      <w:pPr>
        <w:jc w:val="both"/>
      </w:pPr>
      <w:r>
        <w:t>In addition, we believe it would be more appropriate for ESMA to survey existing market practice and industry guidance</w:t>
      </w:r>
      <w:r>
        <w:rPr>
          <w:rStyle w:val="FootnoteReference"/>
        </w:rPr>
        <w:footnoteReference w:id="2"/>
      </w:r>
      <w:r>
        <w:t xml:space="preserve"> and consult widely on a properly considered approach rather than asking for piecemeal suggestions from individual firms for a narrow purpose under this consultation. </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5E4CD198" w14:textId="77777777" w:rsidR="00505D26" w:rsidRPr="00505D26" w:rsidRDefault="00505D26" w:rsidP="00505D26">
      <w:pPr>
        <w:jc w:val="both"/>
        <w:rPr>
          <w:i/>
          <w:iCs/>
        </w:rPr>
      </w:pPr>
      <w:permStart w:id="1071974531" w:edGrp="everyone"/>
      <w:r>
        <w:t xml:space="preserve">See para. 8 above. </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68E6A700" w14:textId="77777777" w:rsidR="00505D26" w:rsidRPr="00505D26" w:rsidRDefault="00505D26" w:rsidP="00505D26">
      <w:pPr>
        <w:jc w:val="both"/>
        <w:rPr>
          <w:i/>
          <w:iCs/>
        </w:rPr>
      </w:pPr>
      <w:permStart w:id="1162834929" w:edGrp="everyone"/>
      <w:r>
        <w:t xml:space="preserve">See para. 8 above. </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12E3B1C6" w14:textId="77777777" w:rsidR="00505D26" w:rsidRPr="00AE0D00" w:rsidRDefault="00505D26" w:rsidP="00505D26">
      <w:pPr>
        <w:jc w:val="both"/>
      </w:pPr>
      <w:bookmarkStart w:id="4" w:name="_Hlk127461037"/>
      <w:permStart w:id="650455330" w:edGrp="everyone"/>
      <w:r>
        <w:t>A</w:t>
      </w:r>
      <w:r w:rsidRPr="00AE0D00">
        <w:t>sset managers do not design ind</w:t>
      </w:r>
      <w:r>
        <w:t>ices</w:t>
      </w:r>
      <w:r w:rsidRPr="00AE0D00">
        <w:t xml:space="preserve"> or chose t</w:t>
      </w:r>
      <w:r>
        <w:t>heir</w:t>
      </w:r>
      <w:r w:rsidRPr="00AE0D00">
        <w:t xml:space="preserve"> name</w:t>
      </w:r>
      <w:r>
        <w:t>s</w:t>
      </w:r>
      <w:r w:rsidRPr="00AE0D00">
        <w:t>. This responsibility lies with the index provider. Accordingly, responsibility should lie with the index provider to ensure that the Guidelines requirements are met</w:t>
      </w:r>
      <w:r>
        <w:t xml:space="preserve"> when constructing its indices</w:t>
      </w:r>
      <w:r w:rsidRPr="00AE0D00">
        <w:t>.</w:t>
      </w:r>
      <w:r>
        <w:t xml:space="preserve"> </w:t>
      </w:r>
      <w:r w:rsidRPr="00AE0D00">
        <w:t xml:space="preserve">This </w:t>
      </w:r>
      <w:r>
        <w:t xml:space="preserve">requires </w:t>
      </w:r>
      <w:r w:rsidRPr="00AE0D00">
        <w:t xml:space="preserve">enhancing the regulatory </w:t>
      </w:r>
      <w:r>
        <w:t xml:space="preserve">requirements </w:t>
      </w:r>
      <w:r w:rsidRPr="00AE0D00">
        <w:t xml:space="preserve">that index providers are subject to so that they are </w:t>
      </w:r>
      <w:r>
        <w:t>the same as asset managers in this regard</w:t>
      </w:r>
      <w:r w:rsidRPr="00AE0D00">
        <w:t xml:space="preserve">. </w:t>
      </w:r>
      <w:r>
        <w:t xml:space="preserve">Specifically, index providers should be required to construct indices that have ESG or sustainable terms in their names so that they meet the quantitative thresholds under the Guidelines. This should be by reference to the index provider’s own </w:t>
      </w:r>
      <w:r>
        <w:lastRenderedPageBreak/>
        <w:t xml:space="preserve">methodology for E/S characteristics and sustainable investments so that there is a standardised approach to any one index in the market.  </w:t>
      </w:r>
    </w:p>
    <w:p w14:paraId="088A7D10" w14:textId="77777777" w:rsidR="00505D26" w:rsidRDefault="00505D26" w:rsidP="00505D26">
      <w:pPr>
        <w:jc w:val="both"/>
      </w:pPr>
    </w:p>
    <w:p w14:paraId="4427B3AC" w14:textId="497C56C5" w:rsidR="00505D26" w:rsidRPr="00AE0D00" w:rsidRDefault="00505D26" w:rsidP="00505D26">
      <w:pPr>
        <w:jc w:val="both"/>
      </w:pPr>
      <w:r>
        <w:t xml:space="preserve">In particular, </w:t>
      </w:r>
      <w:r w:rsidRPr="001878F8">
        <w:t xml:space="preserve">requiring asset managers to impose the Guidelines on existing </w:t>
      </w:r>
      <w:r w:rsidRPr="001878F8">
        <w:rPr>
          <w:b/>
          <w:bCs/>
        </w:rPr>
        <w:t>index tracking products</w:t>
      </w:r>
      <w:r w:rsidRPr="001878F8">
        <w:t xml:space="preserve"> would be </w:t>
      </w:r>
      <w:r w:rsidRPr="001878F8">
        <w:rPr>
          <w:i/>
          <w:iCs/>
        </w:rPr>
        <w:t>very difficult</w:t>
      </w:r>
      <w:r w:rsidRPr="001878F8">
        <w:t xml:space="preserve"> indeed.</w:t>
      </w:r>
      <w:r w:rsidRPr="00AE0D00">
        <w:rPr>
          <w:b/>
          <w:bCs/>
        </w:rPr>
        <w:t xml:space="preserve"> </w:t>
      </w:r>
      <w:r w:rsidRPr="00AE0D00">
        <w:t>Firstly, all firms have different definitions of E/S characteristics and sustainable investments</w:t>
      </w:r>
      <w:r>
        <w:t>,</w:t>
      </w:r>
      <w:r w:rsidRPr="00AE0D00">
        <w:t xml:space="preserve"> so there would be no consistent approach to the same index. Secondly, all index providers do not currently provide data on, and</w:t>
      </w:r>
      <w:r>
        <w:t xml:space="preserve"> </w:t>
      </w:r>
      <w:r w:rsidRPr="00AE0D00">
        <w:t>their methodology to calculate, the percentage of investments meeting E/S characteristics or the percentage of sustainable investments</w:t>
      </w:r>
      <w:r>
        <w:t>.</w:t>
      </w:r>
    </w:p>
    <w:bookmarkEnd w:id="4"/>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6C118C71" w14:textId="5953B996" w:rsidR="00505D26" w:rsidRPr="00505D26" w:rsidRDefault="00505D26" w:rsidP="00505D26">
      <w:pPr>
        <w:jc w:val="both"/>
        <w:rPr>
          <w:rFonts w:asciiTheme="minorBidi" w:hAnsiTheme="minorBidi" w:cstheme="minorBidi"/>
          <w:color w:val="000000" w:themeColor="text1"/>
        </w:rPr>
      </w:pPr>
      <w:bookmarkStart w:id="5" w:name="_Hlk127461057"/>
      <w:permStart w:id="1876589445" w:edGrp="everyone"/>
      <w:r w:rsidRPr="00505D26">
        <w:rPr>
          <w:rFonts w:asciiTheme="minorBidi" w:hAnsiTheme="minorBidi" w:cstheme="minorBidi"/>
          <w:color w:val="000000" w:themeColor="text1"/>
        </w:rPr>
        <w:t>Further guidance on this topic is desirable but please see para. 8 above as to how ESMA should approach the use of derivatives under the EU sustainability regime in a more holistic fashion.</w:t>
      </w:r>
    </w:p>
    <w:bookmarkEnd w:id="5"/>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1BB5D3D6" w14:textId="77777777" w:rsidR="00505D26" w:rsidRDefault="00505D26" w:rsidP="00505D26">
      <w:pPr>
        <w:spacing w:after="80"/>
        <w:jc w:val="both"/>
        <w:rPr>
          <w:u w:val="single"/>
        </w:rPr>
      </w:pPr>
      <w:permStart w:id="1992309739" w:edGrp="everyone"/>
      <w:r>
        <w:t>We support specific provisions for funds using “impact” or impact-related names in the context of the proposed Guidelines. The following approach would work:</w:t>
      </w:r>
      <w:r w:rsidRPr="00AE0D00">
        <w:t xml:space="preserve">. </w:t>
      </w:r>
    </w:p>
    <w:p w14:paraId="298C7A28" w14:textId="77777777" w:rsidR="00505D26" w:rsidRDefault="00505D26" w:rsidP="00505D26">
      <w:pPr>
        <w:pStyle w:val="ListParagraph"/>
        <w:numPr>
          <w:ilvl w:val="0"/>
          <w:numId w:val="41"/>
        </w:numPr>
        <w:spacing w:after="80" w:line="259" w:lineRule="auto"/>
        <w:jc w:val="both"/>
      </w:pPr>
      <w:r w:rsidRPr="00241285">
        <w:rPr>
          <w:u w:val="single"/>
        </w:rPr>
        <w:t>E/S Threshold</w:t>
      </w:r>
      <w:r w:rsidRPr="00AE0D00">
        <w:t xml:space="preserve">: This is the only appropriate threshold. Imposing the SI threshold </w:t>
      </w:r>
      <w:r>
        <w:t>may be</w:t>
      </w:r>
      <w:r w:rsidRPr="00AE0D00">
        <w:t xml:space="preserve"> </w:t>
      </w:r>
      <w:r>
        <w:t xml:space="preserve">contrary </w:t>
      </w:r>
      <w:r w:rsidRPr="00AE0D00">
        <w:t>to what impact fund</w:t>
      </w:r>
      <w:r>
        <w:t>s</w:t>
      </w:r>
      <w:r w:rsidRPr="00AE0D00">
        <w:t xml:space="preserve"> seek</w:t>
      </w:r>
      <w:r>
        <w:t xml:space="preserve"> </w:t>
      </w:r>
      <w:r w:rsidRPr="00AE0D00">
        <w:t xml:space="preserve">to achieve. </w:t>
      </w:r>
      <w:r w:rsidRPr="00241285">
        <w:rPr>
          <w:b/>
          <w:bCs/>
        </w:rPr>
        <w:t>Only the E/S threshold should be applied</w:t>
      </w:r>
      <w:r w:rsidRPr="00AE0D00">
        <w:t xml:space="preserve">. </w:t>
      </w:r>
    </w:p>
    <w:p w14:paraId="0D3719F7" w14:textId="77777777" w:rsidR="00505D26" w:rsidRPr="00AE0D00" w:rsidRDefault="00505D26" w:rsidP="00505D26">
      <w:pPr>
        <w:pStyle w:val="ListParagraph"/>
        <w:numPr>
          <w:ilvl w:val="0"/>
          <w:numId w:val="41"/>
        </w:numPr>
        <w:spacing w:after="80" w:line="259" w:lineRule="auto"/>
        <w:jc w:val="both"/>
      </w:pPr>
      <w:r w:rsidRPr="00241285">
        <w:rPr>
          <w:u w:val="single"/>
        </w:rPr>
        <w:t>Industry Standards</w:t>
      </w:r>
      <w:r w:rsidRPr="00AE0D00">
        <w:t xml:space="preserve">: In addition, </w:t>
      </w:r>
      <w:r>
        <w:t xml:space="preserve">we would recommend compliance with relevant industry standards, and believe there should be further discussions to reach consensus on widely agreed definitions. </w:t>
      </w:r>
    </w:p>
    <w:p w14:paraId="15EBCC82" w14:textId="77777777" w:rsidR="00505D26" w:rsidRPr="00AE0D00" w:rsidRDefault="00505D26" w:rsidP="00505D26">
      <w:pPr>
        <w:jc w:val="both"/>
      </w:pPr>
      <w:r w:rsidRPr="00AE0D00">
        <w:t xml:space="preserve">We note that impact funds should be able to demonstrate ‘additionality’ through </w:t>
      </w:r>
      <w:r w:rsidRPr="00AE0D00">
        <w:rPr>
          <w:b/>
          <w:bCs/>
        </w:rPr>
        <w:t>different channels</w:t>
      </w:r>
      <w:r w:rsidRPr="00AE0D00">
        <w:t xml:space="preserve">, including through stewardship and engagement. </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0930FDD8" w14:textId="77777777" w:rsidR="00505D26" w:rsidRPr="00AE0D00" w:rsidRDefault="00505D26" w:rsidP="00505D26">
      <w:pPr>
        <w:jc w:val="both"/>
      </w:pPr>
      <w:permStart w:id="1423966990" w:edGrp="everyone"/>
      <w:r w:rsidRPr="00AE0D00">
        <w:t xml:space="preserve">The EU sustainable finance regime lacks a clearly defined category for </w:t>
      </w:r>
      <w:r w:rsidRPr="00AE0D00">
        <w:rPr>
          <w:b/>
          <w:bCs/>
        </w:rPr>
        <w:t>sustainability improvers</w:t>
      </w:r>
      <w:r w:rsidRPr="00AE0D00">
        <w:t xml:space="preserve">. Addressing this would be very beneficial given the </w:t>
      </w:r>
      <w:r>
        <w:t xml:space="preserve">very significant transformative </w:t>
      </w:r>
      <w:r w:rsidRPr="00AE0D00">
        <w:t xml:space="preserve">sustainability improvements such investments can deliver. It would also better align the EU regime with the UK FCA’s </w:t>
      </w:r>
      <w:r>
        <w:t xml:space="preserve">proposed </w:t>
      </w:r>
      <w:r w:rsidRPr="00AE0D00">
        <w:t>SDR ‘Improvers’ label</w:t>
      </w:r>
      <w:r>
        <w:t>.</w:t>
      </w:r>
      <w:r w:rsidRPr="00AE0D00">
        <w:t xml:space="preserve"> We propose the following: </w:t>
      </w:r>
    </w:p>
    <w:p w14:paraId="3786FA1F" w14:textId="77777777" w:rsidR="00505D26" w:rsidRPr="00AE0D00" w:rsidRDefault="00505D26" w:rsidP="00505D26">
      <w:pPr>
        <w:pStyle w:val="ListParagraph"/>
        <w:numPr>
          <w:ilvl w:val="0"/>
          <w:numId w:val="42"/>
        </w:numPr>
        <w:spacing w:after="160" w:line="259" w:lineRule="auto"/>
        <w:ind w:left="567" w:hanging="567"/>
        <w:jc w:val="both"/>
      </w:pPr>
      <w:r w:rsidRPr="00AE0D00">
        <w:rPr>
          <w:u w:val="single"/>
        </w:rPr>
        <w:t>E/S Threshold</w:t>
      </w:r>
      <w:r w:rsidRPr="00AE0D00">
        <w:t xml:space="preserve">: </w:t>
      </w:r>
      <w:r w:rsidRPr="00AE0D00">
        <w:rPr>
          <w:b/>
          <w:bCs/>
        </w:rPr>
        <w:t>Only the E/S threshold should apply</w:t>
      </w:r>
      <w:r w:rsidRPr="00AE0D00">
        <w:t xml:space="preserve">. It </w:t>
      </w:r>
      <w:r>
        <w:t>defeats the object</w:t>
      </w:r>
      <w:r w:rsidRPr="00AE0D00">
        <w:t xml:space="preserve"> to apply a sustainable investments threshold to transition funds.  </w:t>
      </w:r>
    </w:p>
    <w:p w14:paraId="50364902" w14:textId="77777777" w:rsidR="00505D26" w:rsidRDefault="00505D26" w:rsidP="00505D26">
      <w:pPr>
        <w:pStyle w:val="ListParagraph"/>
        <w:numPr>
          <w:ilvl w:val="0"/>
          <w:numId w:val="42"/>
        </w:numPr>
        <w:spacing w:after="160" w:line="259" w:lineRule="auto"/>
        <w:ind w:left="567" w:hanging="567"/>
        <w:contextualSpacing w:val="0"/>
        <w:jc w:val="both"/>
      </w:pPr>
      <w:r>
        <w:rPr>
          <w:u w:val="single"/>
        </w:rPr>
        <w:t>Demonstrat</w:t>
      </w:r>
      <w:r w:rsidRPr="00AE0D00">
        <w:rPr>
          <w:u w:val="single"/>
        </w:rPr>
        <w:t>ing Improvements</w:t>
      </w:r>
      <w:r w:rsidRPr="00AE0D00">
        <w:t>: A key aspect to transition funds is the role that stewardship and engagement play to increase investee companies’ commitment</w:t>
      </w:r>
      <w:r>
        <w:t>s</w:t>
      </w:r>
      <w:r w:rsidRPr="00AE0D00">
        <w:t xml:space="preserve"> to environmental and social outcomes. Such strategies take time to come to fruition. </w:t>
      </w:r>
      <w:r>
        <w:t>ESMA should acknowledge this and, accordingly, t</w:t>
      </w:r>
      <w:r w:rsidRPr="00AE0D00">
        <w:t xml:space="preserve">he </w:t>
      </w:r>
      <w:r w:rsidRPr="00AE0D00">
        <w:rPr>
          <w:b/>
          <w:bCs/>
        </w:rPr>
        <w:t>minimum time period</w:t>
      </w:r>
      <w:r w:rsidRPr="00AE0D00">
        <w:t xml:space="preserve"> for </w:t>
      </w:r>
      <w:r>
        <w:rPr>
          <w:b/>
          <w:bCs/>
        </w:rPr>
        <w:t xml:space="preserve">demonstrating </w:t>
      </w:r>
      <w:r w:rsidRPr="00AE0D00">
        <w:rPr>
          <w:b/>
          <w:bCs/>
        </w:rPr>
        <w:t xml:space="preserve">improvements </w:t>
      </w:r>
      <w:r>
        <w:t xml:space="preserve">of transition funds </w:t>
      </w:r>
      <w:r w:rsidRPr="00AE0D00">
        <w:t xml:space="preserve">should be </w:t>
      </w:r>
      <w:r w:rsidRPr="00AE0D00">
        <w:rPr>
          <w:b/>
          <w:bCs/>
        </w:rPr>
        <w:t>3 years</w:t>
      </w:r>
      <w:r w:rsidRPr="00AE0D00">
        <w:t xml:space="preserve"> (and longer at the discretion of the investment manager).     </w:t>
      </w:r>
    </w:p>
    <w:p w14:paraId="4D9BB215" w14:textId="1B35DA5A" w:rsidR="00505D26" w:rsidRPr="00E33892" w:rsidRDefault="00505D26" w:rsidP="00505D26">
      <w:pPr>
        <w:jc w:val="both"/>
      </w:pPr>
      <w:r>
        <w:t xml:space="preserve">It is important to distinguish a </w:t>
      </w:r>
      <w:r w:rsidRPr="00E33892">
        <w:t>transition fund</w:t>
      </w:r>
      <w:r>
        <w:t xml:space="preserve"> from an impact fund hence why we recommend additional requirements for impact funds as set out in para. 5 above.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lastRenderedPageBreak/>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7AD0C564" w14:textId="77777777" w:rsidR="00505D26" w:rsidRPr="00BB2B4D" w:rsidRDefault="00505D26" w:rsidP="00505D26">
      <w:pPr>
        <w:jc w:val="both"/>
      </w:pPr>
      <w:permStart w:id="1434478937" w:edGrp="everyone"/>
      <w:r w:rsidRPr="00AE0D00">
        <w:t xml:space="preserve">The Guidelines will primarily benefit funds, especially those marketed to retail investors. In terms of other products: </w:t>
      </w:r>
      <w:bookmarkStart w:id="6" w:name="_Hlk125985059"/>
    </w:p>
    <w:bookmarkEnd w:id="6"/>
    <w:p w14:paraId="36318D62" w14:textId="77777777" w:rsidR="00505D26" w:rsidRPr="00F96EAF" w:rsidRDefault="00505D26" w:rsidP="00505D26">
      <w:pPr>
        <w:pStyle w:val="ListParagraph"/>
        <w:numPr>
          <w:ilvl w:val="0"/>
          <w:numId w:val="44"/>
        </w:numPr>
        <w:spacing w:after="80" w:line="259" w:lineRule="auto"/>
        <w:ind w:left="567" w:hanging="567"/>
        <w:contextualSpacing w:val="0"/>
        <w:jc w:val="both"/>
      </w:pPr>
      <w:r w:rsidRPr="00F96EAF">
        <w:rPr>
          <w:u w:val="single"/>
        </w:rPr>
        <w:t>Segregated Accounts</w:t>
      </w:r>
      <w:r w:rsidRPr="00F96EAF">
        <w:t>: There would be less benefit to segregated accounts provided to professional or high-net worth investors because they tend to be negotiated bi-laterally so the investor specifies (and understands)</w:t>
      </w:r>
      <w:r>
        <w:t xml:space="preserve"> </w:t>
      </w:r>
      <w:r w:rsidRPr="00F96EAF">
        <w:t>the level of sustainability.</w:t>
      </w:r>
      <w:r>
        <w:t xml:space="preserve"> </w:t>
      </w:r>
      <w:r w:rsidRPr="00F96EAF">
        <w:t xml:space="preserve">In addition, portfolio management services provided to retail clients on the basis of segregated mandates are often composed of assets in funds that are already in scope of </w:t>
      </w:r>
      <w:r>
        <w:t xml:space="preserve">the </w:t>
      </w:r>
      <w:r w:rsidRPr="00F96EAF">
        <w:t>ESMA Guidelines</w:t>
      </w:r>
      <w:r>
        <w:t>.</w:t>
      </w:r>
      <w:r w:rsidRPr="00F96EAF">
        <w:t xml:space="preserve"> </w:t>
      </w:r>
      <w:r w:rsidRPr="009472FD">
        <w:rPr>
          <w:b/>
          <w:bCs/>
        </w:rPr>
        <w:t>I</w:t>
      </w:r>
      <w:r w:rsidRPr="000523AA">
        <w:rPr>
          <w:b/>
          <w:bCs/>
        </w:rPr>
        <w:t xml:space="preserve">n our view, </w:t>
      </w:r>
      <w:r>
        <w:rPr>
          <w:b/>
          <w:bCs/>
        </w:rPr>
        <w:t xml:space="preserve">this </w:t>
      </w:r>
      <w:r w:rsidRPr="000523AA">
        <w:rPr>
          <w:b/>
          <w:bCs/>
        </w:rPr>
        <w:t>is sufficient for the time being</w:t>
      </w:r>
      <w:r w:rsidRPr="00F96EAF">
        <w:t>.</w:t>
      </w:r>
      <w:r>
        <w:t xml:space="preserve"> Should</w:t>
      </w:r>
      <w:r w:rsidRPr="00F96EAF">
        <w:t xml:space="preserve"> ESMA consider applying similar guidelines for segregated mandates, then we recommend using the same phase-in approach proposed for the funds in scope of this consultation (cf. Q4).</w:t>
      </w:r>
    </w:p>
    <w:p w14:paraId="2609AC6A" w14:textId="7C067E57" w:rsidR="00505D26" w:rsidRDefault="00505D26" w:rsidP="00505D26">
      <w:pPr>
        <w:pStyle w:val="ListParagraph"/>
        <w:numPr>
          <w:ilvl w:val="0"/>
          <w:numId w:val="44"/>
        </w:numPr>
        <w:spacing w:after="160" w:line="259" w:lineRule="auto"/>
        <w:ind w:left="567" w:hanging="567"/>
        <w:jc w:val="both"/>
      </w:pPr>
      <w:r w:rsidRPr="00C7063D">
        <w:rPr>
          <w:u w:val="single"/>
        </w:rPr>
        <w:t>Insurance Products</w:t>
      </w:r>
      <w:r w:rsidRPr="00C7063D">
        <w:t>: To achieve high standards</w:t>
      </w:r>
      <w:r w:rsidRPr="00AE0D00">
        <w:t xml:space="preserve"> across the financial services industry and a ‘level playing field’, </w:t>
      </w:r>
      <w:r>
        <w:t>the</w:t>
      </w:r>
      <w:r w:rsidRPr="00AE0D00">
        <w:rPr>
          <w:b/>
          <w:bCs/>
        </w:rPr>
        <w:t xml:space="preserve"> </w:t>
      </w:r>
      <w:r w:rsidRPr="00CD607D">
        <w:t>Guidelines should also be applied to</w:t>
      </w:r>
      <w:r w:rsidRPr="00AE0D00">
        <w:rPr>
          <w:b/>
          <w:bCs/>
        </w:rPr>
        <w:t xml:space="preserve"> insurance investment products</w:t>
      </w:r>
      <w:r w:rsidRPr="00AE0D00">
        <w:t>, especially those that are distributed to retail investors.</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360DA10D" w14:textId="77777777" w:rsidR="00505D26" w:rsidRDefault="00505D26" w:rsidP="00505D26">
      <w:pPr>
        <w:jc w:val="both"/>
      </w:pPr>
      <w:permStart w:id="489244833" w:edGrp="everyone"/>
      <w:r w:rsidRPr="00AE0D00">
        <w:t>We understand that the draft Guidelines would become applicable from three months after their publication on ESMA’s website (potentially Q3/Q4 2023) with a six month transition period for existing funds, meaning that the rules would be applicable to existing funds by mid-2024.</w:t>
      </w:r>
    </w:p>
    <w:p w14:paraId="12F1D250" w14:textId="4AA4F9BD" w:rsidR="00505D26" w:rsidRPr="00AE0D00" w:rsidRDefault="00505D26" w:rsidP="00505D26">
      <w:pPr>
        <w:jc w:val="both"/>
      </w:pPr>
      <w:r w:rsidRPr="00AE0D00">
        <w:t xml:space="preserve">  </w:t>
      </w:r>
    </w:p>
    <w:p w14:paraId="621E0A92" w14:textId="77777777" w:rsidR="00505D26" w:rsidRPr="00AE0D00" w:rsidRDefault="00505D26" w:rsidP="00505D26">
      <w:pPr>
        <w:spacing w:after="200"/>
        <w:jc w:val="both"/>
        <w:rPr>
          <w:b/>
          <w:bCs/>
        </w:rPr>
      </w:pPr>
      <w:r w:rsidRPr="00AE0D00">
        <w:t>Firms will have to undertake an extensive process comparing their existing products against ESMA’s Guidelines, determining whether and how to change the fund’s name and/or inves</w:t>
      </w:r>
      <w:r>
        <w:t>tment</w:t>
      </w:r>
      <w:r w:rsidRPr="00AE0D00">
        <w:t xml:space="preserve"> process and then go through necessary fund governance processes to effect any changes. Given this, we are concerned that the proposed timeline would not be sufficient to address the above considerations. </w:t>
      </w:r>
      <w:r w:rsidRPr="00AE0D00">
        <w:rPr>
          <w:b/>
          <w:bCs/>
        </w:rPr>
        <w:t>A 12-month transition period for existing funds is more achievable.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3F9D5F08" w14:textId="434647C4" w:rsidR="00505D26" w:rsidRPr="00AE0D00" w:rsidRDefault="00505D26" w:rsidP="00505D26">
      <w:pPr>
        <w:jc w:val="both"/>
        <w:rPr>
          <w:color w:val="000000" w:themeColor="text1"/>
        </w:rPr>
      </w:pPr>
      <w:permStart w:id="1766353355" w:edGrp="everyone"/>
      <w:r w:rsidRPr="00AE0D00">
        <w:rPr>
          <w:color w:val="000000" w:themeColor="text1"/>
        </w:rPr>
        <w:t>No. It would be wholly inappropriate to apply the Guidelines to funds which have already finished their subscription period</w:t>
      </w:r>
      <w:r>
        <w:rPr>
          <w:color w:val="000000" w:themeColor="text1"/>
        </w:rPr>
        <w:t xml:space="preserve"> because the name is no longer being used as a marketing tool</w:t>
      </w:r>
      <w:r w:rsidRPr="00AE0D00">
        <w:rPr>
          <w:color w:val="000000" w:themeColor="text1"/>
        </w:rPr>
        <w:t>.</w:t>
      </w:r>
      <w:r>
        <w:rPr>
          <w:color w:val="000000" w:themeColor="text1"/>
        </w:rPr>
        <w:t xml:space="preserve"> If the Guidelines were applied to such funds, t</w:t>
      </w:r>
      <w:r w:rsidRPr="00AE0D00">
        <w:rPr>
          <w:color w:val="000000" w:themeColor="text1"/>
        </w:rPr>
        <w:t>his would potentially require realigning the fund’s investment</w:t>
      </w:r>
      <w:r>
        <w:rPr>
          <w:color w:val="000000" w:themeColor="text1"/>
        </w:rPr>
        <w:t>s</w:t>
      </w:r>
      <w:r w:rsidRPr="00AE0D00">
        <w:rPr>
          <w:color w:val="000000" w:themeColor="text1"/>
        </w:rPr>
        <w:t xml:space="preserve"> to the detriment of existing investors</w:t>
      </w:r>
      <w:r>
        <w:rPr>
          <w:color w:val="000000" w:themeColor="text1"/>
        </w:rPr>
        <w:t>;</w:t>
      </w:r>
      <w:r w:rsidRPr="00AE0D00">
        <w:rPr>
          <w:color w:val="000000" w:themeColor="text1"/>
        </w:rPr>
        <w:t xml:space="preserve"> or changing the fund’s name which would be unwarranted. Furthermore, closed end</w:t>
      </w:r>
      <w:r>
        <w:rPr>
          <w:color w:val="000000" w:themeColor="text1"/>
        </w:rPr>
        <w:t>ed</w:t>
      </w:r>
      <w:r w:rsidRPr="00AE0D00">
        <w:rPr>
          <w:color w:val="000000" w:themeColor="text1"/>
        </w:rPr>
        <w:t xml:space="preserve"> funds tend to be marketed </w:t>
      </w:r>
      <w:r>
        <w:rPr>
          <w:color w:val="000000" w:themeColor="text1"/>
        </w:rPr>
        <w:t xml:space="preserve">to </w:t>
      </w:r>
      <w:r w:rsidRPr="00AE0D00">
        <w:rPr>
          <w:color w:val="000000" w:themeColor="text1"/>
        </w:rPr>
        <w:t>professional investors so the potential for harm or misunderstanding due to the fund’s name is significantly reduced.</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4C612561" w14:textId="77777777" w:rsidR="00505D26" w:rsidRPr="00AE0D00" w:rsidRDefault="00505D26" w:rsidP="00505D26">
      <w:pPr>
        <w:jc w:val="both"/>
        <w:rPr>
          <w:rFonts w:cstheme="minorHAnsi"/>
          <w:color w:val="000000" w:themeColor="text1"/>
        </w:rPr>
      </w:pPr>
      <w:permStart w:id="929254269" w:edGrp="everyone"/>
      <w:r w:rsidRPr="00AE0D00">
        <w:rPr>
          <w:rFonts w:cstheme="minorHAnsi"/>
          <w:color w:val="000000" w:themeColor="text1"/>
        </w:rPr>
        <w:lastRenderedPageBreak/>
        <w:t xml:space="preserve">We anticipate: </w:t>
      </w:r>
    </w:p>
    <w:p w14:paraId="45E3D9EC" w14:textId="77777777" w:rsidR="00505D26" w:rsidRPr="00AE0D00" w:rsidRDefault="00505D26" w:rsidP="00505D26">
      <w:pPr>
        <w:pStyle w:val="ListParagraph"/>
        <w:numPr>
          <w:ilvl w:val="0"/>
          <w:numId w:val="45"/>
        </w:numPr>
        <w:spacing w:after="80" w:line="259" w:lineRule="auto"/>
        <w:ind w:left="567" w:hanging="578"/>
        <w:contextualSpacing w:val="0"/>
        <w:jc w:val="both"/>
        <w:rPr>
          <w:rFonts w:cstheme="minorHAnsi"/>
          <w:color w:val="000000" w:themeColor="text1"/>
        </w:rPr>
      </w:pPr>
      <w:r w:rsidRPr="00AE0D00">
        <w:rPr>
          <w:rFonts w:cstheme="minorHAnsi"/>
          <w:color w:val="000000" w:themeColor="text1"/>
          <w:u w:val="single"/>
        </w:rPr>
        <w:t>Increased Differentiation</w:t>
      </w:r>
      <w:r w:rsidRPr="00AE0D00">
        <w:rPr>
          <w:rFonts w:cstheme="minorHAnsi"/>
          <w:color w:val="000000" w:themeColor="text1"/>
        </w:rPr>
        <w:t xml:space="preserve">: Between investment managers’ </w:t>
      </w:r>
      <w:r w:rsidRPr="00AE0D00">
        <w:rPr>
          <w:rFonts w:cstheme="minorHAnsi"/>
          <w:b/>
          <w:bCs/>
          <w:color w:val="000000" w:themeColor="text1"/>
        </w:rPr>
        <w:t>ESG/sustainable funds</w:t>
      </w:r>
      <w:r w:rsidRPr="00AE0D00">
        <w:rPr>
          <w:rFonts w:cstheme="minorHAnsi"/>
          <w:color w:val="000000" w:themeColor="text1"/>
        </w:rPr>
        <w:t xml:space="preserve"> (which include such terms in their names and are marketed as such) and their more ‘</w:t>
      </w:r>
      <w:r w:rsidRPr="00AE0D00">
        <w:rPr>
          <w:rFonts w:cstheme="minorHAnsi"/>
          <w:b/>
          <w:bCs/>
          <w:color w:val="000000" w:themeColor="text1"/>
        </w:rPr>
        <w:t>traditional’ funds</w:t>
      </w:r>
      <w:r w:rsidRPr="00AE0D00">
        <w:rPr>
          <w:rFonts w:cstheme="minorHAnsi"/>
          <w:color w:val="000000" w:themeColor="text1"/>
        </w:rPr>
        <w:t xml:space="preserve"> which may employ ESG integration or less pervasive E/S characteristics. </w:t>
      </w:r>
    </w:p>
    <w:p w14:paraId="512C0AD9" w14:textId="77777777" w:rsidR="00505D26" w:rsidRPr="00AE0D00" w:rsidRDefault="00505D26" w:rsidP="00505D26">
      <w:pPr>
        <w:pStyle w:val="ListParagraph"/>
        <w:numPr>
          <w:ilvl w:val="0"/>
          <w:numId w:val="45"/>
        </w:numPr>
        <w:spacing w:after="80" w:line="259" w:lineRule="auto"/>
        <w:ind w:left="567" w:hanging="578"/>
        <w:contextualSpacing w:val="0"/>
        <w:jc w:val="both"/>
        <w:rPr>
          <w:rFonts w:cstheme="minorHAnsi"/>
          <w:color w:val="000000" w:themeColor="text1"/>
        </w:rPr>
      </w:pPr>
      <w:r w:rsidRPr="00AE0D00">
        <w:rPr>
          <w:rFonts w:cstheme="minorHAnsi"/>
          <w:color w:val="000000" w:themeColor="text1"/>
          <w:u w:val="single"/>
        </w:rPr>
        <w:t>Numbers</w:t>
      </w:r>
      <w:r w:rsidRPr="00AE0D00">
        <w:rPr>
          <w:rFonts w:cstheme="minorHAnsi"/>
          <w:color w:val="000000" w:themeColor="text1"/>
        </w:rPr>
        <w:t>: It is likely that the number of ESG/sustainable fund</w:t>
      </w:r>
      <w:r>
        <w:rPr>
          <w:rFonts w:cstheme="minorHAnsi"/>
          <w:color w:val="000000" w:themeColor="text1"/>
        </w:rPr>
        <w:t>s</w:t>
      </w:r>
      <w:r w:rsidRPr="00AE0D00">
        <w:rPr>
          <w:rFonts w:cstheme="minorHAnsi"/>
          <w:color w:val="000000" w:themeColor="text1"/>
        </w:rPr>
        <w:t xml:space="preserve"> may reduce. </w:t>
      </w:r>
    </w:p>
    <w:p w14:paraId="21A9180D" w14:textId="77777777" w:rsidR="00505D26" w:rsidRPr="003461D4" w:rsidRDefault="00505D26" w:rsidP="00505D26">
      <w:pPr>
        <w:pStyle w:val="ListParagraph"/>
        <w:numPr>
          <w:ilvl w:val="0"/>
          <w:numId w:val="45"/>
        </w:numPr>
        <w:spacing w:after="160" w:line="259" w:lineRule="auto"/>
        <w:ind w:left="567" w:hanging="578"/>
        <w:jc w:val="both"/>
        <w:rPr>
          <w:rFonts w:cstheme="minorHAnsi"/>
          <w:b/>
          <w:bCs/>
          <w:color w:val="000000" w:themeColor="text1"/>
        </w:rPr>
      </w:pPr>
      <w:r w:rsidRPr="00AE0D00">
        <w:rPr>
          <w:rFonts w:cstheme="minorHAnsi"/>
          <w:color w:val="000000" w:themeColor="text1"/>
          <w:u w:val="single"/>
        </w:rPr>
        <w:t>Transition Funds</w:t>
      </w:r>
      <w:r w:rsidRPr="00AE0D00">
        <w:rPr>
          <w:rFonts w:cstheme="minorHAnsi"/>
          <w:color w:val="000000" w:themeColor="text1"/>
        </w:rPr>
        <w:t>: If ESMA adopt appropriate guidelines to address transition</w:t>
      </w:r>
      <w:r>
        <w:rPr>
          <w:rFonts w:cstheme="minorHAnsi"/>
          <w:color w:val="000000" w:themeColor="text1"/>
        </w:rPr>
        <w:t xml:space="preserve"> funds</w:t>
      </w:r>
      <w:r w:rsidRPr="00AE0D00">
        <w:rPr>
          <w:rFonts w:cstheme="minorHAnsi"/>
          <w:color w:val="000000" w:themeColor="text1"/>
        </w:rPr>
        <w:t>, this may promote the transition fund category which will be beneficial.</w:t>
      </w:r>
    </w:p>
    <w:p w14:paraId="6F0C6FCE" w14:textId="77777777" w:rsidR="00505D26" w:rsidRPr="00AE0D00" w:rsidRDefault="00505D26" w:rsidP="00505D26">
      <w:pPr>
        <w:pStyle w:val="ListParagraph"/>
        <w:numPr>
          <w:ilvl w:val="0"/>
          <w:numId w:val="45"/>
        </w:numPr>
        <w:spacing w:after="160" w:line="259" w:lineRule="auto"/>
        <w:ind w:left="567" w:hanging="578"/>
        <w:jc w:val="both"/>
        <w:rPr>
          <w:rFonts w:cstheme="minorHAnsi"/>
          <w:b/>
          <w:bCs/>
          <w:color w:val="000000" w:themeColor="text1"/>
        </w:rPr>
      </w:pPr>
      <w:r w:rsidRPr="00BD2BBB">
        <w:rPr>
          <w:rFonts w:cstheme="minorHAnsi"/>
          <w:color w:val="000000" w:themeColor="text1"/>
          <w:u w:val="single"/>
        </w:rPr>
        <w:t>Impact Funds</w:t>
      </w:r>
      <w:r w:rsidRPr="003461D4">
        <w:rPr>
          <w:rFonts w:cstheme="minorHAnsi"/>
          <w:b/>
          <w:bCs/>
          <w:color w:val="000000" w:themeColor="text1"/>
        </w:rPr>
        <w:t>:</w:t>
      </w:r>
      <w:r>
        <w:rPr>
          <w:rFonts w:cstheme="minorHAnsi"/>
          <w:b/>
          <w:bCs/>
          <w:color w:val="000000" w:themeColor="text1"/>
        </w:rPr>
        <w:t xml:space="preserve"> </w:t>
      </w:r>
      <w:r>
        <w:rPr>
          <w:rFonts w:cstheme="minorHAnsi"/>
          <w:color w:val="000000" w:themeColor="text1"/>
        </w:rPr>
        <w:t>Specific provisions and expectations for impact-labelled funds would foster investors’ understanding of which how such impact funds work and what they seek to achieve.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525BC39" w14:textId="7F91A475" w:rsidR="00505D26" w:rsidRDefault="00505D26" w:rsidP="00505D26">
      <w:pPr>
        <w:jc w:val="both"/>
      </w:pPr>
      <w:permStart w:id="878708964" w:edGrp="everyone"/>
      <w:r w:rsidRPr="00AE0D00">
        <w:t>The EU sustainable finance regime is subject to constant flux. It has, and continues to be, very expensive and resource intensive to implement. These Guidelines will be no different and will require firms to re-examine their entire product range, reposition it where appropriate, make change</w:t>
      </w:r>
      <w:r>
        <w:t>s</w:t>
      </w:r>
      <w:r w:rsidRPr="00AE0D00">
        <w:t xml:space="preserve"> to investment and related systems and process</w:t>
      </w:r>
      <w:r>
        <w:t>es</w:t>
      </w:r>
      <w:r w:rsidRPr="00AE0D00">
        <w:t xml:space="preserve"> and update documentation. It will require </w:t>
      </w:r>
      <w:r w:rsidRPr="00AE0D00">
        <w:rPr>
          <w:b/>
          <w:bCs/>
        </w:rPr>
        <w:t>significant firm-wide cost and resources over a 12</w:t>
      </w:r>
      <w:r w:rsidRPr="43FC29EB">
        <w:rPr>
          <w:b/>
          <w:bCs/>
        </w:rPr>
        <w:t>-</w:t>
      </w:r>
      <w:r w:rsidRPr="00AE0D00">
        <w:rPr>
          <w:b/>
          <w:bCs/>
        </w:rPr>
        <w:t>month period</w:t>
      </w:r>
      <w:r w:rsidRPr="00AE0D00">
        <w:t xml:space="preserve">. Accordingly, it is incumbent on ESMA to ensure that it calibrates the regime in such a way that significant benefits accrue from the cost outlay. This will require recalibrating the thresholds so that standards are raised but a viable ESG/sustainable fund product range </w:t>
      </w:r>
      <w:r>
        <w:t xml:space="preserve">is </w:t>
      </w:r>
      <w:r w:rsidRPr="00AE0D00">
        <w:t>still achievable.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AF87" w14:textId="77777777" w:rsidR="00E517EC" w:rsidRDefault="00E517EC">
      <w:r>
        <w:separator/>
      </w:r>
    </w:p>
    <w:p w14:paraId="0790B6DF" w14:textId="77777777" w:rsidR="00E517EC" w:rsidRDefault="00E517EC"/>
  </w:endnote>
  <w:endnote w:type="continuationSeparator" w:id="0">
    <w:p w14:paraId="64FAF173" w14:textId="77777777" w:rsidR="00E517EC" w:rsidRDefault="00E517EC">
      <w:r>
        <w:continuationSeparator/>
      </w:r>
    </w:p>
    <w:p w14:paraId="0A0DBB92" w14:textId="77777777" w:rsidR="00E517EC" w:rsidRDefault="00E517EC"/>
  </w:endnote>
  <w:endnote w:type="continuationNotice" w:id="1">
    <w:p w14:paraId="27119E85" w14:textId="77777777" w:rsidR="00E517EC" w:rsidRDefault="00E5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919F" w14:textId="77777777" w:rsidR="00E517EC" w:rsidRDefault="00E517EC">
      <w:r>
        <w:separator/>
      </w:r>
    </w:p>
    <w:p w14:paraId="2D2C79B3" w14:textId="77777777" w:rsidR="00E517EC" w:rsidRDefault="00E517EC"/>
  </w:footnote>
  <w:footnote w:type="continuationSeparator" w:id="0">
    <w:p w14:paraId="6B9CCA27" w14:textId="77777777" w:rsidR="00E517EC" w:rsidRDefault="00E517EC">
      <w:r>
        <w:continuationSeparator/>
      </w:r>
    </w:p>
    <w:p w14:paraId="79042889" w14:textId="77777777" w:rsidR="00E517EC" w:rsidRDefault="00E517EC"/>
  </w:footnote>
  <w:footnote w:type="continuationNotice" w:id="1">
    <w:p w14:paraId="5BABF26E" w14:textId="77777777" w:rsidR="00E517EC" w:rsidRDefault="00E517EC"/>
  </w:footnote>
  <w:footnote w:id="2">
    <w:p w14:paraId="67B40203" w14:textId="77777777" w:rsidR="00505D26" w:rsidRPr="00DA2643" w:rsidRDefault="00505D26" w:rsidP="00505D26">
      <w:pPr>
        <w:pStyle w:val="FootnoteText"/>
        <w:rPr>
          <w:szCs w:val="16"/>
        </w:rPr>
      </w:pPr>
      <w:r w:rsidRPr="00DA2643">
        <w:rPr>
          <w:rStyle w:val="FootnoteReference"/>
          <w:szCs w:val="16"/>
        </w:rPr>
        <w:footnoteRef/>
      </w:r>
      <w:r w:rsidRPr="00DA2643">
        <w:rPr>
          <w:szCs w:val="16"/>
        </w:rPr>
        <w:t xml:space="preserve"> We note that MSCI’s </w:t>
      </w:r>
      <w:r w:rsidRPr="00DA2643">
        <w:rPr>
          <w:i/>
          <w:iCs/>
          <w:szCs w:val="16"/>
        </w:rPr>
        <w:t xml:space="preserve">Methodology on Derivatives </w:t>
      </w:r>
      <w:r w:rsidRPr="00DA2643">
        <w:rPr>
          <w:szCs w:val="16"/>
        </w:rPr>
        <w:t xml:space="preserve">is expected in March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BDC4"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D8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7"/>
    <w:multiLevelType w:val="hybridMultilevel"/>
    <w:tmpl w:val="93084056"/>
    <w:lvl w:ilvl="0" w:tplc="B0DED6C8">
      <w:start w:val="1"/>
      <w:numFmt w:val="decimal"/>
      <w:lvlText w:val="%1."/>
      <w:lvlJc w:val="left"/>
      <w:pPr>
        <w:tabs>
          <w:tab w:val="num" w:pos="720"/>
        </w:tabs>
        <w:ind w:left="720" w:hanging="360"/>
      </w:pPr>
    </w:lvl>
    <w:lvl w:ilvl="1" w:tplc="41B05A7A">
      <w:start w:val="1"/>
      <w:numFmt w:val="decimal"/>
      <w:lvlText w:val="%2."/>
      <w:lvlJc w:val="left"/>
      <w:pPr>
        <w:tabs>
          <w:tab w:val="num" w:pos="1440"/>
        </w:tabs>
        <w:ind w:left="1440" w:hanging="360"/>
      </w:pPr>
    </w:lvl>
    <w:lvl w:ilvl="2" w:tplc="517A153A">
      <w:numFmt w:val="bullet"/>
      <w:lvlText w:val=""/>
      <w:lvlJc w:val="left"/>
      <w:pPr>
        <w:tabs>
          <w:tab w:val="num" w:pos="2160"/>
        </w:tabs>
        <w:ind w:left="2160" w:hanging="360"/>
      </w:pPr>
      <w:rPr>
        <w:rFonts w:ascii="Wingdings" w:hAnsi="Wingdings" w:hint="default"/>
      </w:rPr>
    </w:lvl>
    <w:lvl w:ilvl="3" w:tplc="90B4C23A" w:tentative="1">
      <w:start w:val="1"/>
      <w:numFmt w:val="decimal"/>
      <w:lvlText w:val="%4."/>
      <w:lvlJc w:val="left"/>
      <w:pPr>
        <w:tabs>
          <w:tab w:val="num" w:pos="2880"/>
        </w:tabs>
        <w:ind w:left="2880" w:hanging="360"/>
      </w:pPr>
    </w:lvl>
    <w:lvl w:ilvl="4" w:tplc="BD34FDA6" w:tentative="1">
      <w:start w:val="1"/>
      <w:numFmt w:val="decimal"/>
      <w:lvlText w:val="%5."/>
      <w:lvlJc w:val="left"/>
      <w:pPr>
        <w:tabs>
          <w:tab w:val="num" w:pos="3600"/>
        </w:tabs>
        <w:ind w:left="3600" w:hanging="360"/>
      </w:pPr>
    </w:lvl>
    <w:lvl w:ilvl="5" w:tplc="562E7B90" w:tentative="1">
      <w:start w:val="1"/>
      <w:numFmt w:val="decimal"/>
      <w:lvlText w:val="%6."/>
      <w:lvlJc w:val="left"/>
      <w:pPr>
        <w:tabs>
          <w:tab w:val="num" w:pos="4320"/>
        </w:tabs>
        <w:ind w:left="4320" w:hanging="360"/>
      </w:pPr>
    </w:lvl>
    <w:lvl w:ilvl="6" w:tplc="A59CCC28" w:tentative="1">
      <w:start w:val="1"/>
      <w:numFmt w:val="decimal"/>
      <w:lvlText w:val="%7."/>
      <w:lvlJc w:val="left"/>
      <w:pPr>
        <w:tabs>
          <w:tab w:val="num" w:pos="5040"/>
        </w:tabs>
        <w:ind w:left="5040" w:hanging="360"/>
      </w:pPr>
    </w:lvl>
    <w:lvl w:ilvl="7" w:tplc="B010DEB0" w:tentative="1">
      <w:start w:val="1"/>
      <w:numFmt w:val="decimal"/>
      <w:lvlText w:val="%8."/>
      <w:lvlJc w:val="left"/>
      <w:pPr>
        <w:tabs>
          <w:tab w:val="num" w:pos="5760"/>
        </w:tabs>
        <w:ind w:left="5760" w:hanging="360"/>
      </w:pPr>
    </w:lvl>
    <w:lvl w:ilvl="8" w:tplc="B63EE6FE" w:tentative="1">
      <w:start w:val="1"/>
      <w:numFmt w:val="decimal"/>
      <w:lvlText w:val="%9."/>
      <w:lvlJc w:val="left"/>
      <w:pPr>
        <w:tabs>
          <w:tab w:val="num" w:pos="6480"/>
        </w:tabs>
        <w:ind w:left="6480"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27343"/>
    <w:multiLevelType w:val="hybridMultilevel"/>
    <w:tmpl w:val="533A34E0"/>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7"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E8E1938"/>
    <w:multiLevelType w:val="hybridMultilevel"/>
    <w:tmpl w:val="10FCF94E"/>
    <w:lvl w:ilvl="0" w:tplc="F2AA0474">
      <w:start w:val="1"/>
      <w:numFmt w:val="bullet"/>
      <w:lvlText w:val=""/>
      <w:lvlJc w:val="left"/>
      <w:pPr>
        <w:ind w:left="771" w:hanging="360"/>
      </w:pPr>
      <w:rPr>
        <w:rFonts w:ascii="Symbol" w:hAnsi="Symbol" w:hint="default"/>
        <w:color w:val="auto"/>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C0B5BFA"/>
    <w:multiLevelType w:val="hybridMultilevel"/>
    <w:tmpl w:val="B0A670A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29A0A46"/>
    <w:multiLevelType w:val="hybridMultilevel"/>
    <w:tmpl w:val="AE22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7490AE2"/>
    <w:multiLevelType w:val="hybridMultilevel"/>
    <w:tmpl w:val="7C2E66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006907066">
    <w:abstractNumId w:val="18"/>
  </w:num>
  <w:num w:numId="2" w16cid:durableId="2052412372">
    <w:abstractNumId w:val="21"/>
  </w:num>
  <w:num w:numId="3" w16cid:durableId="1152914055">
    <w:abstractNumId w:val="13"/>
  </w:num>
  <w:num w:numId="4" w16cid:durableId="1235972632">
    <w:abstractNumId w:val="26"/>
  </w:num>
  <w:num w:numId="5" w16cid:durableId="251671033">
    <w:abstractNumId w:val="28"/>
  </w:num>
  <w:num w:numId="6" w16cid:durableId="1170876808">
    <w:abstractNumId w:val="1"/>
  </w:num>
  <w:num w:numId="7" w16cid:durableId="925380686">
    <w:abstractNumId w:val="4"/>
  </w:num>
  <w:num w:numId="8" w16cid:durableId="1832519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969329">
    <w:abstractNumId w:val="35"/>
  </w:num>
  <w:num w:numId="10" w16cid:durableId="8214302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1694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6720923">
    <w:abstractNumId w:val="30"/>
  </w:num>
  <w:num w:numId="13" w16cid:durableId="843593226">
    <w:abstractNumId w:val="34"/>
  </w:num>
  <w:num w:numId="14" w16cid:durableId="758479769">
    <w:abstractNumId w:val="25"/>
  </w:num>
  <w:num w:numId="15" w16cid:durableId="107355001">
    <w:abstractNumId w:val="12"/>
  </w:num>
  <w:num w:numId="16" w16cid:durableId="2061633744">
    <w:abstractNumId w:val="2"/>
  </w:num>
  <w:num w:numId="17" w16cid:durableId="1084381381">
    <w:abstractNumId w:val="16"/>
  </w:num>
  <w:num w:numId="18" w16cid:durableId="605622908">
    <w:abstractNumId w:val="17"/>
  </w:num>
  <w:num w:numId="19" w16cid:durableId="707413665">
    <w:abstractNumId w:val="19"/>
  </w:num>
  <w:num w:numId="20" w16cid:durableId="9796482">
    <w:abstractNumId w:val="29"/>
  </w:num>
  <w:num w:numId="21" w16cid:durableId="2028752456">
    <w:abstractNumId w:val="41"/>
  </w:num>
  <w:num w:numId="22" w16cid:durableId="1000741462">
    <w:abstractNumId w:val="27"/>
  </w:num>
  <w:num w:numId="23" w16cid:durableId="264193406">
    <w:abstractNumId w:val="11"/>
  </w:num>
  <w:num w:numId="24" w16cid:durableId="1857688262">
    <w:abstractNumId w:val="33"/>
  </w:num>
  <w:num w:numId="25" w16cid:durableId="1181819682">
    <w:abstractNumId w:val="32"/>
  </w:num>
  <w:num w:numId="26" w16cid:durableId="1887524965">
    <w:abstractNumId w:val="22"/>
  </w:num>
  <w:num w:numId="27" w16cid:durableId="1699314005">
    <w:abstractNumId w:val="37"/>
  </w:num>
  <w:num w:numId="28" w16cid:durableId="818038482">
    <w:abstractNumId w:val="44"/>
  </w:num>
  <w:num w:numId="29" w16cid:durableId="878588852">
    <w:abstractNumId w:val="9"/>
  </w:num>
  <w:num w:numId="30" w16cid:durableId="414211511">
    <w:abstractNumId w:val="3"/>
  </w:num>
  <w:num w:numId="31" w16cid:durableId="2079739673">
    <w:abstractNumId w:val="24"/>
  </w:num>
  <w:num w:numId="32" w16cid:durableId="1191258501">
    <w:abstractNumId w:val="23"/>
  </w:num>
  <w:num w:numId="33" w16cid:durableId="1483422062">
    <w:abstractNumId w:val="39"/>
  </w:num>
  <w:num w:numId="34" w16cid:durableId="1476294680">
    <w:abstractNumId w:val="38"/>
  </w:num>
  <w:num w:numId="35" w16cid:durableId="1812795377">
    <w:abstractNumId w:val="5"/>
  </w:num>
  <w:num w:numId="36" w16cid:durableId="1284851600">
    <w:abstractNumId w:val="40"/>
  </w:num>
  <w:num w:numId="37" w16cid:durableId="750468899">
    <w:abstractNumId w:val="23"/>
    <w:lvlOverride w:ilvl="0">
      <w:startOverride w:val="1"/>
    </w:lvlOverride>
  </w:num>
  <w:num w:numId="38" w16cid:durableId="531497301">
    <w:abstractNumId w:val="23"/>
  </w:num>
  <w:num w:numId="39" w16cid:durableId="2140680984">
    <w:abstractNumId w:val="14"/>
  </w:num>
  <w:num w:numId="40" w16cid:durableId="1253663570">
    <w:abstractNumId w:val="7"/>
  </w:num>
  <w:num w:numId="41" w16cid:durableId="1983390486">
    <w:abstractNumId w:val="6"/>
  </w:num>
  <w:num w:numId="42" w16cid:durableId="616376284">
    <w:abstractNumId w:val="31"/>
  </w:num>
  <w:num w:numId="43" w16cid:durableId="1770809653">
    <w:abstractNumId w:val="0"/>
  </w:num>
  <w:num w:numId="44" w16cid:durableId="1963993161">
    <w:abstractNumId w:val="20"/>
  </w:num>
  <w:num w:numId="45" w16cid:durableId="266238895">
    <w:abstractNumId w:val="36"/>
  </w:num>
  <w:num w:numId="46" w16cid:durableId="191831733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687"/>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1882"/>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5D26"/>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3CDE"/>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0A0A"/>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6AC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CBA"/>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2D9"/>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472C1"/>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7EC"/>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8D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AD2"/>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8551D7D7F8484F951B1362E281A8D3" ma:contentTypeVersion="11" ma:contentTypeDescription="Create a new document." ma:contentTypeScope="" ma:versionID="a2324147308bdfa1bb007f73a97659a0">
  <xsd:schema xmlns:xsd="http://www.w3.org/2001/XMLSchema" xmlns:xs="http://www.w3.org/2001/XMLSchema" xmlns:p="http://schemas.microsoft.com/office/2006/metadata/properties" xmlns:ns2="77d3ad97-1294-4216-b858-d03710be2669" xmlns:ns3="44f102a0-7cbe-44b7-b26a-93ae9058696e" targetNamespace="http://schemas.microsoft.com/office/2006/metadata/properties" ma:root="true" ma:fieldsID="c1b14d9d340d55e9fafdcafbc666b839" ns2:_="" ns3:_="">
    <xsd:import namespace="77d3ad97-1294-4216-b858-d03710be2669"/>
    <xsd:import namespace="44f102a0-7cbe-44b7-b26a-93ae905869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3ad97-1294-4216-b858-d03710be2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bea6c6-9e92-413c-a77f-8237745d55a4"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102a0-7cbe-44b7-b26a-93ae905869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d3ad97-1294-4216-b858-d03710be266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E59E7862-8D78-4B20-AB83-D65D3BDB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3ad97-1294-4216-b858-d03710be2669"/>
    <ds:schemaRef ds:uri="44f102a0-7cbe-44b7-b26a-93ae90586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7d3ad97-1294-4216-b858-d03710be2669"/>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3271</Words>
  <Characters>18880</Characters>
  <Application>Microsoft Office Word</Application>
  <DocSecurity>12</DocSecurity>
  <Lines>157</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22107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Browning, James</cp:lastModifiedBy>
  <cp:revision>2</cp:revision>
  <cp:lastPrinted>2015-02-18T11:01:00Z</cp:lastPrinted>
  <dcterms:created xsi:type="dcterms:W3CDTF">2023-02-19T18:11:00Z</dcterms:created>
  <dcterms:modified xsi:type="dcterms:W3CDTF">2023-02-19T18:11:00Z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0x010100808551D7D7F8484F951B1362E281A8D3</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