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0.0.0 -->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Tr="00315E96">
        <w:tblPrEx>
          <w:tblW w:w="9412" w:type="dxa"/>
          <w:tblCellMar>
            <w:left w:w="0" w:type="dxa"/>
            <w:right w:w="0" w:type="dxa"/>
          </w:tblCellMar>
          <w:tblLook w:val="01E0"/>
        </w:tblPrEx>
        <w:trPr>
          <w:trHeight w:val="284"/>
        </w:trPr>
        <w:tc>
          <w:tcPr>
            <w:tcW w:w="9412" w:type="dxa"/>
          </w:tcPr>
          <w:p w:rsidR="00C2094B" w:rsidRPr="00986AF7" w:rsidP="0071740A">
            <w:pPr>
              <w:pStyle w:val="Footer"/>
              <w:rPr>
                <w:rFonts w:cs="Arial"/>
                <w:sz w:val="22"/>
                <w:szCs w:val="22"/>
              </w:rPr>
            </w:pPr>
            <w:r>
              <w:ptab w:relativeTo="margin" w:alignment="center" w:leader="none"/>
            </w:r>
            <w: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rsidR="00FD7A8D" w:rsidRPr="00616B9B"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Tr="00F107EF">
        <w:tblPrEx>
          <w:tblW w:w="9397" w:type="dxa"/>
          <w:tblLayout w:type="fixed"/>
          <w:tblCellMar>
            <w:left w:w="0" w:type="dxa"/>
            <w:right w:w="0" w:type="dxa"/>
          </w:tblCellMar>
          <w:tblLook w:val="01E0"/>
        </w:tblPrEx>
        <w:trPr>
          <w:trHeight w:hRule="exact" w:val="1985"/>
        </w:trPr>
        <w:tc>
          <w:tcPr>
            <w:tcW w:w="9397" w:type="dxa"/>
            <w:vAlign w:val="bottom"/>
          </w:tcPr>
          <w:p w:rsidR="00791EB4" w:rsidP="00DD2CDA">
            <w:pPr>
              <w:pStyle w:val="01aDBTitle"/>
              <w:jc w:val="left"/>
              <w:rPr>
                <w:rFonts w:cs="Arial"/>
              </w:rPr>
            </w:pPr>
            <w:r w:rsidRPr="00616B9B">
              <w:rPr>
                <w:rFonts w:cs="Arial"/>
              </w:rPr>
              <w:t>Reply form</w:t>
            </w:r>
            <w:r w:rsidRPr="00616B9B" w:rsidR="00B835D5">
              <w:rPr>
                <w:rFonts w:cs="Arial"/>
              </w:rPr>
              <w:t xml:space="preserve"> </w:t>
            </w:r>
            <w:r w:rsidRPr="00616B9B" w:rsidR="0043173B">
              <w:rPr>
                <w:rFonts w:cs="Arial"/>
              </w:rPr>
              <w:t>for</w:t>
            </w:r>
            <w:r w:rsidRPr="00616B9B" w:rsidR="00027ECF">
              <w:rPr>
                <w:rFonts w:cs="Arial"/>
              </w:rPr>
              <w:t xml:space="preserve"> the</w:t>
            </w:r>
            <w:r w:rsidR="00DD2CDA">
              <w:t xml:space="preserve"> </w:t>
            </w:r>
            <w:r w:rsidRPr="00DD2CDA" w:rsidR="00DD2CDA">
              <w:rPr>
                <w:rFonts w:cs="Arial"/>
              </w:rPr>
              <w:t>Consultation Paper on</w:t>
            </w:r>
            <w:r w:rsidR="00B92885">
              <w:rPr>
                <w:rFonts w:cs="Arial"/>
              </w:rPr>
              <w:t xml:space="preserve"> </w:t>
            </w:r>
            <w:r w:rsidRPr="001B73D3" w:rsidR="001B73D3">
              <w:rPr>
                <w:rFonts w:eastAsiaTheme="minorHAnsi" w:cs="Arial"/>
                <w:b w:val="0"/>
                <w:bCs/>
                <w:color w:val="auto"/>
                <w:sz w:val="22"/>
                <w:szCs w:val="22"/>
                <w:lang w:eastAsia="en-US"/>
              </w:rPr>
              <w:t xml:space="preserve"> </w:t>
            </w:r>
            <w:r w:rsidRPr="001B73D3" w:rsidR="001B73D3">
              <w:rPr>
                <w:rFonts w:cs="Arial"/>
                <w:bCs/>
              </w:rPr>
              <w:t>Guidelines for the use of ESG or sustainability-related terms in funds’ names</w:t>
            </w:r>
          </w:p>
          <w:p w:rsidR="00B61CD3" w:rsidRPr="00616B9B" w:rsidP="00DD2CDA">
            <w:pPr>
              <w:pStyle w:val="01aDBTitle"/>
              <w:jc w:val="left"/>
              <w:rPr>
                <w:rFonts w:cs="Arial"/>
              </w:rPr>
            </w:pPr>
          </w:p>
        </w:tc>
      </w:tr>
      <w:tr w:rsidTr="00B835D5">
        <w:tblPrEx>
          <w:tblW w:w="9397" w:type="dxa"/>
          <w:tblLayout w:type="fixed"/>
          <w:tblCellMar>
            <w:left w:w="0" w:type="dxa"/>
            <w:right w:w="0" w:type="dxa"/>
          </w:tblCellMar>
          <w:tblLook w:val="01E0"/>
        </w:tblPrEx>
        <w:trPr>
          <w:trHeight w:hRule="exact" w:val="605"/>
        </w:trPr>
        <w:tc>
          <w:tcPr>
            <w:tcW w:w="9397" w:type="dxa"/>
            <w:tcMar>
              <w:top w:w="142" w:type="dxa"/>
            </w:tcMar>
          </w:tcPr>
          <w:p w:rsidR="00D91010" w:rsidRPr="00616B9B" w:rsidP="00027ECF">
            <w:pPr>
              <w:pStyle w:val="01bDBSubtitle"/>
              <w:rPr>
                <w:rFonts w:ascii="Arial" w:hAnsi="Arial" w:cs="Arial"/>
              </w:rPr>
            </w:pPr>
            <w:r w:rsidRPr="00616B9B">
              <w:rPr>
                <w:rFonts w:ascii="Arial" w:hAnsi="Arial" w:cs="Arial"/>
              </w:rPr>
              <w:t xml:space="preserve"> </w:t>
            </w:r>
          </w:p>
        </w:tc>
      </w:tr>
    </w:tbl>
    <w:p w:rsidR="00620D7C" w:rsidRPr="00616B9B" w:rsidP="00C00012">
      <w:pPr>
        <w:pStyle w:val="05HeadlinenoIndex"/>
        <w:rPr>
          <w:rFonts w:cs="Arial"/>
        </w:rPr>
        <w:sectPr w:rsidSect="006E3C72">
          <w:headerReference w:type="default" r:id="rId9"/>
          <w:footerReference w:type="default" r:id="rId10"/>
          <w:headerReference w:type="first" r:id="rId11"/>
          <w:foot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Tr="00315E96">
        <w:tblPrEx>
          <w:tblW w:w="0" w:type="auto"/>
          <w:tblLayout w:type="fixed"/>
          <w:tblCellMar>
            <w:left w:w="0" w:type="dxa"/>
            <w:right w:w="0" w:type="dxa"/>
          </w:tblCellMar>
          <w:tblLook w:val="01E0"/>
        </w:tblPrEx>
        <w:trPr>
          <w:trHeight w:hRule="exact" w:val="964"/>
        </w:trPr>
        <w:tc>
          <w:tcPr>
            <w:tcW w:w="2325" w:type="dxa"/>
          </w:tcPr>
          <w:p w:rsidR="00620D7C" w:rsidP="00B1467D">
            <w:pPr>
              <w:pStyle w:val="02Date"/>
              <w:rPr>
                <w:rFonts w:cs="Arial"/>
              </w:rPr>
            </w:pPr>
            <w:r w:rsidRPr="00A52EBB">
              <w:rPr>
                <w:rFonts w:cs="Arial"/>
              </w:rPr>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rsidR="00B92885" w:rsidRPr="00A52EBB" w:rsidP="00B1467D">
            <w:pPr>
              <w:pStyle w:val="02Date"/>
              <w:rPr>
                <w:rFonts w:cs="Arial"/>
              </w:rPr>
            </w:pPr>
          </w:p>
        </w:tc>
      </w:tr>
    </w:tbl>
    <w:p w:rsidR="00F574D0" w:rsidRPr="00616B9B" w:rsidP="00F574D0">
      <w:pPr>
        <w:pStyle w:val="05HeadlinenoIndex"/>
        <w:rPr>
          <w:rFonts w:cs="Arial"/>
        </w:rPr>
      </w:pPr>
      <w:bookmarkStart w:id="0" w:name="_Toc280628648"/>
      <w:r w:rsidRPr="00616B9B">
        <w:rPr>
          <w:rFonts w:cs="Arial"/>
        </w:rPr>
        <w:t xml:space="preserve">Responding to this paper </w:t>
      </w:r>
    </w:p>
    <w:p w:rsidR="00F574D0" w:rsidRPr="00EF0769" w:rsidP="00F574D0">
      <w:pPr>
        <w:pStyle w:val="04BodyText"/>
        <w:spacing w:before="120" w:after="120"/>
        <w:rPr>
          <w:rFonts w:cs="Arial"/>
        </w:rPr>
      </w:pPr>
      <w:r w:rsidRPr="00EF0769">
        <w:rPr>
          <w:rFonts w:cs="Arial"/>
        </w:rPr>
        <w:t>The European Securities and Markets Authority (ESMA) invites responses to the s</w:t>
      </w:r>
      <w:r w:rsidRPr="00EF0769" w:rsidR="00955F48">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Pr="00EF0769" w:rsidR="00015B5E">
        <w:rPr>
          <w:rFonts w:cs="Arial"/>
        </w:rPr>
        <w:t>published on the ESMA website</w:t>
      </w:r>
      <w:r w:rsidRPr="00EF0769" w:rsidR="004E49B0">
        <w:rPr>
          <w:rFonts w:cs="Arial"/>
        </w:rPr>
        <w:t>.</w:t>
      </w:r>
    </w:p>
    <w:p w:rsidR="001D000A" w:rsidP="00F574D0">
      <w:pPr>
        <w:autoSpaceDE w:val="0"/>
        <w:autoSpaceDN w:val="0"/>
        <w:adjustRightInd w:val="0"/>
        <w:spacing w:before="120" w:after="120" w:line="276" w:lineRule="auto"/>
        <w:jc w:val="both"/>
        <w:rPr>
          <w:rStyle w:val="Strong4"/>
          <w:rFonts w:cs="Arial"/>
          <w:i/>
        </w:rPr>
      </w:pPr>
    </w:p>
    <w:p w:rsidR="00F574D0" w:rsidRPr="00EF0769"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Pr="00EF0769">
        <w:rPr>
          <w:rFonts w:cs="Arial"/>
        </w:rPr>
        <w:t>:</w:t>
      </w:r>
    </w:p>
    <w:p w:rsidR="00F574D0" w:rsidRPr="00293D78" w:rsidP="00366E20">
      <w:pPr>
        <w:pStyle w:val="04BodyText"/>
        <w:numPr>
          <w:ilvl w:val="0"/>
          <w:numId w:val="35"/>
        </w:numPr>
        <w:spacing w:before="120" w:after="120"/>
        <w:rPr>
          <w:rFonts w:cs="Arial"/>
        </w:rPr>
      </w:pPr>
      <w:r w:rsidRPr="00293D78">
        <w:rPr>
          <w:rFonts w:cs="Arial"/>
        </w:rPr>
        <w:t xml:space="preserve">use </w:t>
      </w:r>
      <w:r w:rsidRPr="00293D78" w:rsidR="00332304">
        <w:rPr>
          <w:rFonts w:cs="Arial"/>
        </w:rPr>
        <w:t>this form</w:t>
      </w:r>
      <w:r w:rsidRPr="00293D78" w:rsidR="00955F48">
        <w:rPr>
          <w:rFonts w:cs="Arial"/>
        </w:rPr>
        <w:t xml:space="preserve"> and send </w:t>
      </w:r>
      <w:r w:rsidRPr="00293D78" w:rsidR="00332304">
        <w:rPr>
          <w:rFonts w:cs="Arial"/>
        </w:rPr>
        <w:t>your</w:t>
      </w:r>
      <w:r w:rsidRPr="00293D78" w:rsidR="00955F48">
        <w:rPr>
          <w:rFonts w:cs="Arial"/>
        </w:rPr>
        <w:t xml:space="preserve"> responses in Word format (pdf documents will not be considered);</w:t>
      </w:r>
    </w:p>
    <w:p w:rsidR="00F574D0" w:rsidRPr="00293D78" w:rsidP="00366E20">
      <w:pPr>
        <w:pStyle w:val="04BodyText"/>
        <w:numPr>
          <w:ilvl w:val="0"/>
          <w:numId w:val="35"/>
        </w:numPr>
        <w:spacing w:before="120" w:after="120"/>
        <w:rPr>
          <w:rFonts w:cs="Arial"/>
        </w:rPr>
      </w:pPr>
      <w:r w:rsidRPr="00293D78">
        <w:rPr>
          <w:rFonts w:cs="Arial"/>
        </w:rPr>
        <w:t xml:space="preserve">do </w:t>
      </w:r>
      <w:r w:rsidRPr="00293D78">
        <w:rPr>
          <w:rFonts w:cs="Arial"/>
        </w:rPr>
        <w:t xml:space="preserve">not remove the tags of </w:t>
      </w:r>
      <w:r w:rsidRPr="001B73D3">
        <w:rPr>
          <w:rFonts w:cs="Arial"/>
          <w:highlight w:val="yellow"/>
        </w:rPr>
        <w:t xml:space="preserve">type </w:t>
      </w:r>
      <w:r w:rsidRPr="001B73D3" w:rsidR="000A609F">
        <w:rPr>
          <w:rFonts w:cs="Arial"/>
          <w:highlight w:val="yellow"/>
        </w:rPr>
        <w:t>&lt;ESMA_QUESTION_</w:t>
      </w:r>
      <w:r w:rsidR="00B92885">
        <w:rPr>
          <w:rFonts w:cs="Arial"/>
          <w:highlight w:val="yellow"/>
        </w:rPr>
        <w:t>FUNA</w:t>
      </w:r>
      <w:r w:rsidRPr="001B73D3" w:rsidR="000A609F">
        <w:rPr>
          <w:rFonts w:cs="Arial"/>
          <w:highlight w:val="yellow"/>
        </w:rPr>
        <w:t xml:space="preserve">_0&gt; </w:t>
      </w:r>
      <w:r w:rsidRPr="001B73D3">
        <w:rPr>
          <w:rFonts w:cs="Arial"/>
          <w:highlight w:val="yellow"/>
        </w:rPr>
        <w:t>- i.</w:t>
      </w:r>
      <w:r w:rsidRPr="00293D78">
        <w:rPr>
          <w:rFonts w:cs="Arial"/>
        </w:rPr>
        <w:t>e. the response to one question has to be framed by the 2 tags corresponding to the question; and</w:t>
      </w:r>
    </w:p>
    <w:p w:rsidR="00F574D0" w:rsidRPr="00293D78" w:rsidP="00366E20">
      <w:pPr>
        <w:pStyle w:val="04BodyText"/>
        <w:numPr>
          <w:ilvl w:val="0"/>
          <w:numId w:val="35"/>
        </w:numPr>
        <w:spacing w:before="120" w:after="120"/>
        <w:rPr>
          <w:rFonts w:cs="Arial"/>
        </w:rPr>
      </w:pPr>
      <w:r w:rsidRPr="00293D78">
        <w:rPr>
          <w:rFonts w:cs="Arial"/>
        </w:rPr>
        <w:t xml:space="preserve">if </w:t>
      </w:r>
      <w:r w:rsidRPr="00293D78" w:rsidR="00D75FEE">
        <w:rPr>
          <w:rFonts w:cs="Arial"/>
        </w:rPr>
        <w:t>you do not have a</w:t>
      </w:r>
      <w:r w:rsidRPr="00293D78">
        <w:rPr>
          <w:rFonts w:cs="Arial"/>
        </w:rPr>
        <w:t xml:space="preserve"> response to a question, </w:t>
      </w:r>
      <w:r w:rsidRPr="00293D78" w:rsidR="00D75FEE">
        <w:rPr>
          <w:rFonts w:cs="Arial"/>
        </w:rPr>
        <w:t xml:space="preserve">do </w:t>
      </w:r>
      <w:r w:rsidRPr="00293D78">
        <w:rPr>
          <w:rFonts w:cs="Arial"/>
        </w:rPr>
        <w:t>not delete it and leave the text “TYPE YOUR TEXT HERE” between the tags.</w:t>
      </w:r>
    </w:p>
    <w:p w:rsidR="00F574D0" w:rsidRPr="00EF0769" w:rsidP="00F574D0">
      <w:pPr>
        <w:pStyle w:val="04bList"/>
        <w:numPr>
          <w:ilvl w:val="0"/>
          <w:numId w:val="0"/>
        </w:numPr>
        <w:spacing w:before="120" w:after="120"/>
        <w:rPr>
          <w:rFonts w:cs="Arial"/>
        </w:rPr>
      </w:pPr>
      <w:r w:rsidRPr="00EF0769">
        <w:rPr>
          <w:rFonts w:cs="Arial"/>
        </w:rPr>
        <w:t>Responses are most helpful:</w:t>
      </w:r>
    </w:p>
    <w:p w:rsidR="00F574D0" w:rsidRPr="00293D78" w:rsidP="00366E20">
      <w:pPr>
        <w:pStyle w:val="04BodyText"/>
        <w:numPr>
          <w:ilvl w:val="0"/>
          <w:numId w:val="36"/>
        </w:numPr>
        <w:spacing w:before="120" w:after="120"/>
        <w:rPr>
          <w:rFonts w:cs="Arial"/>
        </w:rPr>
      </w:pPr>
      <w:r w:rsidRPr="00293D78">
        <w:rPr>
          <w:rFonts w:cs="Arial"/>
        </w:rPr>
        <w:t>if they respond to the question stated;</w:t>
      </w:r>
    </w:p>
    <w:p w:rsidR="002E1760" w:rsidRPr="00293D78" w:rsidP="00366E20">
      <w:pPr>
        <w:pStyle w:val="04BodyText"/>
        <w:numPr>
          <w:ilvl w:val="0"/>
          <w:numId w:val="36"/>
        </w:numPr>
        <w:spacing w:before="120" w:after="120"/>
        <w:rPr>
          <w:rFonts w:cs="Arial"/>
        </w:rPr>
      </w:pPr>
      <w:r w:rsidRPr="00293D78">
        <w:rPr>
          <w:rFonts w:cs="Arial"/>
        </w:rPr>
        <w:t>indicate the specific question to which the comment relates;</w:t>
      </w:r>
    </w:p>
    <w:p w:rsidR="002E1760" w:rsidRPr="00293D78" w:rsidP="00366E20">
      <w:pPr>
        <w:pStyle w:val="04BodyText"/>
        <w:numPr>
          <w:ilvl w:val="0"/>
          <w:numId w:val="36"/>
        </w:numPr>
        <w:spacing w:before="120" w:after="120"/>
        <w:rPr>
          <w:rFonts w:cs="Arial"/>
        </w:rPr>
      </w:pPr>
      <w:r w:rsidRPr="00293D78">
        <w:rPr>
          <w:rFonts w:cs="Arial"/>
        </w:rPr>
        <w:t>contain a clear rationale; and</w:t>
      </w:r>
    </w:p>
    <w:p w:rsidR="002E1760" w:rsidRPr="00293D78" w:rsidP="00366E20">
      <w:pPr>
        <w:pStyle w:val="04BodyText"/>
        <w:numPr>
          <w:ilvl w:val="0"/>
          <w:numId w:val="36"/>
        </w:numPr>
        <w:spacing w:before="120" w:after="120"/>
        <w:rPr>
          <w:rFonts w:cs="Arial"/>
        </w:rPr>
      </w:pPr>
      <w:r w:rsidRPr="00293D78">
        <w:rPr>
          <w:rFonts w:cs="Arial"/>
        </w:rPr>
        <w:t>describe any alternatives ESMA should consider.</w:t>
      </w:r>
    </w:p>
    <w:p w:rsidR="001D000A" w:rsidP="000D17AA">
      <w:pPr>
        <w:pStyle w:val="04BodyText"/>
        <w:spacing w:before="120" w:after="120"/>
        <w:jc w:val="left"/>
        <w:rPr>
          <w:rFonts w:cs="Arial"/>
          <w:b/>
        </w:rPr>
      </w:pPr>
    </w:p>
    <w:p w:rsidR="000D17AA" w:rsidRPr="00EF0769" w:rsidP="000D17AA">
      <w:pPr>
        <w:pStyle w:val="04BodyText"/>
        <w:spacing w:before="120" w:after="120"/>
        <w:jc w:val="left"/>
        <w:rPr>
          <w:rFonts w:cs="Arial"/>
          <w:b/>
        </w:rPr>
      </w:pPr>
      <w:r>
        <w:rPr>
          <w:rFonts w:cs="Arial"/>
          <w:b/>
        </w:rPr>
        <w:t>Naming protocol</w:t>
      </w:r>
    </w:p>
    <w:p w:rsidR="000D17AA" w:rsidRPr="00EF0769" w:rsidP="000D17AA">
      <w:pPr>
        <w:pStyle w:val="04BodyText"/>
        <w:spacing w:before="120" w:after="120"/>
        <w:jc w:val="left"/>
        <w:rPr>
          <w:rFonts w:cs="Arial"/>
        </w:rPr>
      </w:pPr>
      <w:r w:rsidRPr="00EF0769">
        <w:rPr>
          <w:rFonts w:cs="Arial"/>
        </w:rPr>
        <w:t xml:space="preserve">In order to facilitate the handling of </w:t>
      </w:r>
      <w:r w:rsidRPr="00EF0769" w:rsidR="009003B8">
        <w:rPr>
          <w:rFonts w:cs="Arial"/>
        </w:rPr>
        <w:t>stakeholders’</w:t>
      </w:r>
      <w:r w:rsidRPr="00EF0769">
        <w:rPr>
          <w:rFonts w:cs="Arial"/>
        </w:rPr>
        <w:t xml:space="preserve"> responses please save your document using the following format:</w:t>
      </w:r>
    </w:p>
    <w:p w:rsidR="000D17AA" w:rsidRPr="00EF0769" w:rsidP="000D17AA">
      <w:pPr>
        <w:pStyle w:val="04BodyText"/>
        <w:spacing w:before="120" w:after="120"/>
        <w:jc w:val="left"/>
        <w:rPr>
          <w:rFonts w:cs="Arial"/>
        </w:rPr>
      </w:pPr>
      <w:r w:rsidRPr="001B73D3">
        <w:rPr>
          <w:rFonts w:cs="Arial"/>
          <w:highlight w:val="yellow"/>
        </w:rPr>
        <w:t>ESMA_</w:t>
      </w:r>
      <w:r w:rsidRPr="001B73D3" w:rsidR="00227C1A">
        <w:rPr>
          <w:rFonts w:cs="Arial"/>
          <w:highlight w:val="yellow"/>
        </w:rPr>
        <w:t>CP</w:t>
      </w:r>
      <w:r w:rsidRPr="001B73D3" w:rsidR="007254DD">
        <w:rPr>
          <w:rFonts w:cs="Arial"/>
          <w:highlight w:val="yellow"/>
        </w:rPr>
        <w:t>_</w:t>
      </w:r>
      <w:r w:rsidR="00B92885">
        <w:rPr>
          <w:rFonts w:cs="Arial"/>
          <w:highlight w:val="yellow"/>
        </w:rPr>
        <w:t>FUNA</w:t>
      </w:r>
      <w:r w:rsidRPr="001B73D3" w:rsidR="000A609F">
        <w:rPr>
          <w:rFonts w:cs="Arial"/>
          <w:highlight w:val="yellow"/>
        </w:rPr>
        <w:t>_</w:t>
      </w:r>
      <w:r w:rsidRPr="001B73D3">
        <w:rPr>
          <w:rFonts w:cs="Arial"/>
          <w:highlight w:val="yellow"/>
        </w:rPr>
        <w:t>NAMEOFCOMPANY_</w:t>
      </w:r>
      <w:r w:rsidR="000C2054">
        <w:rPr>
          <w:rFonts w:cs="Arial"/>
          <w:highlight w:val="yellow"/>
        </w:rPr>
        <w:t>REPLYFORM</w:t>
      </w:r>
      <w:r w:rsidRPr="001B73D3">
        <w:rPr>
          <w:rFonts w:cs="Arial"/>
          <w:highlight w:val="yellow"/>
        </w:rPr>
        <w:t>.</w:t>
      </w:r>
    </w:p>
    <w:p w:rsidR="00021E83" w:rsidRPr="00EF0769" w:rsidP="000D17AA">
      <w:pPr>
        <w:pStyle w:val="04BodyText"/>
        <w:spacing w:before="120" w:after="120"/>
        <w:jc w:val="left"/>
        <w:rPr>
          <w:rFonts w:cs="Arial"/>
        </w:rPr>
      </w:pPr>
      <w:r>
        <w:rPr>
          <w:rFonts w:cs="Arial"/>
        </w:rPr>
        <w:t>e</w:t>
      </w:r>
      <w:r w:rsidRPr="00EF0769" w:rsidR="000D17AA">
        <w:rPr>
          <w:rFonts w:cs="Arial"/>
        </w:rPr>
        <w:t xml:space="preserve">.g. if the respondent were </w:t>
      </w:r>
      <w:r w:rsidR="00B92885">
        <w:rPr>
          <w:rFonts w:cs="Arial"/>
        </w:rPr>
        <w:t>ABCD</w:t>
      </w:r>
      <w:r w:rsidRPr="00EF0769" w:rsidR="000D17AA">
        <w:rPr>
          <w:rFonts w:cs="Arial"/>
        </w:rPr>
        <w:t xml:space="preserve">, the </w:t>
      </w:r>
      <w:r w:rsidRPr="00EF0769">
        <w:rPr>
          <w:rFonts w:cs="Arial"/>
        </w:rPr>
        <w:t>name of the reply form would be:</w:t>
      </w:r>
    </w:p>
    <w:p w:rsidR="00021E83" w:rsidRPr="00EF0769" w:rsidP="000D17AA">
      <w:pPr>
        <w:pStyle w:val="04BodyText"/>
        <w:spacing w:before="120" w:after="120"/>
        <w:jc w:val="left"/>
        <w:rPr>
          <w:rFonts w:cs="Arial"/>
        </w:rPr>
      </w:pPr>
      <w:r w:rsidRPr="001B73D3">
        <w:rPr>
          <w:rFonts w:cs="Arial"/>
          <w:highlight w:val="yellow"/>
        </w:rPr>
        <w:t>ESMA_</w:t>
      </w:r>
      <w:r w:rsidRPr="001B73D3" w:rsidR="00227C1A">
        <w:rPr>
          <w:rFonts w:cs="Arial"/>
          <w:highlight w:val="yellow"/>
        </w:rPr>
        <w:t>CP</w:t>
      </w:r>
      <w:r w:rsidRPr="001B73D3" w:rsidR="007254DD">
        <w:rPr>
          <w:rFonts w:cs="Arial"/>
          <w:highlight w:val="yellow"/>
        </w:rPr>
        <w:t>_</w:t>
      </w:r>
      <w:r w:rsidR="00B92885">
        <w:rPr>
          <w:rFonts w:cs="Arial"/>
          <w:highlight w:val="yellow"/>
        </w:rPr>
        <w:t>FUN</w:t>
      </w:r>
      <w:r w:rsidRPr="001B73D3" w:rsidR="00733158">
        <w:rPr>
          <w:rFonts w:cs="Arial"/>
          <w:highlight w:val="yellow"/>
        </w:rPr>
        <w:t>A</w:t>
      </w:r>
      <w:r w:rsidRPr="001B73D3" w:rsidR="00227C1A">
        <w:rPr>
          <w:rFonts w:cs="Arial"/>
          <w:highlight w:val="yellow"/>
        </w:rPr>
        <w:t>_</w:t>
      </w:r>
      <w:r w:rsidR="00B92885">
        <w:rPr>
          <w:rFonts w:cs="Arial"/>
          <w:highlight w:val="yellow"/>
        </w:rPr>
        <w:t>ABCD</w:t>
      </w:r>
      <w:r w:rsidRPr="001B73D3">
        <w:rPr>
          <w:rFonts w:cs="Arial"/>
          <w:highlight w:val="yellow"/>
        </w:rPr>
        <w:t>_REPLYFORM</w:t>
      </w:r>
    </w:p>
    <w:p w:rsidR="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Pr="00267551" w:rsidR="00591CDF">
        <w:rPr>
          <w:rFonts w:cs="Arial"/>
        </w:rPr>
        <w:t>202</w:t>
      </w:r>
      <w:r w:rsidR="00733158">
        <w:rPr>
          <w:rFonts w:cs="Arial"/>
        </w:rPr>
        <w:t>2</w:t>
      </w:r>
      <w:r w:rsidRPr="00267551" w:rsidR="00021E83">
        <w:rPr>
          <w:rFonts w:cs="Arial"/>
        </w:rPr>
        <w:t>.</w:t>
      </w:r>
    </w:p>
    <w:p w:rsidR="00332304"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2"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2"/>
      <w:r w:rsidRPr="005B6B12">
        <w:t xml:space="preserve"> under the heading ‘Your input - Consultations’.</w:t>
      </w:r>
    </w:p>
    <w:p w:rsidR="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r>
        <w:fldChar w:fldCharType="begin"/>
      </w:r>
      <w:r>
        <w:instrText xml:space="preserve"> HYPERLINK "http://www.esma.europa.eu" </w:instrText>
      </w:r>
      <w:r>
        <w:fldChar w:fldCharType="separate"/>
      </w:r>
      <w:r w:rsidRPr="00EF0769">
        <w:rPr>
          <w:rStyle w:val="Hyperlink"/>
          <w:rFonts w:cs="Arial"/>
          <w:szCs w:val="20"/>
        </w:rPr>
        <w:t>www.esma.europa.eu</w:t>
      </w:r>
      <w:r>
        <w:fldChar w:fldCharType="end"/>
      </w:r>
      <w:r w:rsidRPr="00EF0769">
        <w:rPr>
          <w:rFonts w:cs="Arial"/>
          <w:szCs w:val="20"/>
        </w:rPr>
        <w:t xml:space="preserve"> under the </w:t>
      </w:r>
      <w:r w:rsidRPr="00440AB1" w:rsidR="003755C6">
        <w:rPr>
          <w:rFonts w:cs="Arial"/>
          <w:szCs w:val="22"/>
          <w:lang w:eastAsia="en-GB"/>
        </w:rPr>
        <w:t>heading</w:t>
      </w:r>
      <w:r w:rsidR="00AD0C8A">
        <w:rPr>
          <w:rFonts w:cs="Arial"/>
          <w:szCs w:val="22"/>
          <w:lang w:eastAsia="en-GB"/>
        </w:rPr>
        <w:t>s</w:t>
      </w:r>
      <w:r w:rsidRPr="00440AB1" w:rsidR="003755C6">
        <w:rPr>
          <w:rFonts w:cs="Arial"/>
          <w:szCs w:val="22"/>
          <w:lang w:eastAsia="en-GB"/>
        </w:rPr>
        <w:t xml:space="preserve"> ‘Legal notice’</w:t>
      </w:r>
      <w:r w:rsidR="00AD0C8A">
        <w:rPr>
          <w:rFonts w:cs="Arial"/>
          <w:szCs w:val="22"/>
          <w:lang w:eastAsia="en-GB"/>
        </w:rPr>
        <w:t xml:space="preserve"> </w:t>
      </w:r>
      <w:r w:rsidRPr="00AD0C8A" w:rsidR="00AD0C8A">
        <w:rPr>
          <w:rFonts w:cs="Arial"/>
          <w:szCs w:val="22"/>
          <w:lang w:eastAsia="en-GB"/>
        </w:rPr>
        <w:t>and ‘Data protection’</w:t>
      </w:r>
      <w:r w:rsidRPr="00AD0C8A">
        <w:rPr>
          <w:rFonts w:cs="Arial"/>
          <w:szCs w:val="22"/>
          <w:lang w:eastAsia="en-GB"/>
        </w:rPr>
        <w:t>.</w:t>
      </w:r>
    </w:p>
    <w:p w:rsidR="003755C6" w:rsidP="00F574D0">
      <w:pPr>
        <w:autoSpaceDE w:val="0"/>
        <w:autoSpaceDN w:val="0"/>
        <w:adjustRightInd w:val="0"/>
        <w:spacing w:before="120" w:after="120" w:line="276" w:lineRule="auto"/>
        <w:jc w:val="both"/>
        <w:rPr>
          <w:rFonts w:cs="Arial"/>
          <w:szCs w:val="20"/>
        </w:rPr>
      </w:pPr>
    </w:p>
    <w:p w:rsidR="00332304">
      <w:pPr>
        <w:rPr>
          <w:rFonts w:cs="Arial"/>
          <w:b/>
          <w:bCs/>
          <w:kern w:val="32"/>
          <w:sz w:val="24"/>
          <w:szCs w:val="32"/>
        </w:rPr>
      </w:pPr>
      <w:bookmarkEnd w:id="0"/>
      <w:r>
        <w:br w:type="page"/>
      </w:r>
    </w:p>
    <w:p w:rsidR="00F87897" w:rsidRPr="00AB6D88" w:rsidP="00F87897">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Tr="00FA5524">
        <w:tblPrEx>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29" w:type="dxa"/>
            <w:shd w:val="clear" w:color="auto" w:fill="auto"/>
          </w:tcPr>
          <w:p w:rsidR="00C2682A" w:rsidRPr="00E40A5C" w:rsidP="00FA5524">
            <w:pPr>
              <w:rPr>
                <w:rFonts w:cs="Arial"/>
                <w:sz w:val="22"/>
              </w:rPr>
            </w:pPr>
            <w:permStart w:id="4" w:colFirst="1" w:colLast="1" w:edGrp="everyone"/>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rsidR="00C2682A" w:rsidRPr="00AB6D88" w:rsidP="00FA5524">
                <w:pPr>
                  <w:rPr>
                    <w:rStyle w:val="PlaceholderText"/>
                    <w:rFonts w:cs="Arial"/>
                  </w:rPr>
                </w:pPr>
                <w:r>
                  <w:rPr>
                    <w:rStyle w:val="PlaceholderText"/>
                    <w:rFonts w:cs="Arial"/>
                  </w:rPr>
                  <w:t>BEAMA</w:t>
                </w:r>
              </w:p>
            </w:tc>
          </w:sdtContent>
        </w:sdt>
      </w:tr>
      <w:tr w:rsidTr="00FA5524">
        <w:tblPrEx>
          <w:tblW w:w="9524" w:type="dxa"/>
          <w:tblLook w:val="04A0"/>
        </w:tblPrEx>
        <w:tc>
          <w:tcPr>
            <w:tcW w:w="3929" w:type="dxa"/>
            <w:shd w:val="clear" w:color="auto" w:fill="auto"/>
          </w:tcPr>
          <w:p w:rsidR="00C2682A" w:rsidRPr="00E40A5C" w:rsidP="00FA5524">
            <w:pPr>
              <w:rPr>
                <w:rFonts w:cs="Arial"/>
                <w:sz w:val="22"/>
              </w:rPr>
            </w:pPr>
            <w:permStart w:id="5" w:colFirst="1" w:colLast="1" w:edGrp="everyone"/>
            <w:permEnd w:id="4"/>
            <w:r w:rsidRPr="00E40A5C">
              <w:rPr>
                <w:rFonts w:cs="Arial"/>
                <w:sz w:val="22"/>
              </w:rPr>
              <w:t>Activity</w:t>
            </w:r>
          </w:p>
        </w:tc>
        <w:tc>
          <w:tcPr>
            <w:tcW w:w="5595" w:type="dxa"/>
            <w:shd w:val="clear" w:color="auto" w:fill="auto"/>
          </w:tcPr>
          <w:p w:rsidR="00C2682A" w:rsidRPr="00AB6D88" w:rsidP="00FA5524">
            <w:pPr>
              <w:rPr>
                <w:rFonts w:cs="Arial"/>
              </w:rPr>
            </w:pPr>
            <w:sdt>
              <w:sdtPr>
                <w:rPr>
                  <w:rFonts w:cs="Arial"/>
                </w:rPr>
                <w:alias w:val="Activity"/>
                <w:tag w:val="Activity"/>
                <w:id w:val="-1255357665"/>
                <w:comboBox w:lastValue="Banking sector">
                  <w:listItem w:value="Choose an item."/>
                  <w:listItem w:value="Audit/Legal/Individual" w:displayText="Audit/Legal/Individual"/>
                  <w:listItem w:value="Banking sector" w:displayText="Banking sector"/>
                  <w:listItem w:value="Central Counterparty" w:displayText="Central Counterparty"/>
                  <w:listItem w:value="Government, Regulatory and Enforcement" w:displayText="Government, Regulatory and Enforcement"/>
                  <w:listItem w:value="Insurance and Pension" w:displayText="Insurance and Pension"/>
                  <w:listItem w:value="Investment Services" w:displayText="Investment Services"/>
                  <w:listItem w:value="Non-financial counterparty" w:displayText="Non-financial counterparty"/>
                  <w:listItem w:value="Regulated markets/Exchanges/Trading Systems" w:displayText="Regulated markets/Exchanges/Trading Systems"/>
                  <w:listItem w:value="Other Financial service providers" w:displayText="Other Financial service providers"/>
                </w:comboBox>
              </w:sdtPr>
              <w:sdtContent>
                <w:r>
                  <w:rPr>
                    <w:rFonts w:cs="Arial"/>
                  </w:rPr>
                  <w:t>Banking sector</w:t>
                </w:r>
              </w:sdtContent>
            </w:sdt>
          </w:p>
        </w:tc>
      </w:tr>
      <w:tr w:rsidTr="00FA5524">
        <w:tblPrEx>
          <w:tblW w:w="9524" w:type="dxa"/>
          <w:tblLook w:val="04A0"/>
        </w:tblPrEx>
        <w:tc>
          <w:tcPr>
            <w:tcW w:w="3929" w:type="dxa"/>
            <w:shd w:val="clear" w:color="auto" w:fill="auto"/>
          </w:tcPr>
          <w:p w:rsidR="00C2682A" w:rsidRPr="00E40A5C" w:rsidP="00FA5524">
            <w:pPr>
              <w:rPr>
                <w:rFonts w:cs="Arial"/>
                <w:sz w:val="22"/>
              </w:rPr>
            </w:pPr>
            <w:permStart w:id="6" w:colFirst="1" w:colLast="1" w:edGrp="everyone"/>
            <w:permEnd w:id="5"/>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rsidR="00C2682A" w:rsidRPr="00AB6D88" w:rsidP="00FA5524">
                <w:pPr>
                  <w:rPr>
                    <w:rFonts w:cs="Arial"/>
                  </w:rPr>
                </w:pPr>
                <w:r>
                  <w:rPr>
                    <w:rFonts w:ascii="MS Gothic" w:eastAsia="MS Gothic" w:hAnsi="MS Gothic" w:cs="Arial" w:hint="eastAsia"/>
                  </w:rPr>
                  <w:t>☒</w:t>
                </w:r>
              </w:p>
            </w:tc>
          </w:sdtContent>
        </w:sdt>
      </w:tr>
      <w:tr w:rsidTr="00FA5524">
        <w:tblPrEx>
          <w:tblW w:w="9524" w:type="dxa"/>
          <w:tblLook w:val="04A0"/>
        </w:tblPrEx>
        <w:tc>
          <w:tcPr>
            <w:tcW w:w="3929" w:type="dxa"/>
            <w:shd w:val="clear" w:color="auto" w:fill="auto"/>
          </w:tcPr>
          <w:p w:rsidR="00C2682A" w:rsidRPr="00E40A5C" w:rsidP="00FA5524">
            <w:pPr>
              <w:rPr>
                <w:rFonts w:cs="Arial"/>
                <w:sz w:val="22"/>
              </w:rPr>
            </w:pPr>
            <w:permStart w:id="7" w:colFirst="1" w:colLast="1" w:edGrp="everyone"/>
            <w:permEnd w:id="6"/>
            <w:r w:rsidRPr="00E40A5C">
              <w:rPr>
                <w:rFonts w:cs="Arial"/>
                <w:sz w:val="22"/>
              </w:rPr>
              <w:t>Country/Region</w:t>
            </w:r>
          </w:p>
        </w:tc>
        <w:sdt>
          <w:sdtPr>
            <w:rPr>
              <w:rFonts w:cs="Arial"/>
            </w:rPr>
            <w:alias w:val="Country"/>
            <w:tag w:val="Country"/>
            <w:id w:val="1761644368"/>
            <w:comboBox w:lastValue="Belgium">
              <w:listItem w:value="Choose an item."/>
              <w:listItem w:value="Europe" w:displayText="Europe"/>
              <w:listItem w:value="Asia-Pacific" w:displayText="Asia-Pacific"/>
              <w:listItem w:value="North-America" w:displayText="North-America"/>
              <w:listItem w:value="International" w:displayText="International"/>
              <w:listItem w:value="Austria" w:displayText="Austria"/>
              <w:listItem w:value="Belgium" w:displayText="Belgium"/>
              <w:listItem w:value="Bulgaria" w:displayText="Bulgaria"/>
              <w:listItem w:value="Croatia" w:displayText="Croatia"/>
              <w:listItem w:value="Cyprus" w:displayText="Cyprus"/>
              <w:listItem w:value="Czech Republic" w:displayText="Czech Republic"/>
              <w:listItem w:value="Germany" w:displayText="Germany"/>
              <w:listItem w:value="Denmark" w:displayText="Denmark"/>
              <w:listItem w:value="Estonia" w:displayText="Estonia"/>
              <w:listItem w:value="Greece" w:displayText="Greece"/>
              <w:listItem w:value="Spain" w:displayText="Spain"/>
              <w:listItem w:value="Finland" w:displayText="Finland"/>
              <w:listItem w:value="France" w:displayText="France"/>
              <w:listItem w:value="Hungary" w:displayText="Hungary"/>
              <w:listItem w:value="Iceland" w:displayText="Iceland"/>
              <w:listItem w:value="Ireland" w:displayText="Ireland"/>
              <w:listItem w:value="Italy" w:displayText="Italy"/>
              <w:listItem w:value="Lichtenstein" w:displayText="Lichtenstein"/>
              <w:listItem w:value="Lithuania" w:displayText="Lithuania"/>
              <w:listItem w:value="Luxembourg" w:displayText="Luxembourg"/>
              <w:listItem w:value="Malta" w:displayText="Malta"/>
              <w:listItem w:value="Norway" w:displayText="Norway"/>
              <w:listItem w:value="Netherlands" w:displayText="Netherlands"/>
              <w:listItem w:value="Poland" w:displayText="Poland"/>
              <w:listItem w:value="Portugal" w:displayText="Portugal"/>
              <w:listItem w:value="Romania" w:displayText="Romania"/>
              <w:listItem w:value="Slovakia" w:displayText="Slovakia"/>
              <w:listItem w:value="Slovenia" w:displayText="Slovenia"/>
              <w:listItem w:value="Sweden" w:displayText="Sweden"/>
              <w:listItem w:value="Switzerland" w:displayText="Switzerland"/>
              <w:listItem w:value="UK" w:displayText="UK"/>
              <w:listItem w:value="Other" w:displayText="Other"/>
            </w:comboBox>
          </w:sdtPr>
          <w:sdtContent>
            <w:tc>
              <w:tcPr>
                <w:tcW w:w="5595" w:type="dxa"/>
                <w:shd w:val="clear" w:color="auto" w:fill="auto"/>
              </w:tcPr>
              <w:p w:rsidR="00C2682A" w:rsidRPr="00AB6D88" w:rsidP="00FA5524">
                <w:pPr>
                  <w:rPr>
                    <w:rFonts w:cs="Arial"/>
                  </w:rPr>
                </w:pPr>
                <w:r>
                  <w:rPr>
                    <w:rFonts w:cs="Arial"/>
                  </w:rPr>
                  <w:t>Belgium</w:t>
                </w:r>
              </w:p>
            </w:tc>
          </w:sdtContent>
        </w:sdt>
      </w:tr>
    </w:tbl>
    <w:p w:rsidR="00C2682A" w:rsidP="00F87897">
      <w:pPr>
        <w:spacing w:after="120" w:line="264" w:lineRule="auto"/>
      </w:pPr>
      <w:permEnd w:id="7"/>
    </w:p>
    <w:p w:rsidR="00F87897" w:rsidP="00F87897">
      <w:pPr>
        <w:spacing w:after="120" w:line="264" w:lineRule="auto"/>
      </w:pPr>
    </w:p>
    <w:p w:rsidR="00F87897" w:rsidP="00F87897">
      <w:pPr>
        <w:pStyle w:val="Heading1"/>
        <w:numPr>
          <w:ilvl w:val="0"/>
          <w:numId w:val="0"/>
        </w:numPr>
        <w:ind w:left="431" w:hanging="431"/>
      </w:pPr>
      <w:r>
        <w:t>Introduction</w:t>
      </w:r>
    </w:p>
    <w:p w:rsidR="00F87897" w:rsidRPr="001D47A5" w:rsidP="00F87897">
      <w:pPr>
        <w:rPr>
          <w:rStyle w:val="IntenseEmphasis"/>
        </w:rPr>
      </w:pPr>
      <w:r w:rsidRPr="001D47A5">
        <w:rPr>
          <w:rStyle w:val="IntenseEmphasis"/>
        </w:rPr>
        <w:t>Please make your introductory comments below, if any:</w:t>
      </w:r>
    </w:p>
    <w:p w:rsidR="00F87897" w:rsidRPr="00BF28DA" w:rsidP="00F87897"/>
    <w:p w:rsidR="00B92885" w:rsidRPr="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rsidR="00B92885" w:rsidRPr="00655255" w:rsidP="00655255">
      <w:pPr>
        <w:spacing w:before="120" w:after="120"/>
        <w:ind w:left="142"/>
        <w:rPr>
          <w:rFonts w:eastAsia="Arial" w:cs="Arial"/>
          <w:bCs/>
          <w:sz w:val="22"/>
          <w:szCs w:val="22"/>
        </w:rPr>
      </w:pPr>
      <w:permStart w:id="8" w:edGrp="everyone"/>
      <w:r w:rsidRPr="00655255">
        <w:rPr>
          <w:rFonts w:eastAsia="Arial" w:cs="Arial"/>
          <w:bCs/>
          <w:sz w:val="22"/>
          <w:szCs w:val="22"/>
        </w:rPr>
        <w:t>BEAMA is of the opinion that no new/additional regulation is needed in relation to fund names. The existing and extensive SFDR package sufficiently promotes transparency by requiring substantial disclosures towards end investors. SFDR already encompasses an easy to use fund classification ranging from art.6, to art.8 funds promoting Environmental and Social characteristics and art.9 funds pursuing an environmental or social objective. Introducing thresholds is a way to convert a disclosure regime into a label regime.</w:t>
      </w:r>
    </w:p>
    <w:p w:rsidR="00B92885" w:rsidRPr="00B92885" w:rsidP="00B92885">
      <w:pPr>
        <w:spacing w:after="160" w:line="259" w:lineRule="auto"/>
        <w:rPr>
          <w:rFonts w:ascii="Calibri" w:eastAsia="Calibri" w:hAnsi="Calibri"/>
          <w:sz w:val="22"/>
          <w:szCs w:val="22"/>
          <w:lang w:eastAsia="en-US"/>
        </w:rPr>
      </w:pPr>
      <w:permEnd w:id="8"/>
      <w:r w:rsidRPr="00B92885">
        <w:rPr>
          <w:rFonts w:ascii="Calibri" w:eastAsia="Calibri" w:hAnsi="Calibri"/>
          <w:sz w:val="22"/>
          <w:szCs w:val="22"/>
          <w:lang w:eastAsia="en-US"/>
        </w:rPr>
        <w:t>&lt;ESMA_QUESTION_FUNA_0&gt;</w:t>
      </w:r>
    </w:p>
    <w:p w:rsidR="00F87897" w:rsidRPr="00BF28DA" w:rsidP="00F87897"/>
    <w:p w:rsidR="00B92885" w:rsidP="00B92885">
      <w:pPr>
        <w:pStyle w:val="Questionstyle"/>
        <w:numPr>
          <w:ilvl w:val="0"/>
          <w:numId w:val="39"/>
        </w:numPr>
      </w:pPr>
      <w:r>
        <w:br w:type="page"/>
      </w:r>
      <w:r>
        <w:t xml:space="preserve">: </w:t>
      </w:r>
      <w:r w:rsidRPr="00C96AFA">
        <w:t>Do you agree with the need to introduce quantitative thresholds to assess funds’ names?</w:t>
      </w:r>
    </w:p>
    <w:p w:rsidR="00B92885" w:rsidP="00B92885">
      <w:r>
        <w:t>&lt;ESMA_QUESTION_FUNA_1&gt;</w:t>
      </w:r>
    </w:p>
    <w:p w:rsidR="007F3A18" w:rsidRPr="00071A5F" w:rsidP="00071A5F">
      <w:pPr>
        <w:spacing w:before="120" w:after="120"/>
        <w:ind w:left="142"/>
        <w:rPr>
          <w:rFonts w:eastAsia="Arial" w:cs="Arial"/>
          <w:bCs/>
          <w:sz w:val="22"/>
          <w:szCs w:val="22"/>
        </w:rPr>
      </w:pPr>
      <w:permStart w:id="9" w:edGrp="everyone"/>
      <w:r w:rsidRPr="00071A5F">
        <w:rPr>
          <w:rFonts w:eastAsia="Arial" w:cs="Arial"/>
          <w:bCs/>
          <w:sz w:val="22"/>
          <w:szCs w:val="22"/>
        </w:rPr>
        <w:t>BEAMA is of the opinion that no new/additional regulation is needed in relation to fund names. The existing and extensive SFDR package sufficiently promotes transparency by requiring substantial disclosures towards end investors. SFDR already encompasses an easy to use fund classification ranging from art.6, to art.8 funds promoting Environmental and Social characteristics and art.9 funds pursuing an environmental or social objective. Introducing thresholds is a way to convert a disclosure regime into a label regime.</w:t>
      </w:r>
    </w:p>
    <w:p w:rsidR="007F3A18" w:rsidRPr="00071A5F" w:rsidP="00071A5F">
      <w:pPr>
        <w:spacing w:before="120" w:after="120"/>
        <w:ind w:left="142"/>
        <w:rPr>
          <w:rFonts w:eastAsia="Arial" w:cs="Arial"/>
          <w:bCs/>
          <w:strike/>
          <w:sz w:val="22"/>
          <w:szCs w:val="22"/>
        </w:rPr>
      </w:pPr>
      <w:r w:rsidRPr="00071A5F">
        <w:rPr>
          <w:rFonts w:eastAsia="Arial" w:cs="Arial"/>
          <w:bCs/>
          <w:sz w:val="22"/>
          <w:szCs w:val="22"/>
        </w:rPr>
        <w:t>Especially the reference to the SFDR sustainable investments concept is an issue as this may rely on different approaches and so the proposed quantitative thresholds will in reality refer to different kind of outcomes, leaving the greenwashing issue unsolved. What the sector currently does need, is additional guidance from the European Commission on the concept of sustainable investments under SFDR.</w:t>
      </w:r>
      <w:r w:rsidRPr="00071A5F">
        <w:rPr>
          <w:rFonts w:eastAsia="Arial" w:cs="Arial"/>
          <w:bCs/>
          <w:sz w:val="22"/>
          <w:szCs w:val="22"/>
        </w:rPr>
        <w:br/>
      </w:r>
      <w:r w:rsidRPr="00071A5F">
        <w:rPr>
          <w:rFonts w:eastAsia="Arial" w:cs="Arial"/>
          <w:bCs/>
          <w:strike/>
          <w:sz w:val="22"/>
          <w:szCs w:val="22"/>
        </w:rPr>
        <w:t xml:space="preserve">Given the lack of concrete definition of sustainable investments, we deem it </w:t>
      </w:r>
      <w:r w:rsidRPr="00071A5F">
        <w:rPr>
          <w:rFonts w:eastAsia="Arial" w:cs="Arial"/>
          <w:bCs/>
          <w:strike/>
          <w:sz w:val="22"/>
          <w:szCs w:val="22"/>
        </w:rPr>
        <w:t>to</w:t>
      </w:r>
      <w:r w:rsidRPr="00071A5F">
        <w:rPr>
          <w:rFonts w:eastAsia="Arial" w:cs="Arial"/>
          <w:bCs/>
          <w:strike/>
          <w:sz w:val="22"/>
          <w:szCs w:val="22"/>
        </w:rPr>
        <w:t xml:space="preserve"> early to propose quantitative thresholds or to discuss the level of those.</w:t>
      </w:r>
    </w:p>
    <w:p w:rsidR="007F3A18" w:rsidRPr="00071A5F" w:rsidP="00071A5F">
      <w:pPr>
        <w:spacing w:before="120" w:after="120"/>
        <w:ind w:left="142"/>
        <w:rPr>
          <w:rFonts w:eastAsia="Arial" w:cs="Arial"/>
          <w:bCs/>
          <w:sz w:val="22"/>
          <w:szCs w:val="22"/>
        </w:rPr>
      </w:pPr>
    </w:p>
    <w:p w:rsidR="007F3A18" w:rsidRPr="00071A5F" w:rsidP="00071A5F">
      <w:pPr>
        <w:spacing w:before="120" w:after="120"/>
        <w:ind w:left="142"/>
        <w:rPr>
          <w:rFonts w:eastAsia="Arial" w:cs="Arial"/>
          <w:bCs/>
          <w:sz w:val="22"/>
          <w:szCs w:val="22"/>
        </w:rPr>
      </w:pPr>
      <w:r w:rsidRPr="00071A5F">
        <w:rPr>
          <w:rFonts w:eastAsia="Arial" w:cs="Arial"/>
          <w:bCs/>
          <w:sz w:val="22"/>
          <w:szCs w:val="22"/>
        </w:rPr>
        <w:t>If rules/guidelines are to be developed regarding fund names, then ESMA should develop those at European level hereby superseding all the initiatives that certain national competent authorities are currently trying to impose/develop at national level.</w:t>
      </w:r>
    </w:p>
    <w:p w:rsidR="007F3A18" w:rsidRPr="00071A5F" w:rsidP="00071A5F">
      <w:pPr>
        <w:spacing w:before="120" w:after="120"/>
        <w:ind w:left="142"/>
        <w:rPr>
          <w:rFonts w:eastAsia="Arial" w:cs="Arial"/>
          <w:bCs/>
          <w:sz w:val="22"/>
          <w:szCs w:val="22"/>
        </w:rPr>
      </w:pPr>
      <w:r w:rsidRPr="00071A5F">
        <w:rPr>
          <w:rFonts w:eastAsia="Arial" w:cs="Arial"/>
          <w:bCs/>
          <w:sz w:val="22"/>
          <w:szCs w:val="22"/>
        </w:rPr>
        <w:t>Furthermore, if new guidelines are to be imposed by ESMA at European level, then the necessary flexibility should be foreseen around passive breaches of quantitative thresholds. If due to exceptional market circumstances, the fund temporarily falls below a regulatory threshold by a small amount, then this passive breach should be treated analogously to how they are all treated nowadays.</w:t>
      </w:r>
    </w:p>
    <w:p w:rsidR="007F3A18" w:rsidRPr="00071A5F" w:rsidP="00071A5F">
      <w:pPr>
        <w:spacing w:before="120" w:after="120"/>
        <w:ind w:left="142"/>
        <w:rPr>
          <w:rFonts w:eastAsia="Arial" w:cs="Arial"/>
          <w:bCs/>
          <w:sz w:val="22"/>
          <w:szCs w:val="22"/>
        </w:rPr>
      </w:pPr>
      <w:r w:rsidRPr="00071A5F">
        <w:rPr>
          <w:rFonts w:eastAsia="Arial" w:cs="Arial"/>
          <w:bCs/>
          <w:sz w:val="22"/>
          <w:szCs w:val="22"/>
        </w:rPr>
        <w:t>Finally, if new guidelines and/or quantitative thresholds are deemed necessary by ESMA, then they should apply to the whole portfolio as well as to all financial products (and not merely funds) so as to help the final investors to make an informed investment decision.</w:t>
      </w:r>
    </w:p>
    <w:p w:rsidR="00B92885" w:rsidP="00B92885">
      <w:permEnd w:id="9"/>
      <w:r>
        <w:t>&lt;ESMA_QUESTION_FUNA_1&gt;</w:t>
      </w:r>
    </w:p>
    <w:p w:rsidR="00B92885" w:rsidP="00B92885"/>
    <w:p w:rsidR="00B92885" w:rsidRPr="00AA6F4F" w:rsidP="00B92885">
      <w:pPr>
        <w:pStyle w:val="Questionstyle"/>
        <w:numPr>
          <w:ilvl w:val="0"/>
          <w:numId w:val="39"/>
        </w:numPr>
      </w:pPr>
      <w:r>
        <w:t xml:space="preserve">: </w:t>
      </w:r>
      <w:bookmarkStart w:id="10" w:name="_Hlk119596330"/>
      <w:r w:rsidRPr="00AA6F4F">
        <w:t>Do you agree with the proposed threshold of 80% of the minimum proportion of investments for the use of any ESG-, or impact-related words in the name of a fund? If not, please explain why and provide an alternative proposal.</w:t>
      </w:r>
    </w:p>
    <w:p w:rsidR="00B92885" w:rsidP="00B92885">
      <w:bookmarkEnd w:id="10"/>
      <w:r>
        <w:t>&lt;ESMA_QUESTION_FUNA_2&gt;</w:t>
      </w:r>
    </w:p>
    <w:p w:rsidR="00211B75" w:rsidRPr="00071A5F" w:rsidP="00071A5F">
      <w:pPr>
        <w:spacing w:before="120" w:after="120"/>
        <w:ind w:left="142"/>
        <w:rPr>
          <w:rFonts w:eastAsia="Arial" w:cs="Arial"/>
          <w:bCs/>
          <w:sz w:val="22"/>
          <w:szCs w:val="22"/>
        </w:rPr>
      </w:pPr>
      <w:permStart w:id="11" w:edGrp="everyone"/>
      <w:r w:rsidRPr="00071A5F">
        <w:rPr>
          <w:rFonts w:eastAsia="Arial" w:cs="Arial"/>
          <w:bCs/>
          <w:sz w:val="22"/>
          <w:szCs w:val="22"/>
        </w:rPr>
        <w:t xml:space="preserve">As indicated in question 1, BEAMA is not in </w:t>
      </w:r>
      <w:r w:rsidRPr="00071A5F">
        <w:rPr>
          <w:rFonts w:eastAsia="Arial" w:cs="Arial"/>
          <w:bCs/>
          <w:sz w:val="22"/>
          <w:szCs w:val="22"/>
        </w:rPr>
        <w:t>favor</w:t>
      </w:r>
      <w:r w:rsidRPr="00071A5F">
        <w:rPr>
          <w:rFonts w:eastAsia="Arial" w:cs="Arial"/>
          <w:bCs/>
          <w:sz w:val="22"/>
          <w:szCs w:val="22"/>
        </w:rPr>
        <w:t xml:space="preserve"> of introducing new/additional guidelines.</w:t>
      </w:r>
      <w:r w:rsidRPr="00071A5F">
        <w:rPr>
          <w:rFonts w:eastAsia="Arial" w:cs="Arial"/>
          <w:bCs/>
          <w:sz w:val="22"/>
          <w:szCs w:val="22"/>
        </w:rPr>
        <w:br/>
        <w:t>Yet, if quantitative are deemed necessary, then BEAMA suggests to impose one absolute quantitative ESG-threshold which is calibrated in such a manner that it is applicable to all kinds of funds’ asset classes (bonds, equities, mixed, …), and even to all kinds of financial products. When calibrating this ESG-threshold, it will become clear that 80% is too high. BEAMA suggest to use a 50% thresholds which guarantees that the majority of the underlying assets comply with the threshold.</w:t>
      </w:r>
    </w:p>
    <w:p w:rsidR="00211B75" w:rsidRPr="00071A5F" w:rsidP="00071A5F">
      <w:pPr>
        <w:spacing w:before="120" w:after="120"/>
        <w:ind w:left="142"/>
        <w:rPr>
          <w:rFonts w:eastAsia="Arial" w:cs="Arial"/>
          <w:bCs/>
          <w:sz w:val="22"/>
          <w:szCs w:val="22"/>
        </w:rPr>
      </w:pPr>
      <w:r w:rsidRPr="00071A5F">
        <w:rPr>
          <w:rFonts w:eastAsia="Arial" w:cs="Arial"/>
          <w:bCs/>
          <w:sz w:val="22"/>
          <w:szCs w:val="22"/>
        </w:rPr>
        <w:t>Besides this absolute quantitative threshold, BEAMA also suggests to allow alternative quantitative thresholds as long as they can demonstrate that the ESG-characteristic of the fund is guaranteed. One such threshold could be a relative threshold, meaning: the fund relatively outperforms the benchmark on a specific quantitative threshold (for example, a threshold based on KPI’s).</w:t>
      </w:r>
    </w:p>
    <w:p w:rsidR="00B92885" w:rsidP="00B92885">
      <w:permEnd w:id="11"/>
      <w:r>
        <w:t>&lt;ESMA_QUESTION_FUNA_2&gt;</w:t>
      </w:r>
    </w:p>
    <w:p w:rsidR="00B92885" w:rsidP="00B92885"/>
    <w:p w:rsidR="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rsidR="00B92885" w:rsidP="00B92885">
      <w:r>
        <w:t>&lt;ESMA_QUESTION_FUNA_3&gt;</w:t>
      </w:r>
    </w:p>
    <w:p w:rsidR="00A810E7" w:rsidRPr="00071A5F" w:rsidP="00071A5F">
      <w:pPr>
        <w:spacing w:before="120" w:after="120"/>
        <w:ind w:left="142" w:right="79"/>
        <w:rPr>
          <w:rFonts w:eastAsia="Arial" w:cs="Arial"/>
          <w:bCs/>
          <w:sz w:val="22"/>
          <w:szCs w:val="22"/>
        </w:rPr>
      </w:pPr>
      <w:permStart w:id="12" w:edGrp="everyone"/>
      <w:r w:rsidRPr="00071A5F">
        <w:rPr>
          <w:rFonts w:eastAsia="Arial" w:cs="Arial"/>
          <w:bCs/>
          <w:sz w:val="22"/>
          <w:szCs w:val="22"/>
        </w:rPr>
        <w:t xml:space="preserve">In line with our answer in question 1 and 2, BEAMA is not in </w:t>
      </w:r>
      <w:r w:rsidRPr="00071A5F">
        <w:rPr>
          <w:rFonts w:eastAsia="Arial" w:cs="Arial"/>
          <w:bCs/>
          <w:sz w:val="22"/>
          <w:szCs w:val="22"/>
        </w:rPr>
        <w:t>favor</w:t>
      </w:r>
      <w:r w:rsidRPr="00071A5F">
        <w:rPr>
          <w:rFonts w:eastAsia="Arial" w:cs="Arial"/>
          <w:bCs/>
          <w:sz w:val="22"/>
          <w:szCs w:val="22"/>
        </w:rPr>
        <w:t xml:space="preserve"> of introducing new/additional guidelines. Yet if these kind of guidelines/thresholds are to be introduced, they can only be valid if there is a definition for sustainable investment and if the idea of a relative quantitative threshold is supported (as explained in our answer to question 2).</w:t>
      </w:r>
    </w:p>
    <w:p w:rsidR="00A810E7" w:rsidRPr="00071A5F" w:rsidP="00071A5F">
      <w:pPr>
        <w:spacing w:before="120" w:after="120"/>
        <w:ind w:left="142" w:right="79"/>
        <w:rPr>
          <w:rFonts w:eastAsia="Arial" w:cs="Arial"/>
          <w:bCs/>
          <w:sz w:val="22"/>
          <w:szCs w:val="22"/>
        </w:rPr>
      </w:pPr>
      <w:r w:rsidRPr="00071A5F">
        <w:rPr>
          <w:rFonts w:eastAsia="Arial" w:cs="Arial"/>
          <w:bCs/>
          <w:sz w:val="22"/>
          <w:szCs w:val="22"/>
        </w:rPr>
        <w:t>Still, of utmost importance is the fact that the concept of sustainable investments is yet not precisely defined (bearing in mind that the European Commission is still to respond to the request for clarification made by the ESAs on September 22) and that the industry is in urgent need of clarification.</w:t>
      </w:r>
    </w:p>
    <w:p w:rsidR="00B92885" w:rsidP="00B92885">
      <w:permEnd w:id="12"/>
      <w:r>
        <w:t>&lt;ESMA_QUESTION_FUNA_3&gt;</w:t>
      </w:r>
    </w:p>
    <w:p w:rsidR="00B92885" w:rsidP="00B92885"/>
    <w:p w:rsidR="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rsidR="00B92885" w:rsidP="00B92885">
      <w:r>
        <w:t>&lt;ESMA_QUESTION_FUNA_4&gt;</w:t>
      </w:r>
    </w:p>
    <w:p w:rsidR="004166AE" w:rsidRPr="00D6697B" w:rsidP="00D6697B">
      <w:pPr>
        <w:spacing w:before="120" w:after="120"/>
        <w:ind w:left="142" w:right="79"/>
        <w:rPr>
          <w:rFonts w:eastAsia="Arial" w:cs="Arial"/>
          <w:bCs/>
          <w:sz w:val="22"/>
          <w:szCs w:val="22"/>
        </w:rPr>
      </w:pPr>
      <w:permStart w:id="13" w:edGrp="everyone"/>
      <w:r w:rsidRPr="00D6697B">
        <w:rPr>
          <w:rFonts w:eastAsia="Arial" w:cs="Arial"/>
          <w:bCs/>
          <w:sz w:val="22"/>
          <w:szCs w:val="22"/>
        </w:rPr>
        <w:t>Yes, as indicated in questions 2 and 3, we see an alternative in using a relative quantitative threshold. Thus, in for example, proving that the fund beats a given benchmark based on a quantitative criterium.</w:t>
      </w:r>
    </w:p>
    <w:p w:rsidR="00B92885" w:rsidP="00B92885">
      <w:permEnd w:id="13"/>
      <w:r>
        <w:t>&lt;ESMA_QUESTION_FUNA_4&gt;</w:t>
      </w:r>
    </w:p>
    <w:p w:rsidR="00B92885" w:rsidP="00B92885"/>
    <w:p w:rsidR="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rsidR="00B92885" w:rsidP="00B92885">
      <w:r>
        <w:t>&lt;ESMA_QUESTION_FUNA_5&gt;</w:t>
      </w:r>
    </w:p>
    <w:p w:rsidR="000F76F3" w:rsidRPr="00D6697B" w:rsidP="00D6697B">
      <w:pPr>
        <w:spacing w:before="120" w:after="120"/>
        <w:ind w:left="142" w:right="79"/>
        <w:rPr>
          <w:rFonts w:eastAsia="Arial" w:cs="Arial"/>
          <w:bCs/>
          <w:sz w:val="22"/>
          <w:szCs w:val="22"/>
        </w:rPr>
      </w:pPr>
      <w:permStart w:id="14" w:edGrp="everyone"/>
      <w:r w:rsidRPr="00D6697B">
        <w:rPr>
          <w:rFonts w:eastAsia="Arial" w:cs="Arial"/>
          <w:bCs/>
          <w:sz w:val="22"/>
          <w:szCs w:val="22"/>
        </w:rPr>
        <w:t>Yes, as indicated in questions 2 and 3, we see an alternative in using a relative quantitative threshold. Thus, in for example, proving that the fund beats a given benchmark based on a quantitative criterium.</w:t>
      </w:r>
    </w:p>
    <w:p w:rsidR="00B92885" w:rsidP="00B92885">
      <w:permEnd w:id="14"/>
      <w:r>
        <w:t>&lt;ESMA_QUESTION_FUNA_5&gt;</w:t>
      </w:r>
    </w:p>
    <w:p w:rsidR="00B92885" w:rsidP="00B92885"/>
    <w:p w:rsidR="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rsidR="00B92885" w:rsidP="00B92885">
      <w:r>
        <w:t>&lt;ESMA_QUESTION_FUNA_6&gt;</w:t>
      </w:r>
    </w:p>
    <w:p w:rsidR="000F3545" w:rsidRPr="008B53DE" w:rsidP="008B53DE">
      <w:pPr>
        <w:spacing w:before="120" w:after="120"/>
        <w:ind w:left="142" w:right="79"/>
        <w:rPr>
          <w:rFonts w:eastAsia="Arial" w:cs="Arial"/>
          <w:bCs/>
          <w:sz w:val="22"/>
          <w:szCs w:val="22"/>
        </w:rPr>
      </w:pPr>
      <w:permStart w:id="15" w:edGrp="everyone"/>
      <w:r w:rsidRPr="008B53DE">
        <w:rPr>
          <w:rFonts w:eastAsia="Arial" w:cs="Arial"/>
          <w:bCs/>
          <w:sz w:val="22"/>
          <w:szCs w:val="22"/>
        </w:rPr>
        <w:t>BEAMA opposes the ESMA idea of introducing minimum safeguards via the proposed guidelines. This is a task of the European Commission which, in addition is currently working on the introduction of minimum safeguards. In short, ESMA should not pre-empt the work that the EC will soon propose.</w:t>
      </w:r>
    </w:p>
    <w:p w:rsidR="000F3545" w:rsidRPr="008B53DE" w:rsidP="008B53DE">
      <w:pPr>
        <w:spacing w:before="120" w:after="120"/>
        <w:ind w:left="142" w:right="79"/>
        <w:rPr>
          <w:rFonts w:eastAsia="Arial" w:cs="Arial"/>
          <w:bCs/>
          <w:sz w:val="22"/>
          <w:szCs w:val="22"/>
        </w:rPr>
      </w:pPr>
      <w:r w:rsidRPr="008B53DE">
        <w:rPr>
          <w:rFonts w:eastAsia="Arial" w:cs="Arial"/>
          <w:bCs/>
          <w:sz w:val="22"/>
          <w:szCs w:val="22"/>
        </w:rPr>
        <w:t>Moreover, the current ESMA proposal puts too much emphasis on the environmental aspect.</w:t>
      </w:r>
    </w:p>
    <w:p w:rsidR="000F3545" w:rsidRPr="008B53DE" w:rsidP="008B53DE">
      <w:pPr>
        <w:spacing w:before="120" w:after="120"/>
        <w:ind w:left="142" w:right="79"/>
        <w:rPr>
          <w:rFonts w:eastAsia="Arial" w:cs="Arial"/>
          <w:bCs/>
          <w:sz w:val="22"/>
          <w:szCs w:val="22"/>
        </w:rPr>
      </w:pPr>
    </w:p>
    <w:p w:rsidR="000F3545" w:rsidRPr="008B53DE" w:rsidP="008B53DE">
      <w:pPr>
        <w:spacing w:before="120" w:after="120"/>
        <w:ind w:left="142" w:right="79"/>
        <w:rPr>
          <w:rFonts w:eastAsia="Arial" w:cs="Arial"/>
          <w:bCs/>
          <w:sz w:val="22"/>
          <w:szCs w:val="22"/>
        </w:rPr>
      </w:pPr>
      <w:r w:rsidRPr="008B53DE">
        <w:rPr>
          <w:rFonts w:eastAsia="Arial" w:cs="Arial"/>
          <w:bCs/>
          <w:sz w:val="22"/>
          <w:szCs w:val="22"/>
        </w:rPr>
        <w:t>Once there are minimum safeguards, they should only cover the percentages to which the quantitative thresholds relate.</w:t>
      </w:r>
    </w:p>
    <w:p w:rsidR="000F3545" w:rsidRPr="008B53DE" w:rsidP="008B53DE">
      <w:pPr>
        <w:spacing w:before="120" w:after="120"/>
        <w:ind w:left="142" w:right="79"/>
        <w:rPr>
          <w:rFonts w:eastAsia="Arial" w:cs="Arial"/>
          <w:bCs/>
          <w:sz w:val="22"/>
          <w:szCs w:val="22"/>
        </w:rPr>
      </w:pPr>
      <w:r w:rsidRPr="008B53DE">
        <w:rPr>
          <w:rFonts w:eastAsia="Arial" w:cs="Arial"/>
          <w:bCs/>
          <w:sz w:val="22"/>
          <w:szCs w:val="22"/>
        </w:rPr>
        <w:t>Moreover, they should not refer to cash nor to derivatives held temporarily or for hedging purposes.</w:t>
      </w:r>
    </w:p>
    <w:p w:rsidR="00B92885" w:rsidP="00B92885">
      <w:permEnd w:id="15"/>
      <w:r>
        <w:t>&lt;ESMA_QUESTION_FUNA_6&gt;</w:t>
      </w:r>
    </w:p>
    <w:p w:rsidR="00B92885" w:rsidP="00B92885"/>
    <w:p w:rsidR="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rsidR="00B92885" w:rsidP="00B92885">
      <w:r>
        <w:t>&lt;ESMA_QUESTION_FUNA_7&gt;</w:t>
      </w:r>
    </w:p>
    <w:p w:rsidR="008A2977" w:rsidRPr="008B53DE" w:rsidP="008B53DE">
      <w:pPr>
        <w:spacing w:before="120" w:after="120"/>
        <w:ind w:left="142" w:right="79"/>
        <w:rPr>
          <w:rFonts w:eastAsia="Arial" w:cs="Arial"/>
          <w:bCs/>
          <w:sz w:val="22"/>
          <w:szCs w:val="22"/>
        </w:rPr>
      </w:pPr>
      <w:permStart w:id="16" w:edGrp="everyone"/>
      <w:r w:rsidRPr="008B53DE">
        <w:rPr>
          <w:rFonts w:eastAsia="Arial" w:cs="Arial"/>
          <w:bCs/>
          <w:sz w:val="22"/>
          <w:szCs w:val="22"/>
        </w:rPr>
        <w:t>In general, there is currently no regulatory or market standards as to how derivatives shall be taken into account for ESG considerations: scope, calculation methodology, treatment of exclusions, …. This goes beyond the fund naming rules. BEAMA believes there should be a taskforce at EU level to set appropriate standards.</w:t>
      </w:r>
    </w:p>
    <w:p w:rsidR="00B92885" w:rsidP="00B92885">
      <w:permEnd w:id="16"/>
      <w:r>
        <w:t>&lt;ESMA_QUESTION_FUNA_7&gt;</w:t>
      </w:r>
    </w:p>
    <w:p w:rsidR="00B92885" w:rsidP="00B92885"/>
    <w:p w:rsidR="00B92885" w:rsidP="00B92885">
      <w:pPr>
        <w:pStyle w:val="Questionstyle"/>
        <w:numPr>
          <w:ilvl w:val="0"/>
          <w:numId w:val="40"/>
        </w:numPr>
      </w:pPr>
      <w:r>
        <w:t>Would you suggest the use of the notional value or the market value for the purpose of the calculation of the minimum proportion of investment?</w:t>
      </w:r>
    </w:p>
    <w:p w:rsidR="00B92885" w:rsidP="00B92885">
      <w:r>
        <w:t>&lt;ESMA_QUESTION_FUNA_1&gt;</w:t>
      </w:r>
    </w:p>
    <w:p w:rsidR="00B92885" w:rsidP="008B53DE">
      <w:pPr>
        <w:ind w:left="142"/>
      </w:pPr>
      <w:permStart w:id="17" w:edGrp="everyone"/>
      <w:r>
        <w:t>No feedback.</w:t>
      </w:r>
    </w:p>
    <w:p w:rsidR="00B92885" w:rsidP="00B92885">
      <w:permEnd w:id="17"/>
      <w:r>
        <w:t>&lt;ESMA_QUESTION_FUNA_1&gt;</w:t>
      </w:r>
    </w:p>
    <w:p w:rsidR="00B92885" w:rsidP="00B92885"/>
    <w:p w:rsidR="00B92885" w:rsidP="00B92885">
      <w:pPr>
        <w:pStyle w:val="Questionstyle"/>
        <w:numPr>
          <w:ilvl w:val="0"/>
          <w:numId w:val="40"/>
        </w:numPr>
      </w:pPr>
      <w:r>
        <w:t>Are there any other measures you would recommend for derivatives for the calculation of the minimum proportion of investments?</w:t>
      </w:r>
    </w:p>
    <w:p w:rsidR="00B92885" w:rsidP="00B92885">
      <w:r>
        <w:t>&lt;ESMA_QUESTION_FUNA_2&gt;</w:t>
      </w:r>
    </w:p>
    <w:p w:rsidR="00B92885" w:rsidP="008B53DE">
      <w:pPr>
        <w:ind w:left="142"/>
      </w:pPr>
      <w:permStart w:id="18" w:edGrp="everyone"/>
      <w:r>
        <w:t>No feedback.</w:t>
      </w:r>
    </w:p>
    <w:p w:rsidR="00B92885" w:rsidP="00B92885">
      <w:permEnd w:id="18"/>
      <w:r>
        <w:t>&lt;ESMA_QUESTION_FUNA_2&gt;</w:t>
      </w:r>
    </w:p>
    <w:p w:rsidR="00B92885" w:rsidP="00B92885"/>
    <w:p w:rsidR="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rsidR="00B92885" w:rsidP="00B92885">
      <w:r>
        <w:t>&lt;ESMA_QUESTION_FUNA_8&gt;</w:t>
      </w:r>
    </w:p>
    <w:p w:rsidR="00471D8C" w:rsidRPr="008B53DE" w:rsidP="008B53DE">
      <w:pPr>
        <w:spacing w:before="120" w:after="120"/>
        <w:ind w:left="142" w:right="79"/>
        <w:rPr>
          <w:rFonts w:eastAsia="Arial" w:cs="Arial"/>
          <w:bCs/>
          <w:sz w:val="22"/>
          <w:szCs w:val="22"/>
        </w:rPr>
      </w:pPr>
      <w:permStart w:id="19" w:edGrp="everyone"/>
      <w:r w:rsidRPr="008B53DE">
        <w:rPr>
          <w:rFonts w:eastAsia="Arial" w:cs="Arial"/>
          <w:bCs/>
          <w:sz w:val="22"/>
          <w:szCs w:val="22"/>
        </w:rPr>
        <w:t>BEAMA is of the opinion that the same requirements for funds’ names should apply to all funds, and more generally to all financial products.</w:t>
      </w:r>
    </w:p>
    <w:p w:rsidR="00471D8C" w:rsidRPr="008B53DE" w:rsidP="008B53DE">
      <w:pPr>
        <w:spacing w:before="120" w:after="120"/>
        <w:ind w:left="142" w:right="79"/>
        <w:rPr>
          <w:rFonts w:eastAsia="Arial" w:cs="Arial"/>
          <w:bCs/>
          <w:sz w:val="22"/>
          <w:szCs w:val="22"/>
        </w:rPr>
      </w:pPr>
      <w:r w:rsidRPr="008B53DE">
        <w:rPr>
          <w:rFonts w:eastAsia="Arial" w:cs="Arial"/>
          <w:bCs/>
          <w:sz w:val="22"/>
          <w:szCs w:val="22"/>
        </w:rPr>
        <w:t>To this extent, the manufacturers of ESG/sustainable indexes should be subject to these guidelines so that indexed funds can use a name in line with guidelines applying to funds.</w:t>
      </w:r>
    </w:p>
    <w:p w:rsidR="00B92885" w:rsidP="00B92885">
      <w:permEnd w:id="19"/>
      <w:r>
        <w:t>&lt;ESMA_QUESTION_FUNA_8&gt;</w:t>
      </w:r>
    </w:p>
    <w:p w:rsidR="00B92885" w:rsidP="00B92885"/>
    <w:p w:rsidR="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rsidR="00B92885" w:rsidP="00B92885">
      <w:r>
        <w:t>&lt;ESMA_QUESTION_FUNA_9&gt;</w:t>
      </w:r>
    </w:p>
    <w:p w:rsidR="004C12E0" w:rsidRPr="008B53DE" w:rsidP="008B53DE">
      <w:pPr>
        <w:spacing w:before="120" w:after="120"/>
        <w:ind w:left="142" w:right="79"/>
        <w:rPr>
          <w:rFonts w:eastAsia="Arial" w:cs="Arial"/>
          <w:bCs/>
          <w:sz w:val="22"/>
          <w:szCs w:val="22"/>
        </w:rPr>
      </w:pPr>
      <w:permStart w:id="20" w:edGrp="everyone"/>
      <w:r w:rsidRPr="008B53DE">
        <w:rPr>
          <w:rFonts w:eastAsia="Arial" w:cs="Arial"/>
          <w:bCs/>
          <w:sz w:val="22"/>
          <w:szCs w:val="22"/>
        </w:rPr>
        <w:t>No feedback.</w:t>
      </w:r>
    </w:p>
    <w:p w:rsidR="00B92885" w:rsidP="00B92885">
      <w:permEnd w:id="20"/>
      <w:r>
        <w:t>&lt;ESMA_QUESTION_FUNA_9&gt;</w:t>
      </w:r>
    </w:p>
    <w:p w:rsidR="00B92885" w:rsidP="00B92885"/>
    <w:p w:rsidR="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rsidR="00B92885" w:rsidP="00B92885">
      <w:r>
        <w:t>&lt;ESMA_QUESTION_FUNA_10&gt;</w:t>
      </w:r>
    </w:p>
    <w:p w:rsidR="00C854C4" w:rsidRPr="008B53DE" w:rsidP="008B53DE">
      <w:pPr>
        <w:spacing w:before="120" w:after="120"/>
        <w:ind w:left="142" w:right="79"/>
        <w:rPr>
          <w:rFonts w:eastAsia="Arial" w:cs="Arial"/>
          <w:bCs/>
          <w:sz w:val="22"/>
          <w:szCs w:val="22"/>
        </w:rPr>
      </w:pPr>
      <w:permStart w:id="21" w:edGrp="everyone"/>
      <w:r w:rsidRPr="008B53DE">
        <w:rPr>
          <w:rFonts w:eastAsia="Arial" w:cs="Arial"/>
          <w:bCs/>
          <w:sz w:val="22"/>
          <w:szCs w:val="22"/>
        </w:rPr>
        <w:t>BEAMA is of the opinion that the same (quantitative) requirements for funds’ names should apply to all funds, and more generally to all financial products. Thus also for financial products incorporating impact or impact-related terms in their product name.</w:t>
      </w:r>
    </w:p>
    <w:p w:rsidR="00C854C4" w:rsidRPr="008B53DE" w:rsidP="008B53DE">
      <w:pPr>
        <w:spacing w:before="120" w:after="120"/>
        <w:ind w:left="142" w:right="79"/>
        <w:rPr>
          <w:rFonts w:eastAsia="Arial" w:cs="Arial"/>
          <w:bCs/>
          <w:sz w:val="22"/>
          <w:szCs w:val="22"/>
        </w:rPr>
      </w:pPr>
      <w:r w:rsidRPr="008B53DE">
        <w:rPr>
          <w:rFonts w:eastAsia="Arial" w:cs="Arial"/>
          <w:bCs/>
          <w:sz w:val="22"/>
          <w:szCs w:val="22"/>
        </w:rPr>
        <w:t>In addition, given the specific nature of impact products, BEAMA suggest to impose the requirement that financial products using impact or impact-related terms in their product name should clearly demonstrate what the measurable impact for this product was. For example, clearly indicate the real positive PAI evolution of the product during the last period.</w:t>
      </w:r>
    </w:p>
    <w:p w:rsidR="00B92885" w:rsidP="00B92885">
      <w:permEnd w:id="21"/>
      <w:r>
        <w:t>&lt;ESMA_QUESTION_FUNA_10&gt;</w:t>
      </w:r>
    </w:p>
    <w:p w:rsidR="00B92885" w:rsidP="00B92885"/>
    <w:p w:rsidR="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rsidR="00B92885" w:rsidP="00B92885">
      <w:r>
        <w:t>&lt;ESMA_QUESTION_FUNA_11&gt;</w:t>
      </w:r>
    </w:p>
    <w:p w:rsidR="00934AC3" w:rsidRPr="008B53DE" w:rsidP="008B53DE">
      <w:pPr>
        <w:spacing w:before="120" w:after="120"/>
        <w:ind w:left="142" w:right="79"/>
        <w:rPr>
          <w:rFonts w:eastAsia="Arial" w:cs="Arial"/>
          <w:bCs/>
          <w:sz w:val="22"/>
          <w:szCs w:val="22"/>
        </w:rPr>
      </w:pPr>
      <w:permStart w:id="22" w:edGrp="everyone"/>
      <w:r w:rsidRPr="008B53DE">
        <w:rPr>
          <w:rFonts w:eastAsia="Arial" w:cs="Arial"/>
          <w:bCs/>
          <w:sz w:val="22"/>
          <w:szCs w:val="22"/>
        </w:rPr>
        <w:t>In our understanding, the response to this question requires a clear definition from the European Commission of what “transition” entails and a clear indication of how transition can be taken into consideration.</w:t>
      </w:r>
    </w:p>
    <w:p w:rsidR="00934AC3" w:rsidRPr="008B53DE" w:rsidP="008B53DE">
      <w:pPr>
        <w:spacing w:before="120" w:after="120"/>
        <w:ind w:left="142" w:right="79"/>
        <w:rPr>
          <w:rFonts w:eastAsia="Arial" w:cs="Arial"/>
          <w:bCs/>
          <w:sz w:val="22"/>
          <w:szCs w:val="22"/>
        </w:rPr>
      </w:pPr>
      <w:r w:rsidRPr="008B53DE">
        <w:rPr>
          <w:rFonts w:eastAsia="Arial" w:cs="Arial"/>
          <w:bCs/>
          <w:sz w:val="22"/>
          <w:szCs w:val="22"/>
        </w:rPr>
        <w:t>Our suggestion would be that transition would fall within the scope of the to be reviewed definition for sustainable investments.</w:t>
      </w:r>
    </w:p>
    <w:p w:rsidR="00B92885" w:rsidP="00B92885">
      <w:permEnd w:id="22"/>
      <w:r>
        <w:t>&lt;ESMA_QUESTION_FUNA_11&gt;</w:t>
      </w:r>
    </w:p>
    <w:p w:rsidR="00B92885" w:rsidP="00B92885"/>
    <w:p w:rsidR="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rsidR="00B92885" w:rsidP="00B92885">
      <w:r>
        <w:t>&lt;ESMA_QUESTION_FUNA_12&gt;</w:t>
      </w:r>
    </w:p>
    <w:p w:rsidR="00A26351" w:rsidRPr="008B53DE" w:rsidP="008B53DE">
      <w:pPr>
        <w:spacing w:before="120" w:after="120"/>
        <w:ind w:left="142" w:right="79"/>
        <w:rPr>
          <w:rFonts w:eastAsia="Arial" w:cs="Arial"/>
          <w:bCs/>
          <w:sz w:val="22"/>
          <w:szCs w:val="22"/>
        </w:rPr>
      </w:pPr>
      <w:permStart w:id="23" w:edGrp="everyone"/>
      <w:r w:rsidRPr="008B53DE">
        <w:rPr>
          <w:rFonts w:eastAsia="Arial" w:cs="Arial"/>
          <w:bCs/>
          <w:sz w:val="22"/>
          <w:szCs w:val="22"/>
        </w:rPr>
        <w:t>BEAMA is definitely of the opinion that these proposals should also be applicable to other financial products.</w:t>
      </w:r>
    </w:p>
    <w:p w:rsidR="00B92885" w:rsidP="00B92885">
      <w:permEnd w:id="23"/>
      <w:r>
        <w:t>&lt;ESMA_QUESTION_FUNA_12&gt;</w:t>
      </w:r>
    </w:p>
    <w:p w:rsidR="00B92885" w:rsidP="00B92885"/>
    <w:p w:rsidR="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rsidR="00B92885" w:rsidP="00B92885">
      <w:r>
        <w:t>&lt;ESMA_QUESTION_FUNA_13&gt;</w:t>
      </w:r>
    </w:p>
    <w:p w:rsidR="004325A2" w:rsidRPr="008B53DE" w:rsidP="008B53DE">
      <w:pPr>
        <w:spacing w:before="120" w:after="120"/>
        <w:ind w:left="142" w:right="79"/>
        <w:rPr>
          <w:rFonts w:eastAsia="Arial" w:cs="Arial"/>
          <w:bCs/>
          <w:sz w:val="22"/>
          <w:szCs w:val="22"/>
        </w:rPr>
      </w:pPr>
      <w:permStart w:id="24" w:edGrp="everyone"/>
      <w:r w:rsidRPr="008B53DE">
        <w:rPr>
          <w:rFonts w:eastAsia="Arial" w:cs="Arial"/>
          <w:bCs/>
          <w:sz w:val="22"/>
          <w:szCs w:val="22"/>
        </w:rPr>
        <w:t>BEAMA asks for at least 12 months transition period.</w:t>
      </w:r>
    </w:p>
    <w:p w:rsidR="004325A2" w:rsidRPr="008B53DE" w:rsidP="008B53DE">
      <w:pPr>
        <w:spacing w:before="120" w:after="120"/>
        <w:ind w:left="142" w:right="79"/>
        <w:rPr>
          <w:rFonts w:eastAsia="Arial" w:cs="Arial"/>
          <w:bCs/>
          <w:sz w:val="22"/>
          <w:szCs w:val="22"/>
        </w:rPr>
      </w:pPr>
      <w:r w:rsidRPr="008B53DE">
        <w:rPr>
          <w:rFonts w:eastAsia="Arial" w:cs="Arial"/>
          <w:bCs/>
          <w:sz w:val="22"/>
          <w:szCs w:val="22"/>
        </w:rPr>
        <w:t xml:space="preserve">Furthermore, the time to implement any clarification from the European Commission about SFDR’s sustainable investments should be factored in as well. In other words, BEAMA is of the opinion that ESMA should also take into account the regulatory developments at EU-level </w:t>
      </w:r>
      <w:r w:rsidRPr="008B53DE">
        <w:rPr>
          <w:rFonts w:eastAsia="Arial" w:cs="Arial"/>
          <w:bCs/>
          <w:sz w:val="22"/>
          <w:szCs w:val="22"/>
        </w:rPr>
        <w:t>on sustainability (e.g. the outstanding questions raised by the ESAs to the European Commission on September 22).</w:t>
      </w:r>
      <w:r w:rsidRPr="008B53DE">
        <w:rPr>
          <w:rFonts w:eastAsia="Arial" w:cs="Arial"/>
          <w:bCs/>
          <w:sz w:val="22"/>
          <w:szCs w:val="22"/>
        </w:rPr>
        <w:br/>
        <w:t>Therefore, a 12 months transition period seems to be the bare minimum according to BEAMA.</w:t>
      </w:r>
    </w:p>
    <w:p w:rsidR="00B92885" w:rsidP="00B92885">
      <w:permEnd w:id="24"/>
      <w:r>
        <w:t>&lt;ESMA_QUESTION_FUNA_13&gt;</w:t>
      </w:r>
    </w:p>
    <w:p w:rsidR="00B92885" w:rsidP="00B92885"/>
    <w:p w:rsidR="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rsidR="00B92885" w:rsidP="00B92885">
      <w:r>
        <w:t>&lt;ESMA_QUESTION_FUNA_14&gt;</w:t>
      </w:r>
    </w:p>
    <w:p w:rsidR="0011588F" w:rsidRPr="008B53DE" w:rsidP="008B53DE">
      <w:pPr>
        <w:spacing w:before="120" w:after="120"/>
        <w:ind w:left="142" w:right="79"/>
        <w:rPr>
          <w:rFonts w:eastAsia="Arial" w:cs="Arial"/>
          <w:bCs/>
          <w:sz w:val="22"/>
          <w:szCs w:val="22"/>
        </w:rPr>
      </w:pPr>
      <w:permStart w:id="25" w:edGrp="everyone"/>
      <w:r w:rsidRPr="008B53DE">
        <w:rPr>
          <w:rFonts w:eastAsia="Arial" w:cs="Arial"/>
          <w:bCs/>
          <w:sz w:val="22"/>
          <w:szCs w:val="22"/>
        </w:rPr>
        <w:t>BEAMA is of the opinion that the naming-related provision should not be extended to closed-ended funds which have terminated their subscription period before the application date of the Guidelines, because on the one hand the amortization period for these funds would make it difficult to match over the entire duration of the fund, and on the other hand investors are no longer able to invest in these funds.</w:t>
      </w:r>
    </w:p>
    <w:p w:rsidR="00B92885" w:rsidP="00B92885">
      <w:permEnd w:id="25"/>
      <w:r>
        <w:t>&lt;ESMA_QUESTION_FUNA_14&gt;</w:t>
      </w:r>
    </w:p>
    <w:p w:rsidR="00B92885" w:rsidP="00B92885"/>
    <w:p w:rsidR="00B92885" w:rsidP="00B92885">
      <w:pPr>
        <w:pStyle w:val="Questionstyle"/>
        <w:numPr>
          <w:ilvl w:val="0"/>
          <w:numId w:val="39"/>
        </w:numPr>
      </w:pPr>
      <w:r>
        <w:t xml:space="preserve">: </w:t>
      </w:r>
      <w:r w:rsidRPr="00D5777E">
        <w:t>What is the anticipated impact from the introduction of the proposed Guidelines?</w:t>
      </w:r>
    </w:p>
    <w:p w:rsidR="00B92885" w:rsidP="00B92885">
      <w:r>
        <w:t>&lt;ESMA_QUESTION_FUNA_15&gt;</w:t>
      </w:r>
    </w:p>
    <w:p w:rsidR="00E97116" w:rsidRPr="008B53DE" w:rsidP="008B53DE">
      <w:pPr>
        <w:spacing w:before="120" w:after="120"/>
        <w:ind w:left="142" w:right="79"/>
        <w:rPr>
          <w:rFonts w:eastAsia="Arial" w:cs="Arial"/>
          <w:bCs/>
          <w:sz w:val="22"/>
          <w:szCs w:val="22"/>
        </w:rPr>
      </w:pPr>
      <w:permStart w:id="26" w:edGrp="everyone"/>
      <w:r w:rsidRPr="008B53DE">
        <w:rPr>
          <w:rFonts w:eastAsia="Arial" w:cs="Arial"/>
          <w:bCs/>
          <w:sz w:val="22"/>
          <w:szCs w:val="22"/>
        </w:rPr>
        <w:t>BEAMA is of the opinion that the potential impact from the introduction of the proposed guidelines significantly depends on the following elements:</w:t>
      </w:r>
    </w:p>
    <w:p w:rsidR="00E97116" w:rsidRPr="008B53DE" w:rsidP="008B53DE">
      <w:pPr>
        <w:pStyle w:val="ListParagraph"/>
        <w:numPr>
          <w:ilvl w:val="0"/>
          <w:numId w:val="41"/>
        </w:numPr>
        <w:spacing w:before="120" w:after="120"/>
        <w:ind w:left="142" w:right="79"/>
        <w:rPr>
          <w:rFonts w:eastAsia="Arial" w:cs="Arial"/>
          <w:bCs/>
          <w:sz w:val="22"/>
          <w:szCs w:val="22"/>
        </w:rPr>
      </w:pPr>
      <w:r w:rsidRPr="008B53DE">
        <w:rPr>
          <w:rFonts w:eastAsia="Arial" w:cs="Arial"/>
          <w:bCs/>
          <w:sz w:val="22"/>
          <w:szCs w:val="22"/>
        </w:rPr>
        <w:t>The quantitative ESG- and sustainable investments thresholds;</w:t>
      </w:r>
    </w:p>
    <w:p w:rsidR="00E97116" w:rsidRPr="008B53DE" w:rsidP="008B53DE">
      <w:pPr>
        <w:pStyle w:val="ListParagraph"/>
        <w:numPr>
          <w:ilvl w:val="0"/>
          <w:numId w:val="41"/>
        </w:numPr>
        <w:spacing w:before="120" w:after="120"/>
        <w:ind w:left="142" w:right="79"/>
        <w:rPr>
          <w:rFonts w:eastAsia="Arial" w:cs="Arial"/>
          <w:bCs/>
          <w:sz w:val="22"/>
          <w:szCs w:val="22"/>
        </w:rPr>
      </w:pPr>
      <w:r w:rsidRPr="008B53DE">
        <w:rPr>
          <w:rFonts w:eastAsia="Arial" w:cs="Arial"/>
          <w:bCs/>
          <w:sz w:val="22"/>
          <w:szCs w:val="22"/>
        </w:rPr>
        <w:t>Any new/additional requirements ESMA might finally impose;</w:t>
      </w:r>
    </w:p>
    <w:p w:rsidR="00E97116" w:rsidRPr="008B53DE" w:rsidP="008B53DE">
      <w:pPr>
        <w:pStyle w:val="ListParagraph"/>
        <w:numPr>
          <w:ilvl w:val="0"/>
          <w:numId w:val="41"/>
        </w:numPr>
        <w:spacing w:before="120" w:after="120"/>
        <w:ind w:left="142" w:right="79"/>
        <w:rPr>
          <w:rFonts w:eastAsia="Arial" w:cs="Arial"/>
          <w:bCs/>
          <w:sz w:val="22"/>
          <w:szCs w:val="22"/>
        </w:rPr>
      </w:pPr>
      <w:r w:rsidRPr="008B53DE">
        <w:rPr>
          <w:rFonts w:eastAsia="Arial" w:cs="Arial"/>
          <w:bCs/>
          <w:sz w:val="22"/>
          <w:szCs w:val="22"/>
        </w:rPr>
        <w:t>How the proposed guidelines will be implemented to all other financial products.</w:t>
      </w:r>
    </w:p>
    <w:p w:rsidR="00E97116" w:rsidRPr="008B53DE" w:rsidP="008B53DE">
      <w:pPr>
        <w:spacing w:before="120" w:after="120"/>
        <w:ind w:left="142" w:right="79"/>
        <w:rPr>
          <w:rFonts w:eastAsia="Arial" w:cs="Arial"/>
          <w:bCs/>
          <w:sz w:val="22"/>
          <w:szCs w:val="22"/>
        </w:rPr>
      </w:pPr>
      <w:r w:rsidRPr="008B53DE">
        <w:rPr>
          <w:rFonts w:eastAsia="Arial" w:cs="Arial"/>
          <w:bCs/>
          <w:sz w:val="22"/>
          <w:szCs w:val="22"/>
        </w:rPr>
        <w:t>Depending on the outcome of these elements, the impact might range up to being very strong/severe.</w:t>
      </w:r>
    </w:p>
    <w:p w:rsidR="00B92885" w:rsidP="00B92885">
      <w:permEnd w:id="26"/>
      <w:r>
        <w:t>&lt;ESMA_QUESTION_FUNA_15&gt;</w:t>
      </w:r>
    </w:p>
    <w:p w:rsidR="00B92885" w:rsidP="00B92885"/>
    <w:p w:rsidR="00B92885" w:rsidRPr="00C24402"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rsidR="00B92885" w:rsidP="00B92885">
      <w:r>
        <w:t>&lt;ESMA_QUESTION_FUNA_16&gt;</w:t>
      </w:r>
    </w:p>
    <w:p w:rsidR="00655255" w:rsidRPr="008B53DE" w:rsidP="008B53DE">
      <w:pPr>
        <w:spacing w:before="120" w:after="120"/>
        <w:ind w:left="142" w:right="79"/>
        <w:jc w:val="both"/>
        <w:rPr>
          <w:rFonts w:eastAsia="Arial" w:cs="Arial"/>
          <w:bCs/>
          <w:sz w:val="22"/>
          <w:szCs w:val="22"/>
        </w:rPr>
      </w:pPr>
      <w:permStart w:id="27" w:edGrp="everyone"/>
      <w:r w:rsidRPr="008B53DE">
        <w:rPr>
          <w:rFonts w:eastAsia="Arial" w:cs="Arial"/>
          <w:bCs/>
          <w:sz w:val="22"/>
          <w:szCs w:val="22"/>
        </w:rPr>
        <w:t>A possible change in methodology would have consequences at the level of the precontractual and periodic reports, on the level of the product name, and might lead to additional training/upgrading of staff. Ultimately, this will be translated into additional operational costs which are difficult to assess at this point.</w:t>
      </w:r>
    </w:p>
    <w:p w:rsidR="00B92885" w:rsidP="00B92885">
      <w:permEnd w:id="27"/>
      <w:r>
        <w:t>&lt;ESMA_QUESTION_FUNA_16&gt;</w:t>
      </w:r>
    </w:p>
    <w:p w:rsidR="00F87897" w:rsidP="00B92885">
      <w:pPr>
        <w:pStyle w:val="Questionstyle"/>
        <w:numPr>
          <w:ilvl w:val="0"/>
          <w:numId w:val="39"/>
        </w:numPr>
        <w:rPr>
          <w:rFonts w:cstheme="minorBidi"/>
          <w:b w:val="0"/>
          <w:sz w:val="22"/>
          <w:lang w:eastAsia="en-US"/>
        </w:rPr>
      </w:pPr>
    </w:p>
    <w:sectPr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Tr="00315E96">
      <w:tblPrEx>
        <w:tblW w:w="9412" w:type="dxa"/>
        <w:tblCellMar>
          <w:left w:w="0" w:type="dxa"/>
          <w:right w:w="0" w:type="dxa"/>
        </w:tblCellMar>
        <w:tblLook w:val="01E0"/>
      </w:tblPrEx>
      <w:trPr>
        <w:trHeight w:val="284"/>
      </w:trPr>
      <w:tc>
        <w:tcPr>
          <w:tcW w:w="8460" w:type="dxa"/>
        </w:tcPr>
        <w:p w:rsidR="00267551" w:rsidRPr="00315E96" w:rsidP="00315E96">
          <w:pPr>
            <w:pStyle w:val="00Footer"/>
            <w:rPr>
              <w:lang w:val="fr-FR"/>
            </w:rPr>
          </w:pPr>
        </w:p>
      </w:tc>
      <w:tc>
        <w:tcPr>
          <w:tcW w:w="952" w:type="dxa"/>
        </w:tcPr>
        <w:p w:rsidR="00267551" w:rsidRPr="00616B9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Pr="00616B9B">
            <w:rPr>
              <w:rFonts w:cs="Arial"/>
              <w:sz w:val="22"/>
              <w:szCs w:val="22"/>
            </w:rPr>
            <w:t>9</w:t>
          </w:r>
          <w:r w:rsidRPr="00616B9B">
            <w:rPr>
              <w:rFonts w:cs="Arial"/>
              <w:noProof/>
              <w:sz w:val="22"/>
              <w:szCs w:val="22"/>
            </w:rPr>
            <w:fldChar w:fldCharType="end"/>
          </w:r>
        </w:p>
      </w:tc>
    </w:tr>
  </w:tbl>
  <w:p w:rsidR="00267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7551" w:rsidP="00B92885">
    <w:pPr>
      <w:pStyle w:val="Footer"/>
      <w:tabs>
        <w:tab w:val="clear" w:pos="4536"/>
        <w:tab w:val="left" w:pos="8227"/>
        <w:tab w:val="clear" w:pos="9072"/>
        <w:tab w:val="right" w:pos="9412"/>
      </w:tabs>
    </w:pPr>
    <w:r>
      <w:tab/>
    </w:r>
    <w:r w:rsidR="00B92885">
      <w:tab/>
    </w:r>
  </w:p>
  <w:p w:rsidR="00B92885" w:rsidP="00B92885">
    <w:pPr>
      <w:pStyle w:val="Footer"/>
      <w:tabs>
        <w:tab w:val="clear" w:pos="4536"/>
        <w:tab w:val="left" w:pos="8227"/>
        <w:tab w:val="clear" w:pos="9072"/>
        <w:tab w:val="right" w:pos="9412"/>
      </w:tabs>
    </w:pPr>
    <w:r>
      <w:tab/>
    </w:r>
    <w:r>
      <w:tab/>
    </w:r>
    <w:r>
      <w:tab/>
    </w:r>
  </w:p>
  <w:p w:rsidR="00B92885" w:rsidP="00B92885">
    <w:pPr>
      <w:pStyle w:val="Footer"/>
      <w:tabs>
        <w:tab w:val="clear" w:pos="4536"/>
        <w:tab w:val="left" w:pos="8227"/>
        <w:tab w:val="clear" w:pos="9072"/>
        <w:tab w:val="right" w:pos="941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755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7551">
    <w:pPr>
      <w:pStyle w:val="Header"/>
    </w:pPr>
    <w:r>
      <w:rPr>
        <w:noProof/>
        <w:lang w:eastAsia="en-GB"/>
      </w:rPr>
      <w:drawing>
        <wp:anchor distT="0" distB="0" distL="114300" distR="114300" simplePos="0" relativeHeight="251662336"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24"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9264"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58165"/>
                      </a:xfrm>
                      <a:prstGeom prst="line">
                        <a:avLst/>
                      </a:prstGeom>
                      <a:noFill/>
                      <a:ln w="12700">
                        <a:solidFill>
                          <a:srgbClr val="283583"/>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0288" from="121.9pt,48.2pt" to="121.9pt,92.15pt" strokecolor="#283583"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7551" w:rsidP="00013CCE">
    <w:pPr>
      <w:pStyle w:val="Header"/>
      <w:jc w:val="right"/>
    </w:pPr>
    <w:r>
      <w:rPr>
        <w:noProof/>
        <w:lang w:eastAsia="en-GB"/>
      </w:rPr>
      <w:drawing>
        <wp:anchor distT="0" distB="0" distL="114300" distR="114300" simplePos="0" relativeHeight="251661312"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25" name="Picture 2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26"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755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Tr="000C06C9">
      <w:tblPrEx>
        <w:tblW w:w="9412" w:type="dxa"/>
        <w:tblCellMar>
          <w:left w:w="0" w:type="dxa"/>
          <w:right w:w="0" w:type="dxa"/>
        </w:tblCellMar>
        <w:tblLook w:val="01E0"/>
      </w:tblPrEx>
      <w:trPr>
        <w:trHeight w:val="284"/>
      </w:trPr>
      <w:tc>
        <w:tcPr>
          <w:tcW w:w="8460" w:type="dxa"/>
        </w:tcPr>
        <w:p w:rsidR="00267551" w:rsidRPr="000C3B6D" w:rsidP="000C06C9">
          <w:pPr>
            <w:pStyle w:val="00Footer"/>
            <w:rPr>
              <w:lang w:val="fr-FR"/>
            </w:rPr>
          </w:pPr>
        </w:p>
      </w:tc>
      <w:tc>
        <w:tcPr>
          <w:tcW w:w="952" w:type="dxa"/>
        </w:tcPr>
        <w:p w:rsidR="00267551" w:rsidRPr="00146B34" w:rsidP="000C06C9">
          <w:pPr>
            <w:pStyle w:val="00aPagenumber"/>
            <w:rPr>
              <w:lang w:val="fr-FR"/>
            </w:rPr>
          </w:pPr>
        </w:p>
      </w:tc>
    </w:tr>
  </w:tbl>
  <w:p w:rsidR="00267551" w:rsidRPr="00DB46C3">
    <w:pPr>
      <w:rPr>
        <w:lang w:val="fr-FR"/>
      </w:rPr>
    </w:pPr>
  </w:p>
  <w:p w:rsidR="00267551" w:rsidRPr="002F4496">
    <w:pPr>
      <w:pStyle w:val="Header"/>
      <w:rPr>
        <w:lang w:val="fr-FR"/>
      </w:rPr>
    </w:pPr>
  </w:p>
  <w:p w:rsidR="00267551" w:rsidRPr="002F4496" w:rsidP="000C06C9">
    <w:pPr>
      <w:pStyle w:val="Header"/>
      <w:tabs>
        <w:tab w:val="clear" w:pos="4536"/>
        <w:tab w:val="left" w:pos="8227"/>
        <w:tab w:val="clear" w:pos="9072"/>
      </w:tabs>
      <w:rPr>
        <w:lang w:val="fr-FR"/>
      </w:rPr>
    </w:pPr>
  </w:p>
  <w:p w:rsidR="00267551" w:rsidRPr="002F4496" w:rsidP="00583885">
    <w:pPr>
      <w:pStyle w:val="Header"/>
      <w:jc w:val="right"/>
      <w:rPr>
        <w:lang w:val="fr-FR"/>
      </w:rPr>
    </w:pPr>
  </w:p>
  <w:p w:rsidR="00267551" w:rsidRPr="002F4496">
    <w:pPr>
      <w:pStyle w:val="Header"/>
      <w:rPr>
        <w:lang w:val="fr-FR"/>
      </w:rPr>
    </w:pPr>
  </w:p>
  <w:p w:rsidR="00267551" w:rsidRPr="002F4496">
    <w:pPr>
      <w:pStyle w:val="Header"/>
      <w:rPr>
        <w:lang w:val="fr-FR"/>
      </w:rPr>
    </w:pPr>
  </w:p>
  <w:p w:rsidR="00267551" w:rsidRPr="002F4496">
    <w:pPr>
      <w:pStyle w:val="Header"/>
      <w:rPr>
        <w:lang w:val="fr-FR"/>
      </w:rPr>
    </w:pPr>
  </w:p>
  <w:p w:rsidR="00267551" w:rsidRPr="002F4496">
    <w:pPr>
      <w:pStyle w:val="Header"/>
      <w:rPr>
        <w:highlight w:val="yellow"/>
        <w:lang w:val="fr-FR"/>
      </w:rPr>
    </w:pPr>
  </w:p>
  <w:p w:rsidR="00267551">
    <w:pPr>
      <w:pStyle w:val="Header"/>
    </w:pPr>
    <w:r>
      <w:rPr>
        <w:noProof/>
        <w:lang w:eastAsia="en-GB"/>
      </w:rPr>
      <mc:AlternateContent>
        <mc:Choice Requires="wps">
          <w:drawing>
            <wp:anchor distT="0" distB="0" distL="114299" distR="114299" simplePos="0" relativeHeight="251664384"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99795"/>
                      </a:xfrm>
                      <a:prstGeom prst="line">
                        <a:avLst/>
                      </a:prstGeom>
                      <a:noFill/>
                      <a:ln w="12700">
                        <a:solidFill>
                          <a:srgbClr val="283583"/>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396.9pt,48.2pt" to="396.9pt,119.05pt" strokecolor="#283583" strokeweight="1pt"/>
          </w:pict>
        </mc:Fallback>
      </mc:AlternateContent>
    </w:r>
    <w:r>
      <w:rPr>
        <w:noProof/>
        <w:lang w:eastAsia="en-GB"/>
      </w:rPr>
      <w:drawing>
        <wp:anchor distT="0" distB="0" distL="114300" distR="114300" simplePos="0" relativeHeight="251663360"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C56CD"/>
    <w:multiLevelType w:val="hybridMultilevel"/>
    <w:tmpl w:val="E5847DAC"/>
    <w:lvl w:ilvl="0">
      <w:start w:val="1"/>
      <w:numFmt w:val="decimal"/>
      <w:pStyle w:val="DPpara"/>
      <w:lvlText w:val="%1."/>
      <w:lvlJc w:val="left"/>
      <w:pPr>
        <w:ind w:left="473" w:hanging="360"/>
      </w:pPr>
      <w:rPr>
        <w:rFonts w:cs="Times New Roman" w:hint="default"/>
        <w:b w:val="0"/>
      </w:rPr>
    </w:lvl>
    <w:lvl w:ilvl="1">
      <w:start w:val="1"/>
      <w:numFmt w:val="lowerLetter"/>
      <w:lvlText w:val="%2."/>
      <w:lvlJc w:val="left"/>
      <w:pPr>
        <w:ind w:left="1193" w:hanging="360"/>
      </w:pPr>
      <w:rPr>
        <w:rFonts w:cs="Times New Roman"/>
        <w:b w:val="0"/>
      </w:rPr>
    </w:lvl>
    <w:lvl w:ilvl="2">
      <w:start w:val="1"/>
      <w:numFmt w:val="lowerRoman"/>
      <w:lvlText w:val="%3."/>
      <w:lvlJc w:val="right"/>
      <w:pPr>
        <w:ind w:left="1913" w:hanging="180"/>
      </w:pPr>
      <w:rPr>
        <w:rFonts w:cs="Times New Roman"/>
      </w:rPr>
    </w:lvl>
    <w:lvl w:ilvl="3">
      <w:start w:val="1"/>
      <w:numFmt w:val="decimal"/>
      <w:lvlText w:val="%4."/>
      <w:lvlJc w:val="left"/>
      <w:pPr>
        <w:ind w:left="2633" w:hanging="360"/>
      </w:pPr>
      <w:rPr>
        <w:rFonts w:cs="Times New Roman"/>
      </w:rPr>
    </w:lvl>
    <w:lvl w:ilvl="4" w:tentative="1">
      <w:start w:val="1"/>
      <w:numFmt w:val="lowerLetter"/>
      <w:lvlText w:val="%5."/>
      <w:lvlJc w:val="left"/>
      <w:pPr>
        <w:ind w:left="3353" w:hanging="360"/>
      </w:pPr>
      <w:rPr>
        <w:rFonts w:cs="Times New Roman"/>
      </w:rPr>
    </w:lvl>
    <w:lvl w:ilvl="5" w:tentative="1">
      <w:start w:val="1"/>
      <w:numFmt w:val="lowerRoman"/>
      <w:lvlText w:val="%6."/>
      <w:lvlJc w:val="right"/>
      <w:pPr>
        <w:ind w:left="4073" w:hanging="180"/>
      </w:pPr>
      <w:rPr>
        <w:rFonts w:cs="Times New Roman"/>
      </w:rPr>
    </w:lvl>
    <w:lvl w:ilvl="6" w:tentative="1">
      <w:start w:val="1"/>
      <w:numFmt w:val="decimal"/>
      <w:lvlText w:val="%7."/>
      <w:lvlJc w:val="left"/>
      <w:pPr>
        <w:ind w:left="4793" w:hanging="360"/>
      </w:pPr>
      <w:rPr>
        <w:rFonts w:cs="Times New Roman"/>
      </w:rPr>
    </w:lvl>
    <w:lvl w:ilvl="7" w:tentative="1">
      <w:start w:val="1"/>
      <w:numFmt w:val="lowerLetter"/>
      <w:lvlText w:val="%8."/>
      <w:lvlJc w:val="left"/>
      <w:pPr>
        <w:ind w:left="5513" w:hanging="360"/>
      </w:pPr>
      <w:rPr>
        <w:rFonts w:cs="Times New Roman"/>
      </w:rPr>
    </w:lvl>
    <w:lvl w:ilvl="8"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start w:val="1"/>
      <w:numFmt w:val="bullet"/>
      <w:pStyle w:val="ListBullet3"/>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cap="rnd">
          <w14:noFill/>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start w:val="1"/>
      <w:numFmt w:val="lowerRoman"/>
      <w:pStyle w:val="aNEW-Questions"/>
      <w:lvlText w:val="%1."/>
      <w:lvlJc w:val="left"/>
      <w:pPr>
        <w:tabs>
          <w:tab w:val="num" w:pos="851"/>
        </w:tabs>
        <w:ind w:left="851" w:hanging="341"/>
      </w:pPr>
      <w:rPr>
        <w:rFonts w:hint="default"/>
        <w:lang w:val="en-GB"/>
      </w:rPr>
    </w:lvl>
    <w:lvl w:ilvl="1">
      <w:start w:val="0"/>
      <w:numFmt w:val="bullet"/>
      <w:lvlText w:val="-"/>
      <w:lvlJc w:val="left"/>
      <w:pPr>
        <w:ind w:left="1791" w:hanging="360"/>
      </w:pPr>
      <w:rPr>
        <w:rFonts w:ascii="Georgia" w:eastAsia="Times New Roman" w:hAnsi="Georgia" w:hint="default"/>
      </w:rPr>
    </w:lvl>
    <w:lvl w:ilvl="2">
      <w:start w:val="1"/>
      <w:numFmt w:val="bullet"/>
      <w:lvlText w:val=""/>
      <w:lvlJc w:val="left"/>
      <w:pPr>
        <w:ind w:left="2511" w:hanging="360"/>
      </w:pPr>
      <w:rPr>
        <w:rFonts w:ascii="Wingdings" w:hAnsi="Wingdings" w:hint="default"/>
      </w:rPr>
    </w:lvl>
    <w:lvl w:ilvl="3" w:tentative="1">
      <w:start w:val="1"/>
      <w:numFmt w:val="bullet"/>
      <w:lvlText w:val=""/>
      <w:lvlJc w:val="left"/>
      <w:pPr>
        <w:ind w:left="3231" w:hanging="360"/>
      </w:pPr>
      <w:rPr>
        <w:rFonts w:ascii="Symbol" w:hAnsi="Symbol" w:hint="default"/>
      </w:rPr>
    </w:lvl>
    <w:lvl w:ilvl="4" w:tentative="1">
      <w:start w:val="1"/>
      <w:numFmt w:val="bullet"/>
      <w:lvlText w:val="o"/>
      <w:lvlJc w:val="left"/>
      <w:pPr>
        <w:ind w:left="3951" w:hanging="360"/>
      </w:pPr>
      <w:rPr>
        <w:rFonts w:ascii="Courier New" w:hAnsi="Courier New" w:hint="default"/>
      </w:rPr>
    </w:lvl>
    <w:lvl w:ilvl="5" w:tentative="1">
      <w:start w:val="1"/>
      <w:numFmt w:val="bullet"/>
      <w:lvlText w:val=""/>
      <w:lvlJc w:val="left"/>
      <w:pPr>
        <w:ind w:left="4671" w:hanging="360"/>
      </w:pPr>
      <w:rPr>
        <w:rFonts w:ascii="Wingdings" w:hAnsi="Wingdings" w:hint="default"/>
      </w:rPr>
    </w:lvl>
    <w:lvl w:ilvl="6" w:tentative="1">
      <w:start w:val="1"/>
      <w:numFmt w:val="bullet"/>
      <w:lvlText w:val=""/>
      <w:lvlJc w:val="left"/>
      <w:pPr>
        <w:ind w:left="5391" w:hanging="360"/>
      </w:pPr>
      <w:rPr>
        <w:rFonts w:ascii="Symbol" w:hAnsi="Symbol" w:hint="default"/>
      </w:rPr>
    </w:lvl>
    <w:lvl w:ilvl="7" w:tentative="1">
      <w:start w:val="1"/>
      <w:numFmt w:val="bullet"/>
      <w:lvlText w:val="o"/>
      <w:lvlJc w:val="left"/>
      <w:pPr>
        <w:ind w:left="6111" w:hanging="360"/>
      </w:pPr>
      <w:rPr>
        <w:rFonts w:ascii="Courier New" w:hAnsi="Courier New" w:hint="default"/>
      </w:rPr>
    </w:lvl>
    <w:lvl w:ilvl="8" w:tentative="1">
      <w:start w:val="1"/>
      <w:numFmt w:val="bullet"/>
      <w:lvlText w:val=""/>
      <w:lvlJc w:val="left"/>
      <w:pPr>
        <w:ind w:left="6831" w:hanging="360"/>
      </w:pPr>
      <w:rPr>
        <w:rFonts w:ascii="Wingdings" w:hAnsi="Wingdings" w:hint="default"/>
      </w:rPr>
    </w:lvl>
  </w:abstractNum>
  <w:abstractNum w:abstractNumId="4">
    <w:nsid w:val="1C3C6171"/>
    <w:multiLevelType w:val="hybridMultilevel"/>
    <w:tmpl w:val="05447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9B0521"/>
    <w:multiLevelType w:val="hybridMultilevel"/>
    <w:tmpl w:val="F76CB20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start w:val="1"/>
      <w:numFmt w:val="lowerLetter"/>
      <w:pStyle w:val="aStyle1"/>
      <w:lvlText w:val="%1."/>
      <w:lvlJc w:val="left"/>
      <w:pPr>
        <w:ind w:left="1778" w:hanging="360"/>
      </w:p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8">
    <w:nsid w:val="25B95E1B"/>
    <w:multiLevelType w:val="hybridMultilevel"/>
    <w:tmpl w:val="085619C2"/>
    <w:lvl w:ilvl="0">
      <w:start w:val="1"/>
      <w:numFmt w:val="lowerLetter"/>
      <w:pStyle w:val="Bullet"/>
      <w:lvlText w:val="%1."/>
      <w:lvlJc w:val="left"/>
      <w:pPr>
        <w:ind w:left="119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EF52DE"/>
    <w:multiLevelType w:val="hybridMultilevel"/>
    <w:tmpl w:val="8B90AA94"/>
    <w:lvl w:ilvl="0">
      <w:start w:val="1"/>
      <w:numFmt w:val="bullet"/>
      <w:lvlText w:val="-"/>
      <w:lvlJc w:val="left"/>
      <w:pPr>
        <w:ind w:left="1330" w:hanging="360"/>
      </w:pPr>
      <w:rPr>
        <w:rFonts w:ascii="Arial" w:eastAsia="Arial" w:hAnsi="Arial" w:cs="Arial" w:hint="default"/>
      </w:rPr>
    </w:lvl>
    <w:lvl w:ilvl="1" w:tentative="1">
      <w:start w:val="1"/>
      <w:numFmt w:val="bullet"/>
      <w:lvlText w:val="o"/>
      <w:lvlJc w:val="left"/>
      <w:pPr>
        <w:ind w:left="2050" w:hanging="360"/>
      </w:pPr>
      <w:rPr>
        <w:rFonts w:ascii="Courier New" w:hAnsi="Courier New" w:cs="Courier New" w:hint="default"/>
      </w:rPr>
    </w:lvl>
    <w:lvl w:ilvl="2" w:tentative="1">
      <w:start w:val="1"/>
      <w:numFmt w:val="bullet"/>
      <w:lvlText w:val=""/>
      <w:lvlJc w:val="left"/>
      <w:pPr>
        <w:ind w:left="2770" w:hanging="360"/>
      </w:pPr>
      <w:rPr>
        <w:rFonts w:ascii="Wingdings" w:hAnsi="Wingdings" w:hint="default"/>
      </w:rPr>
    </w:lvl>
    <w:lvl w:ilvl="3" w:tentative="1">
      <w:start w:val="1"/>
      <w:numFmt w:val="bullet"/>
      <w:lvlText w:val=""/>
      <w:lvlJc w:val="left"/>
      <w:pPr>
        <w:ind w:left="3490" w:hanging="360"/>
      </w:pPr>
      <w:rPr>
        <w:rFonts w:ascii="Symbol" w:hAnsi="Symbol" w:hint="default"/>
      </w:rPr>
    </w:lvl>
    <w:lvl w:ilvl="4" w:tentative="1">
      <w:start w:val="1"/>
      <w:numFmt w:val="bullet"/>
      <w:lvlText w:val="o"/>
      <w:lvlJc w:val="left"/>
      <w:pPr>
        <w:ind w:left="4210" w:hanging="360"/>
      </w:pPr>
      <w:rPr>
        <w:rFonts w:ascii="Courier New" w:hAnsi="Courier New" w:cs="Courier New" w:hint="default"/>
      </w:rPr>
    </w:lvl>
    <w:lvl w:ilvl="5" w:tentative="1">
      <w:start w:val="1"/>
      <w:numFmt w:val="bullet"/>
      <w:lvlText w:val=""/>
      <w:lvlJc w:val="left"/>
      <w:pPr>
        <w:ind w:left="4930" w:hanging="360"/>
      </w:pPr>
      <w:rPr>
        <w:rFonts w:ascii="Wingdings" w:hAnsi="Wingdings" w:hint="default"/>
      </w:rPr>
    </w:lvl>
    <w:lvl w:ilvl="6" w:tentative="1">
      <w:start w:val="1"/>
      <w:numFmt w:val="bullet"/>
      <w:lvlText w:val=""/>
      <w:lvlJc w:val="left"/>
      <w:pPr>
        <w:ind w:left="5650" w:hanging="360"/>
      </w:pPr>
      <w:rPr>
        <w:rFonts w:ascii="Symbol" w:hAnsi="Symbol" w:hint="default"/>
      </w:rPr>
    </w:lvl>
    <w:lvl w:ilvl="7" w:tentative="1">
      <w:start w:val="1"/>
      <w:numFmt w:val="bullet"/>
      <w:lvlText w:val="o"/>
      <w:lvlJc w:val="left"/>
      <w:pPr>
        <w:ind w:left="6370" w:hanging="360"/>
      </w:pPr>
      <w:rPr>
        <w:rFonts w:ascii="Courier New" w:hAnsi="Courier New" w:cs="Courier New" w:hint="default"/>
      </w:rPr>
    </w:lvl>
    <w:lvl w:ilvl="8" w:tentative="1">
      <w:start w:val="1"/>
      <w:numFmt w:val="bullet"/>
      <w:lvlText w:val=""/>
      <w:lvlJc w:val="left"/>
      <w:pPr>
        <w:ind w:left="7090" w:hanging="360"/>
      </w:pPr>
      <w:rPr>
        <w:rFonts w:ascii="Wingdings" w:hAnsi="Wingdings" w:hint="default"/>
      </w:rPr>
    </w:lvl>
  </w:abstractNum>
  <w:abstractNum w:abstractNumId="1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start w:val="1"/>
      <w:numFmt w:val="bullet"/>
      <w:pStyle w:val="04bList"/>
      <w:lvlText w:val="─"/>
      <w:lvlJc w:val="left"/>
      <w:pPr>
        <w:tabs>
          <w:tab w:val="num" w:pos="568"/>
        </w:tabs>
        <w:ind w:left="568" w:hanging="284"/>
      </w:pPr>
      <w:rPr>
        <w:rFonts w:ascii="Georgia" w:hAnsi="Georgia"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start w:val="1"/>
      <w:numFmt w:val="decimal"/>
      <w:lvlText w:val="Q%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Text w:val="–"/>
      <w:lvlJc w:val="left"/>
      <w:pPr>
        <w:tabs>
          <w:tab w:val="num" w:pos="1417"/>
        </w:tabs>
        <w:ind w:left="1417" w:hanging="567"/>
      </w:pPr>
    </w:lvl>
  </w:abstractNum>
  <w:abstractNum w:abstractNumId="15">
    <w:nsid w:val="3A841364"/>
    <w:multiLevelType w:val="hybridMultilevel"/>
    <w:tmpl w:val="21CCF614"/>
    <w:lvl w:ilvl="0">
      <w:start w:val="1"/>
      <w:numFmt w:val="lowerLetter"/>
      <w:pStyle w:val="ListBullet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pStyle w:val="Tiret0"/>
      <w:lvlText w:val="–"/>
      <w:lvlJc w:val="left"/>
      <w:pPr>
        <w:tabs>
          <w:tab w:val="num" w:pos="850"/>
        </w:tabs>
        <w:ind w:left="850" w:hanging="850"/>
      </w:pPr>
    </w:lvl>
  </w:abstractNum>
  <w:abstractNum w:abstractNumId="17">
    <w:nsid w:val="3C890EB4"/>
    <w:multiLevelType w:val="hybridMultilevel"/>
    <w:tmpl w:val="D00E6092"/>
    <w:lvl w:ilvl="0">
      <w:start w:val="1"/>
      <w:numFmt w:val="upperRoman"/>
      <w:pStyle w:val="05dHeadline1blue"/>
      <w:lvlText w:val="%1."/>
      <w:lvlJc w:val="left"/>
      <w:pPr>
        <w:tabs>
          <w:tab w:val="num" w:pos="284"/>
        </w:tabs>
        <w:ind w:left="284" w:hanging="284"/>
      </w:pPr>
      <w:rPr>
        <w:rFonts w:ascii="Georgia" w:hAnsi="Georgia"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pStyle w:val="Tiret3"/>
      <w:lvlText w:val="–"/>
      <w:lvlJc w:val="left"/>
      <w:pPr>
        <w:tabs>
          <w:tab w:val="num" w:pos="2551"/>
        </w:tabs>
        <w:ind w:left="2551" w:hanging="567"/>
      </w:pPr>
    </w:lvl>
  </w:abstractNum>
  <w:abstractNum w:abstractNumId="19">
    <w:nsid w:val="44261A85"/>
    <w:multiLevelType w:val="hybridMultilevel"/>
    <w:tmpl w:val="475889F8"/>
    <w:lvl w:ilvl="0">
      <w:start w:val="1"/>
      <w:numFmt w:val="decimal"/>
      <w:pStyle w:val="aNEW-Paragraph"/>
      <w:lvlText w:val="%1."/>
      <w:lvlJc w:val="left"/>
      <w:pPr>
        <w:tabs>
          <w:tab w:val="num" w:pos="851"/>
        </w:tabs>
        <w:ind w:left="851" w:hanging="284"/>
      </w:pPr>
      <w:rPr>
        <w:rFonts w:ascii="Georgia" w:hAnsi="Georgia" w:hint="default"/>
        <w:b w:val="0"/>
        <w:sz w:val="20"/>
        <w:lang w:val="en-GB"/>
      </w:rPr>
    </w:lvl>
    <w:lvl w:ilvl="1">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cap="rnd">
          <w14:noFill/>
          <w14:bevel/>
        </w14:textOutline>
      </w:rPr>
    </w:lvl>
    <w:lvl w:ilvl="2">
      <w:start w:val="1"/>
      <w:numFmt w:val="lowerRoman"/>
      <w:lvlText w:val="%3."/>
      <w:lvlJc w:val="left"/>
      <w:pPr>
        <w:tabs>
          <w:tab w:val="num" w:pos="2727"/>
        </w:tabs>
        <w:ind w:left="2835" w:hanging="288"/>
      </w:pPr>
      <w:rPr>
        <w:rFonts w:hint="default"/>
      </w:rPr>
    </w:lvl>
    <w:lvl w:ilvl="3">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5B926852"/>
    <w:lvl w:ilvl="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AE2256"/>
    <w:multiLevelType w:val="hybridMultilevel"/>
    <w:tmpl w:val="13D402CA"/>
    <w:lvl w:ilvl="0">
      <w:start w:val="1"/>
      <w:numFmt w:val="decimal"/>
      <w:lvlText w:val="%1."/>
      <w:lvlJc w:val="left"/>
      <w:pPr>
        <w:tabs>
          <w:tab w:val="num" w:pos="284"/>
        </w:tabs>
        <w:ind w:left="284" w:hanging="284"/>
      </w:pPr>
      <w:rPr>
        <w:rFonts w:ascii="Georgia" w:hAnsi="Georgia" w:hint="default"/>
        <w:b w:val="0"/>
        <w:i w:val="0"/>
        <w:sz w:val="20"/>
        <w:lang w:val="en-GB"/>
      </w:rPr>
    </w:lvl>
    <w:lvl w:ilvl="1">
      <w:start w:val="1"/>
      <w:numFmt w:val="lowerRoman"/>
      <w:lvlText w:val="%2."/>
      <w:lvlJc w:val="left"/>
      <w:pPr>
        <w:tabs>
          <w:tab w:val="num" w:pos="1440"/>
        </w:tabs>
        <w:ind w:left="1440" w:hanging="360"/>
      </w:pPr>
      <w:rPr>
        <w:rFonts w:hint="default"/>
        <w:b w:val="0"/>
        <w:lang w:val="en-GB"/>
      </w:rPr>
    </w:lvl>
    <w:lvl w:ilvl="2">
      <w:start w:val="1"/>
      <w:numFmt w:val="lowerLetter"/>
      <w:pStyle w:val="NEW-Paragraph-level3"/>
      <w:lvlText w:val="%3."/>
      <w:lvlJc w:val="left"/>
      <w:pPr>
        <w:tabs>
          <w:tab w:val="num" w:pos="1031"/>
        </w:tabs>
        <w:ind w:left="1139" w:hanging="288"/>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8"/>
      <w:numFmt w:val="bullet"/>
      <w:lvlText w:val="-"/>
      <w:lvlJc w:val="left"/>
      <w:pPr>
        <w:ind w:left="4500" w:hanging="360"/>
      </w:pPr>
      <w:rPr>
        <w:rFonts w:ascii="Georgia" w:eastAsia="Times New Roman" w:hAnsi="Georgia" w:cs="Times New Roman" w:hint="default"/>
      </w:rPr>
    </w:lvl>
    <w:lvl w:ilvl="6">
      <w:start w:val="1"/>
      <w:numFmt w:val="lowerRoman"/>
      <w:lvlText w:val="(%7)"/>
      <w:lvlJc w:val="left"/>
      <w:pPr>
        <w:ind w:left="1004" w:hanging="72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7151D2"/>
    <w:multiLevelType w:val="hybridMultilevel"/>
    <w:tmpl w:val="DE90C632"/>
    <w:lvl w:ilvl="0">
      <w:start w:val="1"/>
      <w:numFmt w:val="bullet"/>
      <w:pStyle w:val="ListBullet"/>
      <w:lvlText w:val=""/>
      <w:lvlJc w:val="left"/>
      <w:pPr>
        <w:tabs>
          <w:tab w:val="num" w:pos="735"/>
        </w:tabs>
        <w:ind w:left="735" w:hanging="375"/>
      </w:pPr>
      <w:rPr>
        <w:rFonts w:ascii="Symbol" w:hAnsi="Symbol" w:hint="default"/>
      </w:rPr>
    </w:lvl>
    <w:lvl w:ilvl="1">
      <w:start w:val="1"/>
      <w:numFmt w:val="bullet"/>
      <w:lvlText w:val=""/>
      <w:lvlJc w:val="left"/>
      <w:pPr>
        <w:tabs>
          <w:tab w:val="num" w:pos="1515"/>
        </w:tabs>
        <w:ind w:left="1515" w:hanging="435"/>
      </w:pPr>
      <w:rPr>
        <w:rFonts w:ascii="Symbol" w:hAnsi="Symbol" w:hint="default"/>
      </w:rPr>
    </w:lvl>
    <w:lvl w:ilvl="2">
      <w:start w:val="0"/>
      <w:numFmt w:val="bullet"/>
      <w:lvlText w:val="-"/>
      <w:lvlJc w:val="left"/>
      <w:pPr>
        <w:ind w:left="2340" w:hanging="360"/>
      </w:pPr>
      <w:rPr>
        <w:rFonts w:ascii="Georgia" w:eastAsia="Times New Roman" w:hAnsi="Georgia"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start w:val="2"/>
      <w:numFmt w:val="upperRoman"/>
      <w:pStyle w:val="Heading1"/>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28">
    <w:nsid w:val="59F0103B"/>
    <w:multiLevelType w:val="hybridMultilevel"/>
    <w:tmpl w:val="9E10363A"/>
    <w:lvl w:ilvl="0">
      <w:start w:val="1"/>
      <w:numFmt w:val="decimal"/>
      <w:lvlText w:val="%1."/>
      <w:lvlJc w:val="left"/>
      <w:pPr>
        <w:tabs>
          <w:tab w:val="num" w:pos="284"/>
        </w:tabs>
        <w:ind w:left="284" w:hanging="284"/>
      </w:pPr>
      <w:rPr>
        <w:rFonts w:ascii="Georgia" w:hAnsi="Georgia" w:hint="default"/>
        <w:sz w:val="20"/>
      </w:rPr>
    </w:lvl>
    <w:lvl w:ilvl="1">
      <w:start w:val="1"/>
      <w:numFmt w:val="lowerLetter"/>
      <w:pStyle w:val="aStyle"/>
      <w:lvlText w:val="%2)"/>
      <w:lvlJc w:val="left"/>
      <w:pPr>
        <w:tabs>
          <w:tab w:val="num" w:pos="1440"/>
        </w:tabs>
        <w:ind w:left="1440" w:hanging="360"/>
      </w:pPr>
      <w:rPr>
        <w:rFont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start w:val="1"/>
      <w:numFmt w:val="decimal"/>
      <w:pStyle w:val="Heading5"/>
      <w:lvlText w:val="Q%1:"/>
      <w:lvlJc w:val="left"/>
      <w:pPr>
        <w:ind w:left="360" w:hanging="360"/>
      </w:pPr>
      <w:rPr>
        <w:rFonts w:hint="default"/>
        <w:b/>
        <w:i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Jc w:val="left"/>
      <w:pPr>
        <w:ind w:left="0" w:firstLine="0"/>
      </w:pPr>
    </w:lvl>
    <w:lvl w:ilvl="4">
      <w:start w:val="1"/>
      <w:numFmt w:val="none"/>
      <w:lvlRestart w:val="0"/>
      <w:pStyle w:val="CPTitle5"/>
      <w:suff w:val="nothing"/>
      <w:lvlJc w:val="left"/>
      <w:pPr>
        <w:ind w:left="0" w:firstLine="0"/>
      </w:pPr>
    </w:lvl>
    <w:lvl w:ilvl="5">
      <w:start w:val="1"/>
      <w:numFmt w:val="none"/>
      <w:lvlRestart w:val="0"/>
      <w:pStyle w:val="CPTitle6"/>
      <w:suff w:val="nothing"/>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start w:val="1"/>
      <w:numFmt w:val="decimal"/>
      <w:pStyle w:val="CPQuest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1A6077"/>
    <w:multiLevelType w:val="hybridMultilevel"/>
    <w:tmpl w:val="E9FE7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1167E2"/>
    <w:multiLevelType w:val="multilevel"/>
    <w:tmpl w:val="C3843A7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start w:val="1"/>
      <w:numFmt w:val="decimal"/>
      <w:pStyle w:val="Tiret1"/>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9">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7"/>
  </w:num>
  <w:num w:numId="30">
    <w:abstractNumId w:val="2"/>
  </w:num>
  <w:num w:numId="31">
    <w:abstractNumId w:val="22"/>
  </w:num>
  <w:num w:numId="32">
    <w:abstractNumId w:val="21"/>
  </w:num>
  <w:num w:numId="33">
    <w:abstractNumId w:val="35"/>
  </w:num>
  <w:num w:numId="34">
    <w:abstractNumId w:val="34"/>
  </w:num>
  <w:num w:numId="35">
    <w:abstractNumId w:val="4"/>
  </w:num>
  <w:num w:numId="36">
    <w:abstractNumId w:val="36"/>
  </w:num>
  <w:num w:numId="37">
    <w:abstractNumId w:val="21"/>
    <w:lvlOverride w:ilvl="0">
      <w:startOverride w:val="1"/>
    </w:lvlOverride>
  </w:num>
  <w:num w:numId="38">
    <w:abstractNumId w:val="21"/>
  </w:num>
  <w:num w:numId="39">
    <w:abstractNumId w:val="13"/>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1" w:allStyles="1" w:alternateStyleNames="0" w:clearFormatting="1" w:customStyles="0" w:directFormattingOnNumbering="1" w:directFormattingOnParagraphs="1" w:directFormattingOnRuns="1" w:directFormattingOnTables="1" w:headingStyles="0" w:latentStyles="0" w:numberingStyles="0" w:stylesInUse="0" w:tableStyles="0" w:top3HeadingStyles="0" w:visibleStyles="0"/>
  <w:documentProtection w:edit="readOnly" w:enforcement="1" w:cryptProviderType="rsaAES" w:cryptAlgorithmClass="hash" w:cryptAlgorithmType="typeAny" w:cryptAlgorithmSid="14" w:cryptSpinCount="100000" w:hash="ql+FyrJRIpIZ+6Lmlf37vcyrEwxculZlAqor49Mb3vWDHtuyruwrq9FlOtk8ij2nk4hStJ5t1je+&#10;F2j/k7sqAw==&#10;" w:salt="XtxIJ4JTstjo6DkS7RFc8g==&#10;"/>
  <w:defaultTabStop w:val="709"/>
  <w:autoHyphenation/>
  <w:hyphenationZone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 Char3,Char3,Footnote1,Footnote10,Footnote11,Footnote2,Footnote21,Footnote3,Footnote31,Footnote4,Footnote41,Footnote5,Footnote51,Footnote6,Footnote61,Footnote7,Footnote71,Footnote8,Footnote9,Fußnotentextf,Fußnotentextr,stile 1"/>
    <w:basedOn w:val="Normal"/>
    <w:link w:val="FootnoteTextChar"/>
    <w:qFormat/>
    <w:locked/>
    <w:rsid w:val="001725A5"/>
    <w:pPr>
      <w:spacing w:line="200" w:lineRule="exact"/>
    </w:pPr>
    <w:rPr>
      <w:sz w:val="16"/>
      <w:szCs w:val="20"/>
    </w:rPr>
  </w:style>
  <w:style w:type="character" w:styleId="FootnoteReference">
    <w:name w:val="footnote reference"/>
    <w:aliases w:val="(Footnote Reference),-E Fußnotenzeichen,16 Point,BVI fnr,EN Footnote Reference,Exposant 3 Poi,Footnote,Footnote Reference Superscript,Footnote reference number,Footnote symbol,SUPERS,Times 10 Point,Voetnootverwijzing,note TESI,number"/>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num" w:pos="284"/>
        <w:tab w:val="clear" w:pos="567"/>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EC,Paragraphe EI,Paragraphe de liste,Paragraphe de liste1"/>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 Char3 Char,Char3 Char,Footnote1 Char,Footnote10 Char,Footnote2 Char,Footnote3 Char,Footnote4 Char,Footnote5 Char,Footnote6 Char,Footnote7 Char,Footnote8 Char,Footnote9 Char,Fußnotentextf Char,Fußnotentextr Char,stile 1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 Char3 Char1,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EC Char,Paragraphe EI Char,Paragraphe de liste Char,Paragraphe de liste1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locked/>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locked/>
    <w:rsid w:val="000D2D0B"/>
    <w:pPr>
      <w:tabs>
        <w:tab w:val="left" w:pos="397"/>
        <w:tab w:val="clear" w:pos="454"/>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num" w:pos="1276"/>
        <w:tab w:val="clear" w:pos="1361"/>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num" w:pos="426"/>
        <w:tab w:val="clear" w:pos="851"/>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left" w:pos="720"/>
        <w:tab w:val="clear" w:pos="851"/>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hAnsi="Arial" w:eastAsiaTheme="minorEastAsia"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hAnsi="Arial" w:eastAsiaTheme="minorEastAsia"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_rels/header4.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1db0cbf4-83cc-494f-b6b6-1904e10b356b" xsi:nil="true"/>
    <Number xmlns="99d59dcc-c856-4946-9478-59bf7c88ef96" xsi:nil="true"/>
    <Association xmlns="1db0cbf4-83cc-494f-b6b6-1904e10b356b">BEAMA</Association>
    <PublicationDate xmlns="99d59dcc-c856-4946-9478-59bf7c88ef96" xsi:nil="true"/>
    <feb_DocumentID xmlns="1db0cbf4-83cc-494f-b6b6-1904e10b356b">FEB515451</feb_DocumentID>
    <Feb_Language xmlns="1db0cbf4-83cc-494f-b6b6-1904e10b356b">EN</Feb_Language>
    <LineOfActivity xmlns="1db0cbf4-83cc-494f-b6b6-1904e10b356b">Asset Management &amp; Private Banking</LineOfActivity>
    <OrganizationalUnit xmlns="1db0cbf4-83cc-494f-b6b6-1904e10b356b">BEAMA - WG Sustainable Finance (collective portfolio management)</OrganizationalUnit>
    <Contact xmlns="1db0cbf4-83cc-494f-b6b6-1904e10b356b">
      <UserInfo>
        <DisplayName>Andy Vangenck</DisplayName>
        <AccountId>20</AccountId>
        <AccountType/>
      </UserInfo>
    </Contact>
    <Feb_Status xmlns="99d59dcc-c856-4946-9478-59bf7c88ef96">Final</Feb_Status>
    <Publish xmlns="99d59dcc-c856-4946-9478-59bf7c88ef96">
      <Url xsi:nil="true"/>
      <Description xsi:nil="true"/>
    </Publish>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esentation" ma:contentTypeID="0x010100D8064DFAA4F87B4D8154B26B9C24F11F0078D92E5119B9DA48BEA04FC121FE6A08" ma:contentTypeVersion="317" ma:contentTypeDescription="Create a new document." ma:contentTypeScope="" ma:versionID="39962b5fd28d99d879730456796e8ec1">
  <xsd:schema xmlns:xsd="http://www.w3.org/2001/XMLSchema" xmlns:xs="http://www.w3.org/2001/XMLSchema" xmlns:p="http://schemas.microsoft.com/office/2006/metadata/properties" xmlns:ns2="1db0cbf4-83cc-494f-b6b6-1904e10b356b" xmlns:ns3="99d59dcc-c856-4946-9478-59bf7c88ef96" targetNamespace="http://schemas.microsoft.com/office/2006/metadata/properties" ma:root="true" ma:fieldsID="b5e37d52f053bd5257cf351ffbf268f2" ns2:_="" ns3:_="">
    <xsd:import namespace="1db0cbf4-83cc-494f-b6b6-1904e10b356b"/>
    <xsd:import namespace="99d59dcc-c856-4946-9478-59bf7c88ef96"/>
    <xsd:element name="properties">
      <xsd:complexType>
        <xsd:sequence>
          <xsd:element name="documentManagement">
            <xsd:complexType>
              <xsd:all>
                <xsd:element ref="ns2:Feb_Language" minOccurs="0"/>
                <xsd:element ref="ns2:Association" minOccurs="0"/>
                <xsd:element ref="ns2:LineOfActivity" minOccurs="0"/>
                <xsd:element ref="ns2:OrganizationalUnit" minOccurs="0"/>
                <xsd:element ref="ns2:Contact" minOccurs="0"/>
                <xsd:element ref="ns3:PublicationDate" minOccurs="0"/>
                <xsd:element ref="ns3:Feb_Status"/>
                <xsd:element ref="ns2:MeetingDate" minOccurs="0"/>
                <xsd:element ref="ns3:Number" minOccurs="0"/>
                <xsd:element ref="ns2:feb_DocumentID" minOccurs="0"/>
                <xsd:element ref="ns3:Pub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0cbf4-83cc-494f-b6b6-1904e10b356b" elementFormDefault="qualified">
    <xsd:import namespace="http://schemas.microsoft.com/office/2006/documentManagement/types"/>
    <xsd:import namespace="http://schemas.microsoft.com/office/infopath/2007/PartnerControls"/>
    <xsd:element name="Feb_Language" ma:index="2" nillable="true" ma:displayName="Language" ma:default="EN" ma:description="" ma:format="Dropdown" ma:internalName="Feb_Language" ma:readOnly="false">
      <xsd:simpleType>
        <xsd:restriction base="dms:Choice">
          <xsd:enumeration value="NL"/>
          <xsd:enumeration value="FR"/>
          <xsd:enumeration value="EN"/>
          <xsd:enumeration value="Other"/>
          <xsd:enumeration value="Mixed"/>
        </xsd:restriction>
      </xsd:simpleType>
    </xsd:element>
    <xsd:element name="Association" ma:index="3" nillable="true" ma:displayName="Association" ma:default="Febelfin" ma:format="Dropdown" ma:internalName="Association" ma:readOnly="false">
      <xsd:simpleType>
        <xsd:restriction base="dms:Choice">
          <xsd:enumeration value="Febelfin"/>
          <xsd:enumeration value="ABB-BVB"/>
          <xsd:enumeration value="UPC-BVK"/>
          <xsd:enumeration value="BEAMA"/>
          <xsd:enumeration value="ABMB-BVBL"/>
          <xsd:enumeration value="BLV-ABL"/>
          <xsd:enumeration value="Febelfin Academy"/>
        </xsd:restriction>
      </xsd:simpleType>
    </xsd:element>
    <xsd:element name="LineOfActivity" ma:index="4" nillable="true" ma:displayName="Hub" ma:format="Dropdown" ma:internalName="LineOfActivity" ma:readOnly="false">
      <xsd:simpleType>
        <xsd:restriction base="dms:Choice">
          <xsd:enumeration value="Retail Banking"/>
          <xsd:enumeration value="Corporate Banking &amp; Leasing"/>
          <xsd:enumeration value="Payments &amp; Operations"/>
          <xsd:enumeration value="Asset Management &amp; Private Banking"/>
          <xsd:enumeration value="Financial Markets &amp; Infrastructure"/>
          <xsd:enumeration value="Regulatory Affairs"/>
          <xsd:enumeration value="Tax Affairs"/>
          <xsd:enumeration value="Economic Affairs"/>
          <xsd:enumeration value="Social Affairs"/>
          <xsd:enumeration value="Learning &amp; Development"/>
          <xsd:enumeration value="Strategic Affairs"/>
          <xsd:enumeration value="Sustainable Finance"/>
          <xsd:enumeration value="European Affairs"/>
          <xsd:enumeration value="Corporate Affairs"/>
          <xsd:enumeration value="Marketing &amp; Communication"/>
        </xsd:restriction>
      </xsd:simpleType>
    </xsd:element>
    <xsd:element name="OrganizationalUnit" ma:index="5" nillable="true" ma:displayName="Organisational Unit" ma:internalName="OrganizationalUnit" ma:readOnly="false">
      <xsd:simpleType>
        <xsd:restriction base="dms:Text">
          <xsd:maxLength value="255"/>
        </xsd:restriction>
      </xsd:simpleType>
    </xsd:element>
    <xsd:element name="Contact" ma:index="6" nillable="true" ma:displayName="Contact" ma:list="UserInfo" ma:SearchPeopleOnly="false" ma:internalName="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Date" ma:index="9" nillable="true" ma:displayName="Meeting Date" ma:default="" ma:description="" ma:format="DateOnly" ma:internalName="MeetingDate" ma:readOnly="false">
      <xsd:simpleType>
        <xsd:restriction base="dms:DateTime"/>
      </xsd:simpleType>
    </xsd:element>
    <xsd:element name="feb_DocumentID" ma:index="11" nillable="true" ma:displayName="Document ID" ma:internalName="feb_Docum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d59dcc-c856-4946-9478-59bf7c88ef96" elementFormDefault="qualified">
    <xsd:import namespace="http://schemas.microsoft.com/office/2006/documentManagement/types"/>
    <xsd:import namespace="http://schemas.microsoft.com/office/infopath/2007/PartnerControls"/>
    <xsd:element name="PublicationDate" ma:index="7" nillable="true" ma:displayName="Publication Date" ma:format="DateOnly" ma:internalName="PublicationDate" ma:readOnly="false">
      <xsd:simpleType>
        <xsd:restriction base="dms:DateTime"/>
      </xsd:simpleType>
    </xsd:element>
    <xsd:element name="Feb_Status" ma:index="8" ma:displayName="Status" ma:default="Internal Draft" ma:format="Dropdown" ma:internalName="Feb_Status" ma:readOnly="false">
      <xsd:simpleType>
        <xsd:restriction base="dms:Choice">
          <xsd:enumeration value="Internal Draft"/>
          <xsd:enumeration value="Public Draft"/>
          <xsd:enumeration value="Final"/>
        </xsd:restriction>
      </xsd:simpleType>
    </xsd:element>
    <xsd:element name="Number" ma:index="10" nillable="true" ma:displayName="Number" ma:internalName="Number" ma:readOnly="false">
      <xsd:simpleType>
        <xsd:restriction base="dms:Text">
          <xsd:maxLength value="255"/>
        </xsd:restriction>
      </xsd:simpleType>
    </xsd:element>
    <xsd:element name="Publish" ma:index="18" nillable="true" ma:displayName="Publish" ma:format="Image" ma:internalName="Publish"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9F8C89DD-5A2E-4D70-9401-022D7883835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2364</Words>
  <Characters>13478</Characters>
  <Application>Microsoft Office Word</Application>
  <DocSecurity>8</DocSecurity>
  <Lines>112</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ESMA_CP_FUNA_BEAMA_REPLYFORM</dc:title>
  <dc:creator>ESMA</dc:creator>
  <cp:lastModifiedBy>Andy Vangenck</cp:lastModifiedBy>
  <cp:revision>25</cp:revision>
  <cp:lastPrinted>2015-02-18T11:01:00Z</cp:lastPrinted>
  <dcterms:created xsi:type="dcterms:W3CDTF">2022-11-18T13:50:00Z</dcterms:created>
  <dcterms:modified xsi:type="dcterms:W3CDTF">2023-02-20T10:43:00Z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ion">
    <vt:lpwstr>Belgian Asset Managers Association vzw/asbl</vt:lpwstr>
  </property>
  <property fmtid="{D5CDD505-2E9C-101B-9397-08002B2CF9AE}" pid="3" name="ConfidentialityLevel">
    <vt:lpwstr>15;#Regular|07f1e362-856b-423d-bea6-a14079762141</vt:lpwstr>
  </property>
  <property fmtid="{D5CDD505-2E9C-101B-9397-08002B2CF9AE}" pid="4" name="Contact">
    <vt:lpwstr>Andy.Vangenck@febelfin.be</vt:lpwstr>
  </property>
  <property fmtid="{D5CDD505-2E9C-101B-9397-08002B2CF9AE}" pid="5" name="Contact2">
    <vt:lpwstr>Andy.Vangenck@febelfin.be</vt:lpwstr>
  </property>
  <property fmtid="{D5CDD505-2E9C-101B-9397-08002B2CF9AE}" pid="6" name="ContentTypeId">
    <vt:lpwstr>0x010100D8064DFAA4F87B4D8154B26B9C24F11F0078D92E5119B9DA48BEA04FC121FE6A08</vt:lpwstr>
  </property>
  <property fmtid="{D5CDD505-2E9C-101B-9397-08002B2CF9AE}" pid="7" name="DocumentID">
    <vt:lpwstr>FEB515451</vt:lpwstr>
  </property>
  <property fmtid="{D5CDD505-2E9C-101B-9397-08002B2CF9AE}" pid="8" name="DocumentType">
    <vt:lpwstr>46;#Note|b9e1c92e-303a-4555-86f0-5c711c65937e</vt:lpwstr>
  </property>
  <property fmtid="{D5CDD505-2E9C-101B-9397-08002B2CF9AE}" pid="9" name="EsmaAudience">
    <vt:lpwstr>194;#Public|902c1e7c-3957-48c1-abbe-acf26525b3f2</vt:lpwstr>
  </property>
  <property fmtid="{D5CDD505-2E9C-101B-9397-08002B2CF9AE}" pid="10" name="Language">
    <vt:lpwstr>EN</vt:lpwstr>
  </property>
  <property fmtid="{D5CDD505-2E9C-101B-9397-08002B2CF9AE}" pid="11" name="LineOfActivity">
    <vt:lpwstr>Asset Management &amp; Private Banking</vt:lpwstr>
  </property>
  <property fmtid="{D5CDD505-2E9C-101B-9397-08002B2CF9AE}" pid="12" name="OrganizationalUnit">
    <vt:lpwstr>BEAMA - WG Sustainable Finance (collective portfolio management)</vt:lpwstr>
  </property>
  <property fmtid="{D5CDD505-2E9C-101B-9397-08002B2CF9AE}" pid="13" name="SubTopic">
    <vt:lpwstr>385;#Supervisory briefing|bf46ff00-e6bf-4d5e-8642-e9ec713c4e98</vt:lpwstr>
  </property>
  <property fmtid="{D5CDD505-2E9C-101B-9397-08002B2CF9AE}" pid="14" name="TeamName">
    <vt:lpwstr>38;#Investment Management|9630b78b-e81c-4ffd-baef-5f8b4aeb7ac5</vt:lpwstr>
  </property>
  <property fmtid="{D5CDD505-2E9C-101B-9397-08002B2CF9AE}" pid="15" name="Topic">
    <vt:lpwstr>379;#IMSC and OWG work on sustainable finance|f6ed5092-971f-4cd6-863c-09ec339003ff</vt:lpwstr>
  </property>
  <property fmtid="{D5CDD505-2E9C-101B-9397-08002B2CF9AE}" pid="16" name="_dlc_DocIdItemGuid">
    <vt:lpwstr>75d40206-4f20-46b1-8861-374bc561b2bb</vt:lpwstr>
  </property>
</Properties>
</file>