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416ABC" w:rsidRPr="000A609F" w14:paraId="5DCC7BC8" w14:textId="77777777" w:rsidTr="00315E96">
        <w:trPr>
          <w:trHeight w:val="284"/>
        </w:trPr>
        <w:tc>
          <w:tcPr>
            <w:tcW w:w="9412" w:type="dxa"/>
          </w:tcPr>
          <w:p w14:paraId="16A89E45" w14:textId="3C1BD526" w:rsidR="00C2094B" w:rsidRPr="00986AF7" w:rsidRDefault="00A52EBB" w:rsidP="0071740A">
            <w:pPr>
              <w:pStyle w:val="Footer"/>
              <w:rPr>
                <w:rFonts w:cs="Arial"/>
                <w:sz w:val="22"/>
                <w:szCs w:val="22"/>
              </w:rPr>
            </w:pPr>
            <w:r w:rsidRPr="00986AF7">
              <w:rPr>
                <w:rFonts w:cs="Arial"/>
                <w:color w:val="FFFFFF" w:themeColor="background1"/>
                <w:sz w:val="22"/>
                <w:szCs w:val="22"/>
              </w:rPr>
              <w:ptab w:relativeTo="margin" w:alignment="center" w:leader="none"/>
            </w:r>
            <w:r w:rsidRPr="00986AF7">
              <w:rPr>
                <w:rFonts w:cs="Arial"/>
                <w:color w:val="FFFFFF" w:themeColor="background1"/>
                <w:sz w:val="22"/>
                <w:szCs w:val="22"/>
              </w:rPr>
              <w:ptab w:relativeTo="margin" w:alignment="right" w:leader="none"/>
            </w:r>
            <w:r w:rsidR="001B73D3">
              <w:rPr>
                <w:rFonts w:cs="Arial"/>
                <w:color w:val="FFFFFF" w:themeColor="background1"/>
                <w:sz w:val="22"/>
                <w:szCs w:val="22"/>
              </w:rPr>
              <w:t>18</w:t>
            </w:r>
            <w:r w:rsidR="00267551">
              <w:rPr>
                <w:rFonts w:cs="Arial"/>
                <w:color w:val="FFFFFF" w:themeColor="background1"/>
                <w:sz w:val="22"/>
                <w:szCs w:val="22"/>
              </w:rPr>
              <w:t xml:space="preserve"> </w:t>
            </w:r>
            <w:r w:rsidR="001B73D3">
              <w:rPr>
                <w:rFonts w:cs="Arial"/>
                <w:color w:val="FFFFFF" w:themeColor="background1"/>
                <w:sz w:val="22"/>
                <w:szCs w:val="22"/>
              </w:rPr>
              <w:t>November</w:t>
            </w:r>
            <w:r w:rsidR="004F6E70">
              <w:rPr>
                <w:rFonts w:cs="Arial"/>
                <w:color w:val="FFFFFF" w:themeColor="background1"/>
                <w:sz w:val="22"/>
                <w:szCs w:val="22"/>
              </w:rPr>
              <w:t xml:space="preserve"> 2022</w:t>
            </w:r>
          </w:p>
        </w:tc>
      </w:tr>
    </w:tbl>
    <w:p w14:paraId="08B582C6" w14:textId="77777777"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14:paraId="36A24E87" w14:textId="77777777" w:rsidTr="00F107EF">
        <w:trPr>
          <w:trHeight w:hRule="exact" w:val="1985"/>
        </w:trPr>
        <w:tc>
          <w:tcPr>
            <w:tcW w:w="9397" w:type="dxa"/>
            <w:vAlign w:val="bottom"/>
          </w:tcPr>
          <w:p w14:paraId="3666949C" w14:textId="0BB3970D" w:rsidR="00791EB4" w:rsidRDefault="00AE627C" w:rsidP="00DD2CDA">
            <w:pPr>
              <w:pStyle w:val="01aDBTitle"/>
              <w:jc w:val="left"/>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w:t>
            </w:r>
            <w:r w:rsidR="00DD2CDA">
              <w:t xml:space="preserve"> </w:t>
            </w:r>
            <w:r w:rsidR="00DD2CDA" w:rsidRPr="00DD2CDA">
              <w:rPr>
                <w:rFonts w:cs="Arial"/>
              </w:rPr>
              <w:t>Consultation Paper on</w:t>
            </w:r>
            <w:r w:rsidR="00B92885">
              <w:rPr>
                <w:rFonts w:cs="Arial"/>
              </w:rPr>
              <w:t xml:space="preserve"> </w:t>
            </w:r>
            <w:r w:rsidR="001B73D3" w:rsidRPr="001B73D3">
              <w:rPr>
                <w:rFonts w:eastAsiaTheme="minorHAnsi" w:cs="Arial"/>
                <w:b w:val="0"/>
                <w:bCs/>
                <w:color w:val="auto"/>
                <w:sz w:val="22"/>
                <w:szCs w:val="22"/>
                <w:lang w:eastAsia="en-US"/>
              </w:rPr>
              <w:t xml:space="preserve"> </w:t>
            </w:r>
            <w:r w:rsidR="001B73D3" w:rsidRPr="001B73D3">
              <w:rPr>
                <w:rFonts w:cs="Arial"/>
                <w:bCs/>
              </w:rPr>
              <w:t>Guidelines for the use of ESG or sustainability-related terms in funds’ names</w:t>
            </w:r>
          </w:p>
          <w:p w14:paraId="186004BC" w14:textId="77777777" w:rsidR="00B61CD3" w:rsidRPr="00616B9B" w:rsidRDefault="00B61CD3" w:rsidP="00DD2CDA">
            <w:pPr>
              <w:pStyle w:val="01aDBTitle"/>
              <w:jc w:val="left"/>
              <w:rPr>
                <w:rFonts w:cs="Arial"/>
              </w:rPr>
            </w:pPr>
          </w:p>
        </w:tc>
      </w:tr>
      <w:tr w:rsidR="00060F72" w:rsidRPr="00616B9B" w14:paraId="4A9A8CFD" w14:textId="77777777" w:rsidTr="00B835D5">
        <w:trPr>
          <w:trHeight w:hRule="exact" w:val="605"/>
        </w:trPr>
        <w:tc>
          <w:tcPr>
            <w:tcW w:w="9397" w:type="dxa"/>
            <w:tcMar>
              <w:top w:w="142" w:type="dxa"/>
            </w:tcMar>
          </w:tcPr>
          <w:p w14:paraId="0BAB6DA8" w14:textId="77777777" w:rsidR="00D91010" w:rsidRPr="00616B9B" w:rsidRDefault="00013CCE" w:rsidP="00027ECF">
            <w:pPr>
              <w:pStyle w:val="01bDBSubtitle"/>
              <w:rPr>
                <w:rFonts w:ascii="Arial" w:hAnsi="Arial" w:cs="Arial"/>
              </w:rPr>
            </w:pPr>
            <w:r w:rsidRPr="00616B9B">
              <w:rPr>
                <w:rFonts w:ascii="Arial" w:hAnsi="Arial" w:cs="Arial"/>
              </w:rPr>
              <w:t xml:space="preserve"> </w:t>
            </w:r>
          </w:p>
        </w:tc>
      </w:tr>
    </w:tbl>
    <w:p w14:paraId="46E7260B" w14:textId="77777777" w:rsidR="00620D7C" w:rsidRPr="00616B9B" w:rsidRDefault="00620D7C" w:rsidP="00C00012">
      <w:pPr>
        <w:pStyle w:val="05HeadlinenoIndex"/>
        <w:rPr>
          <w:rFonts w:cs="Arial"/>
        </w:rPr>
        <w:sectPr w:rsidR="00620D7C" w:rsidRPr="00616B9B" w:rsidSect="006E3C72">
          <w:headerReference w:type="even" r:id="rId13"/>
          <w:headerReference w:type="default" r:id="rId14"/>
          <w:footerReference w:type="even" r:id="rId15"/>
          <w:footerReference w:type="default" r:id="rId16"/>
          <w:headerReference w:type="first" r:id="rId17"/>
          <w:footerReference w:type="first" r:id="rId18"/>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A52EBB" w14:paraId="44C1664D" w14:textId="77777777" w:rsidTr="00315E96">
        <w:trPr>
          <w:trHeight w:hRule="exact" w:val="964"/>
        </w:trPr>
        <w:tc>
          <w:tcPr>
            <w:tcW w:w="2325" w:type="dxa"/>
          </w:tcPr>
          <w:p w14:paraId="4C8ED68C" w14:textId="77777777" w:rsidR="00620D7C" w:rsidRDefault="00620D7C" w:rsidP="00B1467D">
            <w:pPr>
              <w:pStyle w:val="02Date"/>
              <w:rPr>
                <w:rFonts w:cs="Arial"/>
              </w:rPr>
            </w:pPr>
            <w:r w:rsidRPr="00A52EBB">
              <w:rPr>
                <w:rFonts w:cs="Arial"/>
              </w:rPr>
              <w:lastRenderedPageBreak/>
              <w:t>Date</w:t>
            </w:r>
            <w:r w:rsidRPr="00267551">
              <w:rPr>
                <w:rFonts w:cs="Arial"/>
              </w:rPr>
              <w:t xml:space="preserve">: </w:t>
            </w:r>
            <w:r w:rsidR="001B73D3">
              <w:rPr>
                <w:rFonts w:cs="Arial"/>
              </w:rPr>
              <w:t>18</w:t>
            </w:r>
            <w:r w:rsidR="004F6E70">
              <w:rPr>
                <w:rFonts w:cs="Arial"/>
              </w:rPr>
              <w:t xml:space="preserve"> </w:t>
            </w:r>
            <w:r w:rsidR="001B73D3">
              <w:rPr>
                <w:rFonts w:cs="Arial"/>
              </w:rPr>
              <w:t>Nov</w:t>
            </w:r>
            <w:r w:rsidR="004F6E70">
              <w:rPr>
                <w:rFonts w:cs="Arial"/>
              </w:rPr>
              <w:t>ember 2022</w:t>
            </w:r>
          </w:p>
          <w:p w14:paraId="2CAB5AA6" w14:textId="21EAECE5" w:rsidR="00B92885" w:rsidRPr="00A52EBB" w:rsidRDefault="00B92885" w:rsidP="00B1467D">
            <w:pPr>
              <w:pStyle w:val="02Date"/>
              <w:rPr>
                <w:rFonts w:cs="Arial"/>
              </w:rPr>
            </w:pPr>
          </w:p>
        </w:tc>
      </w:tr>
    </w:tbl>
    <w:p w14:paraId="4A7E6333" w14:textId="77777777"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14:paraId="6DB08373" w14:textId="7A474624" w:rsidR="00F574D0" w:rsidRPr="00EF0769" w:rsidRDefault="00F574D0" w:rsidP="00F574D0">
      <w:pPr>
        <w:pStyle w:val="04BodyText"/>
        <w:spacing w:before="120" w:after="120"/>
        <w:rPr>
          <w:rFonts w:cs="Arial"/>
        </w:rPr>
      </w:pPr>
      <w:r w:rsidRPr="00EF0769">
        <w:rPr>
          <w:rFonts w:cs="Arial"/>
        </w:rPr>
        <w:t>The European Securities and Markets Authority</w:t>
      </w:r>
      <w:bookmarkStart w:id="1" w:name="_GoBack"/>
      <w:bookmarkEnd w:id="1"/>
      <w:r w:rsidRPr="00EF0769">
        <w:rPr>
          <w:rFonts w:cs="Arial"/>
        </w:rPr>
        <w:t xml:space="preserve"> (ESMA) invites responses to the s</w:t>
      </w:r>
      <w:r w:rsidR="00955F48" w:rsidRPr="00EF0769">
        <w:rPr>
          <w:rFonts w:cs="Arial"/>
        </w:rPr>
        <w:t xml:space="preserve">pecific questions listed in the </w:t>
      </w:r>
      <w:r w:rsidR="000E49B7">
        <w:rPr>
          <w:rFonts w:cs="Arial"/>
        </w:rPr>
        <w:t xml:space="preserve">Consultation Paper on </w:t>
      </w:r>
      <w:r w:rsidR="000C2054">
        <w:rPr>
          <w:rFonts w:cs="Arial"/>
        </w:rPr>
        <w:t>Guidelines for the use of ESG or sustainability-related terms in funds’ names</w:t>
      </w:r>
      <w:r w:rsidR="000E78C1">
        <w:rPr>
          <w:rFonts w:cs="Arial"/>
        </w:rPr>
        <w:t xml:space="preserve"> </w:t>
      </w:r>
      <w:r w:rsidR="00015B5E" w:rsidRPr="00EF0769">
        <w:rPr>
          <w:rFonts w:cs="Arial"/>
        </w:rPr>
        <w:t>published on the ESMA website</w:t>
      </w:r>
      <w:r w:rsidR="004E49B0" w:rsidRPr="00EF0769">
        <w:rPr>
          <w:rFonts w:cs="Arial"/>
        </w:rPr>
        <w:t>.</w:t>
      </w:r>
    </w:p>
    <w:p w14:paraId="27AFD082" w14:textId="77777777" w:rsidR="001D000A" w:rsidRDefault="001D000A" w:rsidP="00F574D0">
      <w:pPr>
        <w:autoSpaceDE w:val="0"/>
        <w:autoSpaceDN w:val="0"/>
        <w:adjustRightInd w:val="0"/>
        <w:spacing w:before="120" w:after="120" w:line="276" w:lineRule="auto"/>
        <w:jc w:val="both"/>
        <w:rPr>
          <w:rStyle w:val="Strong4"/>
          <w:rFonts w:cs="Arial"/>
          <w:i/>
        </w:rPr>
      </w:pPr>
    </w:p>
    <w:p w14:paraId="1EDEDD47" w14:textId="77777777"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14:paraId="66DB9C4C" w14:textId="77777777"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to ESMA so as to allow us to process it properly. Therefore, </w:t>
      </w:r>
      <w:r w:rsidR="00332304">
        <w:rPr>
          <w:rFonts w:cs="Arial"/>
        </w:rPr>
        <w:t xml:space="preserve">ESMA will only be able to consider responses which follow the instructions described </w:t>
      </w:r>
      <w:r w:rsidRPr="00EF0769">
        <w:rPr>
          <w:rFonts w:cs="Arial"/>
        </w:rPr>
        <w:t>below</w:t>
      </w:r>
      <w:r w:rsidR="00F574D0" w:rsidRPr="00EF0769">
        <w:rPr>
          <w:rFonts w:cs="Arial"/>
        </w:rPr>
        <w:t>:</w:t>
      </w:r>
    </w:p>
    <w:p w14:paraId="1207EF98" w14:textId="1B5ADF92" w:rsidR="00F574D0" w:rsidRPr="00293D78" w:rsidRDefault="00F574D0" w:rsidP="00366E20">
      <w:pPr>
        <w:pStyle w:val="04BodyText"/>
        <w:numPr>
          <w:ilvl w:val="0"/>
          <w:numId w:val="35"/>
        </w:numPr>
        <w:spacing w:before="120" w:after="120"/>
        <w:rPr>
          <w:rFonts w:cs="Arial"/>
        </w:rPr>
      </w:pPr>
      <w:r w:rsidRPr="00293D78">
        <w:rPr>
          <w:rFonts w:cs="Arial"/>
        </w:rPr>
        <w:t xml:space="preserve">use </w:t>
      </w:r>
      <w:r w:rsidR="00332304" w:rsidRPr="00293D78">
        <w:rPr>
          <w:rFonts w:cs="Arial"/>
        </w:rPr>
        <w:t>this form</w:t>
      </w:r>
      <w:r w:rsidR="00955F48" w:rsidRPr="00293D78">
        <w:rPr>
          <w:rFonts w:cs="Arial"/>
        </w:rPr>
        <w:t xml:space="preserve"> and send </w:t>
      </w:r>
      <w:r w:rsidR="00332304" w:rsidRPr="00293D78">
        <w:rPr>
          <w:rFonts w:cs="Arial"/>
        </w:rPr>
        <w:t>your</w:t>
      </w:r>
      <w:r w:rsidR="00955F48" w:rsidRPr="00293D78">
        <w:rPr>
          <w:rFonts w:cs="Arial"/>
        </w:rPr>
        <w:t xml:space="preserve"> responses in Word format (pdf documents will not be considered);</w:t>
      </w:r>
    </w:p>
    <w:p w14:paraId="557F67D8" w14:textId="6CD7CFF5" w:rsidR="00F574D0" w:rsidRPr="00293D78" w:rsidRDefault="00D75FEE" w:rsidP="00366E20">
      <w:pPr>
        <w:pStyle w:val="04BodyText"/>
        <w:numPr>
          <w:ilvl w:val="0"/>
          <w:numId w:val="35"/>
        </w:numPr>
        <w:spacing w:before="120" w:after="120"/>
        <w:rPr>
          <w:rFonts w:cs="Arial"/>
        </w:rPr>
      </w:pPr>
      <w:r w:rsidRPr="00293D78">
        <w:rPr>
          <w:rFonts w:cs="Arial"/>
        </w:rPr>
        <w:t xml:space="preserve">do </w:t>
      </w:r>
      <w:r w:rsidR="00F574D0" w:rsidRPr="00293D78">
        <w:rPr>
          <w:rFonts w:cs="Arial"/>
        </w:rPr>
        <w:t xml:space="preserve">not remove the tags of </w:t>
      </w:r>
      <w:r w:rsidR="00F574D0" w:rsidRPr="001B73D3">
        <w:rPr>
          <w:rFonts w:cs="Arial"/>
          <w:highlight w:val="yellow"/>
        </w:rPr>
        <w:t xml:space="preserve">type </w:t>
      </w:r>
      <w:r w:rsidR="000A609F" w:rsidRPr="001B73D3">
        <w:rPr>
          <w:rFonts w:cs="Arial"/>
          <w:highlight w:val="yellow"/>
        </w:rPr>
        <w:t>&lt;ESMA_QUESTION_</w:t>
      </w:r>
      <w:r w:rsidR="00B92885">
        <w:rPr>
          <w:rFonts w:cs="Arial"/>
          <w:highlight w:val="yellow"/>
        </w:rPr>
        <w:t>FUNA</w:t>
      </w:r>
      <w:r w:rsidR="000A609F" w:rsidRPr="001B73D3">
        <w:rPr>
          <w:rFonts w:cs="Arial"/>
          <w:highlight w:val="yellow"/>
        </w:rPr>
        <w:t xml:space="preserve">_0&gt; </w:t>
      </w:r>
      <w:r w:rsidR="00F574D0" w:rsidRPr="001B73D3">
        <w:rPr>
          <w:rFonts w:cs="Arial"/>
          <w:highlight w:val="yellow"/>
        </w:rPr>
        <w:t>- i.</w:t>
      </w:r>
      <w:r w:rsidR="00F574D0" w:rsidRPr="00293D78">
        <w:rPr>
          <w:rFonts w:cs="Arial"/>
        </w:rPr>
        <w:t>e. the response to one question has to be framed by the 2 tags corresponding to the question; and</w:t>
      </w:r>
    </w:p>
    <w:p w14:paraId="13BFAA34" w14:textId="77777777" w:rsidR="00F574D0" w:rsidRPr="00293D78" w:rsidRDefault="00F574D0" w:rsidP="00366E20">
      <w:pPr>
        <w:pStyle w:val="04BodyText"/>
        <w:numPr>
          <w:ilvl w:val="0"/>
          <w:numId w:val="35"/>
        </w:numPr>
        <w:spacing w:before="120" w:after="120"/>
        <w:rPr>
          <w:rFonts w:cs="Arial"/>
        </w:rPr>
      </w:pPr>
      <w:r w:rsidRPr="00293D78">
        <w:rPr>
          <w:rFonts w:cs="Arial"/>
        </w:rPr>
        <w:t xml:space="preserve">if </w:t>
      </w:r>
      <w:r w:rsidR="00D75FEE" w:rsidRPr="00293D78">
        <w:rPr>
          <w:rFonts w:cs="Arial"/>
        </w:rPr>
        <w:t>you do not have a</w:t>
      </w:r>
      <w:r w:rsidRPr="00293D78">
        <w:rPr>
          <w:rFonts w:cs="Arial"/>
        </w:rPr>
        <w:t xml:space="preserve"> response to a question, </w:t>
      </w:r>
      <w:r w:rsidR="00D75FEE" w:rsidRPr="00293D78">
        <w:rPr>
          <w:rFonts w:cs="Arial"/>
        </w:rPr>
        <w:t xml:space="preserve">do </w:t>
      </w:r>
      <w:r w:rsidRPr="00293D78">
        <w:rPr>
          <w:rFonts w:cs="Arial"/>
        </w:rPr>
        <w:t>not delete it and leave the text “TYPE YOUR TEXT HERE” between the tags.</w:t>
      </w:r>
    </w:p>
    <w:p w14:paraId="3AF15379" w14:textId="77777777"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14:paraId="571C26D7" w14:textId="77777777" w:rsidR="00F574D0" w:rsidRPr="00293D78" w:rsidRDefault="00F574D0" w:rsidP="00366E20">
      <w:pPr>
        <w:pStyle w:val="04BodyText"/>
        <w:numPr>
          <w:ilvl w:val="0"/>
          <w:numId w:val="36"/>
        </w:numPr>
        <w:spacing w:before="120" w:after="120"/>
        <w:rPr>
          <w:rFonts w:cs="Arial"/>
        </w:rPr>
      </w:pPr>
      <w:r w:rsidRPr="00293D78">
        <w:rPr>
          <w:rFonts w:cs="Arial"/>
        </w:rPr>
        <w:t>if they respond to the question stated;</w:t>
      </w:r>
    </w:p>
    <w:p w14:paraId="6E0AF6CC" w14:textId="77777777" w:rsidR="002E1760" w:rsidRPr="00293D78" w:rsidRDefault="002E1760" w:rsidP="00366E20">
      <w:pPr>
        <w:pStyle w:val="04BodyText"/>
        <w:numPr>
          <w:ilvl w:val="0"/>
          <w:numId w:val="36"/>
        </w:numPr>
        <w:spacing w:before="120" w:after="120"/>
        <w:rPr>
          <w:rFonts w:cs="Arial"/>
        </w:rPr>
      </w:pPr>
      <w:r w:rsidRPr="00293D78">
        <w:rPr>
          <w:rFonts w:cs="Arial"/>
        </w:rPr>
        <w:t>indicate the specific question to which the comment relates;</w:t>
      </w:r>
    </w:p>
    <w:p w14:paraId="35AAD124" w14:textId="77777777" w:rsidR="002E1760" w:rsidRPr="00293D78" w:rsidRDefault="002E1760" w:rsidP="00366E20">
      <w:pPr>
        <w:pStyle w:val="04BodyText"/>
        <w:numPr>
          <w:ilvl w:val="0"/>
          <w:numId w:val="36"/>
        </w:numPr>
        <w:spacing w:before="120" w:after="120"/>
        <w:rPr>
          <w:rFonts w:cs="Arial"/>
        </w:rPr>
      </w:pPr>
      <w:r w:rsidRPr="00293D78">
        <w:rPr>
          <w:rFonts w:cs="Arial"/>
        </w:rPr>
        <w:t>contain a clear rationale; and</w:t>
      </w:r>
    </w:p>
    <w:p w14:paraId="7526349B" w14:textId="77777777" w:rsidR="002E1760" w:rsidRPr="00293D78" w:rsidRDefault="002E1760" w:rsidP="00366E20">
      <w:pPr>
        <w:pStyle w:val="04BodyText"/>
        <w:numPr>
          <w:ilvl w:val="0"/>
          <w:numId w:val="36"/>
        </w:numPr>
        <w:spacing w:before="120" w:after="120"/>
        <w:rPr>
          <w:rFonts w:cs="Arial"/>
        </w:rPr>
      </w:pPr>
      <w:r w:rsidRPr="00293D78">
        <w:rPr>
          <w:rFonts w:cs="Arial"/>
        </w:rPr>
        <w:t>describe any alternatives ESMA should consider.</w:t>
      </w:r>
    </w:p>
    <w:p w14:paraId="55BD190A" w14:textId="77777777" w:rsidR="001D000A" w:rsidRDefault="001D000A" w:rsidP="000D17AA">
      <w:pPr>
        <w:pStyle w:val="04BodyText"/>
        <w:spacing w:before="120" w:after="120"/>
        <w:jc w:val="left"/>
        <w:rPr>
          <w:rFonts w:cs="Arial"/>
          <w:b/>
        </w:rPr>
      </w:pPr>
    </w:p>
    <w:p w14:paraId="527682DA" w14:textId="77777777" w:rsidR="000D17AA" w:rsidRPr="00EF0769" w:rsidRDefault="00606240" w:rsidP="000D17AA">
      <w:pPr>
        <w:pStyle w:val="04BodyText"/>
        <w:spacing w:before="120" w:after="120"/>
        <w:jc w:val="left"/>
        <w:rPr>
          <w:rFonts w:cs="Arial"/>
          <w:b/>
        </w:rPr>
      </w:pPr>
      <w:r>
        <w:rPr>
          <w:rFonts w:cs="Arial"/>
          <w:b/>
        </w:rPr>
        <w:t>Naming protocol</w:t>
      </w:r>
    </w:p>
    <w:p w14:paraId="2786C674" w14:textId="77777777" w:rsidR="000D17AA" w:rsidRPr="00EF0769" w:rsidRDefault="000D17AA" w:rsidP="000D17AA">
      <w:pPr>
        <w:pStyle w:val="04BodyText"/>
        <w:spacing w:before="120" w:after="120"/>
        <w:jc w:val="left"/>
        <w:rPr>
          <w:rFonts w:cs="Arial"/>
        </w:rPr>
      </w:pPr>
      <w:r w:rsidRPr="00EF0769">
        <w:rPr>
          <w:rFonts w:cs="Arial"/>
        </w:rPr>
        <w:t xml:space="preserve">In order to facilitate the handling of </w:t>
      </w:r>
      <w:r w:rsidR="009003B8" w:rsidRPr="00EF0769">
        <w:rPr>
          <w:rFonts w:cs="Arial"/>
        </w:rPr>
        <w:t>stakeholders’</w:t>
      </w:r>
      <w:r w:rsidRPr="00EF0769">
        <w:rPr>
          <w:rFonts w:cs="Arial"/>
        </w:rPr>
        <w:t xml:space="preserve"> responses please save your document using the following format:</w:t>
      </w:r>
    </w:p>
    <w:p w14:paraId="78782123" w14:textId="76F21CD9" w:rsidR="000D17AA"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FUNA</w:t>
      </w:r>
      <w:r w:rsidR="000A609F" w:rsidRPr="001B73D3">
        <w:rPr>
          <w:rFonts w:cs="Arial"/>
          <w:highlight w:val="yellow"/>
        </w:rPr>
        <w:t>_</w:t>
      </w:r>
      <w:r w:rsidRPr="001B73D3">
        <w:rPr>
          <w:rFonts w:cs="Arial"/>
          <w:highlight w:val="yellow"/>
        </w:rPr>
        <w:t>NAMEOFCOMPANY_</w:t>
      </w:r>
      <w:r w:rsidR="000C2054">
        <w:rPr>
          <w:rFonts w:cs="Arial"/>
          <w:highlight w:val="yellow"/>
        </w:rPr>
        <w:t>REPLYFORM</w:t>
      </w:r>
      <w:r w:rsidR="000D17AA" w:rsidRPr="001B73D3">
        <w:rPr>
          <w:rFonts w:cs="Arial"/>
          <w:highlight w:val="yellow"/>
        </w:rPr>
        <w:t>.</w:t>
      </w:r>
    </w:p>
    <w:p w14:paraId="339C231E" w14:textId="5B11E242" w:rsidR="00021E83" w:rsidRPr="00EF0769" w:rsidRDefault="00E90774" w:rsidP="000D17AA">
      <w:pPr>
        <w:pStyle w:val="04BodyText"/>
        <w:spacing w:before="120" w:after="120"/>
        <w:jc w:val="left"/>
        <w:rPr>
          <w:rFonts w:cs="Arial"/>
        </w:rPr>
      </w:pPr>
      <w:r>
        <w:rPr>
          <w:rFonts w:cs="Arial"/>
        </w:rPr>
        <w:t>e</w:t>
      </w:r>
      <w:r w:rsidR="000D17AA" w:rsidRPr="00EF0769">
        <w:rPr>
          <w:rFonts w:cs="Arial"/>
        </w:rPr>
        <w:t xml:space="preserve">.g. if the respondent were </w:t>
      </w:r>
      <w:r w:rsidR="00B92885">
        <w:rPr>
          <w:rFonts w:cs="Arial"/>
        </w:rPr>
        <w:t>ABCD</w:t>
      </w:r>
      <w:r w:rsidR="000D17AA" w:rsidRPr="00EF0769">
        <w:rPr>
          <w:rFonts w:cs="Arial"/>
        </w:rPr>
        <w:t xml:space="preserve">, the </w:t>
      </w:r>
      <w:r w:rsidR="00021E83" w:rsidRPr="00EF0769">
        <w:rPr>
          <w:rFonts w:cs="Arial"/>
        </w:rPr>
        <w:t>name of the reply form would be:</w:t>
      </w:r>
    </w:p>
    <w:p w14:paraId="07FC02DB" w14:textId="5319DAC7" w:rsidR="00021E83" w:rsidRPr="00EF0769" w:rsidRDefault="00021E83" w:rsidP="000D17AA">
      <w:pPr>
        <w:pStyle w:val="04BodyText"/>
        <w:spacing w:before="120" w:after="120"/>
        <w:jc w:val="left"/>
        <w:rPr>
          <w:rFonts w:cs="Arial"/>
        </w:rPr>
      </w:pPr>
      <w:r w:rsidRPr="001B73D3">
        <w:rPr>
          <w:rFonts w:cs="Arial"/>
          <w:highlight w:val="yellow"/>
        </w:rPr>
        <w:t>ESMA_</w:t>
      </w:r>
      <w:r w:rsidR="00227C1A" w:rsidRPr="001B73D3">
        <w:rPr>
          <w:rFonts w:cs="Arial"/>
          <w:highlight w:val="yellow"/>
        </w:rPr>
        <w:t>CP</w:t>
      </w:r>
      <w:r w:rsidR="007254DD" w:rsidRPr="001B73D3">
        <w:rPr>
          <w:rFonts w:cs="Arial"/>
          <w:highlight w:val="yellow"/>
        </w:rPr>
        <w:t>_</w:t>
      </w:r>
      <w:r w:rsidR="00B92885">
        <w:rPr>
          <w:rFonts w:cs="Arial"/>
          <w:highlight w:val="yellow"/>
        </w:rPr>
        <w:t>FUN</w:t>
      </w:r>
      <w:r w:rsidR="00733158" w:rsidRPr="001B73D3">
        <w:rPr>
          <w:rFonts w:cs="Arial"/>
          <w:highlight w:val="yellow"/>
        </w:rPr>
        <w:t>A</w:t>
      </w:r>
      <w:r w:rsidR="00227C1A" w:rsidRPr="001B73D3">
        <w:rPr>
          <w:rFonts w:cs="Arial"/>
          <w:highlight w:val="yellow"/>
        </w:rPr>
        <w:t>_</w:t>
      </w:r>
      <w:r w:rsidR="00B92885">
        <w:rPr>
          <w:rFonts w:cs="Arial"/>
          <w:highlight w:val="yellow"/>
        </w:rPr>
        <w:t>ABCD</w:t>
      </w:r>
      <w:r w:rsidRPr="001B73D3">
        <w:rPr>
          <w:rFonts w:cs="Arial"/>
          <w:highlight w:val="yellow"/>
        </w:rPr>
        <w:t>_REPLYFORM</w:t>
      </w:r>
    </w:p>
    <w:p w14:paraId="0A0F4C14" w14:textId="77777777"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14:paraId="07E64F6B" w14:textId="77777777"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14:paraId="29817F88" w14:textId="0B300711" w:rsidR="00F574D0" w:rsidRPr="00EF0769" w:rsidRDefault="00F574D0" w:rsidP="00F574D0">
      <w:pPr>
        <w:pStyle w:val="04BodyText"/>
        <w:spacing w:before="120" w:after="120"/>
        <w:rPr>
          <w:rFonts w:cs="Arial"/>
        </w:rPr>
      </w:pPr>
      <w:r w:rsidRPr="00EF0769">
        <w:rPr>
          <w:rFonts w:cs="Arial"/>
        </w:rPr>
        <w:t xml:space="preserve">Responses must reach us by </w:t>
      </w:r>
      <w:r w:rsidR="001B73D3">
        <w:rPr>
          <w:rFonts w:cs="Arial"/>
        </w:rPr>
        <w:t>20</w:t>
      </w:r>
      <w:r w:rsidR="00733158">
        <w:rPr>
          <w:rFonts w:cs="Arial"/>
        </w:rPr>
        <w:t xml:space="preserve"> </w:t>
      </w:r>
      <w:r w:rsidR="001B73D3">
        <w:rPr>
          <w:rFonts w:cs="Arial"/>
        </w:rPr>
        <w:t>February</w:t>
      </w:r>
      <w:r w:rsidR="00733158">
        <w:rPr>
          <w:rFonts w:cs="Arial"/>
        </w:rPr>
        <w:t xml:space="preserve"> </w:t>
      </w:r>
      <w:r w:rsidR="00591CDF" w:rsidRPr="00267551">
        <w:rPr>
          <w:rFonts w:cs="Arial"/>
        </w:rPr>
        <w:t>202</w:t>
      </w:r>
      <w:r w:rsidR="00733158">
        <w:rPr>
          <w:rFonts w:cs="Arial"/>
        </w:rPr>
        <w:t>2</w:t>
      </w:r>
      <w:r w:rsidR="00021E83" w:rsidRPr="00267551">
        <w:rPr>
          <w:rFonts w:cs="Arial"/>
        </w:rPr>
        <w:t>.</w:t>
      </w:r>
    </w:p>
    <w:p w14:paraId="68065F11" w14:textId="77777777" w:rsidR="00332304" w:rsidRDefault="002E1760" w:rsidP="002E1760">
      <w:pPr>
        <w:autoSpaceDE w:val="0"/>
        <w:autoSpaceDN w:val="0"/>
        <w:adjustRightInd w:val="0"/>
        <w:spacing w:before="120" w:after="120" w:line="276" w:lineRule="auto"/>
        <w:jc w:val="both"/>
        <w:rPr>
          <w:rFonts w:cs="Arial"/>
          <w:b/>
          <w:bCs/>
          <w:i/>
          <w:color w:val="000000"/>
          <w:szCs w:val="20"/>
          <w:lang w:eastAsia="en-GB"/>
        </w:rPr>
      </w:pPr>
      <w:bookmarkStart w:id="2" w:name="_Toc335141334"/>
      <w:r w:rsidRPr="005B6B12">
        <w:t xml:space="preserve">All contributions should be submitted online at </w:t>
      </w:r>
      <w:permStart w:id="82257371" w:edGrp="everyone"/>
      <w:r w:rsidR="0066246A">
        <w:fldChar w:fldCharType="begin"/>
      </w:r>
      <w:r w:rsidR="0066246A">
        <w:instrText>HYPERLINK "http://www.esma.europa.eu"</w:instrText>
      </w:r>
      <w:r w:rsidR="0066246A">
        <w:fldChar w:fldCharType="separate"/>
      </w:r>
      <w:r w:rsidRPr="005B6B12">
        <w:rPr>
          <w:rStyle w:val="Hyperlink"/>
        </w:rPr>
        <w:t>www.esma.europa.eu</w:t>
      </w:r>
      <w:r w:rsidR="0066246A">
        <w:rPr>
          <w:rStyle w:val="Hyperlink"/>
        </w:rPr>
        <w:fldChar w:fldCharType="end"/>
      </w:r>
      <w:permEnd w:id="82257371"/>
      <w:r w:rsidRPr="005B6B12">
        <w:t xml:space="preserve"> under the heading ‘Your input - Consultations’.</w:t>
      </w:r>
    </w:p>
    <w:p w14:paraId="577A0723" w14:textId="77777777" w:rsidR="00A3026E" w:rsidRDefault="00A3026E" w:rsidP="00F574D0">
      <w:pPr>
        <w:autoSpaceDE w:val="0"/>
        <w:autoSpaceDN w:val="0"/>
        <w:adjustRightInd w:val="0"/>
        <w:spacing w:before="120" w:after="120" w:line="276" w:lineRule="auto"/>
        <w:jc w:val="both"/>
        <w:rPr>
          <w:rFonts w:cs="Arial"/>
          <w:b/>
          <w:bCs/>
          <w:i/>
          <w:color w:val="000000"/>
          <w:szCs w:val="20"/>
          <w:lang w:eastAsia="en-GB"/>
        </w:rPr>
      </w:pPr>
    </w:p>
    <w:p w14:paraId="7F709C22"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Publication of responses</w:t>
      </w:r>
      <w:bookmarkEnd w:id="2"/>
    </w:p>
    <w:p w14:paraId="1E22BD10" w14:textId="77777777" w:rsidR="00F574D0" w:rsidRPr="00EF0769" w:rsidRDefault="00F574D0" w:rsidP="00F574D0">
      <w:pPr>
        <w:pStyle w:val="04BodyText"/>
        <w:spacing w:before="120" w:after="120"/>
        <w:rPr>
          <w:rFonts w:cs="Arial"/>
        </w:rPr>
      </w:pPr>
      <w:r w:rsidRPr="00EF0769">
        <w:rPr>
          <w:rFonts w:cs="Arial"/>
        </w:rPr>
        <w:lastRenderedPageBreak/>
        <w:t xml:space="preserve">All contributions received will be published following the end of the consultation period, unless otherwise requested. </w:t>
      </w:r>
      <w:r w:rsidRPr="00EF0769">
        <w:rPr>
          <w:rFonts w:cs="Arial"/>
          <w:b/>
        </w:rPr>
        <w:t>Please clearly indicate by ticking the appropriate checkbox in the website submission form if you do not wish your contribution to be publicly disclosed. A standard confidentiality statement in an email message will not be treated as a request for non-disclosure.</w:t>
      </w:r>
      <w:r w:rsidRPr="00EF0769">
        <w:rPr>
          <w:rFonts w:cs="Arial"/>
        </w:rPr>
        <w:t xml:space="preserve"> Note also that a confidential response may be requested from us in accordance with ESMA’s rules on access to documents. We may consult you if we receive such a request. Any decision we make is reviewable by ESMA’s Board of Appeal and the European Ombudsman.</w:t>
      </w:r>
    </w:p>
    <w:p w14:paraId="35BBDA44" w14:textId="77777777"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3" w:name="_Toc335141335"/>
    </w:p>
    <w:p w14:paraId="02B1392D" w14:textId="77777777"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14:paraId="63EB17FC" w14:textId="77777777" w:rsidR="00F574D0" w:rsidRDefault="00F574D0" w:rsidP="00F574D0">
      <w:pPr>
        <w:autoSpaceDE w:val="0"/>
        <w:autoSpaceDN w:val="0"/>
        <w:adjustRightInd w:val="0"/>
        <w:spacing w:before="120" w:after="120" w:line="276" w:lineRule="auto"/>
        <w:jc w:val="both"/>
        <w:rPr>
          <w:rFonts w:cs="Arial"/>
          <w:szCs w:val="20"/>
        </w:rPr>
      </w:pPr>
      <w:r w:rsidRPr="00EF0769">
        <w:rPr>
          <w:rFonts w:cs="Arial"/>
          <w:szCs w:val="20"/>
        </w:rPr>
        <w:t xml:space="preserve">Information on data protection can be found at </w:t>
      </w:r>
      <w:hyperlink r:id="rId19" w:history="1">
        <w:r w:rsidRPr="00EF0769">
          <w:rPr>
            <w:rStyle w:val="Hyperlink"/>
            <w:rFonts w:cs="Arial"/>
            <w:szCs w:val="20"/>
          </w:rPr>
          <w:t>www.esma.europa.eu</w:t>
        </w:r>
      </w:hyperlink>
      <w:r w:rsidRPr="00EF0769">
        <w:rPr>
          <w:rFonts w:cs="Arial"/>
          <w:szCs w:val="20"/>
        </w:rPr>
        <w:t xml:space="preserve"> under the </w:t>
      </w:r>
      <w:r w:rsidR="003755C6" w:rsidRPr="00440AB1">
        <w:rPr>
          <w:rFonts w:cs="Arial"/>
          <w:szCs w:val="22"/>
          <w:lang w:eastAsia="en-GB"/>
        </w:rPr>
        <w:t>heading</w:t>
      </w:r>
      <w:r w:rsidR="00AD0C8A">
        <w:rPr>
          <w:rFonts w:cs="Arial"/>
          <w:szCs w:val="22"/>
          <w:lang w:eastAsia="en-GB"/>
        </w:rPr>
        <w:t>s</w:t>
      </w:r>
      <w:r w:rsidR="003755C6" w:rsidRPr="00440AB1">
        <w:rPr>
          <w:rFonts w:cs="Arial"/>
          <w:szCs w:val="22"/>
          <w:lang w:eastAsia="en-GB"/>
        </w:rPr>
        <w:t xml:space="preserve"> ‘Legal notice’</w:t>
      </w:r>
      <w:r w:rsidR="00AD0C8A">
        <w:rPr>
          <w:rFonts w:cs="Arial"/>
          <w:szCs w:val="22"/>
          <w:lang w:eastAsia="en-GB"/>
        </w:rPr>
        <w:t xml:space="preserve"> </w:t>
      </w:r>
      <w:r w:rsidR="00AD0C8A" w:rsidRPr="00AD0C8A">
        <w:rPr>
          <w:rFonts w:cs="Arial"/>
          <w:szCs w:val="22"/>
          <w:lang w:eastAsia="en-GB"/>
        </w:rPr>
        <w:t>and ‘Data protection’</w:t>
      </w:r>
      <w:r w:rsidRPr="00AD0C8A">
        <w:rPr>
          <w:rFonts w:cs="Arial"/>
          <w:szCs w:val="22"/>
          <w:lang w:eastAsia="en-GB"/>
        </w:rPr>
        <w:t>.</w:t>
      </w:r>
    </w:p>
    <w:p w14:paraId="4D0417EF" w14:textId="77777777" w:rsidR="003755C6" w:rsidRDefault="003755C6" w:rsidP="00F574D0">
      <w:pPr>
        <w:autoSpaceDE w:val="0"/>
        <w:autoSpaceDN w:val="0"/>
        <w:adjustRightInd w:val="0"/>
        <w:spacing w:before="120" w:after="120" w:line="276" w:lineRule="auto"/>
        <w:jc w:val="both"/>
        <w:rPr>
          <w:rFonts w:cs="Arial"/>
          <w:szCs w:val="20"/>
        </w:rPr>
      </w:pPr>
    </w:p>
    <w:bookmarkEnd w:id="0"/>
    <w:p w14:paraId="31170032" w14:textId="77777777" w:rsidR="00332304" w:rsidRDefault="00332304">
      <w:pPr>
        <w:rPr>
          <w:rFonts w:cs="Arial"/>
          <w:b/>
          <w:bCs/>
          <w:kern w:val="32"/>
          <w:sz w:val="24"/>
          <w:szCs w:val="32"/>
        </w:rPr>
      </w:pPr>
      <w:r>
        <w:br w:type="page"/>
      </w:r>
    </w:p>
    <w:p w14:paraId="5A6F45DF" w14:textId="77777777" w:rsidR="00F87897" w:rsidRPr="00AB6D88" w:rsidRDefault="00F87897" w:rsidP="00F87897">
      <w:pPr>
        <w:pStyle w:val="Heading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0DC9EAA1" w14:textId="77777777" w:rsidTr="00FA5524">
        <w:tc>
          <w:tcPr>
            <w:tcW w:w="3929" w:type="dxa"/>
            <w:shd w:val="clear" w:color="auto" w:fill="auto"/>
          </w:tcPr>
          <w:p w14:paraId="79D84F54" w14:textId="77777777" w:rsidR="00C2682A" w:rsidRPr="00E40A5C" w:rsidRDefault="00C2682A" w:rsidP="00FA5524">
            <w:pPr>
              <w:rPr>
                <w:rFonts w:cs="Arial"/>
                <w:sz w:val="22"/>
              </w:rPr>
            </w:pPr>
            <w:permStart w:id="1306485207" w:edGrp="everyone" w:colFirst="1" w:colLast="1"/>
            <w:r w:rsidRPr="00E40A5C">
              <w:rPr>
                <w:rFonts w:cs="Arial"/>
                <w:sz w:val="22"/>
              </w:rPr>
              <w:t>Name of the company / organisation</w:t>
            </w:r>
          </w:p>
        </w:tc>
        <w:sdt>
          <w:sdtPr>
            <w:rPr>
              <w:rStyle w:val="PlaceholderText"/>
              <w:rFonts w:cs="Arial"/>
            </w:rPr>
            <w:id w:val="651570699"/>
            <w:text/>
          </w:sdtPr>
          <w:sdtContent>
            <w:tc>
              <w:tcPr>
                <w:tcW w:w="5595" w:type="dxa"/>
                <w:shd w:val="clear" w:color="auto" w:fill="auto"/>
              </w:tcPr>
              <w:p w14:paraId="7A68491E" w14:textId="6B8F58F0" w:rsidR="00C2682A" w:rsidRPr="00AB6D88" w:rsidRDefault="00CA67C1" w:rsidP="0019388A">
                <w:pPr>
                  <w:rPr>
                    <w:rStyle w:val="PlaceholderText"/>
                    <w:rFonts w:cs="Arial"/>
                  </w:rPr>
                </w:pPr>
                <w:proofErr w:type="spellStart"/>
                <w:r>
                  <w:rPr>
                    <w:rStyle w:val="PlaceholderText"/>
                    <w:rFonts w:cs="Arial"/>
                  </w:rPr>
                  <w:t>Amundi</w:t>
                </w:r>
                <w:proofErr w:type="spellEnd"/>
                <w:r>
                  <w:rPr>
                    <w:rStyle w:val="PlaceholderText"/>
                    <w:rFonts w:cs="Arial"/>
                  </w:rPr>
                  <w:t xml:space="preserve"> Asset Management</w:t>
                </w:r>
              </w:p>
            </w:tc>
          </w:sdtContent>
        </w:sdt>
      </w:tr>
      <w:tr w:rsidR="00C2682A" w:rsidRPr="00AB6D88" w14:paraId="14AD8510" w14:textId="77777777" w:rsidTr="00FA5524">
        <w:tc>
          <w:tcPr>
            <w:tcW w:w="3929" w:type="dxa"/>
            <w:shd w:val="clear" w:color="auto" w:fill="auto"/>
          </w:tcPr>
          <w:p w14:paraId="163AD72A" w14:textId="77777777" w:rsidR="00C2682A" w:rsidRPr="00E40A5C" w:rsidRDefault="00C2682A" w:rsidP="00FA5524">
            <w:pPr>
              <w:rPr>
                <w:rFonts w:cs="Arial"/>
                <w:sz w:val="22"/>
              </w:rPr>
            </w:pPr>
            <w:permStart w:id="1273764253" w:edGrp="everyone" w:colFirst="1" w:colLast="1"/>
            <w:permEnd w:id="1306485207"/>
            <w:r w:rsidRPr="00E40A5C">
              <w:rPr>
                <w:rFonts w:cs="Arial"/>
                <w:sz w:val="22"/>
              </w:rPr>
              <w:t>Activity</w:t>
            </w:r>
          </w:p>
        </w:tc>
        <w:tc>
          <w:tcPr>
            <w:tcW w:w="5595" w:type="dxa"/>
            <w:shd w:val="clear" w:color="auto" w:fill="auto"/>
          </w:tcPr>
          <w:p w14:paraId="6A5D3455" w14:textId="69FFBE69" w:rsidR="00C2682A" w:rsidRPr="00AB6D88" w:rsidRDefault="009F3D30" w:rsidP="00FA5524">
            <w:pPr>
              <w:rPr>
                <w:rFonts w:cs="Arial"/>
              </w:rPr>
            </w:pPr>
            <w:sdt>
              <w:sdtPr>
                <w:rPr>
                  <w:rFonts w:cs="Arial"/>
                </w:r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D02CC3">
                  <w:rPr>
                    <w:rFonts w:cs="Arial"/>
                  </w:rPr>
                  <w:t>Investment Services</w:t>
                </w:r>
              </w:sdtContent>
            </w:sdt>
          </w:p>
        </w:tc>
      </w:tr>
      <w:tr w:rsidR="00C2682A" w:rsidRPr="00AB6D88" w14:paraId="523B9D2D" w14:textId="77777777" w:rsidTr="00FA5524">
        <w:tc>
          <w:tcPr>
            <w:tcW w:w="3929" w:type="dxa"/>
            <w:shd w:val="clear" w:color="auto" w:fill="auto"/>
          </w:tcPr>
          <w:p w14:paraId="5FD664AB" w14:textId="77777777" w:rsidR="00C2682A" w:rsidRPr="00E40A5C" w:rsidRDefault="00C2682A" w:rsidP="00FA5524">
            <w:pPr>
              <w:rPr>
                <w:rFonts w:cs="Arial"/>
                <w:sz w:val="22"/>
              </w:rPr>
            </w:pPr>
            <w:permStart w:id="366504703" w:edGrp="everyone" w:colFirst="1" w:colLast="1"/>
            <w:permEnd w:id="1273764253"/>
            <w:r w:rsidRPr="00E40A5C">
              <w:rPr>
                <w:rFonts w:cs="Arial"/>
                <w:sz w:val="22"/>
              </w:rPr>
              <w:t>Are you representing an association?</w:t>
            </w:r>
          </w:p>
        </w:tc>
        <w:sdt>
          <w:sdtPr>
            <w:rPr>
              <w:rFonts w:cs="Arial"/>
            </w:rPr>
            <w:id w:val="-226150188"/>
            <w14:checkbox>
              <w14:checked w14:val="0"/>
              <w14:checkedState w14:val="2612" w14:font="MS Gothic"/>
              <w14:uncheckedState w14:val="2610" w14:font="MS Gothic"/>
            </w14:checkbox>
          </w:sdtPr>
          <w:sdtEndPr/>
          <w:sdtContent>
            <w:tc>
              <w:tcPr>
                <w:tcW w:w="5595" w:type="dxa"/>
                <w:shd w:val="clear" w:color="auto" w:fill="auto"/>
              </w:tcPr>
              <w:p w14:paraId="3EE0D441" w14:textId="41F79C44" w:rsidR="00C2682A" w:rsidRPr="00AB6D88" w:rsidRDefault="00D4017D" w:rsidP="00FA5524">
                <w:pPr>
                  <w:rPr>
                    <w:rFonts w:cs="Arial"/>
                  </w:rPr>
                </w:pPr>
                <w:r>
                  <w:rPr>
                    <w:rFonts w:ascii="MS Gothic" w:eastAsia="MS Gothic" w:hAnsi="MS Gothic" w:cs="Arial" w:hint="eastAsia"/>
                  </w:rPr>
                  <w:t>☐</w:t>
                </w:r>
              </w:p>
            </w:tc>
          </w:sdtContent>
        </w:sdt>
      </w:tr>
      <w:tr w:rsidR="00C2682A" w:rsidRPr="00AB6D88" w14:paraId="5F411987" w14:textId="77777777" w:rsidTr="00FA5524">
        <w:tc>
          <w:tcPr>
            <w:tcW w:w="3929" w:type="dxa"/>
            <w:shd w:val="clear" w:color="auto" w:fill="auto"/>
          </w:tcPr>
          <w:p w14:paraId="54099FD6" w14:textId="77777777" w:rsidR="00C2682A" w:rsidRPr="00E40A5C" w:rsidRDefault="00C2682A" w:rsidP="00FA5524">
            <w:pPr>
              <w:rPr>
                <w:rFonts w:cs="Arial"/>
                <w:sz w:val="22"/>
              </w:rPr>
            </w:pPr>
            <w:permStart w:id="1727412903" w:edGrp="everyone" w:colFirst="1" w:colLast="1"/>
            <w:permEnd w:id="366504703"/>
            <w:r w:rsidRPr="00E40A5C">
              <w:rPr>
                <w:rFonts w:cs="Arial"/>
                <w:sz w:val="22"/>
              </w:rPr>
              <w:t>Country/Region</w:t>
            </w:r>
          </w:p>
        </w:tc>
        <w:sdt>
          <w:sdtPr>
            <w:rPr>
              <w:rFonts w:cs="Arial"/>
            </w:r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1045C271" w14:textId="26CED505" w:rsidR="00C2682A" w:rsidRPr="00AB6D88" w:rsidRDefault="002822A1" w:rsidP="00FA5524">
                <w:pPr>
                  <w:rPr>
                    <w:rFonts w:cs="Arial"/>
                  </w:rPr>
                </w:pPr>
                <w:r>
                  <w:rPr>
                    <w:rFonts w:cs="Arial"/>
                  </w:rPr>
                  <w:t>Europe</w:t>
                </w:r>
              </w:p>
            </w:tc>
          </w:sdtContent>
        </w:sdt>
      </w:tr>
      <w:permEnd w:id="1727412903"/>
    </w:tbl>
    <w:p w14:paraId="5F7D3DE3" w14:textId="77777777" w:rsidR="00C2682A" w:rsidRDefault="00C2682A" w:rsidP="00F87897">
      <w:pPr>
        <w:spacing w:after="120" w:line="264" w:lineRule="auto"/>
      </w:pPr>
    </w:p>
    <w:p w14:paraId="62BC123E" w14:textId="77777777" w:rsidR="00F87897" w:rsidRDefault="00F87897" w:rsidP="00F87897">
      <w:pPr>
        <w:spacing w:after="120" w:line="264" w:lineRule="auto"/>
      </w:pPr>
    </w:p>
    <w:p w14:paraId="6414BA20" w14:textId="77777777" w:rsidR="00F87897" w:rsidRDefault="00F87897" w:rsidP="00F87897">
      <w:pPr>
        <w:pStyle w:val="Heading1"/>
        <w:numPr>
          <w:ilvl w:val="0"/>
          <w:numId w:val="0"/>
        </w:numPr>
        <w:ind w:left="431" w:hanging="431"/>
      </w:pPr>
      <w:r>
        <w:t>Introduction</w:t>
      </w:r>
    </w:p>
    <w:p w14:paraId="0A354328" w14:textId="77777777" w:rsidR="00F87897" w:rsidRPr="001D47A5" w:rsidRDefault="00F87897" w:rsidP="00F87897">
      <w:pPr>
        <w:rPr>
          <w:rStyle w:val="IntenseEmphasis"/>
        </w:rPr>
      </w:pPr>
      <w:r w:rsidRPr="001D47A5">
        <w:rPr>
          <w:rStyle w:val="IntenseEmphasis"/>
        </w:rPr>
        <w:t>Please make your introductory comments below, if any:</w:t>
      </w:r>
    </w:p>
    <w:p w14:paraId="385E0DBA" w14:textId="77777777" w:rsidR="00F87897" w:rsidRPr="00BF28DA" w:rsidRDefault="00F87897" w:rsidP="00F87897"/>
    <w:p w14:paraId="2487CCBE"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59343074" w14:textId="18CEF375" w:rsidR="0019388A" w:rsidRPr="00F654EE" w:rsidRDefault="0007456C" w:rsidP="0019388A">
      <w:pPr>
        <w:pStyle w:val="Default"/>
        <w:spacing w:after="175"/>
        <w:jc w:val="both"/>
        <w:rPr>
          <w:rFonts w:ascii="Arial" w:hAnsi="Arial" w:cs="Arial"/>
          <w:bCs/>
          <w:color w:val="auto"/>
          <w:sz w:val="20"/>
          <w:szCs w:val="20"/>
          <w:lang w:val="en-US"/>
        </w:rPr>
      </w:pPr>
      <w:permStart w:id="1100430741" w:edGrp="everyone"/>
      <w:r>
        <w:rPr>
          <w:rFonts w:ascii="Arial" w:hAnsi="Arial" w:cs="Arial"/>
          <w:bCs/>
          <w:color w:val="auto"/>
          <w:sz w:val="20"/>
          <w:szCs w:val="20"/>
          <w:lang w:val="en-US"/>
        </w:rPr>
        <w:t xml:space="preserve">Introduction - </w:t>
      </w:r>
      <w:proofErr w:type="spellStart"/>
      <w:r w:rsidR="0019388A" w:rsidRPr="00F654EE">
        <w:rPr>
          <w:rFonts w:ascii="Arial" w:hAnsi="Arial" w:cs="Arial"/>
          <w:bCs/>
          <w:color w:val="auto"/>
          <w:sz w:val="20"/>
          <w:szCs w:val="20"/>
          <w:lang w:val="en-US"/>
        </w:rPr>
        <w:t>Amundi</w:t>
      </w:r>
      <w:proofErr w:type="spellEnd"/>
      <w:r w:rsidR="0019388A" w:rsidRPr="00F654EE">
        <w:rPr>
          <w:rFonts w:ascii="Arial" w:hAnsi="Arial" w:cs="Arial"/>
          <w:bCs/>
          <w:color w:val="auto"/>
          <w:sz w:val="20"/>
          <w:szCs w:val="20"/>
          <w:lang w:val="en-US"/>
        </w:rPr>
        <w:t xml:space="preserve"> fully concurs with the objective of these guidelines to </w:t>
      </w:r>
      <w:r w:rsidR="0019388A" w:rsidRPr="00F654EE">
        <w:rPr>
          <w:rFonts w:ascii="Arial" w:hAnsi="Arial" w:cs="Arial"/>
          <w:b/>
          <w:bCs/>
          <w:color w:val="auto"/>
          <w:sz w:val="20"/>
          <w:szCs w:val="20"/>
          <w:lang w:val="en-US"/>
        </w:rPr>
        <w:t>set common rules in order to prevent greenwashing risk and enhance trust in the market, more particularly the fast evolving “ESG-funds” market</w:t>
      </w:r>
      <w:r w:rsidR="0019388A" w:rsidRPr="00F654EE">
        <w:rPr>
          <w:rFonts w:ascii="Arial" w:hAnsi="Arial" w:cs="Arial"/>
          <w:bCs/>
          <w:color w:val="auto"/>
          <w:sz w:val="20"/>
          <w:szCs w:val="20"/>
          <w:lang w:val="en-US"/>
        </w:rPr>
        <w:t xml:space="preserve">. </w:t>
      </w:r>
    </w:p>
    <w:p w14:paraId="4233B8DE" w14:textId="77777777" w:rsidR="0019388A" w:rsidRPr="00F654EE" w:rsidRDefault="0019388A" w:rsidP="0019388A">
      <w:pPr>
        <w:pStyle w:val="Default"/>
        <w:spacing w:after="175"/>
        <w:jc w:val="both"/>
        <w:rPr>
          <w:rFonts w:ascii="Arial" w:hAnsi="Arial" w:cs="Arial"/>
          <w:bCs/>
          <w:color w:val="auto"/>
          <w:sz w:val="20"/>
          <w:szCs w:val="20"/>
          <w:lang w:val="en-GB"/>
        </w:rPr>
      </w:pPr>
      <w:r w:rsidRPr="00F654EE">
        <w:rPr>
          <w:rFonts w:ascii="Arial" w:hAnsi="Arial" w:cs="Arial"/>
          <w:bCs/>
          <w:color w:val="auto"/>
          <w:sz w:val="20"/>
          <w:szCs w:val="20"/>
          <w:lang w:val="en-GB"/>
        </w:rPr>
        <w:t xml:space="preserve">We therefore welcome ESMA’s consultation on Guidelines on funds’ names using ESG or sustainability-related terms considering:  </w:t>
      </w:r>
    </w:p>
    <w:p w14:paraId="5547F79C" w14:textId="77777777" w:rsidR="0019388A" w:rsidRPr="00F654EE" w:rsidRDefault="0019388A" w:rsidP="00C465AE">
      <w:pPr>
        <w:pStyle w:val="Default"/>
        <w:numPr>
          <w:ilvl w:val="0"/>
          <w:numId w:val="39"/>
        </w:numPr>
        <w:spacing w:after="175"/>
        <w:jc w:val="both"/>
        <w:rPr>
          <w:rFonts w:ascii="Arial" w:hAnsi="Arial" w:cs="Arial"/>
          <w:bCs/>
          <w:color w:val="auto"/>
          <w:sz w:val="20"/>
          <w:szCs w:val="20"/>
          <w:lang w:val="en-US"/>
        </w:rPr>
      </w:pPr>
      <w:r w:rsidRPr="00F654EE">
        <w:rPr>
          <w:rFonts w:ascii="Arial" w:hAnsi="Arial" w:cs="Arial"/>
          <w:b/>
          <w:bCs/>
          <w:color w:val="auto"/>
          <w:sz w:val="20"/>
          <w:szCs w:val="20"/>
          <w:lang w:val="en-GB"/>
        </w:rPr>
        <w:t>P</w:t>
      </w:r>
      <w:r w:rsidRPr="00F654EE">
        <w:rPr>
          <w:rFonts w:ascii="Arial" w:hAnsi="Arial" w:cs="Arial"/>
          <w:b/>
          <w:bCs/>
          <w:color w:val="auto"/>
          <w:sz w:val="20"/>
          <w:szCs w:val="20"/>
          <w:lang w:val="en-US"/>
        </w:rPr>
        <w:t>roduct names are of primary importance</w:t>
      </w:r>
      <w:r w:rsidRPr="00F654EE">
        <w:rPr>
          <w:rFonts w:ascii="Arial" w:hAnsi="Arial" w:cs="Arial"/>
          <w:bCs/>
          <w:color w:val="auto"/>
          <w:sz w:val="20"/>
          <w:szCs w:val="20"/>
          <w:lang w:val="en-US"/>
        </w:rPr>
        <w:t xml:space="preserve"> to retail investors, </w:t>
      </w:r>
      <w:proofErr w:type="gramStart"/>
      <w:r w:rsidRPr="00F654EE">
        <w:rPr>
          <w:rFonts w:ascii="Arial" w:hAnsi="Arial" w:cs="Arial"/>
          <w:bCs/>
          <w:color w:val="auto"/>
          <w:sz w:val="20"/>
          <w:szCs w:val="20"/>
          <w:lang w:val="en-US"/>
        </w:rPr>
        <w:t>all the more</w:t>
      </w:r>
      <w:proofErr w:type="gramEnd"/>
      <w:r w:rsidRPr="00F654EE">
        <w:rPr>
          <w:rFonts w:ascii="Arial" w:hAnsi="Arial" w:cs="Arial"/>
          <w:bCs/>
          <w:color w:val="auto"/>
          <w:sz w:val="20"/>
          <w:szCs w:val="20"/>
          <w:lang w:val="en-US"/>
        </w:rPr>
        <w:t xml:space="preserve"> because legal documentation can be very detailed and quite complex.</w:t>
      </w:r>
    </w:p>
    <w:p w14:paraId="44F30924" w14:textId="77777777" w:rsidR="0019388A" w:rsidRPr="00F654EE" w:rsidRDefault="0019388A" w:rsidP="00C465AE">
      <w:pPr>
        <w:pStyle w:val="Default"/>
        <w:numPr>
          <w:ilvl w:val="0"/>
          <w:numId w:val="39"/>
        </w:numPr>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Though the principle of fair, clear and </w:t>
      </w:r>
      <w:proofErr w:type="gramStart"/>
      <w:r w:rsidRPr="00F654EE">
        <w:rPr>
          <w:rFonts w:ascii="Arial" w:hAnsi="Arial" w:cs="Arial"/>
          <w:bCs/>
          <w:color w:val="auto"/>
          <w:sz w:val="20"/>
          <w:szCs w:val="20"/>
          <w:lang w:val="en-US"/>
        </w:rPr>
        <w:t>not misleading</w:t>
      </w:r>
      <w:proofErr w:type="gramEnd"/>
      <w:r w:rsidRPr="00F654EE">
        <w:rPr>
          <w:rFonts w:ascii="Arial" w:hAnsi="Arial" w:cs="Arial"/>
          <w:bCs/>
          <w:color w:val="auto"/>
          <w:sz w:val="20"/>
          <w:szCs w:val="20"/>
          <w:lang w:val="en-US"/>
        </w:rPr>
        <w:t xml:space="preserve"> marketing communication already exist in the current regulation, we agree that </w:t>
      </w:r>
      <w:r w:rsidRPr="00F654EE">
        <w:rPr>
          <w:rFonts w:ascii="Arial" w:hAnsi="Arial" w:cs="Arial"/>
          <w:b/>
          <w:bCs/>
          <w:color w:val="auto"/>
          <w:sz w:val="20"/>
          <w:szCs w:val="20"/>
          <w:lang w:val="en-US"/>
        </w:rPr>
        <w:t>a particular attention should be given in the “ESG” space</w:t>
      </w:r>
      <w:r w:rsidRPr="00F654EE">
        <w:rPr>
          <w:rFonts w:ascii="Arial" w:hAnsi="Arial" w:cs="Arial"/>
          <w:bCs/>
          <w:color w:val="auto"/>
          <w:sz w:val="20"/>
          <w:szCs w:val="20"/>
          <w:lang w:val="en-US"/>
        </w:rPr>
        <w:t xml:space="preserve"> considering the very broad definition of the “promotion of E/S characteristics” (SFDR art.8).</w:t>
      </w:r>
    </w:p>
    <w:p w14:paraId="3AB29261" w14:textId="77777777" w:rsidR="0019388A" w:rsidRPr="00F654EE" w:rsidRDefault="0019388A" w:rsidP="0019388A">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However, </w:t>
      </w:r>
      <w:r w:rsidRPr="00F654EE">
        <w:rPr>
          <w:rFonts w:ascii="Arial" w:hAnsi="Arial" w:cs="Arial"/>
          <w:b/>
          <w:bCs/>
          <w:color w:val="auto"/>
          <w:sz w:val="20"/>
          <w:szCs w:val="20"/>
          <w:lang w:val="en-US"/>
        </w:rPr>
        <w:t xml:space="preserve">we are </w:t>
      </w:r>
      <w:proofErr w:type="gramStart"/>
      <w:r w:rsidRPr="00F654EE">
        <w:rPr>
          <w:rFonts w:ascii="Arial" w:hAnsi="Arial" w:cs="Arial"/>
          <w:b/>
          <w:bCs/>
          <w:color w:val="auto"/>
          <w:sz w:val="20"/>
          <w:szCs w:val="20"/>
          <w:lang w:val="en-US"/>
        </w:rPr>
        <w:t>really concerned</w:t>
      </w:r>
      <w:proofErr w:type="gramEnd"/>
      <w:r w:rsidRPr="00F654EE">
        <w:rPr>
          <w:rFonts w:ascii="Arial" w:hAnsi="Arial" w:cs="Arial"/>
          <w:b/>
          <w:bCs/>
          <w:color w:val="auto"/>
          <w:sz w:val="20"/>
          <w:szCs w:val="20"/>
          <w:lang w:val="en-US"/>
        </w:rPr>
        <w:t xml:space="preserve"> that the proposed guidelines raise</w:t>
      </w:r>
      <w:r w:rsidRPr="00F654EE">
        <w:rPr>
          <w:rFonts w:ascii="Arial" w:hAnsi="Arial" w:cs="Arial"/>
          <w:bCs/>
          <w:color w:val="auto"/>
          <w:sz w:val="20"/>
          <w:szCs w:val="20"/>
          <w:lang w:val="en-US"/>
        </w:rPr>
        <w:t xml:space="preserve"> </w:t>
      </w:r>
      <w:r w:rsidRPr="00F654EE">
        <w:rPr>
          <w:rFonts w:ascii="Arial" w:hAnsi="Arial" w:cs="Arial"/>
          <w:b/>
          <w:bCs/>
          <w:color w:val="auto"/>
          <w:sz w:val="20"/>
          <w:szCs w:val="20"/>
          <w:lang w:val="en-US"/>
        </w:rPr>
        <w:t>confusion and timing issues</w:t>
      </w:r>
      <w:r w:rsidRPr="00F654EE">
        <w:rPr>
          <w:rFonts w:ascii="Arial" w:hAnsi="Arial" w:cs="Arial"/>
          <w:bCs/>
          <w:color w:val="auto"/>
          <w:sz w:val="20"/>
          <w:szCs w:val="20"/>
          <w:lang w:val="en-US"/>
        </w:rPr>
        <w:t xml:space="preserve"> that would lead to the opposite effect these guidelines are aiming at. Indeed:</w:t>
      </w:r>
    </w:p>
    <w:p w14:paraId="6FA66715" w14:textId="77777777" w:rsidR="0019388A" w:rsidRPr="00F654EE" w:rsidRDefault="0019388A" w:rsidP="00C465AE">
      <w:pPr>
        <w:pStyle w:val="Default"/>
        <w:numPr>
          <w:ilvl w:val="0"/>
          <w:numId w:val="40"/>
        </w:numPr>
        <w:spacing w:after="175"/>
        <w:jc w:val="both"/>
        <w:rPr>
          <w:rFonts w:ascii="Arial" w:hAnsi="Arial" w:cs="Arial"/>
          <w:b/>
          <w:bCs/>
          <w:color w:val="auto"/>
          <w:sz w:val="20"/>
          <w:szCs w:val="20"/>
          <w:lang w:val="en-GB"/>
        </w:rPr>
      </w:pPr>
      <w:r w:rsidRPr="00F654EE">
        <w:rPr>
          <w:rFonts w:ascii="Arial" w:hAnsi="Arial" w:cs="Arial"/>
          <w:bCs/>
          <w:color w:val="auto"/>
          <w:sz w:val="20"/>
          <w:szCs w:val="20"/>
          <w:u w:val="single"/>
          <w:lang w:val="en-US"/>
        </w:rPr>
        <w:t>Convergence and clarity</w:t>
      </w:r>
      <w:r w:rsidRPr="00F654EE">
        <w:rPr>
          <w:rFonts w:ascii="Arial" w:hAnsi="Arial" w:cs="Arial"/>
          <w:bCs/>
          <w:color w:val="auto"/>
          <w:sz w:val="20"/>
          <w:szCs w:val="20"/>
          <w:lang w:val="en-US"/>
        </w:rPr>
        <w:t xml:space="preserve">. </w:t>
      </w:r>
      <w:proofErr w:type="gramStart"/>
      <w:r w:rsidRPr="00F654EE">
        <w:rPr>
          <w:rFonts w:ascii="Arial" w:hAnsi="Arial" w:cs="Arial"/>
          <w:bCs/>
          <w:color w:val="auto"/>
          <w:sz w:val="20"/>
          <w:szCs w:val="20"/>
          <w:lang w:val="en-US"/>
        </w:rPr>
        <w:t>First and foremost</w:t>
      </w:r>
      <w:proofErr w:type="gramEnd"/>
      <w:r w:rsidRPr="00F654EE">
        <w:rPr>
          <w:rFonts w:ascii="Arial" w:hAnsi="Arial" w:cs="Arial"/>
          <w:bCs/>
          <w:color w:val="auto"/>
          <w:sz w:val="20"/>
          <w:szCs w:val="20"/>
          <w:lang w:val="en-US"/>
        </w:rPr>
        <w:t>, the proposed guidelines are based on concepts that are not clearly defined and can lead to quite different interpretations and outcomes either at national or at financial market participant’s level. This is particularly important for the central concept of “sustainable investment” as per SFDR art.</w:t>
      </w:r>
      <w:r w:rsidRPr="00F654EE">
        <w:rPr>
          <w:rFonts w:ascii="Arial" w:hAnsi="Arial" w:cs="Arial"/>
          <w:bCs/>
          <w:color w:val="auto"/>
          <w:sz w:val="18"/>
          <w:szCs w:val="18"/>
          <w:lang w:val="en-US"/>
        </w:rPr>
        <w:t>2 (17)</w:t>
      </w:r>
      <w:r w:rsidRPr="00F654EE">
        <w:rPr>
          <w:rFonts w:ascii="Arial" w:hAnsi="Arial" w:cs="Arial"/>
          <w:bCs/>
          <w:color w:val="auto"/>
          <w:sz w:val="20"/>
          <w:szCs w:val="20"/>
          <w:lang w:val="en-US"/>
        </w:rPr>
        <w:t xml:space="preserve">. </w:t>
      </w:r>
      <w:r w:rsidRPr="00F654EE">
        <w:rPr>
          <w:rFonts w:ascii="Arial" w:hAnsi="Arial" w:cs="Arial"/>
          <w:b/>
          <w:bCs/>
          <w:color w:val="auto"/>
          <w:sz w:val="20"/>
          <w:szCs w:val="20"/>
          <w:lang w:val="en-US"/>
        </w:rPr>
        <w:t>This lack of clarity amplifies the potential greenwashing risk, legal uncertainties and level playing field issues, which is the opposite effect these guidelines are aiming at.</w:t>
      </w:r>
    </w:p>
    <w:p w14:paraId="5DCD7448" w14:textId="77777777" w:rsidR="0019388A" w:rsidRPr="00F654EE" w:rsidRDefault="0019388A" w:rsidP="00C465AE">
      <w:pPr>
        <w:pStyle w:val="Default"/>
        <w:numPr>
          <w:ilvl w:val="0"/>
          <w:numId w:val="40"/>
        </w:numPr>
        <w:spacing w:after="175"/>
        <w:jc w:val="both"/>
        <w:rPr>
          <w:rFonts w:ascii="Arial" w:hAnsi="Arial" w:cs="Arial"/>
          <w:bCs/>
          <w:color w:val="auto"/>
          <w:sz w:val="20"/>
          <w:szCs w:val="20"/>
          <w:lang w:val="en-US"/>
        </w:rPr>
      </w:pPr>
      <w:r w:rsidRPr="00F654EE">
        <w:rPr>
          <w:rFonts w:ascii="Arial" w:hAnsi="Arial" w:cs="Arial"/>
          <w:bCs/>
          <w:color w:val="auto"/>
          <w:sz w:val="20"/>
          <w:szCs w:val="20"/>
          <w:u w:val="single"/>
          <w:lang w:val="en-US"/>
        </w:rPr>
        <w:t>Regulatory consistency within the Sustainable Finance framework</w:t>
      </w:r>
      <w:r w:rsidRPr="00F654EE">
        <w:rPr>
          <w:rFonts w:ascii="Arial" w:hAnsi="Arial" w:cs="Arial"/>
          <w:bCs/>
          <w:color w:val="auto"/>
          <w:sz w:val="20"/>
          <w:szCs w:val="20"/>
          <w:lang w:val="en-US"/>
        </w:rPr>
        <w:t xml:space="preserve">. The proposed guidelines overlap with current rules (e.g. MiFID “sustainable preferences”) or planned initiatives:  notably the “SFDR art.8 &amp; 9 minimum standards”, the “EU ESG benchmark”, the review of SFDR RTS this year, the SFDR assessment announced by the Commission as well as the ESAs report on greenwashing. We are concerned </w:t>
      </w:r>
      <w:r w:rsidRPr="00F654EE">
        <w:rPr>
          <w:rFonts w:ascii="Arial" w:hAnsi="Arial" w:cs="Arial"/>
          <w:b/>
          <w:bCs/>
          <w:color w:val="auto"/>
          <w:sz w:val="20"/>
          <w:szCs w:val="20"/>
          <w:lang w:val="en-US"/>
        </w:rPr>
        <w:t>whether and how these guidelines will articulate with such initiatives, and avoid being just an additional layer</w:t>
      </w:r>
      <w:r w:rsidRPr="00F654EE">
        <w:rPr>
          <w:rFonts w:ascii="Arial" w:hAnsi="Arial" w:cs="Arial"/>
          <w:bCs/>
          <w:color w:val="auto"/>
          <w:sz w:val="20"/>
          <w:szCs w:val="20"/>
          <w:lang w:val="en-US"/>
        </w:rPr>
        <w:t xml:space="preserve"> of regulation.</w:t>
      </w:r>
    </w:p>
    <w:p w14:paraId="2DF2DE7A" w14:textId="77777777" w:rsidR="0019388A" w:rsidRPr="00F654EE" w:rsidRDefault="0019388A" w:rsidP="00C465AE">
      <w:pPr>
        <w:pStyle w:val="Default"/>
        <w:numPr>
          <w:ilvl w:val="0"/>
          <w:numId w:val="40"/>
        </w:numPr>
        <w:spacing w:after="175"/>
        <w:jc w:val="both"/>
        <w:rPr>
          <w:rFonts w:ascii="Arial" w:hAnsi="Arial" w:cs="Arial"/>
          <w:bCs/>
          <w:color w:val="auto"/>
          <w:sz w:val="20"/>
          <w:szCs w:val="20"/>
          <w:lang w:val="en-US"/>
        </w:rPr>
      </w:pPr>
      <w:r w:rsidRPr="00F654EE">
        <w:rPr>
          <w:rFonts w:ascii="Arial" w:hAnsi="Arial" w:cs="Arial"/>
          <w:bCs/>
          <w:color w:val="auto"/>
          <w:sz w:val="20"/>
          <w:szCs w:val="20"/>
          <w:u w:val="single"/>
          <w:lang w:val="en-US"/>
        </w:rPr>
        <w:t>Consistency across financial products and providers</w:t>
      </w:r>
      <w:r w:rsidRPr="00F654EE">
        <w:rPr>
          <w:rFonts w:ascii="Arial" w:hAnsi="Arial" w:cs="Arial"/>
          <w:bCs/>
          <w:color w:val="auto"/>
          <w:sz w:val="20"/>
          <w:szCs w:val="20"/>
          <w:lang w:val="en-US"/>
        </w:rPr>
        <w:t xml:space="preserve">. To ensure consistency for indexed funds/ETFs with other retail funds, </w:t>
      </w:r>
      <w:r w:rsidRPr="00F654EE">
        <w:rPr>
          <w:rFonts w:ascii="Arial" w:hAnsi="Arial" w:cs="Arial"/>
          <w:b/>
          <w:bCs/>
          <w:color w:val="auto"/>
          <w:sz w:val="20"/>
          <w:szCs w:val="20"/>
          <w:lang w:val="en-US"/>
        </w:rPr>
        <w:t>“ESG benchmarks”</w:t>
      </w:r>
      <w:r w:rsidRPr="00F654EE">
        <w:rPr>
          <w:rFonts w:ascii="Arial" w:hAnsi="Arial" w:cs="Arial"/>
          <w:bCs/>
          <w:color w:val="auto"/>
          <w:sz w:val="20"/>
          <w:szCs w:val="20"/>
          <w:lang w:val="en-US"/>
        </w:rPr>
        <w:t xml:space="preserve"> should be subject to the same naming rules. </w:t>
      </w:r>
    </w:p>
    <w:p w14:paraId="594DAC82" w14:textId="77777777" w:rsidR="0019388A" w:rsidRPr="00F654EE" w:rsidRDefault="0019388A" w:rsidP="00C465AE">
      <w:pPr>
        <w:pStyle w:val="Default"/>
        <w:numPr>
          <w:ilvl w:val="0"/>
          <w:numId w:val="40"/>
        </w:numPr>
        <w:spacing w:after="175"/>
        <w:jc w:val="both"/>
        <w:rPr>
          <w:rFonts w:ascii="Arial" w:hAnsi="Arial" w:cs="Arial"/>
          <w:bCs/>
          <w:color w:val="auto"/>
          <w:sz w:val="20"/>
          <w:szCs w:val="20"/>
          <w:lang w:val="en-GB"/>
        </w:rPr>
      </w:pPr>
      <w:r w:rsidRPr="00F654EE">
        <w:rPr>
          <w:rFonts w:ascii="Arial" w:hAnsi="Arial" w:cs="Arial"/>
          <w:bCs/>
          <w:color w:val="auto"/>
          <w:sz w:val="20"/>
          <w:szCs w:val="20"/>
          <w:u w:val="single"/>
          <w:lang w:val="en-GB"/>
        </w:rPr>
        <w:t>Fragmentation of the market</w:t>
      </w:r>
      <w:r w:rsidRPr="00F654EE">
        <w:rPr>
          <w:rFonts w:ascii="Arial" w:hAnsi="Arial" w:cs="Arial"/>
          <w:bCs/>
          <w:color w:val="auto"/>
          <w:sz w:val="20"/>
          <w:szCs w:val="20"/>
          <w:lang w:val="en-GB"/>
        </w:rPr>
        <w:t xml:space="preserve">. Though these guidelines set common rules, and as long as SFDR assessment is not completed, they </w:t>
      </w:r>
      <w:r w:rsidRPr="00F654EE">
        <w:rPr>
          <w:rFonts w:ascii="Arial" w:hAnsi="Arial" w:cs="Arial"/>
          <w:b/>
          <w:bCs/>
          <w:color w:val="auto"/>
          <w:sz w:val="20"/>
          <w:szCs w:val="20"/>
          <w:lang w:val="en-GB"/>
        </w:rPr>
        <w:t>may not supersede national rules</w:t>
      </w:r>
      <w:r w:rsidRPr="00F654EE">
        <w:rPr>
          <w:rFonts w:ascii="Arial" w:hAnsi="Arial" w:cs="Arial"/>
          <w:bCs/>
          <w:color w:val="auto"/>
          <w:sz w:val="20"/>
          <w:szCs w:val="20"/>
          <w:lang w:val="en-GB"/>
        </w:rPr>
        <w:t xml:space="preserve"> (</w:t>
      </w:r>
      <w:proofErr w:type="gramStart"/>
      <w:r w:rsidRPr="00F654EE">
        <w:rPr>
          <w:rFonts w:ascii="Arial" w:hAnsi="Arial" w:cs="Arial"/>
          <w:bCs/>
          <w:color w:val="auto"/>
          <w:sz w:val="20"/>
          <w:szCs w:val="20"/>
          <w:lang w:val="en-GB"/>
        </w:rPr>
        <w:t>all the more</w:t>
      </w:r>
      <w:proofErr w:type="gramEnd"/>
      <w:r w:rsidRPr="00F654EE">
        <w:rPr>
          <w:rFonts w:ascii="Arial" w:hAnsi="Arial" w:cs="Arial"/>
          <w:bCs/>
          <w:color w:val="auto"/>
          <w:sz w:val="20"/>
          <w:szCs w:val="20"/>
          <w:lang w:val="en-GB"/>
        </w:rPr>
        <w:t xml:space="preserve"> when local regimes prevail for overall marketing communication, not just the fund names). This creates an additional layer of requirements for local funds and an impediment for cross border distribution.</w:t>
      </w:r>
    </w:p>
    <w:p w14:paraId="13DFEE4A" w14:textId="77777777" w:rsidR="0019388A" w:rsidRPr="00F654EE" w:rsidRDefault="0019388A" w:rsidP="0019388A">
      <w:pPr>
        <w:pStyle w:val="Default"/>
        <w:spacing w:after="175"/>
        <w:jc w:val="both"/>
        <w:rPr>
          <w:rFonts w:ascii="Arial" w:hAnsi="Arial" w:cs="Arial"/>
          <w:bCs/>
          <w:color w:val="auto"/>
          <w:sz w:val="20"/>
          <w:szCs w:val="20"/>
          <w:lang w:val="en-GB"/>
        </w:rPr>
      </w:pPr>
      <w:r w:rsidRPr="00F654EE">
        <w:rPr>
          <w:rFonts w:ascii="Arial" w:hAnsi="Arial" w:cs="Arial"/>
          <w:bCs/>
          <w:color w:val="auto"/>
          <w:sz w:val="20"/>
          <w:szCs w:val="20"/>
          <w:lang w:val="en-GB"/>
        </w:rPr>
        <w:t xml:space="preserve">Therefore, we urge ESMA </w:t>
      </w:r>
      <w:r w:rsidRPr="00F654EE">
        <w:rPr>
          <w:rFonts w:ascii="Arial" w:hAnsi="Arial" w:cs="Arial"/>
          <w:b/>
          <w:bCs/>
          <w:color w:val="auto"/>
          <w:sz w:val="20"/>
          <w:szCs w:val="20"/>
          <w:lang w:val="en-GB"/>
        </w:rPr>
        <w:t>to release guidelines only once ESMA</w:t>
      </w:r>
      <w:r w:rsidRPr="00F654EE">
        <w:rPr>
          <w:rFonts w:ascii="Arial" w:hAnsi="Arial" w:cs="Arial"/>
          <w:bCs/>
          <w:color w:val="auto"/>
          <w:sz w:val="20"/>
          <w:szCs w:val="20"/>
          <w:lang w:val="en-GB"/>
        </w:rPr>
        <w:t xml:space="preserve">, in conjunction with NCAs, other ESAs (EIOPA and EBA) and with the EU Commission, </w:t>
      </w:r>
      <w:r w:rsidRPr="00F654EE">
        <w:rPr>
          <w:rFonts w:ascii="Arial" w:hAnsi="Arial" w:cs="Arial"/>
          <w:b/>
          <w:bCs/>
          <w:color w:val="auto"/>
          <w:sz w:val="20"/>
          <w:szCs w:val="20"/>
          <w:lang w:val="en-GB"/>
        </w:rPr>
        <w:t>can bring more visibility on the above matters</w:t>
      </w:r>
      <w:r w:rsidRPr="00F654EE">
        <w:rPr>
          <w:rFonts w:ascii="Arial" w:hAnsi="Arial" w:cs="Arial"/>
          <w:bCs/>
          <w:color w:val="auto"/>
          <w:sz w:val="20"/>
          <w:szCs w:val="20"/>
          <w:lang w:val="en-GB"/>
        </w:rPr>
        <w:t xml:space="preserve"> of regulatory consistency, fragmentation and level playing field. This is essential to ensure that naming guidelines </w:t>
      </w:r>
      <w:r w:rsidRPr="00F654EE">
        <w:rPr>
          <w:rFonts w:ascii="Arial" w:hAnsi="Arial" w:cs="Arial"/>
          <w:bCs/>
          <w:color w:val="auto"/>
          <w:sz w:val="20"/>
          <w:szCs w:val="20"/>
          <w:lang w:val="en-GB"/>
        </w:rPr>
        <w:lastRenderedPageBreak/>
        <w:t xml:space="preserve">can reach out their goal and not add more confusion for the end investors and uncertainties for the fund management and distribution market. </w:t>
      </w:r>
    </w:p>
    <w:p w14:paraId="08C6541E" w14:textId="2D078F74" w:rsidR="00B92885" w:rsidRPr="004B6D06" w:rsidRDefault="0019388A" w:rsidP="0019388A">
      <w:pPr>
        <w:pStyle w:val="Default"/>
        <w:spacing w:after="175"/>
        <w:jc w:val="both"/>
        <w:rPr>
          <w:rFonts w:ascii="Arial" w:hAnsi="Arial" w:cs="Arial"/>
          <w:bCs/>
          <w:color w:val="808080" w:themeColor="background1" w:themeShade="80"/>
          <w:sz w:val="20"/>
          <w:szCs w:val="20"/>
          <w:lang w:val="en-GB"/>
        </w:rPr>
      </w:pPr>
      <w:r w:rsidRPr="00F654EE">
        <w:rPr>
          <w:rFonts w:ascii="Arial" w:hAnsi="Arial" w:cs="Arial"/>
          <w:bCs/>
          <w:color w:val="auto"/>
          <w:sz w:val="20"/>
          <w:szCs w:val="20"/>
          <w:lang w:val="en-GB"/>
        </w:rPr>
        <w:t xml:space="preserve">Against this background, our comments in subsequent responses to this consultation aim at providing further insight and some alternative proposals, notwithstanding the fact that the regulatory consistency issues pointed above are not in our hand and </w:t>
      </w:r>
      <w:proofErr w:type="gramStart"/>
      <w:r w:rsidRPr="00F654EE">
        <w:rPr>
          <w:rFonts w:ascii="Arial" w:hAnsi="Arial" w:cs="Arial"/>
          <w:bCs/>
          <w:color w:val="auto"/>
          <w:sz w:val="20"/>
          <w:szCs w:val="20"/>
          <w:lang w:val="en-GB"/>
        </w:rPr>
        <w:t>shall be addressed</w:t>
      </w:r>
      <w:proofErr w:type="gramEnd"/>
      <w:r w:rsidRPr="00F654EE">
        <w:rPr>
          <w:rFonts w:ascii="Arial" w:hAnsi="Arial" w:cs="Arial"/>
          <w:bCs/>
          <w:color w:val="auto"/>
          <w:sz w:val="20"/>
          <w:szCs w:val="20"/>
          <w:lang w:val="en-GB"/>
        </w:rPr>
        <w:t xml:space="preserve"> in any case.</w:t>
      </w:r>
    </w:p>
    <w:permEnd w:id="1100430741"/>
    <w:p w14:paraId="3B95B420" w14:textId="77777777" w:rsidR="00B92885" w:rsidRPr="00B92885" w:rsidRDefault="00B92885" w:rsidP="00B92885">
      <w:pPr>
        <w:spacing w:after="160" w:line="259" w:lineRule="auto"/>
        <w:rPr>
          <w:rFonts w:ascii="Calibri" w:eastAsia="Calibri" w:hAnsi="Calibri"/>
          <w:sz w:val="22"/>
          <w:szCs w:val="22"/>
          <w:lang w:eastAsia="en-US"/>
        </w:rPr>
      </w:pPr>
      <w:r w:rsidRPr="00B92885">
        <w:rPr>
          <w:rFonts w:ascii="Calibri" w:eastAsia="Calibri" w:hAnsi="Calibri"/>
          <w:sz w:val="22"/>
          <w:szCs w:val="22"/>
          <w:lang w:eastAsia="en-US"/>
        </w:rPr>
        <w:t>&lt;ESMA_QUESTION_FUNA_0&gt;</w:t>
      </w:r>
    </w:p>
    <w:p w14:paraId="3B7AB56A" w14:textId="486D865E" w:rsidR="00F87897" w:rsidRPr="00BF28DA" w:rsidRDefault="00F87897" w:rsidP="00F87897"/>
    <w:p w14:paraId="08CA68BE" w14:textId="77777777" w:rsidR="00B92885" w:rsidRDefault="00F87897" w:rsidP="00B92885">
      <w:pPr>
        <w:pStyle w:val="Questionstyle"/>
        <w:numPr>
          <w:ilvl w:val="0"/>
          <w:numId w:val="39"/>
        </w:numPr>
      </w:pPr>
      <w:r>
        <w:br w:type="page"/>
      </w:r>
      <w:r w:rsidR="00B92885">
        <w:lastRenderedPageBreak/>
        <w:t xml:space="preserve">: </w:t>
      </w:r>
      <w:r w:rsidR="00B92885" w:rsidRPr="00C96AFA">
        <w:t>Do you agree with the need to introduce quantitative thresholds to assess funds’ names?</w:t>
      </w:r>
    </w:p>
    <w:p w14:paraId="5820FAB8" w14:textId="77777777" w:rsidR="00B92885" w:rsidRDefault="00B92885" w:rsidP="00B92885">
      <w:r>
        <w:t>&lt;ESMA_QUESTION_FUNA_1&gt;</w:t>
      </w:r>
    </w:p>
    <w:p w14:paraId="630AE502" w14:textId="2A748005" w:rsidR="0019388A" w:rsidRPr="00F654EE" w:rsidRDefault="0007456C" w:rsidP="0019388A">
      <w:pPr>
        <w:pStyle w:val="Default"/>
        <w:spacing w:after="175"/>
        <w:jc w:val="both"/>
        <w:rPr>
          <w:rFonts w:ascii="Arial" w:hAnsi="Arial" w:cs="Arial"/>
          <w:bCs/>
          <w:color w:val="auto"/>
          <w:sz w:val="20"/>
          <w:szCs w:val="20"/>
          <w:lang w:val="en-US"/>
        </w:rPr>
      </w:pPr>
      <w:permStart w:id="1596738700" w:edGrp="everyone"/>
      <w:r>
        <w:rPr>
          <w:rFonts w:ascii="Arial" w:hAnsi="Arial" w:cs="Arial"/>
          <w:bCs/>
          <w:color w:val="auto"/>
          <w:sz w:val="20"/>
          <w:szCs w:val="20"/>
          <w:lang w:val="en-US"/>
        </w:rPr>
        <w:t xml:space="preserve">Response to Q1 </w:t>
      </w:r>
      <w:proofErr w:type="gramStart"/>
      <w:r>
        <w:rPr>
          <w:rFonts w:ascii="Arial" w:hAnsi="Arial" w:cs="Arial"/>
          <w:bCs/>
          <w:color w:val="auto"/>
          <w:sz w:val="20"/>
          <w:szCs w:val="20"/>
          <w:lang w:val="en-US"/>
        </w:rPr>
        <w:t xml:space="preserve">-  </w:t>
      </w:r>
      <w:r w:rsidR="0019388A" w:rsidRPr="00F654EE">
        <w:rPr>
          <w:rFonts w:ascii="Arial" w:hAnsi="Arial" w:cs="Arial"/>
          <w:bCs/>
          <w:color w:val="auto"/>
          <w:sz w:val="20"/>
          <w:szCs w:val="20"/>
          <w:lang w:val="en-US"/>
        </w:rPr>
        <w:t>We</w:t>
      </w:r>
      <w:proofErr w:type="gramEnd"/>
      <w:r w:rsidR="0019388A" w:rsidRPr="00F654EE">
        <w:rPr>
          <w:rFonts w:ascii="Arial" w:hAnsi="Arial" w:cs="Arial"/>
          <w:bCs/>
          <w:color w:val="auto"/>
          <w:sz w:val="20"/>
          <w:szCs w:val="20"/>
          <w:lang w:val="en-US"/>
        </w:rPr>
        <w:t xml:space="preserve"> are convinced that proportionality should be introduced between the “marketing” disclosures of a financial product (among which the name) and the degree of ESG commitment and related impact in the financial product. Unlike some national rules (such as the French non-financial disclosure rules) or label rules in some Members States, SFDR disclosures are not dealing with this issue. In July 2021, the European Commission (EC) clarified that the definition of funds disclosing under SFDR art.8 is quite large, while the definition of funds disclosing under art.9 </w:t>
      </w:r>
      <w:proofErr w:type="gramStart"/>
      <w:r w:rsidR="0019388A" w:rsidRPr="00F654EE">
        <w:rPr>
          <w:rFonts w:ascii="Arial" w:hAnsi="Arial" w:cs="Arial"/>
          <w:bCs/>
          <w:color w:val="auto"/>
          <w:sz w:val="20"/>
          <w:szCs w:val="20"/>
          <w:lang w:val="en-US"/>
        </w:rPr>
        <w:t>has been narrowed</w:t>
      </w:r>
      <w:proofErr w:type="gramEnd"/>
      <w:r w:rsidR="0019388A" w:rsidRPr="00F654EE">
        <w:rPr>
          <w:rFonts w:ascii="Arial" w:hAnsi="Arial" w:cs="Arial"/>
          <w:bCs/>
          <w:color w:val="auto"/>
          <w:sz w:val="20"/>
          <w:szCs w:val="20"/>
          <w:lang w:val="en-US"/>
        </w:rPr>
        <w:t xml:space="preserve"> due to the “sustainable investments only” requirement. Therefore, introducing </w:t>
      </w:r>
      <w:proofErr w:type="gramStart"/>
      <w:r w:rsidR="0019388A" w:rsidRPr="00F654EE">
        <w:rPr>
          <w:rFonts w:ascii="Arial" w:hAnsi="Arial" w:cs="Arial"/>
          <w:bCs/>
          <w:color w:val="auto"/>
          <w:sz w:val="20"/>
          <w:szCs w:val="20"/>
          <w:lang w:val="en-US"/>
        </w:rPr>
        <w:t>fund naming</w:t>
      </w:r>
      <w:proofErr w:type="gramEnd"/>
      <w:r w:rsidR="0019388A" w:rsidRPr="00F654EE">
        <w:rPr>
          <w:rFonts w:ascii="Arial" w:hAnsi="Arial" w:cs="Arial"/>
          <w:bCs/>
          <w:color w:val="auto"/>
          <w:sz w:val="20"/>
          <w:szCs w:val="20"/>
          <w:lang w:val="en-US"/>
        </w:rPr>
        <w:t xml:space="preserve"> rules may allow to introduce some proportionality among the art.8 funds.</w:t>
      </w:r>
    </w:p>
    <w:p w14:paraId="34006BCC" w14:textId="77777777" w:rsidR="0019388A" w:rsidRPr="00F654EE" w:rsidRDefault="0019388A" w:rsidP="0019388A">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On top of introducing measurable </w:t>
      </w:r>
      <w:r w:rsidRPr="00F654EE">
        <w:rPr>
          <w:rFonts w:ascii="Arial" w:hAnsi="Arial" w:cs="Arial"/>
          <w:b/>
          <w:bCs/>
          <w:color w:val="auto"/>
          <w:sz w:val="20"/>
          <w:szCs w:val="20"/>
          <w:lang w:val="en-US"/>
        </w:rPr>
        <w:t>proportionality</w:t>
      </w:r>
      <w:r w:rsidRPr="00F654EE">
        <w:rPr>
          <w:rFonts w:ascii="Arial" w:hAnsi="Arial" w:cs="Arial"/>
          <w:bCs/>
          <w:color w:val="auto"/>
          <w:sz w:val="20"/>
          <w:szCs w:val="20"/>
          <w:lang w:val="en-US"/>
        </w:rPr>
        <w:t xml:space="preserve">, in theory, quantitative thresholds rules have the </w:t>
      </w:r>
      <w:r w:rsidRPr="00F654EE">
        <w:rPr>
          <w:rFonts w:ascii="Arial" w:hAnsi="Arial" w:cs="Arial"/>
          <w:b/>
          <w:bCs/>
          <w:color w:val="auto"/>
          <w:sz w:val="20"/>
          <w:szCs w:val="20"/>
          <w:lang w:val="en-US"/>
        </w:rPr>
        <w:t>merit to be simple</w:t>
      </w:r>
      <w:r w:rsidRPr="00F654EE">
        <w:rPr>
          <w:rFonts w:ascii="Arial" w:hAnsi="Arial" w:cs="Arial"/>
          <w:bCs/>
          <w:color w:val="auto"/>
          <w:sz w:val="20"/>
          <w:szCs w:val="20"/>
          <w:lang w:val="en-US"/>
        </w:rPr>
        <w:t xml:space="preserve">: based on pre-contractual asset allocation, simple to check (against periodic reports). </w:t>
      </w:r>
    </w:p>
    <w:p w14:paraId="0F34446F" w14:textId="77777777" w:rsidR="0019388A" w:rsidRPr="00F654EE" w:rsidRDefault="0019388A" w:rsidP="0019388A">
      <w:pPr>
        <w:pStyle w:val="Default"/>
        <w:spacing w:after="175"/>
        <w:jc w:val="both"/>
        <w:rPr>
          <w:rFonts w:ascii="Arial" w:hAnsi="Arial" w:cs="Arial"/>
          <w:bCs/>
          <w:color w:val="auto"/>
          <w:sz w:val="20"/>
          <w:szCs w:val="20"/>
          <w:lang w:val="en-US"/>
        </w:rPr>
      </w:pPr>
      <w:proofErr w:type="gramStart"/>
      <w:r w:rsidRPr="00F654EE">
        <w:rPr>
          <w:rFonts w:ascii="Arial" w:hAnsi="Arial" w:cs="Arial"/>
          <w:bCs/>
          <w:color w:val="auto"/>
          <w:sz w:val="20"/>
          <w:szCs w:val="20"/>
          <w:lang w:val="en-US"/>
        </w:rPr>
        <w:t>But</w:t>
      </w:r>
      <w:proofErr w:type="gramEnd"/>
      <w:r w:rsidRPr="00F654EE">
        <w:rPr>
          <w:rFonts w:ascii="Arial" w:hAnsi="Arial" w:cs="Arial"/>
          <w:bCs/>
          <w:color w:val="auto"/>
          <w:sz w:val="20"/>
          <w:szCs w:val="20"/>
          <w:lang w:val="en-US"/>
        </w:rPr>
        <w:t xml:space="preserve"> </w:t>
      </w:r>
      <w:r w:rsidRPr="00F654EE">
        <w:rPr>
          <w:rFonts w:ascii="Arial" w:hAnsi="Arial" w:cs="Arial"/>
          <w:b/>
          <w:bCs/>
          <w:color w:val="auto"/>
          <w:sz w:val="20"/>
          <w:szCs w:val="20"/>
          <w:lang w:val="en-US"/>
        </w:rPr>
        <w:t>such apparent simplicity in using quantitative thresholds is actually bringing confusion:</w:t>
      </w:r>
    </w:p>
    <w:p w14:paraId="0D01F395" w14:textId="77777777" w:rsidR="00902197" w:rsidRPr="00F654EE" w:rsidRDefault="0019388A" w:rsidP="00C465AE">
      <w:pPr>
        <w:pStyle w:val="Default"/>
        <w:numPr>
          <w:ilvl w:val="0"/>
          <w:numId w:val="41"/>
        </w:numPr>
        <w:spacing w:after="175"/>
        <w:ind w:left="426" w:hanging="284"/>
        <w:jc w:val="both"/>
        <w:rPr>
          <w:rFonts w:ascii="Arial" w:hAnsi="Arial" w:cs="Arial"/>
          <w:bCs/>
          <w:color w:val="auto"/>
          <w:sz w:val="20"/>
          <w:szCs w:val="20"/>
          <w:lang w:val="en-US"/>
        </w:rPr>
      </w:pPr>
      <w:r w:rsidRPr="00F654EE">
        <w:rPr>
          <w:rFonts w:ascii="Arial" w:hAnsi="Arial" w:cs="Arial"/>
          <w:bCs/>
          <w:color w:val="auto"/>
          <w:sz w:val="20"/>
          <w:szCs w:val="20"/>
          <w:lang w:val="en-US"/>
        </w:rPr>
        <w:t>The most notable confusion would stem from the threshold based on</w:t>
      </w:r>
      <w:r w:rsidRPr="00F654EE">
        <w:rPr>
          <w:rFonts w:ascii="Arial" w:hAnsi="Arial" w:cs="Arial"/>
          <w:b/>
          <w:bCs/>
          <w:color w:val="auto"/>
          <w:sz w:val="20"/>
          <w:szCs w:val="20"/>
          <w:lang w:val="en-US"/>
        </w:rPr>
        <w:t xml:space="preserve"> “sustainable investment” (SI)</w:t>
      </w:r>
      <w:r w:rsidRPr="00F654EE">
        <w:rPr>
          <w:rFonts w:ascii="Arial" w:hAnsi="Arial" w:cs="Arial"/>
          <w:bCs/>
          <w:color w:val="auto"/>
          <w:sz w:val="20"/>
          <w:szCs w:val="20"/>
          <w:lang w:val="en-US"/>
        </w:rPr>
        <w:t>. ESAs are fully aware that different methodologies to assess SI can lead to quite different proportions of SI for similar portfolios. To this extent, in September 2022, ESAs have officially questioned the European Commission</w:t>
      </w:r>
      <w:r w:rsidRPr="00F654EE">
        <w:rPr>
          <w:rStyle w:val="FootnoteReference"/>
          <w:rFonts w:ascii="Arial" w:hAnsi="Arial" w:cs="Arial"/>
          <w:bCs/>
          <w:color w:val="auto"/>
          <w:sz w:val="20"/>
          <w:szCs w:val="20"/>
          <w:lang w:val="en-US"/>
        </w:rPr>
        <w:footnoteReference w:id="2"/>
      </w:r>
      <w:r w:rsidRPr="00F654EE">
        <w:rPr>
          <w:rFonts w:ascii="Arial" w:hAnsi="Arial" w:cs="Arial"/>
          <w:bCs/>
          <w:color w:val="auto"/>
          <w:sz w:val="20"/>
          <w:szCs w:val="20"/>
          <w:lang w:val="en-US"/>
        </w:rPr>
        <w:t xml:space="preserve"> to get more clarity on how to interpret SFDR’s SI concept (art 2(17)). </w:t>
      </w:r>
      <w:bookmarkStart w:id="4" w:name="_Hlk125038429"/>
      <w:r w:rsidRPr="00F654EE">
        <w:rPr>
          <w:rFonts w:ascii="Arial" w:hAnsi="Arial" w:cs="Arial"/>
          <w:bCs/>
          <w:color w:val="auto"/>
          <w:sz w:val="20"/>
          <w:szCs w:val="20"/>
          <w:lang w:val="en-US"/>
        </w:rPr>
        <w:t>In the absence of clarity, the looser the SI methodology, the less conservative the commitment, the more likely the fund name will be able to display a “sustainability-related” term to retail clients. This leads to the opposite to what the regulator is seeking.</w:t>
      </w:r>
      <w:bookmarkEnd w:id="4"/>
    </w:p>
    <w:p w14:paraId="1197D02F" w14:textId="62986FB2" w:rsidR="0019388A" w:rsidRPr="00F654EE" w:rsidRDefault="0019388A" w:rsidP="00902197">
      <w:pPr>
        <w:pStyle w:val="Default"/>
        <w:spacing w:after="175"/>
        <w:ind w:left="426"/>
        <w:jc w:val="both"/>
        <w:rPr>
          <w:rFonts w:ascii="Arial" w:hAnsi="Arial" w:cs="Arial"/>
          <w:bCs/>
          <w:color w:val="auto"/>
          <w:sz w:val="20"/>
          <w:szCs w:val="20"/>
          <w:lang w:val="en-US"/>
        </w:rPr>
      </w:pPr>
      <w:r w:rsidRPr="00F654EE">
        <w:rPr>
          <w:rFonts w:ascii="Arial" w:hAnsi="Arial" w:cs="Arial"/>
          <w:b/>
          <w:bCs/>
          <w:color w:val="auto"/>
          <w:sz w:val="20"/>
          <w:szCs w:val="20"/>
          <w:lang w:val="en-US"/>
        </w:rPr>
        <w:t>As long as there is no precise clarification about the concept of SI</w:t>
      </w:r>
      <w:r w:rsidRPr="00F654EE">
        <w:rPr>
          <w:rFonts w:ascii="Arial" w:hAnsi="Arial" w:cs="Arial"/>
          <w:bCs/>
          <w:color w:val="auto"/>
          <w:sz w:val="20"/>
          <w:szCs w:val="20"/>
          <w:lang w:val="en-US"/>
        </w:rPr>
        <w:t xml:space="preserve">, </w:t>
      </w:r>
      <w:r w:rsidRPr="00F654EE">
        <w:rPr>
          <w:rFonts w:ascii="Arial" w:hAnsi="Arial" w:cs="Arial"/>
          <w:b/>
          <w:bCs/>
          <w:color w:val="auto"/>
          <w:sz w:val="20"/>
          <w:szCs w:val="20"/>
          <w:lang w:val="en-US"/>
        </w:rPr>
        <w:t>aligning the fund’s name to the proportion of SI in the fund may be amplifying the impact of SFDR’s current lack of clarity: market fragmentation across the EU, confusion of investors and increase in greenwashing risks.</w:t>
      </w:r>
    </w:p>
    <w:p w14:paraId="081A48B6" w14:textId="77777777" w:rsidR="0019388A" w:rsidRPr="00F654EE" w:rsidRDefault="0019388A" w:rsidP="00C465AE">
      <w:pPr>
        <w:pStyle w:val="Default"/>
        <w:numPr>
          <w:ilvl w:val="0"/>
          <w:numId w:val="41"/>
        </w:numPr>
        <w:spacing w:after="175"/>
        <w:ind w:left="426" w:hanging="284"/>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In addition, the proposed guidelines themselves require </w:t>
      </w:r>
      <w:r w:rsidRPr="00F654EE">
        <w:rPr>
          <w:rFonts w:ascii="Arial" w:hAnsi="Arial" w:cs="Arial"/>
          <w:b/>
          <w:bCs/>
          <w:color w:val="auto"/>
          <w:sz w:val="20"/>
          <w:szCs w:val="20"/>
          <w:lang w:val="en-US"/>
        </w:rPr>
        <w:t>additional clarity, notably on the threshold methodology (numerator, denominator) prior to determining the level of the thresholds.</w:t>
      </w:r>
      <w:r w:rsidRPr="00F654EE">
        <w:rPr>
          <w:rFonts w:ascii="Arial" w:hAnsi="Arial" w:cs="Arial"/>
          <w:bCs/>
          <w:color w:val="auto"/>
          <w:sz w:val="20"/>
          <w:szCs w:val="20"/>
          <w:lang w:val="en-US"/>
        </w:rPr>
        <w:t xml:space="preserve"> Typically, neither the “investments used to meet the E/S characteristics of the fund” nor the SI proportion thresholds can be set “in </w:t>
      </w:r>
      <w:proofErr w:type="spellStart"/>
      <w:r w:rsidRPr="00F654EE">
        <w:rPr>
          <w:rFonts w:ascii="Arial" w:hAnsi="Arial" w:cs="Arial"/>
          <w:bCs/>
          <w:color w:val="auto"/>
          <w:sz w:val="20"/>
          <w:szCs w:val="20"/>
          <w:lang w:val="en-US"/>
        </w:rPr>
        <w:t>abstracto</w:t>
      </w:r>
      <w:proofErr w:type="spellEnd"/>
      <w:r w:rsidRPr="00F654EE">
        <w:rPr>
          <w:rFonts w:ascii="Arial" w:hAnsi="Arial" w:cs="Arial"/>
          <w:bCs/>
          <w:color w:val="auto"/>
          <w:sz w:val="20"/>
          <w:szCs w:val="20"/>
          <w:lang w:val="en-US"/>
        </w:rPr>
        <w:t xml:space="preserve">” in the absence of a common definition and therefore in the absence of any possible comparison with the level at which the real economy stands (e.g. based on some representative indexes). </w:t>
      </w:r>
    </w:p>
    <w:p w14:paraId="514BF0BC" w14:textId="77777777" w:rsidR="00902197" w:rsidRPr="00F654EE" w:rsidRDefault="0019388A" w:rsidP="00C465AE">
      <w:pPr>
        <w:pStyle w:val="Default"/>
        <w:numPr>
          <w:ilvl w:val="0"/>
          <w:numId w:val="41"/>
        </w:numPr>
        <w:spacing w:after="175"/>
        <w:ind w:left="426" w:hanging="284"/>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In terms of proportionality of disclosures, we believe that </w:t>
      </w:r>
      <w:r w:rsidRPr="00F654EE">
        <w:rPr>
          <w:rFonts w:ascii="Arial" w:hAnsi="Arial" w:cs="Arial"/>
          <w:b/>
          <w:bCs/>
          <w:color w:val="auto"/>
          <w:sz w:val="20"/>
          <w:szCs w:val="20"/>
          <w:lang w:val="en-US"/>
        </w:rPr>
        <w:t>the most relevant criteria is the significance of the binding commitment in terms of goal and strategy</w:t>
      </w:r>
      <w:r w:rsidRPr="00F654EE">
        <w:rPr>
          <w:rFonts w:ascii="Arial" w:hAnsi="Arial" w:cs="Arial"/>
          <w:bCs/>
          <w:color w:val="auto"/>
          <w:sz w:val="20"/>
          <w:szCs w:val="20"/>
          <w:lang w:val="en-US"/>
        </w:rPr>
        <w:t xml:space="preserve">, and the adherence of </w:t>
      </w:r>
      <w:r w:rsidRPr="00F654EE">
        <w:rPr>
          <w:rFonts w:ascii="Arial" w:hAnsi="Arial" w:cs="Arial"/>
          <w:b/>
          <w:bCs/>
          <w:color w:val="auto"/>
          <w:sz w:val="20"/>
          <w:szCs w:val="20"/>
          <w:lang w:val="en-US"/>
        </w:rPr>
        <w:t>the investment process to meet this objective</w:t>
      </w:r>
      <w:r w:rsidRPr="00F654EE">
        <w:rPr>
          <w:rFonts w:ascii="Arial" w:hAnsi="Arial" w:cs="Arial"/>
          <w:bCs/>
          <w:color w:val="auto"/>
          <w:sz w:val="20"/>
          <w:szCs w:val="20"/>
          <w:lang w:val="en-US"/>
        </w:rPr>
        <w:t xml:space="preserve"> [ex ante and ex post]. </w:t>
      </w:r>
    </w:p>
    <w:p w14:paraId="61390F1C" w14:textId="0B297A77" w:rsidR="0019388A" w:rsidRPr="00F654EE" w:rsidRDefault="0019388A" w:rsidP="00902197">
      <w:pPr>
        <w:pStyle w:val="Default"/>
        <w:spacing w:after="175"/>
        <w:ind w:left="426"/>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If set too high, quantitative thresholds may exclude some strategies, asset classes or geographical areas that not only could enhance the ESG/sustainability features of the fund but more importantly are critical to finance the transition of a more sustainable economy (notably in low and middle income countries). This could lead to some </w:t>
      </w:r>
      <w:r w:rsidRPr="00F654EE">
        <w:rPr>
          <w:rFonts w:ascii="Arial" w:hAnsi="Arial" w:cs="Arial"/>
          <w:b/>
          <w:bCs/>
          <w:color w:val="auto"/>
          <w:sz w:val="20"/>
          <w:szCs w:val="20"/>
          <w:lang w:val="en-US"/>
        </w:rPr>
        <w:t>confusion in the readability of the product range</w:t>
      </w:r>
      <w:r w:rsidRPr="00F654EE">
        <w:rPr>
          <w:rFonts w:ascii="Arial" w:hAnsi="Arial" w:cs="Arial"/>
          <w:bCs/>
          <w:color w:val="auto"/>
          <w:sz w:val="20"/>
          <w:szCs w:val="20"/>
          <w:lang w:val="en-US"/>
        </w:rPr>
        <w:t xml:space="preserve"> offered to clients having sustainability preferences. </w:t>
      </w:r>
    </w:p>
    <w:p w14:paraId="65057C9C" w14:textId="77777777" w:rsidR="0019388A" w:rsidRPr="00F654EE" w:rsidRDefault="0019388A" w:rsidP="00C465AE">
      <w:pPr>
        <w:pStyle w:val="Default"/>
        <w:numPr>
          <w:ilvl w:val="0"/>
          <w:numId w:val="41"/>
        </w:numPr>
        <w:spacing w:after="175"/>
        <w:ind w:left="426" w:hanging="284"/>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Retail clients may </w:t>
      </w:r>
      <w:proofErr w:type="gramStart"/>
      <w:r w:rsidRPr="00F654EE">
        <w:rPr>
          <w:rFonts w:ascii="Arial" w:hAnsi="Arial" w:cs="Arial"/>
          <w:bCs/>
          <w:color w:val="auto"/>
          <w:sz w:val="20"/>
          <w:szCs w:val="20"/>
          <w:lang w:val="en-US"/>
        </w:rPr>
        <w:t>all the more</w:t>
      </w:r>
      <w:proofErr w:type="gramEnd"/>
      <w:r w:rsidRPr="00F654EE">
        <w:rPr>
          <w:rFonts w:ascii="Arial" w:hAnsi="Arial" w:cs="Arial"/>
          <w:bCs/>
          <w:color w:val="auto"/>
          <w:sz w:val="20"/>
          <w:szCs w:val="20"/>
          <w:lang w:val="en-US"/>
        </w:rPr>
        <w:t xml:space="preserve"> be confused by the </w:t>
      </w:r>
      <w:r w:rsidRPr="00F654EE">
        <w:rPr>
          <w:rFonts w:ascii="Arial" w:hAnsi="Arial" w:cs="Arial"/>
          <w:b/>
          <w:bCs/>
          <w:color w:val="auto"/>
          <w:sz w:val="20"/>
          <w:szCs w:val="20"/>
          <w:lang w:val="en-US"/>
        </w:rPr>
        <w:t>mismatch around the “sustainability” concept</w:t>
      </w:r>
      <w:r w:rsidRPr="00F654EE">
        <w:rPr>
          <w:rFonts w:ascii="Arial" w:hAnsi="Arial" w:cs="Arial"/>
          <w:bCs/>
          <w:color w:val="auto"/>
          <w:sz w:val="20"/>
          <w:szCs w:val="20"/>
          <w:lang w:val="en-US"/>
        </w:rPr>
        <w:t xml:space="preserve">. Under MiFID Delegated Regulation and Directive, clients shall express their “sustainability” preferences </w:t>
      </w:r>
      <w:proofErr w:type="gramStart"/>
      <w:r w:rsidRPr="00F654EE">
        <w:rPr>
          <w:rFonts w:ascii="Arial" w:hAnsi="Arial" w:cs="Arial"/>
          <w:bCs/>
          <w:color w:val="auto"/>
          <w:sz w:val="20"/>
          <w:szCs w:val="20"/>
          <w:lang w:val="en-US"/>
        </w:rPr>
        <w:t>on the basis of</w:t>
      </w:r>
      <w:proofErr w:type="gramEnd"/>
      <w:r w:rsidRPr="00F654EE">
        <w:rPr>
          <w:rFonts w:ascii="Arial" w:hAnsi="Arial" w:cs="Arial"/>
          <w:bCs/>
          <w:color w:val="auto"/>
          <w:sz w:val="20"/>
          <w:szCs w:val="20"/>
          <w:lang w:val="en-US"/>
        </w:rPr>
        <w:t xml:space="preserve"> three different concepts: taxonomy, SFDR’s SI, and principal adverse impacts consideration. While “sustainability” in fund names is only based on SFDR’s SI, and a minimum threshold.</w:t>
      </w:r>
    </w:p>
    <w:p w14:paraId="1E8A6BE7" w14:textId="77777777" w:rsidR="0019388A" w:rsidRPr="00F654EE" w:rsidRDefault="0019388A" w:rsidP="0019388A">
      <w:pPr>
        <w:pStyle w:val="Default"/>
        <w:spacing w:after="175"/>
        <w:jc w:val="both"/>
        <w:rPr>
          <w:rFonts w:ascii="Arial" w:hAnsi="Arial" w:cs="Arial"/>
          <w:bCs/>
          <w:color w:val="auto"/>
          <w:sz w:val="20"/>
          <w:szCs w:val="20"/>
          <w:lang w:val="en-US"/>
        </w:rPr>
      </w:pPr>
      <w:proofErr w:type="spellStart"/>
      <w:r w:rsidRPr="00F654EE">
        <w:rPr>
          <w:rFonts w:ascii="Arial" w:hAnsi="Arial" w:cs="Arial"/>
          <w:bCs/>
          <w:color w:val="auto"/>
          <w:sz w:val="20"/>
          <w:szCs w:val="20"/>
          <w:lang w:val="en-US"/>
        </w:rPr>
        <w:t>Amundi</w:t>
      </w:r>
      <w:proofErr w:type="spellEnd"/>
      <w:r w:rsidRPr="00F654EE">
        <w:rPr>
          <w:rFonts w:ascii="Arial" w:hAnsi="Arial" w:cs="Arial"/>
          <w:bCs/>
          <w:color w:val="auto"/>
          <w:sz w:val="20"/>
          <w:szCs w:val="20"/>
          <w:lang w:val="en-US"/>
        </w:rPr>
        <w:t xml:space="preserve"> therefore:</w:t>
      </w:r>
    </w:p>
    <w:p w14:paraId="3F5A40BA" w14:textId="77777777" w:rsidR="0019388A" w:rsidRPr="00F654EE" w:rsidRDefault="0019388A" w:rsidP="00C465AE">
      <w:pPr>
        <w:pStyle w:val="Default"/>
        <w:numPr>
          <w:ilvl w:val="0"/>
          <w:numId w:val="42"/>
        </w:numPr>
        <w:spacing w:after="175"/>
        <w:jc w:val="both"/>
        <w:rPr>
          <w:rFonts w:ascii="Arial" w:hAnsi="Arial" w:cs="Arial"/>
          <w:bCs/>
          <w:color w:val="auto"/>
          <w:sz w:val="20"/>
          <w:szCs w:val="20"/>
          <w:lang w:val="en-US"/>
        </w:rPr>
      </w:pPr>
      <w:proofErr w:type="gramStart"/>
      <w:r w:rsidRPr="00F654EE">
        <w:rPr>
          <w:rFonts w:ascii="Arial" w:hAnsi="Arial" w:cs="Arial"/>
          <w:bCs/>
          <w:color w:val="auto"/>
          <w:sz w:val="20"/>
          <w:szCs w:val="20"/>
          <w:lang w:val="en-US"/>
        </w:rPr>
        <w:lastRenderedPageBreak/>
        <w:t>urges</w:t>
      </w:r>
      <w:proofErr w:type="gramEnd"/>
      <w:r w:rsidRPr="00F654EE">
        <w:rPr>
          <w:rFonts w:ascii="Arial" w:hAnsi="Arial" w:cs="Arial"/>
          <w:bCs/>
          <w:color w:val="auto"/>
          <w:sz w:val="20"/>
          <w:szCs w:val="20"/>
          <w:lang w:val="en-US"/>
        </w:rPr>
        <w:t xml:space="preserve"> ESMA to either remove the reference to an absolute SI threshold, or to put these draft guidelines on hold until sufficient guidance on key SFDR and MIFID Delegated Regulation and Directive concepts is obtained and the threshold can be revised accordingly. </w:t>
      </w:r>
    </w:p>
    <w:p w14:paraId="0472082D" w14:textId="77777777" w:rsidR="0019388A" w:rsidRPr="00F654EE" w:rsidRDefault="0019388A" w:rsidP="00C465AE">
      <w:pPr>
        <w:pStyle w:val="Default"/>
        <w:numPr>
          <w:ilvl w:val="0"/>
          <w:numId w:val="42"/>
        </w:numPr>
        <w:spacing w:after="175"/>
        <w:jc w:val="both"/>
        <w:rPr>
          <w:rFonts w:ascii="Arial" w:hAnsi="Arial" w:cs="Arial"/>
          <w:bCs/>
          <w:color w:val="auto"/>
          <w:sz w:val="20"/>
          <w:szCs w:val="20"/>
          <w:lang w:val="en-US"/>
        </w:rPr>
      </w:pPr>
      <w:proofErr w:type="gramStart"/>
      <w:r w:rsidRPr="00F654EE">
        <w:rPr>
          <w:rFonts w:ascii="Arial" w:hAnsi="Arial" w:cs="Arial"/>
          <w:bCs/>
          <w:color w:val="auto"/>
          <w:sz w:val="20"/>
          <w:szCs w:val="20"/>
          <w:lang w:val="en-US"/>
        </w:rPr>
        <w:t>calls</w:t>
      </w:r>
      <w:proofErr w:type="gramEnd"/>
      <w:r w:rsidRPr="00F654EE">
        <w:rPr>
          <w:rFonts w:ascii="Arial" w:hAnsi="Arial" w:cs="Arial"/>
          <w:bCs/>
          <w:color w:val="auto"/>
          <w:sz w:val="20"/>
          <w:szCs w:val="20"/>
          <w:lang w:val="en-US"/>
        </w:rPr>
        <w:t xml:space="preserve"> for more clarity in these guidelines (see next responses). </w:t>
      </w:r>
    </w:p>
    <w:p w14:paraId="043F3971" w14:textId="368EFEAE" w:rsidR="00B92885" w:rsidRPr="00F654EE" w:rsidRDefault="0019388A" w:rsidP="00C465AE">
      <w:pPr>
        <w:pStyle w:val="Default"/>
        <w:numPr>
          <w:ilvl w:val="0"/>
          <w:numId w:val="42"/>
        </w:numPr>
        <w:spacing w:after="175"/>
        <w:jc w:val="both"/>
        <w:rPr>
          <w:rFonts w:asciiTheme="minorHAnsi" w:hAnsiTheme="minorHAnsi" w:cstheme="minorHAnsi"/>
          <w:bCs/>
          <w:color w:val="auto"/>
          <w:sz w:val="22"/>
          <w:szCs w:val="22"/>
          <w:lang w:val="en-US"/>
        </w:rPr>
      </w:pPr>
      <w:proofErr w:type="gramStart"/>
      <w:r w:rsidRPr="00F654EE">
        <w:rPr>
          <w:rFonts w:ascii="Arial" w:hAnsi="Arial" w:cs="Arial"/>
          <w:bCs/>
          <w:color w:val="auto"/>
          <w:sz w:val="20"/>
          <w:szCs w:val="20"/>
          <w:lang w:val="en-US"/>
        </w:rPr>
        <w:t>believes</w:t>
      </w:r>
      <w:proofErr w:type="gramEnd"/>
      <w:r w:rsidRPr="00F654EE">
        <w:rPr>
          <w:rFonts w:ascii="Arial" w:hAnsi="Arial" w:cs="Arial"/>
          <w:bCs/>
          <w:color w:val="auto"/>
          <w:sz w:val="20"/>
          <w:szCs w:val="20"/>
          <w:lang w:val="en-US"/>
        </w:rPr>
        <w:t xml:space="preserve"> there are alternative approaches and to this extent has done its best effort to propose definitions and alternatives in the subsequent answers</w:t>
      </w:r>
      <w:r w:rsidRPr="00F654EE">
        <w:rPr>
          <w:rFonts w:asciiTheme="minorHAnsi" w:hAnsiTheme="minorHAnsi" w:cstheme="minorHAnsi"/>
          <w:bCs/>
          <w:color w:val="auto"/>
          <w:sz w:val="22"/>
          <w:szCs w:val="22"/>
          <w:lang w:val="en-US"/>
        </w:rPr>
        <w:t>.</w:t>
      </w:r>
    </w:p>
    <w:permEnd w:id="1596738700"/>
    <w:p w14:paraId="088B5A4D" w14:textId="77777777" w:rsidR="00B92885" w:rsidRDefault="00B92885" w:rsidP="00B92885">
      <w:r>
        <w:t>&lt;ESMA_QUESTION_FUNA_1&gt;</w:t>
      </w:r>
    </w:p>
    <w:p w14:paraId="651402EE" w14:textId="77777777" w:rsidR="00B92885" w:rsidRDefault="00B92885" w:rsidP="00B92885"/>
    <w:p w14:paraId="4BC13ED3" w14:textId="77777777" w:rsidR="00B92885" w:rsidRPr="00AA6F4F" w:rsidRDefault="00B92885" w:rsidP="00B92885">
      <w:pPr>
        <w:pStyle w:val="Questionstyle"/>
        <w:numPr>
          <w:ilvl w:val="0"/>
          <w:numId w:val="39"/>
        </w:numPr>
      </w:pPr>
      <w:r>
        <w:t xml:space="preserve">: </w:t>
      </w:r>
      <w:bookmarkStart w:id="5" w:name="_Hlk119596330"/>
      <w:r w:rsidRPr="00AA6F4F">
        <w:t>Do you agree with the proposed threshold of 80% of the minimum proportion of investments for the use of any ESG-, or impact-related words in the name of a fund? If not, please explain why and provide an alternative proposal.</w:t>
      </w:r>
    </w:p>
    <w:bookmarkEnd w:id="5"/>
    <w:p w14:paraId="4F9400BD" w14:textId="77777777" w:rsidR="00B92885" w:rsidRDefault="00B92885" w:rsidP="00B92885">
      <w:r>
        <w:t>&lt;ESMA_QUESTION_FUNA_2&gt;</w:t>
      </w:r>
    </w:p>
    <w:p w14:paraId="29DEF9AE" w14:textId="77777777" w:rsidR="0007456C" w:rsidRPr="0007456C" w:rsidRDefault="00E82A83" w:rsidP="00F654EE">
      <w:pPr>
        <w:pStyle w:val="Default"/>
        <w:spacing w:after="175"/>
        <w:jc w:val="both"/>
        <w:rPr>
          <w:rFonts w:ascii="Arial" w:hAnsi="Arial" w:cs="Arial"/>
          <w:bCs/>
          <w:color w:val="002060"/>
          <w:sz w:val="20"/>
          <w:szCs w:val="20"/>
          <w:lang w:val="en-US"/>
        </w:rPr>
      </w:pPr>
      <w:permStart w:id="1305634831" w:edGrp="everyone"/>
      <w:r w:rsidRPr="00902197">
        <w:rPr>
          <w:rFonts w:ascii="Arial" w:hAnsi="Arial" w:cs="Arial"/>
          <w:b/>
          <w:bCs/>
          <w:color w:val="002060"/>
          <w:sz w:val="20"/>
          <w:szCs w:val="20"/>
          <w:lang w:val="en-US"/>
        </w:rPr>
        <w:t xml:space="preserve"> </w:t>
      </w:r>
      <w:r w:rsidR="0007456C" w:rsidRPr="0007456C">
        <w:rPr>
          <w:rFonts w:ascii="Arial" w:hAnsi="Arial" w:cs="Arial"/>
          <w:bCs/>
          <w:color w:val="auto"/>
          <w:sz w:val="20"/>
          <w:szCs w:val="20"/>
          <w:lang w:val="en-US"/>
        </w:rPr>
        <w:t>Response to Q2</w:t>
      </w:r>
    </w:p>
    <w:p w14:paraId="31D0130A" w14:textId="7813C7A5" w:rsidR="00E82A83" w:rsidRPr="00F654EE" w:rsidRDefault="00E82A83" w:rsidP="00F654EE">
      <w:pPr>
        <w:pStyle w:val="Default"/>
        <w:spacing w:after="175"/>
        <w:jc w:val="both"/>
        <w:rPr>
          <w:rFonts w:ascii="Arial" w:hAnsi="Arial" w:cs="Arial"/>
          <w:b/>
          <w:bCs/>
          <w:color w:val="auto"/>
          <w:sz w:val="20"/>
          <w:szCs w:val="20"/>
          <w:lang w:val="en-US"/>
        </w:rPr>
      </w:pPr>
      <w:r w:rsidRPr="00F654EE">
        <w:rPr>
          <w:rFonts w:ascii="Arial" w:hAnsi="Arial" w:cs="Arial"/>
          <w:bCs/>
          <w:color w:val="auto"/>
          <w:sz w:val="20"/>
          <w:szCs w:val="20"/>
          <w:lang w:val="en-US"/>
        </w:rPr>
        <w:t xml:space="preserve">(1)   </w:t>
      </w:r>
      <w:r w:rsidRPr="00F654EE">
        <w:rPr>
          <w:rFonts w:ascii="Arial" w:hAnsi="Arial" w:cs="Arial"/>
          <w:b/>
          <w:bCs/>
          <w:color w:val="auto"/>
          <w:sz w:val="20"/>
          <w:szCs w:val="20"/>
          <w:lang w:val="en-US"/>
        </w:rPr>
        <w:t>The determination of the ESG threshold</w:t>
      </w:r>
    </w:p>
    <w:p w14:paraId="16773ED4" w14:textId="77777777" w:rsidR="00E82A83" w:rsidRPr="00F654EE" w:rsidRDefault="00E82A83" w:rsidP="00E82A83">
      <w:pPr>
        <w:pStyle w:val="Default"/>
        <w:spacing w:after="175"/>
        <w:jc w:val="both"/>
        <w:rPr>
          <w:rFonts w:ascii="Arial" w:hAnsi="Arial" w:cs="Arial"/>
          <w:b/>
          <w:bCs/>
          <w:color w:val="auto"/>
          <w:sz w:val="20"/>
          <w:szCs w:val="20"/>
          <w:lang w:val="en-US"/>
        </w:rPr>
      </w:pPr>
      <w:r w:rsidRPr="00F654EE">
        <w:rPr>
          <w:rFonts w:ascii="Arial" w:hAnsi="Arial" w:cs="Arial"/>
          <w:bCs/>
          <w:color w:val="auto"/>
          <w:sz w:val="20"/>
          <w:szCs w:val="20"/>
          <w:lang w:val="en-US"/>
        </w:rPr>
        <w:t xml:space="preserve">Though ESMA is referencing this ratio to the SFDR template’s asset allocation section, there is no clear definition of such ratio in SFDR delegated regulation. </w:t>
      </w:r>
    </w:p>
    <w:p w14:paraId="77B1F679" w14:textId="77777777" w:rsidR="00E82A83" w:rsidRPr="00F654EE" w:rsidRDefault="00E82A83" w:rsidP="00E82A83">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We believe the draft guidelines should bring more clarity to (</w:t>
      </w:r>
      <w:proofErr w:type="spellStart"/>
      <w:r w:rsidRPr="00F654EE">
        <w:rPr>
          <w:rFonts w:ascii="Arial" w:hAnsi="Arial" w:cs="Arial"/>
          <w:bCs/>
          <w:color w:val="auto"/>
          <w:sz w:val="20"/>
          <w:szCs w:val="20"/>
          <w:lang w:val="en-US"/>
        </w:rPr>
        <w:t>i</w:t>
      </w:r>
      <w:proofErr w:type="spellEnd"/>
      <w:r w:rsidRPr="00F654EE">
        <w:rPr>
          <w:rFonts w:ascii="Arial" w:hAnsi="Arial" w:cs="Arial"/>
          <w:bCs/>
          <w:color w:val="auto"/>
          <w:sz w:val="20"/>
          <w:szCs w:val="20"/>
          <w:lang w:val="en-US"/>
        </w:rPr>
        <w:t xml:space="preserve">) avoid diverging interpretations and (ii) assess whether this ratio is relevant and (iii) whether the 80% level </w:t>
      </w:r>
      <w:proofErr w:type="gramStart"/>
      <w:r w:rsidRPr="00F654EE">
        <w:rPr>
          <w:rFonts w:ascii="Arial" w:hAnsi="Arial" w:cs="Arial"/>
          <w:bCs/>
          <w:color w:val="auto"/>
          <w:sz w:val="20"/>
          <w:szCs w:val="20"/>
          <w:lang w:val="en-US"/>
        </w:rPr>
        <w:t>is correctly calibrated</w:t>
      </w:r>
      <w:proofErr w:type="gramEnd"/>
      <w:r w:rsidRPr="00F654EE">
        <w:rPr>
          <w:rFonts w:ascii="Arial" w:hAnsi="Arial" w:cs="Arial"/>
          <w:bCs/>
          <w:color w:val="auto"/>
          <w:sz w:val="20"/>
          <w:szCs w:val="20"/>
          <w:lang w:val="en-US"/>
        </w:rPr>
        <w:t xml:space="preserve"> i.e. both ambitious and realistic enough. </w:t>
      </w:r>
    </w:p>
    <w:p w14:paraId="0149674A" w14:textId="77777777" w:rsidR="00E82A83" w:rsidRPr="00F654EE" w:rsidRDefault="00E82A83" w:rsidP="00E82A83">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u w:val="single"/>
          <w:lang w:val="en-US"/>
        </w:rPr>
        <w:t xml:space="preserve">Our proposal for clarification of the </w:t>
      </w:r>
      <w:proofErr w:type="gramStart"/>
      <w:r w:rsidRPr="00F654EE">
        <w:rPr>
          <w:rFonts w:ascii="Arial" w:hAnsi="Arial" w:cs="Arial"/>
          <w:bCs/>
          <w:color w:val="auto"/>
          <w:sz w:val="20"/>
          <w:szCs w:val="20"/>
          <w:u w:val="single"/>
          <w:lang w:val="en-US"/>
        </w:rPr>
        <w:t>threshold</w:t>
      </w:r>
      <w:r w:rsidRPr="00F654EE">
        <w:rPr>
          <w:rFonts w:ascii="Arial" w:hAnsi="Arial" w:cs="Arial"/>
          <w:bCs/>
          <w:color w:val="auto"/>
          <w:sz w:val="20"/>
          <w:szCs w:val="20"/>
          <w:lang w:val="en-US"/>
        </w:rPr>
        <w:t xml:space="preserve"> :</w:t>
      </w:r>
      <w:proofErr w:type="gramEnd"/>
    </w:p>
    <w:p w14:paraId="780C2193" w14:textId="77777777" w:rsidR="00E82A83" w:rsidRPr="00F654EE" w:rsidRDefault="00E82A83" w:rsidP="00C465AE">
      <w:pPr>
        <w:pStyle w:val="Default"/>
        <w:numPr>
          <w:ilvl w:val="0"/>
          <w:numId w:val="39"/>
        </w:numPr>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Investments used to meet the E/S characteristics the fund (numerator): </w:t>
      </w:r>
    </w:p>
    <w:p w14:paraId="0470FE3E" w14:textId="77777777" w:rsidR="00E82A83" w:rsidRPr="00F654EE" w:rsidRDefault="00E82A83" w:rsidP="00E82A83">
      <w:pPr>
        <w:pStyle w:val="Default"/>
        <w:spacing w:after="175"/>
        <w:ind w:left="720"/>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The numerator would represent the “coverage” i.e. the exposure to </w:t>
      </w:r>
      <w:proofErr w:type="gramStart"/>
      <w:r w:rsidRPr="00F654EE">
        <w:rPr>
          <w:rFonts w:ascii="Arial" w:hAnsi="Arial" w:cs="Arial"/>
          <w:bCs/>
          <w:color w:val="auto"/>
          <w:sz w:val="20"/>
          <w:szCs w:val="20"/>
          <w:lang w:val="en-US"/>
        </w:rPr>
        <w:t xml:space="preserve">the </w:t>
      </w:r>
      <w:proofErr w:type="spellStart"/>
      <w:r w:rsidRPr="00F654EE">
        <w:rPr>
          <w:rFonts w:ascii="Arial" w:hAnsi="Arial" w:cs="Arial"/>
          <w:bCs/>
          <w:color w:val="auto"/>
          <w:sz w:val="20"/>
          <w:szCs w:val="20"/>
          <w:lang w:val="en-US"/>
        </w:rPr>
        <w:t>underlyings</w:t>
      </w:r>
      <w:proofErr w:type="spellEnd"/>
      <w:proofErr w:type="gramEnd"/>
      <w:r w:rsidRPr="00F654EE">
        <w:rPr>
          <w:rFonts w:ascii="Arial" w:hAnsi="Arial" w:cs="Arial"/>
          <w:bCs/>
          <w:color w:val="auto"/>
          <w:sz w:val="20"/>
          <w:szCs w:val="20"/>
          <w:lang w:val="en-US"/>
        </w:rPr>
        <w:t xml:space="preserve"> of the fund that have been subject to the assessment of a non-financial analysis or rating or non-financial indicator in relation with the ESG strategy of the fund. This definition has the merit to be adapted to and measurable by various ESG strategies (best in class, best in universe, </w:t>
      </w:r>
      <w:proofErr w:type="gramStart"/>
      <w:r w:rsidRPr="00F654EE">
        <w:rPr>
          <w:rFonts w:ascii="Arial" w:hAnsi="Arial" w:cs="Arial"/>
          <w:bCs/>
          <w:color w:val="auto"/>
          <w:sz w:val="20"/>
          <w:szCs w:val="20"/>
          <w:lang w:val="en-US"/>
        </w:rPr>
        <w:t>thematic, …)</w:t>
      </w:r>
      <w:proofErr w:type="gramEnd"/>
      <w:r w:rsidRPr="00F654EE">
        <w:rPr>
          <w:rFonts w:ascii="Arial" w:hAnsi="Arial" w:cs="Arial"/>
          <w:bCs/>
          <w:color w:val="auto"/>
          <w:sz w:val="20"/>
          <w:szCs w:val="20"/>
          <w:lang w:val="en-US"/>
        </w:rPr>
        <w:t xml:space="preserve">. </w:t>
      </w:r>
    </w:p>
    <w:p w14:paraId="7DD63682" w14:textId="20FC4228" w:rsidR="00E82A83" w:rsidRPr="00F654EE" w:rsidRDefault="00E82A83" w:rsidP="00E82A83">
      <w:pPr>
        <w:pStyle w:val="Default"/>
        <w:spacing w:after="175"/>
        <w:ind w:left="720"/>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It shall be noted that the numerator – whatever the definition - can significantly vary depending on the type of assets and regions, and the data availability. For instance, the coverage of emerging market strategies will be less than OECD’s large caps. </w:t>
      </w:r>
      <w:proofErr w:type="gramStart"/>
      <w:r w:rsidRPr="00F654EE">
        <w:rPr>
          <w:rFonts w:ascii="Arial" w:hAnsi="Arial" w:cs="Arial"/>
          <w:bCs/>
          <w:color w:val="auto"/>
          <w:sz w:val="20"/>
          <w:szCs w:val="20"/>
          <w:lang w:val="en-US"/>
        </w:rPr>
        <w:t>Or</w:t>
      </w:r>
      <w:proofErr w:type="gramEnd"/>
      <w:r w:rsidRPr="00F654EE">
        <w:rPr>
          <w:rFonts w:ascii="Arial" w:hAnsi="Arial" w:cs="Arial"/>
          <w:bCs/>
          <w:color w:val="auto"/>
          <w:sz w:val="20"/>
          <w:szCs w:val="20"/>
          <w:lang w:val="en-US"/>
        </w:rPr>
        <w:t>, certain diversified strategies may use more cash</w:t>
      </w:r>
      <w:r w:rsidR="00902197" w:rsidRPr="00F654EE">
        <w:rPr>
          <w:rFonts w:ascii="Arial" w:hAnsi="Arial" w:cs="Arial"/>
          <w:bCs/>
          <w:color w:val="auto"/>
          <w:sz w:val="20"/>
          <w:szCs w:val="20"/>
          <w:lang w:val="en-US"/>
        </w:rPr>
        <w:t xml:space="preserve">, or derivatives </w:t>
      </w:r>
      <w:r w:rsidRPr="00F654EE">
        <w:rPr>
          <w:rFonts w:ascii="Arial" w:hAnsi="Arial" w:cs="Arial"/>
          <w:bCs/>
          <w:color w:val="auto"/>
          <w:sz w:val="20"/>
          <w:szCs w:val="20"/>
          <w:lang w:val="en-US"/>
        </w:rPr>
        <w:t>that may not be looked through in the absence of clear regulatory or market standard for ESG considerations for derivatives (see Q7 for targeted solutions) and where there is no coverage by construction.</w:t>
      </w:r>
    </w:p>
    <w:p w14:paraId="1DF61CF4" w14:textId="77777777" w:rsidR="00E82A83" w:rsidRPr="00F654EE" w:rsidRDefault="00E82A83" w:rsidP="00C465AE">
      <w:pPr>
        <w:pStyle w:val="Default"/>
        <w:numPr>
          <w:ilvl w:val="0"/>
          <w:numId w:val="39"/>
        </w:numPr>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The denominator: ESMA said at open hearings that the net asset value (NAV) </w:t>
      </w:r>
      <w:r w:rsidRPr="00F654EE">
        <w:rPr>
          <w:rFonts w:ascii="Arial" w:hAnsi="Arial" w:cs="Arial"/>
          <w:bCs/>
          <w:i/>
          <w:color w:val="auto"/>
          <w:sz w:val="20"/>
          <w:szCs w:val="20"/>
          <w:lang w:val="en-US"/>
        </w:rPr>
        <w:t>including cash and derivatives</w:t>
      </w:r>
      <w:r w:rsidRPr="00F654EE">
        <w:rPr>
          <w:rFonts w:ascii="Arial" w:hAnsi="Arial" w:cs="Arial"/>
          <w:bCs/>
          <w:color w:val="auto"/>
          <w:sz w:val="20"/>
          <w:szCs w:val="20"/>
          <w:lang w:val="en-US"/>
        </w:rPr>
        <w:t xml:space="preserve"> would be the basis, in order to be consistent with SFDR’s proportions shown in SFDR’s asset allocation section. It </w:t>
      </w:r>
      <w:proofErr w:type="gramStart"/>
      <w:r w:rsidRPr="00F654EE">
        <w:rPr>
          <w:rFonts w:ascii="Arial" w:hAnsi="Arial" w:cs="Arial"/>
          <w:bCs/>
          <w:color w:val="auto"/>
          <w:sz w:val="20"/>
          <w:szCs w:val="20"/>
          <w:lang w:val="en-US"/>
        </w:rPr>
        <w:t>shall then be considered</w:t>
      </w:r>
      <w:proofErr w:type="gramEnd"/>
      <w:r w:rsidRPr="00F654EE">
        <w:rPr>
          <w:rFonts w:ascii="Arial" w:hAnsi="Arial" w:cs="Arial"/>
          <w:bCs/>
          <w:color w:val="auto"/>
          <w:sz w:val="20"/>
          <w:szCs w:val="20"/>
          <w:lang w:val="en-US"/>
        </w:rPr>
        <w:t xml:space="preserve"> that certain strategies (multi asset …) can have relatively high proportion of cash and derivatives. </w:t>
      </w:r>
    </w:p>
    <w:p w14:paraId="05C17CB5" w14:textId="0CB934A5" w:rsidR="00E82A83" w:rsidRPr="00F654EE" w:rsidRDefault="00E82A83" w:rsidP="00E82A83">
      <w:pPr>
        <w:pStyle w:val="Default"/>
        <w:spacing w:after="175"/>
        <w:ind w:left="720"/>
        <w:jc w:val="both"/>
        <w:rPr>
          <w:rFonts w:ascii="Arial" w:hAnsi="Arial" w:cs="Arial"/>
          <w:bCs/>
          <w:color w:val="auto"/>
          <w:sz w:val="20"/>
          <w:szCs w:val="20"/>
          <w:lang w:val="en-US"/>
        </w:rPr>
      </w:pPr>
      <w:r w:rsidRPr="00F654EE">
        <w:rPr>
          <w:rFonts w:ascii="Arial" w:hAnsi="Arial" w:cs="Arial"/>
          <w:bCs/>
          <w:color w:val="auto"/>
          <w:sz w:val="20"/>
          <w:szCs w:val="20"/>
          <w:lang w:val="en-US"/>
        </w:rPr>
        <w:t>An 80% threshold can fit large caps equity funds (non-emerging) with moderate levels of cash and derivative.  But in a diversified fund, cash and derivatives could reach more than 20% of the NAV, and even if they were up to 20% it would imply that 100% of the underlying issuers are “ESG” covered which could be out of reach for certain asset types (e.g. high yield or small caps) or regions (e.g. emerging).</w:t>
      </w:r>
    </w:p>
    <w:p w14:paraId="6AD9EAD7" w14:textId="77777777" w:rsidR="00E82A83" w:rsidRPr="00F654EE" w:rsidRDefault="00E82A83" w:rsidP="00E82A83">
      <w:pPr>
        <w:pStyle w:val="Default"/>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Therefore, though a coverage of 80% could be an overall reasonably material level if it excludes cash and derivatives, it would need to </w:t>
      </w:r>
      <w:proofErr w:type="gramStart"/>
      <w:r w:rsidRPr="00F654EE">
        <w:rPr>
          <w:rFonts w:ascii="Arial" w:hAnsi="Arial" w:cs="Arial"/>
          <w:bCs/>
          <w:color w:val="auto"/>
          <w:sz w:val="20"/>
          <w:szCs w:val="20"/>
          <w:lang w:val="en-US"/>
        </w:rPr>
        <w:t>be adjusted</w:t>
      </w:r>
      <w:proofErr w:type="gramEnd"/>
      <w:r w:rsidRPr="00F654EE">
        <w:rPr>
          <w:rFonts w:ascii="Arial" w:hAnsi="Arial" w:cs="Arial"/>
          <w:bCs/>
          <w:color w:val="auto"/>
          <w:sz w:val="20"/>
          <w:szCs w:val="20"/>
          <w:lang w:val="en-US"/>
        </w:rPr>
        <w:t xml:space="preserve"> in order to both account for cash and derivatives in the denominator, and not unduly exclude strategies with relatively high level of cash and derivatives by construction that would have been considered otherwise. Taking the above into account, ex-ante commitments could for instance be set at:</w:t>
      </w:r>
    </w:p>
    <w:p w14:paraId="4513380F" w14:textId="77777777" w:rsidR="00E82A83" w:rsidRPr="00F654EE" w:rsidRDefault="00E82A83" w:rsidP="00C465AE">
      <w:pPr>
        <w:pStyle w:val="Default"/>
        <w:numPr>
          <w:ilvl w:val="0"/>
          <w:numId w:val="43"/>
        </w:numPr>
        <w:jc w:val="both"/>
        <w:rPr>
          <w:rFonts w:ascii="Arial" w:hAnsi="Arial" w:cs="Arial"/>
          <w:bCs/>
          <w:color w:val="auto"/>
          <w:sz w:val="20"/>
          <w:szCs w:val="20"/>
          <w:lang w:val="en-US"/>
        </w:rPr>
      </w:pPr>
      <w:r w:rsidRPr="00F654EE">
        <w:rPr>
          <w:rFonts w:ascii="Arial" w:hAnsi="Arial" w:cs="Arial"/>
          <w:bCs/>
          <w:color w:val="auto"/>
          <w:sz w:val="20"/>
          <w:szCs w:val="20"/>
          <w:lang w:val="en-US"/>
        </w:rPr>
        <w:lastRenderedPageBreak/>
        <w:t>For large caps or sovereign from OECD’s countries, investment grade credit: 2/3 of the NAV including cash and derivatives</w:t>
      </w:r>
    </w:p>
    <w:p w14:paraId="0D5A7E54" w14:textId="16B09B1C" w:rsidR="00E82A83" w:rsidRPr="00F654EE" w:rsidRDefault="00E82A83" w:rsidP="00C465AE">
      <w:pPr>
        <w:pStyle w:val="Default"/>
        <w:numPr>
          <w:ilvl w:val="0"/>
          <w:numId w:val="43"/>
        </w:numPr>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For Emerging, small cap equities, high yield and diversified </w:t>
      </w:r>
      <w:r w:rsidR="004B6D06" w:rsidRPr="00F654EE">
        <w:rPr>
          <w:rFonts w:ascii="Arial" w:hAnsi="Arial" w:cs="Arial"/>
          <w:bCs/>
          <w:color w:val="auto"/>
          <w:sz w:val="20"/>
          <w:szCs w:val="20"/>
          <w:lang w:val="en-US"/>
        </w:rPr>
        <w:t>funds</w:t>
      </w:r>
      <w:r w:rsidRPr="00F654EE">
        <w:rPr>
          <w:rFonts w:ascii="Arial" w:hAnsi="Arial" w:cs="Arial"/>
          <w:bCs/>
          <w:color w:val="auto"/>
          <w:sz w:val="20"/>
          <w:szCs w:val="20"/>
          <w:lang w:val="en-US"/>
        </w:rPr>
        <w:t>: ~55%  of the NAV including cash and derivatives</w:t>
      </w:r>
    </w:p>
    <w:p w14:paraId="63AD1F0D" w14:textId="77777777" w:rsidR="00E82A83" w:rsidRPr="00F654EE" w:rsidRDefault="00E82A83" w:rsidP="00E82A83">
      <w:pPr>
        <w:pStyle w:val="Default"/>
        <w:spacing w:after="175"/>
        <w:jc w:val="both"/>
        <w:rPr>
          <w:rFonts w:ascii="Arial" w:hAnsi="Arial" w:cs="Arial"/>
          <w:bCs/>
          <w:color w:val="auto"/>
          <w:sz w:val="20"/>
          <w:szCs w:val="20"/>
          <w:u w:val="single"/>
          <w:lang w:val="en-US"/>
        </w:rPr>
      </w:pPr>
      <w:r w:rsidRPr="00F654EE">
        <w:rPr>
          <w:rFonts w:ascii="Arial" w:hAnsi="Arial" w:cs="Arial"/>
          <w:bCs/>
          <w:color w:val="auto"/>
          <w:sz w:val="20"/>
          <w:szCs w:val="20"/>
          <w:u w:val="single"/>
          <w:lang w:val="en-US"/>
        </w:rPr>
        <w:t>As a complement, we believe that the ESG threshold requirement would be more relevant if combined with the following additional requirement:</w:t>
      </w:r>
    </w:p>
    <w:p w14:paraId="038D1AF4" w14:textId="67A894BC" w:rsidR="00E82A83" w:rsidRPr="00F654EE" w:rsidRDefault="00E82A83" w:rsidP="00E82A83">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The fund should pursue an </w:t>
      </w:r>
      <w:r w:rsidRPr="00F654EE">
        <w:rPr>
          <w:rFonts w:ascii="Arial" w:hAnsi="Arial" w:cs="Arial"/>
          <w:b/>
          <w:bCs/>
          <w:color w:val="auto"/>
          <w:sz w:val="20"/>
          <w:szCs w:val="20"/>
          <w:lang w:val="en-US"/>
        </w:rPr>
        <w:t>explicit binding and quantitative measurable objective</w:t>
      </w:r>
      <w:r w:rsidRPr="00F654EE">
        <w:rPr>
          <w:rFonts w:ascii="Arial" w:hAnsi="Arial" w:cs="Arial"/>
          <w:bCs/>
          <w:color w:val="auto"/>
          <w:sz w:val="20"/>
          <w:szCs w:val="20"/>
          <w:lang w:val="en-US"/>
        </w:rPr>
        <w:t xml:space="preserve"> with relevant KPI(s) on the main objective of the fund, and consistent with the name of the fund [for ex. </w:t>
      </w:r>
      <w:r w:rsidRPr="00F654EE">
        <w:rPr>
          <w:rFonts w:ascii="Arial" w:hAnsi="Arial" w:cs="Arial"/>
          <w:bCs/>
          <w:i/>
          <w:color w:val="auto"/>
          <w:sz w:val="20"/>
          <w:szCs w:val="20"/>
          <w:lang w:val="en-US"/>
        </w:rPr>
        <w:t>CO</w:t>
      </w:r>
      <w:r w:rsidRPr="00F654EE">
        <w:rPr>
          <w:rFonts w:ascii="Arial" w:hAnsi="Arial" w:cs="Arial"/>
          <w:bCs/>
          <w:i/>
          <w:color w:val="auto"/>
          <w:sz w:val="20"/>
          <w:szCs w:val="20"/>
          <w:vertAlign w:val="subscript"/>
          <w:lang w:val="en-US"/>
        </w:rPr>
        <w:t xml:space="preserve">2 </w:t>
      </w:r>
      <w:r w:rsidRPr="00F654EE">
        <w:rPr>
          <w:rFonts w:ascii="Arial" w:hAnsi="Arial" w:cs="Arial"/>
          <w:bCs/>
          <w:i/>
          <w:color w:val="auto"/>
          <w:sz w:val="20"/>
          <w:szCs w:val="20"/>
          <w:lang w:val="en-US"/>
        </w:rPr>
        <w:t>intensity</w:t>
      </w:r>
      <w:r w:rsidRPr="00F654EE">
        <w:rPr>
          <w:rFonts w:ascii="Arial" w:hAnsi="Arial" w:cs="Arial"/>
          <w:bCs/>
          <w:color w:val="auto"/>
          <w:sz w:val="20"/>
          <w:szCs w:val="20"/>
          <w:lang w:val="en-US"/>
        </w:rPr>
        <w:t xml:space="preserve"> or </w:t>
      </w:r>
      <w:r w:rsidRPr="00F654EE">
        <w:rPr>
          <w:rFonts w:ascii="Arial" w:hAnsi="Arial" w:cs="Arial"/>
          <w:bCs/>
          <w:i/>
          <w:color w:val="auto"/>
          <w:sz w:val="20"/>
          <w:szCs w:val="20"/>
          <w:lang w:val="en-US"/>
        </w:rPr>
        <w:t>Energy transition contribution</w:t>
      </w:r>
      <w:r w:rsidRPr="00F654EE">
        <w:rPr>
          <w:rFonts w:ascii="Arial" w:hAnsi="Arial" w:cs="Arial"/>
          <w:bCs/>
          <w:color w:val="auto"/>
          <w:sz w:val="20"/>
          <w:szCs w:val="20"/>
          <w:lang w:val="en-US"/>
        </w:rPr>
        <w:t xml:space="preserve"> for “Climate”, average </w:t>
      </w:r>
      <w:r w:rsidRPr="00F654EE">
        <w:rPr>
          <w:rFonts w:ascii="Arial" w:hAnsi="Arial" w:cs="Arial"/>
          <w:bCs/>
          <w:i/>
          <w:color w:val="auto"/>
          <w:sz w:val="20"/>
          <w:szCs w:val="20"/>
          <w:lang w:val="en-US"/>
        </w:rPr>
        <w:t>ESG rating</w:t>
      </w:r>
      <w:r w:rsidRPr="00F654EE">
        <w:rPr>
          <w:rFonts w:ascii="Arial" w:hAnsi="Arial" w:cs="Arial"/>
          <w:bCs/>
          <w:color w:val="auto"/>
          <w:sz w:val="20"/>
          <w:szCs w:val="20"/>
          <w:lang w:val="en-US"/>
        </w:rPr>
        <w:t xml:space="preserve"> exceeding that of the investment universe for “ESG”, etc. </w:t>
      </w:r>
      <w:bookmarkStart w:id="6" w:name="_Hlk125559448"/>
      <w:r w:rsidRPr="00F654EE">
        <w:rPr>
          <w:rFonts w:ascii="Arial" w:hAnsi="Arial" w:cs="Arial"/>
          <w:bCs/>
          <w:color w:val="auto"/>
          <w:sz w:val="20"/>
          <w:szCs w:val="20"/>
          <w:lang w:val="en-US"/>
        </w:rPr>
        <w:t>]</w:t>
      </w:r>
    </w:p>
    <w:p w14:paraId="574FC553" w14:textId="77777777" w:rsidR="00E82A83" w:rsidRPr="00F654EE" w:rsidRDefault="00E82A83" w:rsidP="00C465AE">
      <w:pPr>
        <w:pStyle w:val="Default"/>
        <w:numPr>
          <w:ilvl w:val="0"/>
          <w:numId w:val="44"/>
        </w:numPr>
        <w:spacing w:after="175"/>
        <w:ind w:hanging="720"/>
        <w:jc w:val="both"/>
        <w:rPr>
          <w:rFonts w:ascii="Arial" w:hAnsi="Arial" w:cs="Arial"/>
          <w:bCs/>
          <w:color w:val="auto"/>
          <w:sz w:val="20"/>
          <w:szCs w:val="20"/>
          <w:lang w:val="en-US"/>
        </w:rPr>
      </w:pPr>
      <w:r w:rsidRPr="00F654EE">
        <w:rPr>
          <w:rFonts w:ascii="Arial" w:hAnsi="Arial" w:cs="Arial"/>
          <w:b/>
          <w:bCs/>
          <w:color w:val="auto"/>
          <w:sz w:val="20"/>
          <w:szCs w:val="20"/>
          <w:lang w:val="en-US"/>
        </w:rPr>
        <w:t>The following additional comments</w:t>
      </w:r>
      <w:r w:rsidRPr="00F654EE">
        <w:rPr>
          <w:rFonts w:ascii="Arial" w:hAnsi="Arial" w:cs="Arial"/>
          <w:bCs/>
          <w:color w:val="auto"/>
          <w:sz w:val="20"/>
          <w:szCs w:val="20"/>
          <w:lang w:val="en-US"/>
        </w:rPr>
        <w:t xml:space="preserve"> should also be taken into consideration:</w:t>
      </w:r>
    </w:p>
    <w:bookmarkEnd w:id="6"/>
    <w:p w14:paraId="2A51F452" w14:textId="77777777" w:rsidR="00E82A83" w:rsidRPr="00F654EE" w:rsidRDefault="00E82A83" w:rsidP="00C465AE">
      <w:pPr>
        <w:pStyle w:val="Default"/>
        <w:numPr>
          <w:ilvl w:val="0"/>
          <w:numId w:val="42"/>
        </w:numPr>
        <w:spacing w:after="60"/>
        <w:ind w:hanging="219"/>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Generally, and especially in the case of funds with </w:t>
      </w:r>
      <w:r w:rsidRPr="00F654EE">
        <w:rPr>
          <w:rFonts w:ascii="Arial" w:hAnsi="Arial" w:cs="Arial"/>
          <w:b/>
          <w:bCs/>
          <w:color w:val="auto"/>
          <w:sz w:val="20"/>
          <w:szCs w:val="20"/>
          <w:lang w:val="en-US"/>
        </w:rPr>
        <w:t>long investment period</w:t>
      </w:r>
      <w:r w:rsidRPr="00F654EE">
        <w:rPr>
          <w:rFonts w:ascii="Arial" w:hAnsi="Arial" w:cs="Arial"/>
          <w:bCs/>
          <w:color w:val="auto"/>
          <w:sz w:val="20"/>
          <w:szCs w:val="20"/>
          <w:lang w:val="en-US"/>
        </w:rPr>
        <w:t xml:space="preserve"> (such as debt or private equity funds), it should be made clear that the ratio to be considered for the name is the committed ratio at the end of the “investment ramp up period”. It would be meaningless and burdensome to change the name of these funds once it </w:t>
      </w:r>
      <w:proofErr w:type="gramStart"/>
      <w:r w:rsidRPr="00F654EE">
        <w:rPr>
          <w:rFonts w:ascii="Arial" w:hAnsi="Arial" w:cs="Arial"/>
          <w:bCs/>
          <w:color w:val="auto"/>
          <w:sz w:val="20"/>
          <w:szCs w:val="20"/>
          <w:lang w:val="en-US"/>
        </w:rPr>
        <w:t>is fully invested</w:t>
      </w:r>
      <w:proofErr w:type="gramEnd"/>
      <w:r w:rsidRPr="00F654EE">
        <w:rPr>
          <w:rFonts w:ascii="Arial" w:hAnsi="Arial" w:cs="Arial"/>
          <w:bCs/>
          <w:color w:val="auto"/>
          <w:sz w:val="20"/>
          <w:szCs w:val="20"/>
          <w:lang w:val="en-US"/>
        </w:rPr>
        <w:t xml:space="preserve">. </w:t>
      </w:r>
    </w:p>
    <w:p w14:paraId="2516A83C" w14:textId="77777777" w:rsidR="00E82A83" w:rsidRPr="00F654EE" w:rsidRDefault="00E82A83" w:rsidP="00C465AE">
      <w:pPr>
        <w:pStyle w:val="Default"/>
        <w:numPr>
          <w:ilvl w:val="0"/>
          <w:numId w:val="42"/>
        </w:numPr>
        <w:spacing w:after="60"/>
        <w:ind w:hanging="219"/>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It should be made clear that </w:t>
      </w:r>
      <w:r w:rsidRPr="00F654EE">
        <w:rPr>
          <w:rFonts w:ascii="Arial" w:hAnsi="Arial" w:cs="Arial"/>
          <w:b/>
          <w:bCs/>
          <w:color w:val="auto"/>
          <w:sz w:val="20"/>
          <w:szCs w:val="20"/>
          <w:lang w:val="en-US"/>
        </w:rPr>
        <w:t xml:space="preserve">indicators </w:t>
      </w:r>
      <w:r w:rsidRPr="00F654EE">
        <w:rPr>
          <w:rFonts w:ascii="Arial" w:hAnsi="Arial" w:cs="Arial"/>
          <w:bCs/>
          <w:color w:val="auto"/>
          <w:sz w:val="20"/>
          <w:szCs w:val="20"/>
          <w:lang w:val="en-US"/>
        </w:rPr>
        <w:t xml:space="preserve">on the basis of which the investments have been selected to meet the E/S characteristics of the fund can be </w:t>
      </w:r>
      <w:r w:rsidRPr="00F654EE">
        <w:rPr>
          <w:rFonts w:ascii="Arial" w:hAnsi="Arial" w:cs="Arial"/>
          <w:b/>
          <w:bCs/>
          <w:color w:val="auto"/>
          <w:sz w:val="20"/>
          <w:szCs w:val="20"/>
          <w:lang w:val="en-US"/>
        </w:rPr>
        <w:t>reasonably estimated</w:t>
      </w:r>
      <w:r w:rsidRPr="00F654EE">
        <w:rPr>
          <w:rFonts w:ascii="Arial" w:hAnsi="Arial" w:cs="Arial"/>
          <w:bCs/>
          <w:color w:val="auto"/>
          <w:sz w:val="20"/>
          <w:szCs w:val="20"/>
          <w:lang w:val="en-US"/>
        </w:rPr>
        <w:t xml:space="preserve"> data, or based on estimated data (such as ratings)</w:t>
      </w:r>
    </w:p>
    <w:p w14:paraId="7140D358" w14:textId="77777777" w:rsidR="00E82A83" w:rsidRPr="00F654EE" w:rsidRDefault="00E82A83" w:rsidP="00C465AE">
      <w:pPr>
        <w:pStyle w:val="Default"/>
        <w:numPr>
          <w:ilvl w:val="0"/>
          <w:numId w:val="42"/>
        </w:numPr>
        <w:spacing w:after="175"/>
        <w:ind w:hanging="219"/>
        <w:jc w:val="both"/>
        <w:rPr>
          <w:rFonts w:ascii="Arial" w:hAnsi="Arial" w:cs="Arial"/>
          <w:bCs/>
          <w:color w:val="auto"/>
          <w:sz w:val="20"/>
          <w:szCs w:val="20"/>
          <w:lang w:val="en-US"/>
        </w:rPr>
      </w:pPr>
      <w:r w:rsidRPr="00F654EE">
        <w:rPr>
          <w:rFonts w:ascii="Arial" w:hAnsi="Arial" w:cs="Arial"/>
          <w:bCs/>
          <w:color w:val="auto"/>
          <w:sz w:val="20"/>
          <w:szCs w:val="20"/>
          <w:lang w:val="en-US"/>
        </w:rPr>
        <w:t>As per guideline § 21, it is important to clarify that the threshold would apply in “normal circumstances” and thus a “passive breach” process would be applicable otherwise. This is in line with any other regulatory ratio applicable to UCITS and AIFs.</w:t>
      </w:r>
    </w:p>
    <w:p w14:paraId="5EF8D718" w14:textId="77777777" w:rsidR="00E82A83" w:rsidRPr="00F654EE" w:rsidRDefault="00E82A83" w:rsidP="00C465AE">
      <w:pPr>
        <w:pStyle w:val="Default"/>
        <w:numPr>
          <w:ilvl w:val="0"/>
          <w:numId w:val="44"/>
        </w:numPr>
        <w:spacing w:after="175"/>
        <w:ind w:left="426" w:hanging="426"/>
        <w:jc w:val="both"/>
        <w:rPr>
          <w:rFonts w:ascii="Arial" w:hAnsi="Arial" w:cs="Arial"/>
          <w:bCs/>
          <w:color w:val="auto"/>
          <w:sz w:val="20"/>
          <w:szCs w:val="20"/>
          <w:lang w:val="en-US"/>
        </w:rPr>
      </w:pPr>
      <w:r w:rsidRPr="00F654EE">
        <w:rPr>
          <w:rFonts w:ascii="Arial" w:hAnsi="Arial" w:cs="Arial"/>
          <w:bCs/>
          <w:color w:val="auto"/>
          <w:sz w:val="20"/>
          <w:szCs w:val="20"/>
          <w:lang w:val="en-US"/>
        </w:rPr>
        <w:t>In addition, guidelines should define</w:t>
      </w:r>
      <w:r w:rsidRPr="00F654EE">
        <w:rPr>
          <w:rFonts w:ascii="Arial" w:hAnsi="Arial" w:cs="Arial"/>
          <w:b/>
          <w:bCs/>
          <w:color w:val="auto"/>
          <w:sz w:val="20"/>
          <w:szCs w:val="20"/>
          <w:lang w:val="en-US"/>
        </w:rPr>
        <w:t xml:space="preserve"> what an “ESG-related” name means. </w:t>
      </w:r>
      <w:r w:rsidRPr="00F654EE">
        <w:rPr>
          <w:rFonts w:ascii="Arial" w:hAnsi="Arial" w:cs="Arial"/>
          <w:bCs/>
          <w:color w:val="auto"/>
          <w:sz w:val="20"/>
          <w:szCs w:val="20"/>
          <w:lang w:val="en-US"/>
        </w:rPr>
        <w:t xml:space="preserve">To this extent, we propose the following : </w:t>
      </w:r>
    </w:p>
    <w:p w14:paraId="7CAB60A5" w14:textId="77777777" w:rsidR="00902197" w:rsidRPr="00F654EE" w:rsidRDefault="00E82A83" w:rsidP="00C465AE">
      <w:pPr>
        <w:pStyle w:val="Default"/>
        <w:numPr>
          <w:ilvl w:val="0"/>
          <w:numId w:val="42"/>
        </w:numPr>
        <w:spacing w:after="175"/>
        <w:ind w:hanging="219"/>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By default an “ESG-related” word would allude to any environmental and/or social and/or governance theme in the name other than “sustainable” or “impact”. The translation of “sustainable” and “impact” </w:t>
      </w:r>
      <w:proofErr w:type="gramStart"/>
      <w:r w:rsidRPr="00F654EE">
        <w:rPr>
          <w:rFonts w:ascii="Arial" w:hAnsi="Arial" w:cs="Arial"/>
          <w:bCs/>
          <w:color w:val="auto"/>
          <w:sz w:val="20"/>
          <w:szCs w:val="20"/>
          <w:lang w:val="en-US"/>
        </w:rPr>
        <w:t>should be agreed</w:t>
      </w:r>
      <w:proofErr w:type="gramEnd"/>
      <w:r w:rsidRPr="00F654EE">
        <w:rPr>
          <w:rFonts w:ascii="Arial" w:hAnsi="Arial" w:cs="Arial"/>
          <w:bCs/>
          <w:color w:val="auto"/>
          <w:sz w:val="20"/>
          <w:szCs w:val="20"/>
          <w:lang w:val="en-US"/>
        </w:rPr>
        <w:t xml:space="preserve"> upon in the different languages of Member States.</w:t>
      </w:r>
    </w:p>
    <w:p w14:paraId="7BED3590" w14:textId="348C126B" w:rsidR="00B92885" w:rsidRPr="00902197" w:rsidRDefault="00E82A83" w:rsidP="00C465AE">
      <w:pPr>
        <w:pStyle w:val="Default"/>
        <w:numPr>
          <w:ilvl w:val="0"/>
          <w:numId w:val="42"/>
        </w:numPr>
        <w:spacing w:after="175"/>
        <w:ind w:hanging="219"/>
        <w:jc w:val="both"/>
        <w:rPr>
          <w:rFonts w:ascii="Arial" w:hAnsi="Arial" w:cs="Arial"/>
          <w:bCs/>
          <w:color w:val="002060"/>
          <w:sz w:val="20"/>
          <w:szCs w:val="20"/>
          <w:lang w:val="en-US"/>
        </w:rPr>
      </w:pPr>
      <w:r w:rsidRPr="00F654EE">
        <w:rPr>
          <w:rFonts w:ascii="Arial" w:hAnsi="Arial" w:cs="Arial"/>
          <w:bCs/>
          <w:color w:val="auto"/>
          <w:sz w:val="20"/>
          <w:szCs w:val="20"/>
          <w:lang w:val="en-US"/>
        </w:rPr>
        <w:t xml:space="preserve">This said, in order </w:t>
      </w:r>
      <w:r w:rsidRPr="00F654EE">
        <w:rPr>
          <w:rFonts w:ascii="Arial" w:hAnsi="Arial" w:cs="Arial"/>
          <w:color w:val="auto"/>
          <w:sz w:val="20"/>
          <w:szCs w:val="20"/>
          <w:lang w:val="en-US"/>
        </w:rPr>
        <w:t>to avoid discrepancies between NCAs’ interpretations and to allow a level playing field in cross-border distribution</w:t>
      </w:r>
      <w:r w:rsidRPr="00F654EE">
        <w:rPr>
          <w:rFonts w:ascii="Arial" w:hAnsi="Arial" w:cs="Arial"/>
          <w:bCs/>
          <w:color w:val="auto"/>
          <w:sz w:val="20"/>
          <w:szCs w:val="20"/>
          <w:lang w:val="en-US"/>
        </w:rPr>
        <w:t xml:space="preserve">, we believe </w:t>
      </w:r>
      <w:r w:rsidRPr="00F654EE">
        <w:rPr>
          <w:rFonts w:ascii="Arial" w:hAnsi="Arial" w:cs="Arial"/>
          <w:color w:val="auto"/>
          <w:sz w:val="20"/>
          <w:szCs w:val="20"/>
          <w:lang w:val="en-US"/>
        </w:rPr>
        <w:t>that ESMA should publish a list of samples of “ESG related” terms.</w:t>
      </w:r>
    </w:p>
    <w:permEnd w:id="1305634831"/>
    <w:p w14:paraId="562CCC86" w14:textId="77777777" w:rsidR="00B92885" w:rsidRDefault="00B92885" w:rsidP="00B92885">
      <w:r>
        <w:t>&lt;ESMA_QUESTION_FUNA_2&gt;</w:t>
      </w:r>
    </w:p>
    <w:p w14:paraId="0FAF0A39" w14:textId="77777777" w:rsidR="00B92885" w:rsidRDefault="00B92885" w:rsidP="00B92885"/>
    <w:p w14:paraId="4927E281" w14:textId="77777777" w:rsidR="00B92885" w:rsidRDefault="00B92885" w:rsidP="00B92885">
      <w:pPr>
        <w:pStyle w:val="Questionstyle"/>
        <w:numPr>
          <w:ilvl w:val="0"/>
          <w:numId w:val="39"/>
        </w:numPr>
      </w:pPr>
      <w:r>
        <w:t xml:space="preserve">: </w:t>
      </w:r>
      <w:r w:rsidRPr="00AA6F4F">
        <w:t>Do you agree to include an additional threshold of at least 50% of minimum proportion of sustainable investments for the use of the word “sustainable” or any other sustainability-related term in the name of the fund? If not, please explain why and provide an alternative proposal.</w:t>
      </w:r>
    </w:p>
    <w:p w14:paraId="1A2958BD" w14:textId="77777777" w:rsidR="00B92885" w:rsidRDefault="00B92885" w:rsidP="00B92885">
      <w:r>
        <w:t>&lt;ESMA_QUESTION_FUNA_3&gt;</w:t>
      </w:r>
    </w:p>
    <w:p w14:paraId="77A32A4C" w14:textId="5FCF80C1" w:rsidR="00902197" w:rsidRPr="00F654EE" w:rsidRDefault="0007456C" w:rsidP="00902197">
      <w:pPr>
        <w:pStyle w:val="Default"/>
        <w:spacing w:after="175"/>
        <w:jc w:val="both"/>
        <w:rPr>
          <w:rFonts w:ascii="Arial" w:hAnsi="Arial" w:cs="Arial"/>
          <w:color w:val="auto"/>
          <w:sz w:val="20"/>
          <w:szCs w:val="20"/>
          <w:lang w:val="en-US"/>
        </w:rPr>
      </w:pPr>
      <w:permStart w:id="347949177" w:edGrp="everyone"/>
      <w:r>
        <w:rPr>
          <w:rFonts w:ascii="Arial" w:hAnsi="Arial" w:cs="Arial"/>
          <w:color w:val="auto"/>
          <w:sz w:val="20"/>
          <w:szCs w:val="20"/>
          <w:lang w:val="en-US"/>
        </w:rPr>
        <w:t xml:space="preserve">Response to Q3 - </w:t>
      </w:r>
      <w:r w:rsidR="00902197" w:rsidRPr="00F654EE">
        <w:rPr>
          <w:rFonts w:ascii="Arial" w:hAnsi="Arial" w:cs="Arial"/>
          <w:color w:val="auto"/>
          <w:sz w:val="20"/>
          <w:szCs w:val="20"/>
          <w:lang w:val="en-US"/>
        </w:rPr>
        <w:t xml:space="preserve">As detailed in our answer to Q1, the definition of sustainable investment (SI) is unclear and leads to quite different interpretations and outcomes in the market. </w:t>
      </w:r>
    </w:p>
    <w:p w14:paraId="499AA36A" w14:textId="77777777" w:rsidR="00902197" w:rsidRPr="00F654EE" w:rsidRDefault="00902197" w:rsidP="00902197">
      <w:pPr>
        <w:pStyle w:val="Default"/>
        <w:spacing w:after="175"/>
        <w:jc w:val="both"/>
        <w:rPr>
          <w:rFonts w:ascii="Arial" w:hAnsi="Arial" w:cs="Arial"/>
          <w:bCs/>
          <w:color w:val="auto"/>
          <w:sz w:val="20"/>
          <w:szCs w:val="20"/>
          <w:lang w:val="en-US"/>
        </w:rPr>
      </w:pPr>
      <w:r w:rsidRPr="00F654EE">
        <w:rPr>
          <w:rFonts w:ascii="Arial" w:hAnsi="Arial" w:cs="Arial"/>
          <w:b/>
          <w:bCs/>
          <w:color w:val="auto"/>
          <w:sz w:val="20"/>
          <w:szCs w:val="20"/>
          <w:lang w:val="en-US"/>
        </w:rPr>
        <w:t>As long as the regulator has not provided clear guidance to ensure sufficient convergence in the assessment of a SI,</w:t>
      </w:r>
      <w:r w:rsidRPr="00F654EE">
        <w:rPr>
          <w:rFonts w:ascii="Arial" w:hAnsi="Arial" w:cs="Arial"/>
          <w:bCs/>
          <w:color w:val="auto"/>
          <w:sz w:val="20"/>
          <w:szCs w:val="20"/>
          <w:lang w:val="en-US"/>
        </w:rPr>
        <w:t xml:space="preserve"> </w:t>
      </w:r>
      <w:r w:rsidRPr="00F654EE">
        <w:rPr>
          <w:rFonts w:ascii="Arial" w:hAnsi="Arial" w:cs="Arial"/>
          <w:b/>
          <w:bCs/>
          <w:color w:val="auto"/>
          <w:sz w:val="20"/>
          <w:szCs w:val="20"/>
          <w:lang w:val="en-US"/>
        </w:rPr>
        <w:t xml:space="preserve">we strongly disagree to base fund naming rules on a concept subject to many </w:t>
      </w:r>
      <w:proofErr w:type="gramStart"/>
      <w:r w:rsidRPr="00F654EE">
        <w:rPr>
          <w:rFonts w:ascii="Arial" w:hAnsi="Arial" w:cs="Arial"/>
          <w:b/>
          <w:bCs/>
          <w:color w:val="auto"/>
          <w:sz w:val="20"/>
          <w:szCs w:val="20"/>
          <w:lang w:val="en-US"/>
        </w:rPr>
        <w:t>interpretations,</w:t>
      </w:r>
      <w:proofErr w:type="gramEnd"/>
      <w:r w:rsidRPr="00F654EE">
        <w:rPr>
          <w:rFonts w:ascii="Arial" w:hAnsi="Arial" w:cs="Arial"/>
          <w:b/>
          <w:bCs/>
          <w:color w:val="auto"/>
          <w:sz w:val="20"/>
          <w:szCs w:val="20"/>
          <w:lang w:val="en-US"/>
        </w:rPr>
        <w:t xml:space="preserve"> hence market fragmentation, end investors’ confusion and greenwashing risks</w:t>
      </w:r>
      <w:r w:rsidRPr="00F654EE">
        <w:rPr>
          <w:rFonts w:ascii="Arial" w:hAnsi="Arial" w:cs="Arial"/>
          <w:bCs/>
          <w:color w:val="auto"/>
          <w:sz w:val="20"/>
          <w:szCs w:val="20"/>
          <w:lang w:val="en-US"/>
        </w:rPr>
        <w:t xml:space="preserve">. </w:t>
      </w:r>
    </w:p>
    <w:p w14:paraId="4C7BF272" w14:textId="77777777" w:rsidR="00902197" w:rsidRPr="00F654EE" w:rsidRDefault="00902197" w:rsidP="00902197">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Neither do we agree with an “arbitrary” level (50%): any absolute level should be set based on (</w:t>
      </w:r>
      <w:proofErr w:type="spellStart"/>
      <w:r w:rsidRPr="00F654EE">
        <w:rPr>
          <w:rFonts w:ascii="Arial" w:hAnsi="Arial" w:cs="Arial"/>
          <w:bCs/>
          <w:color w:val="auto"/>
          <w:sz w:val="20"/>
          <w:szCs w:val="20"/>
          <w:lang w:val="en-US"/>
        </w:rPr>
        <w:t>i</w:t>
      </w:r>
      <w:proofErr w:type="spellEnd"/>
      <w:r w:rsidRPr="00F654EE">
        <w:rPr>
          <w:rFonts w:ascii="Arial" w:hAnsi="Arial" w:cs="Arial"/>
          <w:bCs/>
          <w:color w:val="auto"/>
          <w:sz w:val="20"/>
          <w:szCs w:val="20"/>
          <w:lang w:val="en-US"/>
        </w:rPr>
        <w:t xml:space="preserve">) a common definition and (ii) a comparison with the level at which the real economy stands based on this common definition. </w:t>
      </w:r>
    </w:p>
    <w:p w14:paraId="4A10F08E" w14:textId="77777777" w:rsidR="00902197" w:rsidRPr="00F654EE" w:rsidRDefault="00902197" w:rsidP="00902197">
      <w:pPr>
        <w:pStyle w:val="Default"/>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lastRenderedPageBreak/>
        <w:t xml:space="preserve">If ESMA still wants to proceed with a threshold methodology to distinguish “sustainable” from “ESG”, we then suggest </w:t>
      </w:r>
      <w:proofErr w:type="gramStart"/>
      <w:r w:rsidRPr="00F654EE">
        <w:rPr>
          <w:rFonts w:ascii="Arial" w:hAnsi="Arial" w:cs="Arial"/>
          <w:bCs/>
          <w:color w:val="auto"/>
          <w:sz w:val="20"/>
          <w:szCs w:val="20"/>
          <w:lang w:val="en-US"/>
        </w:rPr>
        <w:t>to measure</w:t>
      </w:r>
      <w:proofErr w:type="gramEnd"/>
      <w:r w:rsidRPr="00F654EE">
        <w:rPr>
          <w:rFonts w:ascii="Arial" w:hAnsi="Arial" w:cs="Arial"/>
          <w:bCs/>
          <w:color w:val="auto"/>
          <w:sz w:val="20"/>
          <w:szCs w:val="20"/>
          <w:lang w:val="en-US"/>
        </w:rPr>
        <w:t xml:space="preserve"> the SI proportion of the fund </w:t>
      </w:r>
      <w:r w:rsidRPr="00F654EE">
        <w:rPr>
          <w:rFonts w:ascii="Arial" w:hAnsi="Arial" w:cs="Arial"/>
          <w:b/>
          <w:bCs/>
          <w:color w:val="auto"/>
          <w:sz w:val="20"/>
          <w:szCs w:val="20"/>
          <w:lang w:val="en-US"/>
        </w:rPr>
        <w:t>relative to</w:t>
      </w:r>
      <w:r w:rsidRPr="00F654EE">
        <w:rPr>
          <w:rFonts w:ascii="Arial" w:hAnsi="Arial" w:cs="Arial"/>
          <w:bCs/>
          <w:color w:val="auto"/>
          <w:sz w:val="20"/>
          <w:szCs w:val="20"/>
          <w:lang w:val="en-US"/>
        </w:rPr>
        <w:t xml:space="preserve"> the SI proportion of its benchmark or its investment universe, using the same assessment methodology. In such case:</w:t>
      </w:r>
    </w:p>
    <w:p w14:paraId="06E95C12" w14:textId="77777777" w:rsidR="00902197" w:rsidRPr="00F654EE" w:rsidRDefault="00902197" w:rsidP="00C465AE">
      <w:pPr>
        <w:pStyle w:val="Default"/>
        <w:numPr>
          <w:ilvl w:val="0"/>
          <w:numId w:val="42"/>
        </w:numPr>
        <w:spacing w:after="175"/>
        <w:jc w:val="both"/>
        <w:rPr>
          <w:rFonts w:ascii="Arial" w:hAnsi="Arial" w:cs="Arial"/>
          <w:bCs/>
          <w:color w:val="auto"/>
          <w:sz w:val="20"/>
          <w:szCs w:val="20"/>
          <w:lang w:val="en-US"/>
        </w:rPr>
      </w:pPr>
      <w:r w:rsidRPr="00F654EE">
        <w:rPr>
          <w:rFonts w:ascii="Arial" w:hAnsi="Arial" w:cs="Arial"/>
          <w:bCs/>
          <w:color w:val="auto"/>
          <w:sz w:val="20"/>
          <w:szCs w:val="20"/>
          <w:lang w:val="en-US"/>
        </w:rPr>
        <w:t xml:space="preserve">The word “sustainable” could be used </w:t>
      </w:r>
      <w:r w:rsidRPr="00F654EE">
        <w:rPr>
          <w:rFonts w:ascii="Arial" w:hAnsi="Arial" w:cs="Arial"/>
          <w:b/>
          <w:bCs/>
          <w:color w:val="auto"/>
          <w:sz w:val="20"/>
          <w:szCs w:val="20"/>
          <w:lang w:val="en-US"/>
        </w:rPr>
        <w:t>provided that the fund commits to have a % SI exceeding significantly the % SI of its investment universe</w:t>
      </w:r>
    </w:p>
    <w:p w14:paraId="417DC1E8" w14:textId="77777777" w:rsidR="00902197" w:rsidRPr="00F654EE" w:rsidRDefault="00902197" w:rsidP="00C465AE">
      <w:pPr>
        <w:pStyle w:val="Default"/>
        <w:numPr>
          <w:ilvl w:val="0"/>
          <w:numId w:val="42"/>
        </w:numPr>
        <w:spacing w:after="175"/>
        <w:jc w:val="both"/>
        <w:rPr>
          <w:rFonts w:ascii="Arial" w:hAnsi="Arial" w:cs="Arial"/>
          <w:b/>
          <w:bCs/>
          <w:color w:val="auto"/>
          <w:sz w:val="20"/>
          <w:szCs w:val="20"/>
          <w:lang w:val="en-US"/>
        </w:rPr>
      </w:pPr>
      <w:r w:rsidRPr="00F654EE">
        <w:rPr>
          <w:rFonts w:ascii="Arial" w:hAnsi="Arial" w:cs="Arial"/>
          <w:bCs/>
          <w:color w:val="auto"/>
          <w:sz w:val="20"/>
          <w:szCs w:val="20"/>
          <w:lang w:val="en-US"/>
        </w:rPr>
        <w:t xml:space="preserve">For funds without a reference benchmark/ investment universe, the fund could identify and disclose a </w:t>
      </w:r>
      <w:r w:rsidRPr="00F654EE">
        <w:rPr>
          <w:rFonts w:ascii="Arial" w:hAnsi="Arial" w:cs="Arial"/>
          <w:b/>
          <w:bCs/>
          <w:color w:val="auto"/>
          <w:sz w:val="20"/>
          <w:szCs w:val="20"/>
          <w:lang w:val="en-US"/>
        </w:rPr>
        <w:t>proxy</w:t>
      </w:r>
      <w:r w:rsidRPr="00F654EE">
        <w:rPr>
          <w:rFonts w:ascii="Arial" w:hAnsi="Arial" w:cs="Arial"/>
          <w:bCs/>
          <w:color w:val="auto"/>
          <w:sz w:val="20"/>
          <w:szCs w:val="20"/>
          <w:lang w:val="en-US"/>
        </w:rPr>
        <w:t xml:space="preserve"> reference to be in line with this requirement.</w:t>
      </w:r>
    </w:p>
    <w:p w14:paraId="3F3E1763" w14:textId="454E31BE" w:rsidR="00B92885" w:rsidRPr="00F654EE" w:rsidRDefault="00902197" w:rsidP="00902197">
      <w:pPr>
        <w:rPr>
          <w:rFonts w:cs="Arial"/>
          <w:szCs w:val="20"/>
        </w:rPr>
      </w:pPr>
      <w:r w:rsidRPr="00F654EE">
        <w:rPr>
          <w:rFonts w:cs="Arial"/>
          <w:bCs/>
          <w:szCs w:val="20"/>
          <w:lang w:val="en-US"/>
        </w:rPr>
        <w:t xml:space="preserve">In any case, we would like to insist on the importance of applying guidelines on concepts that </w:t>
      </w:r>
      <w:proofErr w:type="gramStart"/>
      <w:r w:rsidRPr="00F654EE">
        <w:rPr>
          <w:rFonts w:cs="Arial"/>
          <w:bCs/>
          <w:szCs w:val="20"/>
          <w:lang w:val="en-US"/>
        </w:rPr>
        <w:t>are clearly defined</w:t>
      </w:r>
      <w:proofErr w:type="gramEnd"/>
      <w:r w:rsidRPr="00F654EE">
        <w:rPr>
          <w:rFonts w:cs="Arial"/>
          <w:bCs/>
          <w:szCs w:val="20"/>
          <w:lang w:val="en-US"/>
        </w:rPr>
        <w:t>.</w:t>
      </w:r>
    </w:p>
    <w:permEnd w:id="347949177"/>
    <w:p w14:paraId="4C140ACE" w14:textId="77777777" w:rsidR="00B92885" w:rsidRDefault="00B92885" w:rsidP="00B92885">
      <w:r>
        <w:t>&lt;ESMA_QUESTION_FUNA_3&gt;</w:t>
      </w:r>
    </w:p>
    <w:p w14:paraId="37EF5282" w14:textId="77777777" w:rsidR="00B92885" w:rsidRDefault="00B92885" w:rsidP="00B92885"/>
    <w:p w14:paraId="733D1E9D" w14:textId="77777777" w:rsidR="00B92885" w:rsidRDefault="00B92885" w:rsidP="00B92885">
      <w:pPr>
        <w:pStyle w:val="Questionstyle"/>
        <w:numPr>
          <w:ilvl w:val="0"/>
          <w:numId w:val="39"/>
        </w:numPr>
      </w:pPr>
      <w:r>
        <w:t xml:space="preserve">: </w:t>
      </w:r>
      <w:r w:rsidRPr="00AA6F4F">
        <w:t>Do you think that there are alternative ways to construct the threshold mechanism? If yes, please explain your alternative proposal.</w:t>
      </w:r>
    </w:p>
    <w:p w14:paraId="0ACC61A1" w14:textId="77777777" w:rsidR="00B92885" w:rsidRDefault="00B92885" w:rsidP="00B92885">
      <w:r>
        <w:t>&lt;ESMA_QUESTION_FUNA_4&gt;</w:t>
      </w:r>
    </w:p>
    <w:p w14:paraId="3E40BC89" w14:textId="7EF20A79" w:rsidR="00902197" w:rsidRPr="00F654EE" w:rsidRDefault="00902197" w:rsidP="00902197">
      <w:pPr>
        <w:pStyle w:val="Default"/>
        <w:spacing w:after="175"/>
        <w:jc w:val="both"/>
        <w:rPr>
          <w:rFonts w:ascii="Arial" w:hAnsi="Arial" w:cs="Arial"/>
          <w:bCs/>
          <w:color w:val="auto"/>
          <w:sz w:val="20"/>
          <w:szCs w:val="20"/>
          <w:lang w:val="en-US"/>
        </w:rPr>
      </w:pPr>
      <w:permStart w:id="351877901" w:edGrp="everyone"/>
      <w:r w:rsidRPr="00F654EE">
        <w:rPr>
          <w:rFonts w:ascii="Arial" w:hAnsi="Arial" w:cs="Arial"/>
          <w:bCs/>
          <w:color w:val="auto"/>
          <w:sz w:val="20"/>
          <w:szCs w:val="20"/>
          <w:lang w:val="en-US"/>
        </w:rPr>
        <w:t>Please refer to our answer to Q2 for the “ESG” threshold</w:t>
      </w:r>
      <w:r w:rsidR="00F654EE">
        <w:rPr>
          <w:rFonts w:ascii="Arial" w:hAnsi="Arial" w:cs="Arial"/>
          <w:bCs/>
          <w:color w:val="auto"/>
          <w:sz w:val="20"/>
          <w:szCs w:val="20"/>
          <w:lang w:val="en-US"/>
        </w:rPr>
        <w:t>.</w:t>
      </w:r>
      <w:r w:rsidRPr="00F654EE">
        <w:rPr>
          <w:rFonts w:ascii="Arial" w:hAnsi="Arial" w:cs="Arial"/>
          <w:bCs/>
          <w:color w:val="auto"/>
          <w:sz w:val="20"/>
          <w:szCs w:val="20"/>
          <w:lang w:val="en-US"/>
        </w:rPr>
        <w:t xml:space="preserve"> </w:t>
      </w:r>
    </w:p>
    <w:p w14:paraId="5DCA02E0" w14:textId="4B833316" w:rsidR="00B92885" w:rsidRPr="00F654EE" w:rsidRDefault="00902197" w:rsidP="00902197">
      <w:pPr>
        <w:rPr>
          <w:rFonts w:cs="Arial"/>
          <w:szCs w:val="20"/>
        </w:rPr>
      </w:pPr>
      <w:r w:rsidRPr="00F654EE">
        <w:rPr>
          <w:rFonts w:cs="Arial"/>
          <w:bCs/>
          <w:szCs w:val="20"/>
          <w:lang w:val="en-US"/>
        </w:rPr>
        <w:t>Please refer to our answer to Q3 for the “SI” threshold</w:t>
      </w:r>
      <w:r w:rsidR="00F654EE">
        <w:rPr>
          <w:rFonts w:cs="Arial"/>
          <w:bCs/>
          <w:szCs w:val="20"/>
          <w:lang w:val="en-US"/>
        </w:rPr>
        <w:t>.</w:t>
      </w:r>
    </w:p>
    <w:permEnd w:id="351877901"/>
    <w:p w14:paraId="29DD3DB8" w14:textId="77777777" w:rsidR="00B92885" w:rsidRDefault="00B92885" w:rsidP="00B92885">
      <w:r>
        <w:t>&lt;ESMA_QUESTION_FUNA_4&gt;</w:t>
      </w:r>
    </w:p>
    <w:p w14:paraId="2795765D" w14:textId="77777777" w:rsidR="00B92885" w:rsidRDefault="00B92885" w:rsidP="00B92885"/>
    <w:p w14:paraId="2BEAA24E" w14:textId="77777777" w:rsidR="00B92885" w:rsidRDefault="00B92885" w:rsidP="00B92885">
      <w:pPr>
        <w:pStyle w:val="Questionstyle"/>
        <w:numPr>
          <w:ilvl w:val="0"/>
          <w:numId w:val="39"/>
        </w:numPr>
      </w:pPr>
      <w:r>
        <w:t xml:space="preserve">: </w:t>
      </w:r>
      <w:r w:rsidRPr="000B78F5">
        <w:t>Do you think that there are other ways than the proposed thresholds to achieve the supervisory aim of ensuring that ESG or sustainability-related names of funds are aligned with their investment characteristics and objectives? If yes, please explain your alternative proposal. If yes, please explain your alternative proposal.</w:t>
      </w:r>
      <w:r w:rsidRPr="00391CB0">
        <w:t xml:space="preserve"> </w:t>
      </w:r>
    </w:p>
    <w:p w14:paraId="63615FFA" w14:textId="2D4FA919" w:rsidR="00B92885" w:rsidRDefault="00B92885" w:rsidP="00B92885">
      <w:r>
        <w:t>&lt;ESMA_QUESTION_FUNA_5&gt;</w:t>
      </w:r>
    </w:p>
    <w:p w14:paraId="25197A83" w14:textId="15651BA3" w:rsidR="00902197" w:rsidRPr="00F654EE" w:rsidRDefault="0007456C" w:rsidP="00902197">
      <w:pPr>
        <w:pStyle w:val="Default"/>
        <w:spacing w:after="175"/>
        <w:jc w:val="both"/>
        <w:rPr>
          <w:rFonts w:ascii="Arial" w:hAnsi="Arial" w:cs="Arial"/>
          <w:bCs/>
          <w:color w:val="auto"/>
          <w:sz w:val="20"/>
          <w:szCs w:val="20"/>
          <w:lang w:val="en-US"/>
        </w:rPr>
      </w:pPr>
      <w:permStart w:id="1539323392" w:edGrp="everyone"/>
      <w:r>
        <w:rPr>
          <w:rFonts w:ascii="Arial" w:hAnsi="Arial" w:cs="Arial"/>
          <w:bCs/>
          <w:color w:val="auto"/>
          <w:sz w:val="20"/>
          <w:szCs w:val="20"/>
          <w:lang w:val="en-US"/>
        </w:rPr>
        <w:t xml:space="preserve">Response to Q5 - </w:t>
      </w:r>
      <w:r w:rsidR="00902197" w:rsidRPr="00F654EE">
        <w:rPr>
          <w:rFonts w:ascii="Arial" w:hAnsi="Arial" w:cs="Arial"/>
          <w:bCs/>
          <w:color w:val="auto"/>
          <w:sz w:val="20"/>
          <w:szCs w:val="20"/>
          <w:lang w:val="en-US"/>
        </w:rPr>
        <w:t>It is important that any alternative approach should (</w:t>
      </w:r>
      <w:proofErr w:type="spellStart"/>
      <w:r w:rsidR="00902197" w:rsidRPr="00F654EE">
        <w:rPr>
          <w:rFonts w:ascii="Arial" w:hAnsi="Arial" w:cs="Arial"/>
          <w:bCs/>
          <w:color w:val="auto"/>
          <w:sz w:val="20"/>
          <w:szCs w:val="20"/>
          <w:lang w:val="en-US"/>
        </w:rPr>
        <w:t>i</w:t>
      </w:r>
      <w:proofErr w:type="spellEnd"/>
      <w:r w:rsidR="00902197" w:rsidRPr="00F654EE">
        <w:rPr>
          <w:rFonts w:ascii="Arial" w:hAnsi="Arial" w:cs="Arial"/>
          <w:bCs/>
          <w:color w:val="auto"/>
          <w:sz w:val="20"/>
          <w:szCs w:val="20"/>
          <w:lang w:val="en-US"/>
        </w:rPr>
        <w:t>) apply proportionality (the name being granted only if there is a sufficiently significant commitment) (ii) be quantitatively measurable based on a KPI in relation to the main objective and to the name of the fund.</w:t>
      </w:r>
    </w:p>
    <w:p w14:paraId="5D7DBE5E" w14:textId="77777777" w:rsidR="00902197" w:rsidRPr="00F654EE" w:rsidRDefault="00902197" w:rsidP="00902197">
      <w:pPr>
        <w:pStyle w:val="Default"/>
        <w:spacing w:after="175"/>
        <w:jc w:val="both"/>
        <w:rPr>
          <w:rFonts w:ascii="Arial" w:hAnsi="Arial" w:cs="Arial"/>
          <w:bCs/>
          <w:color w:val="auto"/>
          <w:sz w:val="20"/>
          <w:szCs w:val="20"/>
          <w:lang w:val="en-GB"/>
        </w:rPr>
      </w:pPr>
      <w:r w:rsidRPr="00F654EE">
        <w:rPr>
          <w:rFonts w:ascii="Arial" w:hAnsi="Arial" w:cs="Arial"/>
          <w:bCs/>
          <w:color w:val="auto"/>
          <w:sz w:val="20"/>
          <w:szCs w:val="20"/>
          <w:lang w:val="en-GB"/>
        </w:rPr>
        <w:t xml:space="preserve">For </w:t>
      </w:r>
      <w:proofErr w:type="gramStart"/>
      <w:r w:rsidRPr="00F654EE">
        <w:rPr>
          <w:rFonts w:ascii="Arial" w:hAnsi="Arial" w:cs="Arial"/>
          <w:bCs/>
          <w:color w:val="auto"/>
          <w:sz w:val="20"/>
          <w:szCs w:val="20"/>
          <w:lang w:val="en-GB"/>
        </w:rPr>
        <w:t>instance :</w:t>
      </w:r>
      <w:proofErr w:type="gramEnd"/>
    </w:p>
    <w:p w14:paraId="3BFD00A1" w14:textId="77777777" w:rsidR="00902197" w:rsidRPr="00F654EE" w:rsidRDefault="00902197" w:rsidP="0007456C">
      <w:pPr>
        <w:pStyle w:val="Default"/>
        <w:numPr>
          <w:ilvl w:val="0"/>
          <w:numId w:val="53"/>
        </w:numPr>
        <w:spacing w:after="175"/>
        <w:jc w:val="both"/>
        <w:rPr>
          <w:rFonts w:ascii="Arial" w:hAnsi="Arial" w:cs="Arial"/>
          <w:bCs/>
          <w:color w:val="auto"/>
          <w:sz w:val="20"/>
          <w:szCs w:val="20"/>
          <w:lang w:val="en-US"/>
        </w:rPr>
      </w:pPr>
      <w:r w:rsidRPr="00F654EE">
        <w:rPr>
          <w:rFonts w:ascii="Arial" w:hAnsi="Arial" w:cs="Arial"/>
          <w:bCs/>
          <w:color w:val="auto"/>
          <w:sz w:val="20"/>
          <w:szCs w:val="20"/>
          <w:lang w:val="en-GB"/>
        </w:rPr>
        <w:t xml:space="preserve">As per our response in Q2, a “coverage” threshold </w:t>
      </w:r>
      <w:proofErr w:type="gramStart"/>
      <w:r w:rsidRPr="00F654EE">
        <w:rPr>
          <w:rFonts w:ascii="Arial" w:hAnsi="Arial" w:cs="Arial"/>
          <w:bCs/>
          <w:color w:val="auto"/>
          <w:sz w:val="20"/>
          <w:szCs w:val="20"/>
          <w:lang w:val="en-GB"/>
        </w:rPr>
        <w:t>could be combined</w:t>
      </w:r>
      <w:proofErr w:type="gramEnd"/>
      <w:r w:rsidRPr="00F654EE">
        <w:rPr>
          <w:rFonts w:ascii="Arial" w:hAnsi="Arial" w:cs="Arial"/>
          <w:bCs/>
          <w:color w:val="auto"/>
          <w:sz w:val="20"/>
          <w:szCs w:val="20"/>
          <w:lang w:val="en-GB"/>
        </w:rPr>
        <w:t xml:space="preserve"> with a </w:t>
      </w:r>
      <w:r w:rsidRPr="00F654EE">
        <w:rPr>
          <w:rFonts w:ascii="Arial" w:hAnsi="Arial" w:cs="Arial"/>
          <w:bCs/>
          <w:color w:val="auto"/>
          <w:sz w:val="20"/>
          <w:szCs w:val="20"/>
          <w:lang w:val="en-US"/>
        </w:rPr>
        <w:t>binding and measurable objective.</w:t>
      </w:r>
    </w:p>
    <w:p w14:paraId="29ABEB43" w14:textId="31AF2F34" w:rsidR="00B92885" w:rsidRPr="0007456C" w:rsidRDefault="00902197" w:rsidP="0007456C">
      <w:pPr>
        <w:pStyle w:val="ListParagraph"/>
        <w:numPr>
          <w:ilvl w:val="0"/>
          <w:numId w:val="53"/>
        </w:numPr>
        <w:rPr>
          <w:rFonts w:cs="Arial"/>
          <w:szCs w:val="20"/>
        </w:rPr>
      </w:pPr>
      <w:r w:rsidRPr="0007456C">
        <w:rPr>
          <w:rFonts w:cs="Arial"/>
          <w:bCs/>
          <w:szCs w:val="20"/>
        </w:rPr>
        <w:t xml:space="preserve">Strategies that are compliant with the approaches proposed by the French Market Authorities (AMF) in its doctrine </w:t>
      </w:r>
      <w:proofErr w:type="gramStart"/>
      <w:r w:rsidRPr="0007456C">
        <w:rPr>
          <w:rFonts w:cs="Arial"/>
          <w:bCs/>
          <w:szCs w:val="20"/>
        </w:rPr>
        <w:t>could be considered</w:t>
      </w:r>
      <w:proofErr w:type="gramEnd"/>
      <w:r w:rsidRPr="0007456C">
        <w:rPr>
          <w:rFonts w:cs="Arial"/>
          <w:bCs/>
          <w:szCs w:val="20"/>
        </w:rPr>
        <w:t xml:space="preserve"> as alternative to the threshold mechanisms. “Selectivity” i.e. exclusion of at least 20% of the worst ESG performers in a universe definition, or “rating upgrade” approach, after eliminating at least 20% of the worst ESG performers in a universe definition could be used. The same with an ESG KPI minimum level strategy.</w:t>
      </w:r>
    </w:p>
    <w:permEnd w:id="1539323392"/>
    <w:p w14:paraId="436D4354" w14:textId="77777777" w:rsidR="00B92885" w:rsidRDefault="00B92885" w:rsidP="00B92885">
      <w:r>
        <w:t>&lt;ESMA_QUESTION_FUNA_5&gt;</w:t>
      </w:r>
    </w:p>
    <w:p w14:paraId="51BCCD20" w14:textId="77777777" w:rsidR="00B92885" w:rsidRDefault="00B92885" w:rsidP="00B92885"/>
    <w:p w14:paraId="531615C6" w14:textId="77777777" w:rsidR="00B92885" w:rsidRDefault="00B92885" w:rsidP="00B92885">
      <w:pPr>
        <w:pStyle w:val="Questionstyle"/>
        <w:numPr>
          <w:ilvl w:val="0"/>
          <w:numId w:val="39"/>
        </w:numPr>
      </w:pPr>
      <w:r>
        <w:t xml:space="preserve">: </w:t>
      </w:r>
      <w:r w:rsidRPr="000B78F5">
        <w:t>Do you agree with the need for minimum safeguards for investment funds with an ESG- or sustainability-related term in their name? Should such safeguards be based on the exclusion criteria such as Commission Delegated Regulation (EU) 2020/1818 Article 12(1)-(2)? If not, explain why and provide an alternative proposal.</w:t>
      </w:r>
    </w:p>
    <w:p w14:paraId="114E1BE8" w14:textId="77777777" w:rsidR="00B92885" w:rsidRDefault="00B92885" w:rsidP="00B92885">
      <w:r>
        <w:t>&lt;ESMA_QUESTION_FUNA_6&gt;</w:t>
      </w:r>
    </w:p>
    <w:p w14:paraId="611301D4" w14:textId="5C7FCC3D" w:rsidR="004B6D06" w:rsidRPr="00315491" w:rsidRDefault="00FB2A11" w:rsidP="004B6D06">
      <w:pPr>
        <w:pStyle w:val="Default"/>
        <w:spacing w:after="175"/>
        <w:jc w:val="both"/>
        <w:rPr>
          <w:rFonts w:ascii="Arial" w:hAnsi="Arial" w:cs="Arial"/>
          <w:bCs/>
          <w:color w:val="auto"/>
          <w:sz w:val="20"/>
          <w:szCs w:val="20"/>
          <w:lang w:val="en-US"/>
        </w:rPr>
      </w:pPr>
      <w:permStart w:id="175976681" w:edGrp="everyone"/>
      <w:r>
        <w:rPr>
          <w:rFonts w:ascii="Arial" w:hAnsi="Arial" w:cs="Arial"/>
          <w:bCs/>
          <w:color w:val="auto"/>
          <w:sz w:val="20"/>
          <w:szCs w:val="20"/>
          <w:lang w:val="en-US"/>
        </w:rPr>
        <w:t xml:space="preserve"> </w:t>
      </w:r>
      <w:r w:rsidR="0007456C">
        <w:rPr>
          <w:rFonts w:ascii="Arial" w:hAnsi="Arial" w:cs="Arial"/>
          <w:bCs/>
          <w:color w:val="auto"/>
          <w:sz w:val="20"/>
          <w:szCs w:val="20"/>
          <w:lang w:val="en-US"/>
        </w:rPr>
        <w:t xml:space="preserve">Response to Q6 - </w:t>
      </w:r>
      <w:r w:rsidR="004B6D06" w:rsidRPr="00315491">
        <w:rPr>
          <w:rFonts w:ascii="Arial" w:hAnsi="Arial" w:cs="Arial"/>
          <w:bCs/>
          <w:color w:val="auto"/>
          <w:sz w:val="20"/>
          <w:szCs w:val="20"/>
          <w:lang w:val="en-US"/>
        </w:rPr>
        <w:t>As a general comment, we believe that exclusions are not appropriate as minimum safeguards for investment funds.</w:t>
      </w:r>
    </w:p>
    <w:p w14:paraId="313A1D46" w14:textId="77777777" w:rsidR="004B6D06" w:rsidRPr="00315491" w:rsidRDefault="004B6D06" w:rsidP="004B6D06">
      <w:pPr>
        <w:jc w:val="both"/>
        <w:rPr>
          <w:rFonts w:cs="Arial"/>
          <w:bCs/>
          <w:szCs w:val="20"/>
          <w:lang w:val="en-US"/>
        </w:rPr>
      </w:pPr>
      <w:r w:rsidRPr="00315491">
        <w:rPr>
          <w:rFonts w:cs="Arial"/>
          <w:bCs/>
          <w:szCs w:val="20"/>
          <w:lang w:val="en-US"/>
        </w:rPr>
        <w:t>In addition, exclusions generally do not recognize firms that are making efforts to transition.</w:t>
      </w:r>
    </w:p>
    <w:p w14:paraId="68BF95B1" w14:textId="77777777" w:rsidR="002A4373" w:rsidRPr="00315491" w:rsidRDefault="002A4373" w:rsidP="004B6D06">
      <w:pPr>
        <w:pStyle w:val="Default"/>
        <w:spacing w:after="175"/>
        <w:jc w:val="both"/>
        <w:rPr>
          <w:rFonts w:ascii="Arial" w:hAnsi="Arial" w:cs="Arial"/>
          <w:bCs/>
          <w:color w:val="auto"/>
          <w:sz w:val="20"/>
          <w:szCs w:val="20"/>
          <w:lang w:val="en-US"/>
        </w:rPr>
      </w:pPr>
    </w:p>
    <w:p w14:paraId="1D81D88E" w14:textId="208D5341" w:rsidR="004B6D06" w:rsidRPr="00315491" w:rsidRDefault="004B6D06" w:rsidP="004B6D06">
      <w:pPr>
        <w:pStyle w:val="Default"/>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lastRenderedPageBreak/>
        <w:t>We fully disagree with using Paris Aligned Benchmark (PAB)’s exclusions listed in art 12(1) and 12(2) of the BMR delegated regulation 2020/1818 for the following reasons:</w:t>
      </w:r>
    </w:p>
    <w:p w14:paraId="195D7610" w14:textId="77777777" w:rsidR="004B6D06" w:rsidRPr="00315491" w:rsidRDefault="004B6D06" w:rsidP="00C465AE">
      <w:pPr>
        <w:pStyle w:val="Default"/>
        <w:numPr>
          <w:ilvl w:val="0"/>
          <w:numId w:val="45"/>
        </w:numPr>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t xml:space="preserve">SFDR art. </w:t>
      </w:r>
      <w:proofErr w:type="gramStart"/>
      <w:r w:rsidRPr="00315491">
        <w:rPr>
          <w:rFonts w:ascii="Arial" w:hAnsi="Arial" w:cs="Arial"/>
          <w:bCs/>
          <w:color w:val="auto"/>
          <w:sz w:val="20"/>
          <w:szCs w:val="20"/>
          <w:lang w:val="en-US"/>
        </w:rPr>
        <w:t>8</w:t>
      </w:r>
      <w:proofErr w:type="gramEnd"/>
      <w:r w:rsidRPr="00315491">
        <w:rPr>
          <w:rFonts w:ascii="Arial" w:hAnsi="Arial" w:cs="Arial"/>
          <w:bCs/>
          <w:color w:val="auto"/>
          <w:sz w:val="20"/>
          <w:szCs w:val="20"/>
          <w:lang w:val="en-US"/>
        </w:rPr>
        <w:t xml:space="preserve"> funds already have some “good governance practices” safeguards as a minimum standard. </w:t>
      </w:r>
    </w:p>
    <w:p w14:paraId="3186F950" w14:textId="77777777" w:rsidR="004B6D06" w:rsidRPr="00315491" w:rsidRDefault="004B6D06" w:rsidP="00C465AE">
      <w:pPr>
        <w:pStyle w:val="Default"/>
        <w:numPr>
          <w:ilvl w:val="0"/>
          <w:numId w:val="45"/>
        </w:numPr>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t xml:space="preserve">The PAB is a label dedicated to Paris aligned targets- PAB exclusion criteria are mainly climate focused and specifically fitting this label. It is not suitable for other labels nor for </w:t>
      </w:r>
      <w:proofErr w:type="gramStart"/>
      <w:r w:rsidRPr="00315491">
        <w:rPr>
          <w:rFonts w:ascii="Arial" w:hAnsi="Arial" w:cs="Arial"/>
          <w:bCs/>
          <w:color w:val="auto"/>
          <w:sz w:val="20"/>
          <w:szCs w:val="20"/>
          <w:lang w:val="en-US"/>
        </w:rPr>
        <w:t>strategies which</w:t>
      </w:r>
      <w:proofErr w:type="gramEnd"/>
      <w:r w:rsidRPr="00315491">
        <w:rPr>
          <w:rFonts w:ascii="Arial" w:hAnsi="Arial" w:cs="Arial"/>
          <w:bCs/>
          <w:color w:val="auto"/>
          <w:sz w:val="20"/>
          <w:szCs w:val="20"/>
          <w:lang w:val="en-US"/>
        </w:rPr>
        <w:t xml:space="preserve"> are not fully climate oriented.  </w:t>
      </w:r>
    </w:p>
    <w:p w14:paraId="22174011" w14:textId="77777777" w:rsidR="004B6D06" w:rsidRPr="00315491" w:rsidRDefault="004B6D06" w:rsidP="00C465AE">
      <w:pPr>
        <w:pStyle w:val="Default"/>
        <w:numPr>
          <w:ilvl w:val="0"/>
          <w:numId w:val="45"/>
        </w:numPr>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t xml:space="preserve">The notion of DNSH introduced in art 12(2) </w:t>
      </w:r>
      <w:proofErr w:type="gramStart"/>
      <w:r w:rsidRPr="00315491">
        <w:rPr>
          <w:rFonts w:ascii="Arial" w:hAnsi="Arial" w:cs="Arial"/>
          <w:bCs/>
          <w:color w:val="auto"/>
          <w:sz w:val="20"/>
          <w:szCs w:val="20"/>
          <w:lang w:val="en-US"/>
        </w:rPr>
        <w:t>is not clearly defined</w:t>
      </w:r>
      <w:proofErr w:type="gramEnd"/>
      <w:r w:rsidRPr="00315491">
        <w:rPr>
          <w:rFonts w:ascii="Arial" w:hAnsi="Arial" w:cs="Arial"/>
          <w:bCs/>
          <w:color w:val="auto"/>
          <w:sz w:val="20"/>
          <w:szCs w:val="20"/>
          <w:lang w:val="en-US"/>
        </w:rPr>
        <w:t xml:space="preserve"> and, in SFDR, such notion applies to “sustainable investments”.</w:t>
      </w:r>
    </w:p>
    <w:p w14:paraId="71018305" w14:textId="77777777" w:rsidR="004B6D06" w:rsidRPr="00315491" w:rsidRDefault="004B6D06" w:rsidP="004B6D06">
      <w:pPr>
        <w:pStyle w:val="Default"/>
        <w:spacing w:after="175"/>
        <w:jc w:val="both"/>
        <w:rPr>
          <w:rFonts w:ascii="Arial" w:hAnsi="Arial" w:cs="Arial"/>
          <w:b/>
          <w:bCs/>
          <w:color w:val="auto"/>
          <w:sz w:val="20"/>
          <w:szCs w:val="20"/>
          <w:lang w:val="en-US"/>
        </w:rPr>
      </w:pPr>
      <w:r w:rsidRPr="00315491">
        <w:rPr>
          <w:rFonts w:ascii="Arial" w:hAnsi="Arial" w:cs="Arial"/>
          <w:b/>
          <w:bCs/>
          <w:color w:val="auto"/>
          <w:sz w:val="20"/>
          <w:szCs w:val="20"/>
          <w:lang w:val="en-US"/>
        </w:rPr>
        <w:t xml:space="preserve">In the current transitioning state of the real economy, applying the PAB min. standards of art 12(1) and 12(2) to all the investments of a fund would be disproportionate and exceed the notion of “minimum” safeguards. </w:t>
      </w:r>
    </w:p>
    <w:p w14:paraId="620C5585" w14:textId="77777777" w:rsidR="004B6D06" w:rsidRPr="00315491" w:rsidRDefault="004B6D06" w:rsidP="004B6D06">
      <w:pPr>
        <w:pStyle w:val="Default"/>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t xml:space="preserve">In order to enhance the minimum standards of art.8 funds qualifying for an ESG-related name in a proportionate manner, </w:t>
      </w:r>
      <w:r w:rsidRPr="00315491">
        <w:rPr>
          <w:rFonts w:ascii="Arial" w:hAnsi="Arial" w:cs="Arial"/>
          <w:bCs/>
          <w:color w:val="auto"/>
          <w:sz w:val="20"/>
          <w:szCs w:val="20"/>
          <w:u w:val="single"/>
          <w:lang w:val="en-US"/>
        </w:rPr>
        <w:t xml:space="preserve">our alternative proposal </w:t>
      </w:r>
      <w:r w:rsidRPr="00315491">
        <w:rPr>
          <w:rFonts w:ascii="Arial" w:hAnsi="Arial" w:cs="Arial"/>
          <w:bCs/>
          <w:color w:val="auto"/>
          <w:sz w:val="20"/>
          <w:szCs w:val="20"/>
          <w:lang w:val="en-US"/>
        </w:rPr>
        <w:t>is the following:</w:t>
      </w:r>
    </w:p>
    <w:p w14:paraId="36C8C3C7" w14:textId="77777777" w:rsidR="002A4373" w:rsidRPr="00315491" w:rsidRDefault="004B6D06" w:rsidP="00C465AE">
      <w:pPr>
        <w:pStyle w:val="Default"/>
        <w:numPr>
          <w:ilvl w:val="0"/>
          <w:numId w:val="46"/>
        </w:numPr>
        <w:spacing w:after="175"/>
        <w:jc w:val="both"/>
        <w:rPr>
          <w:rFonts w:ascii="Arial" w:hAnsi="Arial" w:cs="Arial"/>
          <w:bCs/>
          <w:color w:val="auto"/>
          <w:sz w:val="20"/>
          <w:szCs w:val="20"/>
          <w:lang w:val="en-US"/>
        </w:rPr>
      </w:pPr>
      <w:r w:rsidRPr="00315491">
        <w:rPr>
          <w:rFonts w:ascii="Arial" w:hAnsi="Arial" w:cs="Arial"/>
          <w:bCs/>
          <w:color w:val="auto"/>
          <w:sz w:val="20"/>
          <w:szCs w:val="20"/>
          <w:lang w:val="en-US"/>
        </w:rPr>
        <w:t xml:space="preserve">No investment </w:t>
      </w:r>
      <w:proofErr w:type="gramStart"/>
      <w:r w:rsidRPr="00315491">
        <w:rPr>
          <w:rFonts w:ascii="Arial" w:hAnsi="Arial" w:cs="Arial"/>
          <w:bCs/>
          <w:color w:val="auto"/>
          <w:sz w:val="20"/>
          <w:szCs w:val="20"/>
          <w:lang w:val="en-US"/>
        </w:rPr>
        <w:t>can be made</w:t>
      </w:r>
      <w:proofErr w:type="gramEnd"/>
      <w:r w:rsidRPr="00315491">
        <w:rPr>
          <w:rFonts w:ascii="Arial" w:hAnsi="Arial" w:cs="Arial"/>
          <w:bCs/>
          <w:color w:val="auto"/>
          <w:sz w:val="20"/>
          <w:szCs w:val="20"/>
          <w:lang w:val="en-US"/>
        </w:rPr>
        <w:t xml:space="preserve"> in the production of weapons prohibited by the Oslo Convention on Cluster Munitions and the Ottawa Treaty on Anti-Personnel Mines.</w:t>
      </w:r>
    </w:p>
    <w:p w14:paraId="7C9157FD" w14:textId="243F9877" w:rsidR="00B92885" w:rsidRPr="002A4373" w:rsidRDefault="004B6D06" w:rsidP="00C465AE">
      <w:pPr>
        <w:pStyle w:val="Default"/>
        <w:numPr>
          <w:ilvl w:val="0"/>
          <w:numId w:val="46"/>
        </w:numPr>
        <w:spacing w:after="175"/>
        <w:jc w:val="both"/>
        <w:rPr>
          <w:rFonts w:ascii="Arial" w:hAnsi="Arial" w:cs="Arial"/>
          <w:bCs/>
          <w:color w:val="002060"/>
          <w:sz w:val="20"/>
          <w:szCs w:val="20"/>
          <w:lang w:val="en-US"/>
        </w:rPr>
      </w:pPr>
      <w:r w:rsidRPr="00315491">
        <w:rPr>
          <w:rFonts w:ascii="Arial" w:hAnsi="Arial" w:cs="Arial"/>
          <w:b/>
          <w:bCs/>
          <w:color w:val="auto"/>
          <w:sz w:val="20"/>
          <w:szCs w:val="20"/>
          <w:lang w:val="en-US"/>
        </w:rPr>
        <w:t xml:space="preserve">The product considers the SFDR mandatory PAIs (16) in a quantitative or qualitative manner </w:t>
      </w:r>
      <w:r w:rsidRPr="00315491">
        <w:rPr>
          <w:rFonts w:ascii="Arial" w:hAnsi="Arial" w:cs="Arial"/>
          <w:bCs/>
          <w:color w:val="auto"/>
          <w:sz w:val="20"/>
          <w:szCs w:val="20"/>
          <w:lang w:val="en-US"/>
        </w:rPr>
        <w:t>wherever applicable.  This also has the merit to connect with MiFID sustainability preferences.</w:t>
      </w:r>
    </w:p>
    <w:permEnd w:id="175976681"/>
    <w:p w14:paraId="6EE97467" w14:textId="77777777" w:rsidR="00B92885" w:rsidRDefault="00B92885" w:rsidP="00B92885">
      <w:r>
        <w:t>&lt;ESMA_QUESTION_FUNA_6&gt;</w:t>
      </w:r>
    </w:p>
    <w:p w14:paraId="0D23780D" w14:textId="77777777" w:rsidR="00B92885" w:rsidRDefault="00B92885" w:rsidP="00B92885"/>
    <w:p w14:paraId="24C13C1A" w14:textId="77777777" w:rsidR="00B92885" w:rsidRDefault="00B92885" w:rsidP="00B92885">
      <w:pPr>
        <w:pStyle w:val="Questionstyle"/>
        <w:numPr>
          <w:ilvl w:val="0"/>
          <w:numId w:val="39"/>
        </w:numPr>
      </w:pPr>
      <w:r>
        <w:t xml:space="preserve">: </w:t>
      </w:r>
      <w:r w:rsidRPr="000B78F5">
        <w:t xml:space="preserve">Do you think that, for the purpose of these Guidelines, derivatives should be subject to specific provisions for calculating thresholds? </w:t>
      </w:r>
    </w:p>
    <w:p w14:paraId="242B7FD3" w14:textId="77777777" w:rsidR="00B92885" w:rsidRDefault="00B92885" w:rsidP="00B92885">
      <w:r>
        <w:t>&lt;ESMA_QUESTION_FUNA_7&gt;</w:t>
      </w:r>
    </w:p>
    <w:p w14:paraId="74E6C751" w14:textId="740CD3C1" w:rsidR="00F654EE" w:rsidRPr="00F654EE" w:rsidRDefault="00F654EE" w:rsidP="00F654EE">
      <w:pPr>
        <w:rPr>
          <w:rFonts w:cs="Arial"/>
          <w:szCs w:val="20"/>
          <w:lang w:val="en-US"/>
        </w:rPr>
      </w:pPr>
      <w:permStart w:id="576722602" w:edGrp="everyone"/>
      <w:r>
        <w:rPr>
          <w:rFonts w:cs="Arial"/>
          <w:szCs w:val="20"/>
        </w:rPr>
        <w:t xml:space="preserve"> </w:t>
      </w:r>
      <w:r w:rsidR="0007456C">
        <w:rPr>
          <w:rFonts w:cs="Arial"/>
          <w:szCs w:val="20"/>
        </w:rPr>
        <w:t xml:space="preserve">Response to Q7 - </w:t>
      </w:r>
      <w:r w:rsidRPr="00F654EE">
        <w:rPr>
          <w:rFonts w:cs="Arial"/>
          <w:szCs w:val="20"/>
          <w:lang w:val="en-US"/>
        </w:rPr>
        <w:t xml:space="preserve">There is currently no regulatory or market standard as to how derivatives </w:t>
      </w:r>
      <w:proofErr w:type="gramStart"/>
      <w:r w:rsidRPr="00F654EE">
        <w:rPr>
          <w:rFonts w:cs="Arial"/>
          <w:szCs w:val="20"/>
          <w:lang w:val="en-US"/>
        </w:rPr>
        <w:t>shall be taken</w:t>
      </w:r>
      <w:proofErr w:type="gramEnd"/>
      <w:r w:rsidRPr="00F654EE">
        <w:rPr>
          <w:rFonts w:cs="Arial"/>
          <w:szCs w:val="20"/>
          <w:lang w:val="en-US"/>
        </w:rPr>
        <w:t xml:space="preserve"> into account for commitments to E/S characteristics or sustainable investments. </w:t>
      </w:r>
    </w:p>
    <w:p w14:paraId="38C833B2" w14:textId="77777777" w:rsidR="00F654EE" w:rsidRPr="00F654EE" w:rsidRDefault="00F654EE" w:rsidP="00F654EE">
      <w:pPr>
        <w:rPr>
          <w:rFonts w:cs="Arial"/>
          <w:szCs w:val="20"/>
          <w:lang w:val="en-US"/>
        </w:rPr>
      </w:pPr>
    </w:p>
    <w:p w14:paraId="54796BA1" w14:textId="78A3A39A" w:rsidR="00F654EE" w:rsidRPr="00F654EE" w:rsidRDefault="00F654EE" w:rsidP="00F654EE">
      <w:pPr>
        <w:rPr>
          <w:rFonts w:cs="Arial"/>
          <w:szCs w:val="20"/>
          <w:lang w:val="en-US"/>
        </w:rPr>
      </w:pPr>
      <w:r w:rsidRPr="00F654EE">
        <w:rPr>
          <w:rFonts w:cs="Arial"/>
          <w:szCs w:val="20"/>
          <w:lang w:val="en-US"/>
        </w:rPr>
        <w:t xml:space="preserve">We believe the consideration of derivatives in a look through approach should be subject to </w:t>
      </w:r>
      <w:r w:rsidRPr="00F654EE">
        <w:rPr>
          <w:rFonts w:cs="Arial"/>
          <w:b/>
          <w:szCs w:val="20"/>
          <w:lang w:val="en-US"/>
        </w:rPr>
        <w:t>certain conditions</w:t>
      </w:r>
      <w:r w:rsidRPr="00F654EE">
        <w:rPr>
          <w:rFonts w:cs="Arial"/>
          <w:szCs w:val="20"/>
          <w:lang w:val="en-US"/>
        </w:rPr>
        <w:t>:  </w:t>
      </w:r>
    </w:p>
    <w:p w14:paraId="7FD88847" w14:textId="77777777" w:rsidR="00F654EE" w:rsidRPr="00F654EE" w:rsidRDefault="00F654EE" w:rsidP="00F654EE">
      <w:pPr>
        <w:spacing w:after="60"/>
        <w:rPr>
          <w:rFonts w:cs="Arial"/>
          <w:szCs w:val="20"/>
          <w:lang w:val="en-US"/>
        </w:rPr>
      </w:pPr>
    </w:p>
    <w:p w14:paraId="75676DFB" w14:textId="77777777" w:rsidR="00C465AE" w:rsidRDefault="00F654EE" w:rsidP="00C465AE">
      <w:pPr>
        <w:pStyle w:val="ListParagraph"/>
        <w:numPr>
          <w:ilvl w:val="0"/>
          <w:numId w:val="52"/>
        </w:numPr>
        <w:spacing w:after="60"/>
        <w:ind w:left="284" w:hanging="284"/>
        <w:rPr>
          <w:rFonts w:cs="Arial"/>
          <w:szCs w:val="20"/>
          <w:lang w:val="en-US"/>
        </w:rPr>
      </w:pPr>
      <w:r w:rsidRPr="00C465AE">
        <w:rPr>
          <w:rFonts w:cs="Arial"/>
          <w:szCs w:val="20"/>
          <w:lang w:val="en-US"/>
        </w:rPr>
        <w:t xml:space="preserve">As a general principle, derivatives </w:t>
      </w:r>
      <w:proofErr w:type="gramStart"/>
      <w:r w:rsidRPr="00C465AE">
        <w:rPr>
          <w:rFonts w:cs="Arial"/>
          <w:szCs w:val="20"/>
          <w:lang w:val="en-US"/>
        </w:rPr>
        <w:t>should be taken</w:t>
      </w:r>
      <w:proofErr w:type="gramEnd"/>
      <w:r w:rsidRPr="00C465AE">
        <w:rPr>
          <w:rFonts w:cs="Arial"/>
          <w:szCs w:val="20"/>
          <w:lang w:val="en-US"/>
        </w:rPr>
        <w:t xml:space="preserve"> into account</w:t>
      </w:r>
      <w:r w:rsidR="00C465AE">
        <w:rPr>
          <w:rFonts w:cs="Arial"/>
          <w:szCs w:val="20"/>
          <w:lang w:val="en-US"/>
        </w:rPr>
        <w:t xml:space="preserve"> as in other investment ratios.</w:t>
      </w:r>
    </w:p>
    <w:p w14:paraId="5122ED68" w14:textId="3B062287" w:rsidR="00F654EE" w:rsidRPr="00C465AE" w:rsidRDefault="00F654EE" w:rsidP="00C465AE">
      <w:pPr>
        <w:pStyle w:val="ListParagraph"/>
        <w:spacing w:after="60"/>
        <w:ind w:left="0"/>
        <w:rPr>
          <w:rFonts w:cs="Arial"/>
          <w:szCs w:val="20"/>
          <w:lang w:val="en-US"/>
        </w:rPr>
      </w:pPr>
      <w:r w:rsidRPr="00C465AE">
        <w:rPr>
          <w:rFonts w:cs="Arial"/>
          <w:szCs w:val="20"/>
          <w:lang w:val="en-US"/>
        </w:rPr>
        <w:t xml:space="preserve">However, for ESG consideration, they </w:t>
      </w:r>
      <w:proofErr w:type="gramStart"/>
      <w:r w:rsidRPr="00C465AE">
        <w:rPr>
          <w:rFonts w:cs="Arial"/>
          <w:szCs w:val="20"/>
          <w:lang w:val="en-US"/>
        </w:rPr>
        <w:t>could be disregarded</w:t>
      </w:r>
      <w:proofErr w:type="gramEnd"/>
      <w:r w:rsidRPr="00C465AE">
        <w:rPr>
          <w:rFonts w:cs="Arial"/>
          <w:szCs w:val="20"/>
          <w:lang w:val="en-US"/>
        </w:rPr>
        <w:t xml:space="preserve"> – i.e. excluded from numerator and denominator - if:</w:t>
      </w:r>
    </w:p>
    <w:p w14:paraId="43FA9A87" w14:textId="5E4B8FEA" w:rsidR="00F654EE" w:rsidRPr="00C465AE" w:rsidRDefault="00F654EE" w:rsidP="00C465AE">
      <w:pPr>
        <w:pStyle w:val="ListParagraph"/>
        <w:numPr>
          <w:ilvl w:val="0"/>
          <w:numId w:val="51"/>
        </w:numPr>
        <w:spacing w:after="60"/>
        <w:rPr>
          <w:rFonts w:cs="Arial"/>
          <w:szCs w:val="20"/>
          <w:lang w:val="en-US"/>
        </w:rPr>
      </w:pPr>
      <w:r w:rsidRPr="00C465AE">
        <w:rPr>
          <w:rFonts w:cs="Arial"/>
          <w:szCs w:val="20"/>
          <w:lang w:val="en-US"/>
        </w:rPr>
        <w:t>they are used for temporary and/or the efficient management techniques purposes; for example tactical derivatives for temporary market (beta) hedging/exposure purposes, duration purpose, or to manage subscriptions/redemptions flows;</w:t>
      </w:r>
    </w:p>
    <w:p w14:paraId="00070E87" w14:textId="18FCA9E4" w:rsidR="00F654EE" w:rsidRPr="00F654EE" w:rsidRDefault="00F654EE" w:rsidP="00C465AE">
      <w:pPr>
        <w:pStyle w:val="Default"/>
        <w:numPr>
          <w:ilvl w:val="0"/>
          <w:numId w:val="51"/>
        </w:numPr>
        <w:spacing w:after="175"/>
        <w:jc w:val="both"/>
        <w:rPr>
          <w:rFonts w:ascii="Arial" w:hAnsi="Arial" w:cs="Arial"/>
          <w:bCs/>
          <w:color w:val="auto"/>
          <w:sz w:val="20"/>
          <w:szCs w:val="20"/>
          <w:lang w:val="en-US"/>
        </w:rPr>
      </w:pPr>
      <w:proofErr w:type="gramStart"/>
      <w:r w:rsidRPr="00F654EE">
        <w:rPr>
          <w:rFonts w:ascii="Arial" w:hAnsi="Arial" w:cs="Arial"/>
          <w:color w:val="auto"/>
          <w:sz w:val="20"/>
          <w:szCs w:val="20"/>
          <w:lang w:val="en-US"/>
        </w:rPr>
        <w:t>they</w:t>
      </w:r>
      <w:proofErr w:type="gramEnd"/>
      <w:r w:rsidRPr="00F654EE">
        <w:rPr>
          <w:rFonts w:ascii="Arial" w:hAnsi="Arial" w:cs="Arial"/>
          <w:color w:val="auto"/>
          <w:sz w:val="20"/>
          <w:szCs w:val="20"/>
          <w:lang w:val="en-US"/>
        </w:rPr>
        <w:t xml:space="preserve"> relate to currency management [e.g. FX hedging] and interest rate [e.g. interest rate swaps]. </w:t>
      </w:r>
    </w:p>
    <w:p w14:paraId="29C51095" w14:textId="77777777" w:rsidR="00F654EE" w:rsidRPr="00F654EE" w:rsidRDefault="00F654EE" w:rsidP="00F654EE">
      <w:pPr>
        <w:jc w:val="both"/>
        <w:rPr>
          <w:rFonts w:cs="Arial"/>
          <w:szCs w:val="20"/>
          <w:lang w:val="en-US"/>
        </w:rPr>
      </w:pPr>
      <w:r w:rsidRPr="00F654EE">
        <w:rPr>
          <w:rFonts w:cs="Arial"/>
          <w:szCs w:val="20"/>
          <w:lang w:val="en-US"/>
        </w:rPr>
        <w:t xml:space="preserve">(2) Index/basket </w:t>
      </w:r>
      <w:proofErr w:type="gramStart"/>
      <w:r w:rsidRPr="00F654EE">
        <w:rPr>
          <w:rFonts w:cs="Arial"/>
          <w:szCs w:val="20"/>
          <w:lang w:val="en-US"/>
        </w:rPr>
        <w:t>derivatives :</w:t>
      </w:r>
      <w:proofErr w:type="gramEnd"/>
      <w:r w:rsidRPr="00F654EE">
        <w:rPr>
          <w:rFonts w:cs="Arial"/>
          <w:szCs w:val="20"/>
          <w:lang w:val="en-US"/>
        </w:rPr>
        <w:t xml:space="preserve"> as a result of the look through of an underlying index/basket, the prospectus should mention there could be an </w:t>
      </w:r>
      <w:r w:rsidRPr="00F654EE">
        <w:rPr>
          <w:rFonts w:cs="Arial"/>
          <w:b/>
          <w:szCs w:val="20"/>
          <w:lang w:val="en-US"/>
        </w:rPr>
        <w:t>indirect exposure</w:t>
      </w:r>
      <w:r w:rsidRPr="00F654EE">
        <w:rPr>
          <w:rFonts w:cs="Arial"/>
          <w:szCs w:val="20"/>
          <w:lang w:val="en-US"/>
        </w:rPr>
        <w:t xml:space="preserve"> to assets that are contrary to the ESG characteristics of the fund; it is intended to be a negligible proportion of the assets of the fund;</w:t>
      </w:r>
    </w:p>
    <w:p w14:paraId="357DF5E4" w14:textId="77777777" w:rsidR="00F654EE" w:rsidRPr="00F654EE" w:rsidRDefault="00F654EE" w:rsidP="00F654EE">
      <w:pPr>
        <w:jc w:val="both"/>
        <w:rPr>
          <w:rFonts w:cs="Arial"/>
          <w:szCs w:val="20"/>
          <w:lang w:val="en-US"/>
        </w:rPr>
      </w:pPr>
    </w:p>
    <w:p w14:paraId="0819FF2C" w14:textId="343D79FF" w:rsidR="00F654EE" w:rsidRPr="00F654EE" w:rsidRDefault="00F654EE" w:rsidP="00F654EE">
      <w:pPr>
        <w:jc w:val="both"/>
        <w:rPr>
          <w:rFonts w:cs="Arial"/>
          <w:szCs w:val="20"/>
          <w:lang w:val="en-US"/>
        </w:rPr>
      </w:pPr>
      <w:r w:rsidRPr="00F654EE">
        <w:rPr>
          <w:rFonts w:cs="Arial"/>
          <w:szCs w:val="20"/>
          <w:lang w:val="en-US"/>
        </w:rPr>
        <w:t xml:space="preserve">(3) </w:t>
      </w:r>
      <w:r w:rsidRPr="00F654EE">
        <w:rPr>
          <w:rFonts w:cs="Arial"/>
          <w:b/>
          <w:szCs w:val="20"/>
          <w:lang w:val="en-US"/>
        </w:rPr>
        <w:t>The approach for ESG/sustainability considerations goes beyond the sole fund naming ratios</w:t>
      </w:r>
      <w:r w:rsidRPr="00F654EE">
        <w:rPr>
          <w:rFonts w:cs="Arial"/>
          <w:szCs w:val="20"/>
          <w:lang w:val="en-US"/>
        </w:rPr>
        <w:t xml:space="preserve">. It also relates to SFDR disclosure in general; a common approach would need to be discussed/elaborated with the industry to clearly fix the treatment of the look-through in the numerator and denominator, the treatment of the derivatives that would be disregarded, of the collateral, the necessary tolerance for indirect </w:t>
      </w:r>
      <w:proofErr w:type="gramStart"/>
      <w:r w:rsidRPr="00F654EE">
        <w:rPr>
          <w:rFonts w:cs="Arial"/>
          <w:szCs w:val="20"/>
          <w:lang w:val="en-US"/>
        </w:rPr>
        <w:t>exposures ,</w:t>
      </w:r>
      <w:proofErr w:type="gramEnd"/>
      <w:r w:rsidRPr="00F654EE">
        <w:rPr>
          <w:rFonts w:cs="Arial"/>
          <w:szCs w:val="20"/>
          <w:lang w:val="en-US"/>
        </w:rPr>
        <w:t>…</w:t>
      </w:r>
    </w:p>
    <w:p w14:paraId="33D374FB" w14:textId="685EF055" w:rsidR="00B92885" w:rsidRPr="00F654EE" w:rsidRDefault="00F654EE" w:rsidP="00F654EE">
      <w:pPr>
        <w:rPr>
          <w:rFonts w:cs="Arial"/>
          <w:szCs w:val="20"/>
        </w:rPr>
      </w:pPr>
      <w:r w:rsidRPr="00F654EE">
        <w:rPr>
          <w:rFonts w:cs="Arial"/>
          <w:b/>
          <w:szCs w:val="20"/>
          <w:lang w:val="en-US"/>
        </w:rPr>
        <w:t xml:space="preserve">We therefore believe the consideration of derivatives should be subject to a taskforce with the marketplace, to be set up at EU level, in order to come up with a clear methodology before it </w:t>
      </w:r>
      <w:proofErr w:type="gramStart"/>
      <w:r w:rsidRPr="00F654EE">
        <w:rPr>
          <w:rFonts w:cs="Arial"/>
          <w:b/>
          <w:szCs w:val="20"/>
          <w:lang w:val="en-US"/>
        </w:rPr>
        <w:t>is incorporated</w:t>
      </w:r>
      <w:proofErr w:type="gramEnd"/>
      <w:r w:rsidRPr="00F654EE">
        <w:rPr>
          <w:rFonts w:cs="Arial"/>
          <w:b/>
          <w:szCs w:val="20"/>
          <w:lang w:val="en-US"/>
        </w:rPr>
        <w:t xml:space="preserve"> in the fund naming guidelines.</w:t>
      </w:r>
    </w:p>
    <w:permEnd w:id="576722602"/>
    <w:p w14:paraId="523B84EB" w14:textId="77777777" w:rsidR="00B92885" w:rsidRDefault="00B92885" w:rsidP="00B92885">
      <w:r>
        <w:lastRenderedPageBreak/>
        <w:t>&lt;ESMA_QUESTION_FUNA_7&gt;</w:t>
      </w:r>
    </w:p>
    <w:p w14:paraId="50670D01" w14:textId="77777777" w:rsidR="00B92885" w:rsidRDefault="00B92885" w:rsidP="00B92885"/>
    <w:p w14:paraId="1C6AACD7" w14:textId="77777777" w:rsidR="00B92885" w:rsidRDefault="00B92885" w:rsidP="00B92885">
      <w:pPr>
        <w:pStyle w:val="Questionstyle"/>
        <w:numPr>
          <w:ilvl w:val="0"/>
          <w:numId w:val="40"/>
        </w:numPr>
      </w:pPr>
      <w:r>
        <w:t>Would you suggest the use of the notional value or the market value for the purpose of the calculation of the minimum proportion of investment?</w:t>
      </w:r>
    </w:p>
    <w:p w14:paraId="437586E7" w14:textId="77777777" w:rsidR="00B92885" w:rsidRDefault="00B92885" w:rsidP="00B92885">
      <w:r>
        <w:t>&lt;ESMA_QUESTION_FUNA_1&gt;</w:t>
      </w:r>
    </w:p>
    <w:p w14:paraId="0EC51ABF" w14:textId="2BC47664" w:rsidR="00B92885" w:rsidRDefault="0007456C" w:rsidP="00B92885">
      <w:permStart w:id="1071974531" w:edGrp="everyone"/>
      <w:r>
        <w:t xml:space="preserve">Response to </w:t>
      </w:r>
      <w:proofErr w:type="gramStart"/>
      <w:r>
        <w:t>Q7(</w:t>
      </w:r>
      <w:proofErr w:type="gramEnd"/>
      <w:r>
        <w:t xml:space="preserve">a) - </w:t>
      </w:r>
      <w:r w:rsidR="00F654EE">
        <w:t>We suggest the use of the exposure value i.e. the delta approach to calculate the equivalent exposure to the underlying asset of the derivative</w:t>
      </w:r>
      <w:r w:rsidR="00C465AE">
        <w:t xml:space="preserve"> in a “look through” approach</w:t>
      </w:r>
    </w:p>
    <w:permEnd w:id="1071974531"/>
    <w:p w14:paraId="3A9FC829" w14:textId="77777777" w:rsidR="00B92885" w:rsidRDefault="00B92885" w:rsidP="00B92885">
      <w:r>
        <w:t>&lt;ESMA_QUESTION_FUNA_1&gt;</w:t>
      </w:r>
    </w:p>
    <w:p w14:paraId="1ECE9E45" w14:textId="77777777" w:rsidR="00B92885" w:rsidRDefault="00B92885" w:rsidP="00B92885"/>
    <w:p w14:paraId="779A7A94" w14:textId="77777777" w:rsidR="00B92885" w:rsidRDefault="00B92885" w:rsidP="00B92885">
      <w:pPr>
        <w:pStyle w:val="Questionstyle"/>
        <w:numPr>
          <w:ilvl w:val="0"/>
          <w:numId w:val="40"/>
        </w:numPr>
      </w:pPr>
      <w:r>
        <w:t>Are there any other measures you would recommend for derivatives for the calculation of the minimum proportion of investments?</w:t>
      </w:r>
    </w:p>
    <w:p w14:paraId="7C5D84D6" w14:textId="77777777" w:rsidR="00B92885" w:rsidRDefault="00B92885" w:rsidP="00B92885">
      <w:r>
        <w:t>&lt;ESMA_QUESTION_FUNA_2&gt;</w:t>
      </w:r>
    </w:p>
    <w:p w14:paraId="1923C2D2" w14:textId="3139546C" w:rsidR="00F654EE" w:rsidRPr="00F654EE" w:rsidRDefault="0007456C" w:rsidP="00F654EE">
      <w:pPr>
        <w:pStyle w:val="Default"/>
        <w:spacing w:after="175"/>
        <w:jc w:val="both"/>
        <w:rPr>
          <w:rFonts w:ascii="Arial" w:hAnsi="Arial" w:cs="Arial"/>
          <w:color w:val="auto"/>
          <w:sz w:val="20"/>
          <w:szCs w:val="20"/>
          <w:lang w:val="en-US"/>
        </w:rPr>
      </w:pPr>
      <w:permStart w:id="1162834929" w:edGrp="everyone"/>
      <w:r>
        <w:rPr>
          <w:rFonts w:ascii="Arial" w:hAnsi="Arial" w:cs="Arial"/>
          <w:color w:val="auto"/>
          <w:sz w:val="20"/>
          <w:szCs w:val="20"/>
          <w:lang w:val="en-US"/>
        </w:rPr>
        <w:t xml:space="preserve">Response to </w:t>
      </w:r>
      <w:proofErr w:type="gramStart"/>
      <w:r>
        <w:rPr>
          <w:rFonts w:ascii="Arial" w:hAnsi="Arial" w:cs="Arial"/>
          <w:color w:val="auto"/>
          <w:sz w:val="20"/>
          <w:szCs w:val="20"/>
          <w:lang w:val="en-US"/>
        </w:rPr>
        <w:t>Q7(</w:t>
      </w:r>
      <w:proofErr w:type="gramEnd"/>
      <w:r>
        <w:rPr>
          <w:rFonts w:ascii="Arial" w:hAnsi="Arial" w:cs="Arial"/>
          <w:color w:val="auto"/>
          <w:sz w:val="20"/>
          <w:szCs w:val="20"/>
          <w:lang w:val="en-US"/>
        </w:rPr>
        <w:t xml:space="preserve">b) - </w:t>
      </w:r>
      <w:r w:rsidR="00F654EE" w:rsidRPr="00F654EE">
        <w:rPr>
          <w:rFonts w:ascii="Arial" w:hAnsi="Arial" w:cs="Arial"/>
          <w:color w:val="auto"/>
          <w:sz w:val="20"/>
          <w:szCs w:val="20"/>
          <w:lang w:val="en-US"/>
        </w:rPr>
        <w:t xml:space="preserve">See above – We believe there should be a taskforce with the marketplace so that a common approach is determined, consistently across the financial sector. </w:t>
      </w:r>
      <w:proofErr w:type="gramStart"/>
      <w:r w:rsidR="00F654EE" w:rsidRPr="00F654EE">
        <w:rPr>
          <w:rFonts w:ascii="Arial" w:hAnsi="Arial" w:cs="Arial"/>
          <w:color w:val="auto"/>
          <w:sz w:val="20"/>
          <w:szCs w:val="20"/>
          <w:lang w:val="en-US"/>
        </w:rPr>
        <w:t>And</w:t>
      </w:r>
      <w:proofErr w:type="gramEnd"/>
      <w:r w:rsidR="00F654EE" w:rsidRPr="00F654EE">
        <w:rPr>
          <w:rFonts w:ascii="Arial" w:hAnsi="Arial" w:cs="Arial"/>
          <w:color w:val="auto"/>
          <w:sz w:val="20"/>
          <w:szCs w:val="20"/>
          <w:lang w:val="en-US"/>
        </w:rPr>
        <w:t xml:space="preserve"> that sufficient time is granted to gradually align.</w:t>
      </w:r>
    </w:p>
    <w:permEnd w:id="1162834929"/>
    <w:p w14:paraId="54A1018F" w14:textId="77777777" w:rsidR="00B92885" w:rsidRDefault="00B92885" w:rsidP="00B92885">
      <w:r>
        <w:t>&lt;ESMA_QUESTION_FUNA_2&gt;</w:t>
      </w:r>
    </w:p>
    <w:p w14:paraId="3FC5B87F" w14:textId="77777777" w:rsidR="00B92885" w:rsidRDefault="00B92885" w:rsidP="00B92885"/>
    <w:p w14:paraId="1F43A90B" w14:textId="77777777" w:rsidR="00B92885" w:rsidRDefault="00B92885" w:rsidP="00B92885">
      <w:pPr>
        <w:pStyle w:val="Questionstyle"/>
        <w:numPr>
          <w:ilvl w:val="0"/>
          <w:numId w:val="39"/>
        </w:numPr>
      </w:pPr>
      <w:r>
        <w:t xml:space="preserve">: </w:t>
      </w:r>
      <w:r w:rsidRPr="000B78F5">
        <w:t>Do you agree that funds designating an index as a reference benchmark should also consider the same requirements for funds’ names as any other fund? If not, explain why and provide an alternative proposal.</w:t>
      </w:r>
    </w:p>
    <w:p w14:paraId="01B8DAB9" w14:textId="77777777" w:rsidR="00B92885" w:rsidRDefault="00B92885" w:rsidP="00B92885">
      <w:r>
        <w:t>&lt;ESMA_QUESTION_FUNA_8&gt;</w:t>
      </w:r>
    </w:p>
    <w:p w14:paraId="11F25AD5" w14:textId="0F38B676" w:rsidR="00315491" w:rsidRPr="00315491" w:rsidRDefault="0007456C" w:rsidP="00315491">
      <w:pPr>
        <w:jc w:val="both"/>
        <w:rPr>
          <w:rFonts w:cs="Arial"/>
          <w:szCs w:val="20"/>
          <w:lang w:val="en-US"/>
        </w:rPr>
      </w:pPr>
      <w:permStart w:id="650455330" w:edGrp="everyone"/>
      <w:r>
        <w:rPr>
          <w:rFonts w:cs="Arial"/>
          <w:szCs w:val="20"/>
          <w:lang w:val="en-US"/>
        </w:rPr>
        <w:t xml:space="preserve">Response to Q8 - </w:t>
      </w:r>
      <w:r w:rsidR="00315491" w:rsidRPr="00315491">
        <w:rPr>
          <w:rFonts w:cs="Arial"/>
          <w:szCs w:val="20"/>
          <w:lang w:val="en-US"/>
        </w:rPr>
        <w:t xml:space="preserve">For consistency purposes, more particularly towards retail investors, we would like to apply the same naming requirements to index funds. </w:t>
      </w:r>
      <w:proofErr w:type="gramStart"/>
      <w:r w:rsidR="00315491" w:rsidRPr="00315491">
        <w:rPr>
          <w:rFonts w:cs="Arial"/>
          <w:szCs w:val="20"/>
          <w:lang w:val="en-US"/>
        </w:rPr>
        <w:t>But</w:t>
      </w:r>
      <w:proofErr w:type="gramEnd"/>
      <w:r w:rsidR="00315491" w:rsidRPr="00315491">
        <w:rPr>
          <w:rFonts w:cs="Arial"/>
          <w:szCs w:val="20"/>
          <w:lang w:val="en-US"/>
        </w:rPr>
        <w:t xml:space="preserve"> due to a regulatory mismatch we are currently not in a position to do so. </w:t>
      </w:r>
      <w:proofErr w:type="gramStart"/>
      <w:r w:rsidR="00315491" w:rsidRPr="00315491">
        <w:rPr>
          <w:rFonts w:cs="Arial"/>
          <w:szCs w:val="20"/>
          <w:lang w:val="en-US"/>
        </w:rPr>
        <w:t>Indeed :</w:t>
      </w:r>
      <w:proofErr w:type="gramEnd"/>
    </w:p>
    <w:p w14:paraId="1993508F" w14:textId="77777777" w:rsidR="00315491" w:rsidRPr="00315491" w:rsidRDefault="00315491" w:rsidP="00C465AE">
      <w:pPr>
        <w:pStyle w:val="ListParagraph"/>
        <w:numPr>
          <w:ilvl w:val="0"/>
          <w:numId w:val="42"/>
        </w:numPr>
        <w:spacing w:after="160" w:line="259" w:lineRule="auto"/>
        <w:ind w:left="567" w:hanging="425"/>
        <w:contextualSpacing w:val="0"/>
        <w:jc w:val="both"/>
        <w:rPr>
          <w:rFonts w:cs="Arial"/>
          <w:szCs w:val="20"/>
          <w:lang w:val="en-US"/>
        </w:rPr>
      </w:pPr>
      <w:r w:rsidRPr="00315491">
        <w:rPr>
          <w:rFonts w:cs="Arial"/>
          <w:szCs w:val="20"/>
          <w:lang w:val="en-US"/>
        </w:rPr>
        <w:t xml:space="preserve">The proposed guidelines refer to SFDR’s pre-contractual disclosures. </w:t>
      </w:r>
      <w:proofErr w:type="gramStart"/>
      <w:r w:rsidRPr="00315491">
        <w:rPr>
          <w:rFonts w:cs="Arial"/>
          <w:szCs w:val="20"/>
          <w:lang w:val="en-US"/>
        </w:rPr>
        <w:t>But</w:t>
      </w:r>
      <w:proofErr w:type="gramEnd"/>
      <w:r w:rsidRPr="00315491">
        <w:rPr>
          <w:rFonts w:cs="Arial"/>
          <w:szCs w:val="20"/>
          <w:lang w:val="en-US"/>
        </w:rPr>
        <w:t xml:space="preserve"> Index providers are not in SFDR’s scope. They </w:t>
      </w:r>
      <w:proofErr w:type="gramStart"/>
      <w:r w:rsidRPr="00315491">
        <w:rPr>
          <w:rFonts w:cs="Arial"/>
          <w:szCs w:val="20"/>
          <w:lang w:val="en-US"/>
        </w:rPr>
        <w:t>are covered</w:t>
      </w:r>
      <w:proofErr w:type="gramEnd"/>
      <w:r w:rsidRPr="00315491">
        <w:rPr>
          <w:rFonts w:cs="Arial"/>
          <w:szCs w:val="20"/>
          <w:lang w:val="en-US"/>
        </w:rPr>
        <w:t xml:space="preserve"> by the BMR regulation and – apart from the PAB and CTB - the BMR regulation currently imposes some lighter transparency requirements, which are not fully aligned with the SFDR disclosure requirements applying to the funds. </w:t>
      </w:r>
    </w:p>
    <w:p w14:paraId="438633BF" w14:textId="77777777" w:rsidR="00315491" w:rsidRPr="00315491" w:rsidRDefault="00315491" w:rsidP="00C465AE">
      <w:pPr>
        <w:pStyle w:val="ListParagraph"/>
        <w:numPr>
          <w:ilvl w:val="0"/>
          <w:numId w:val="42"/>
        </w:numPr>
        <w:spacing w:after="160" w:line="259" w:lineRule="auto"/>
        <w:ind w:left="567" w:hanging="425"/>
        <w:contextualSpacing w:val="0"/>
        <w:jc w:val="both"/>
        <w:rPr>
          <w:rFonts w:cs="Arial"/>
          <w:szCs w:val="20"/>
          <w:lang w:val="en-US"/>
        </w:rPr>
      </w:pPr>
      <w:r w:rsidRPr="00315491">
        <w:rPr>
          <w:rFonts w:cs="Arial"/>
          <w:szCs w:val="20"/>
          <w:lang w:val="en-US"/>
        </w:rPr>
        <w:t xml:space="preserve">The proposed guidelines apply to funds and fund managers, but neither to indexes nor benchmark administrators. </w:t>
      </w:r>
    </w:p>
    <w:p w14:paraId="0E7C1044" w14:textId="77777777" w:rsidR="00315491" w:rsidRPr="00315491" w:rsidRDefault="00315491" w:rsidP="00C465AE">
      <w:pPr>
        <w:pStyle w:val="ListParagraph"/>
        <w:numPr>
          <w:ilvl w:val="0"/>
          <w:numId w:val="42"/>
        </w:numPr>
        <w:spacing w:after="160" w:line="259" w:lineRule="auto"/>
        <w:ind w:left="567" w:hanging="425"/>
        <w:jc w:val="both"/>
        <w:rPr>
          <w:rFonts w:cs="Arial"/>
          <w:szCs w:val="20"/>
          <w:lang w:val="en-US"/>
        </w:rPr>
      </w:pPr>
      <w:r w:rsidRPr="00315491">
        <w:rPr>
          <w:rFonts w:cs="Arial"/>
          <w:szCs w:val="20"/>
          <w:lang w:val="en-US"/>
        </w:rPr>
        <w:t>Index funds/ ETFs as well as structured funds have particular features which exacerbate this issue :</w:t>
      </w:r>
    </w:p>
    <w:p w14:paraId="4888A711" w14:textId="77777777" w:rsidR="00315491" w:rsidRPr="00315491" w:rsidRDefault="00315491" w:rsidP="00315491">
      <w:pPr>
        <w:pStyle w:val="ListParagraph"/>
        <w:ind w:left="567"/>
        <w:jc w:val="both"/>
        <w:rPr>
          <w:rFonts w:cs="Arial"/>
          <w:szCs w:val="20"/>
          <w:lang w:val="en-US"/>
        </w:rPr>
      </w:pPr>
    </w:p>
    <w:p w14:paraId="3D7E1104" w14:textId="77777777" w:rsidR="00315491" w:rsidRPr="00315491" w:rsidRDefault="00315491" w:rsidP="00315491">
      <w:pPr>
        <w:pStyle w:val="ListParagraph"/>
        <w:ind w:left="426"/>
        <w:jc w:val="both"/>
        <w:rPr>
          <w:rFonts w:cs="Arial"/>
          <w:szCs w:val="20"/>
          <w:lang w:val="en-US"/>
        </w:rPr>
      </w:pPr>
      <w:r w:rsidRPr="00315491">
        <w:rPr>
          <w:rFonts w:cs="Arial"/>
          <w:b/>
          <w:szCs w:val="20"/>
          <w:u w:val="single"/>
          <w:lang w:val="en-US"/>
        </w:rPr>
        <w:t>Index fund:</w:t>
      </w:r>
      <w:r w:rsidRPr="00315491">
        <w:rPr>
          <w:rFonts w:cs="Arial"/>
          <w:szCs w:val="20"/>
          <w:lang w:val="en-US"/>
        </w:rPr>
        <w:t xml:space="preserve">  ETF/index fund managers are </w:t>
      </w:r>
      <w:r w:rsidRPr="00315491">
        <w:rPr>
          <w:rFonts w:cs="Arial"/>
          <w:szCs w:val="20"/>
          <w:u w:val="single"/>
          <w:lang w:val="en-US"/>
        </w:rPr>
        <w:t>obliged under index licensing terms to use the name of the index</w:t>
      </w:r>
      <w:r w:rsidRPr="00315491">
        <w:rPr>
          <w:rFonts w:cs="Arial"/>
          <w:szCs w:val="20"/>
          <w:lang w:val="en-US"/>
        </w:rPr>
        <w:t xml:space="preserve"> in the fund name, implying no flexibility by fund managers on the choice of the name of their fund. This makes it very difficult for the asset manager to change the name of a product… especially if the index is managed by a non-European entity or an index provider (for ex a stock exchange) for which delta one products are not considered as strategic products. In other words, index providers (being a global entity or not) are not bound (nor always interested from a business point a view) to comply with European regulations and there is little incentive to change the index name according to European constraints.</w:t>
      </w:r>
    </w:p>
    <w:p w14:paraId="285F9820" w14:textId="77777777" w:rsidR="00315491" w:rsidRPr="00315491" w:rsidRDefault="00315491" w:rsidP="00315491">
      <w:pPr>
        <w:pStyle w:val="ListParagraph"/>
        <w:ind w:left="426"/>
        <w:jc w:val="both"/>
        <w:rPr>
          <w:rFonts w:cs="Arial"/>
          <w:szCs w:val="20"/>
          <w:lang w:val="en-US"/>
        </w:rPr>
      </w:pPr>
    </w:p>
    <w:p w14:paraId="765BDD03" w14:textId="77777777" w:rsidR="00315491" w:rsidRPr="00315491" w:rsidRDefault="00315491" w:rsidP="00315491">
      <w:pPr>
        <w:pStyle w:val="ListParagraph"/>
        <w:ind w:left="426"/>
        <w:jc w:val="both"/>
        <w:rPr>
          <w:rFonts w:cs="Arial"/>
          <w:b/>
          <w:szCs w:val="20"/>
          <w:u w:val="single"/>
          <w:lang w:val="en-US"/>
        </w:rPr>
      </w:pPr>
      <w:r w:rsidRPr="00315491">
        <w:rPr>
          <w:rFonts w:cs="Arial"/>
          <w:b/>
          <w:szCs w:val="20"/>
          <w:u w:val="single"/>
          <w:lang w:val="en-US"/>
        </w:rPr>
        <w:t>Structured funds</w:t>
      </w:r>
      <w:r w:rsidRPr="00315491">
        <w:rPr>
          <w:rFonts w:cs="Arial"/>
          <w:b/>
          <w:szCs w:val="20"/>
          <w:lang w:val="en-US"/>
        </w:rPr>
        <w:t xml:space="preserve">: </w:t>
      </w:r>
      <w:r w:rsidRPr="00315491">
        <w:rPr>
          <w:rFonts w:cs="Arial"/>
          <w:szCs w:val="20"/>
          <w:lang w:val="en-US"/>
        </w:rPr>
        <w:t xml:space="preserve">When a formula fund offers indexation to an underlying index, the name of the fund must be able to reflect the reality and the theme of this exposure, otherwise the investor </w:t>
      </w:r>
      <w:proofErr w:type="gramStart"/>
      <w:r w:rsidRPr="00315491">
        <w:rPr>
          <w:rFonts w:cs="Arial"/>
          <w:szCs w:val="20"/>
          <w:lang w:val="en-US"/>
        </w:rPr>
        <w:t>may be misled</w:t>
      </w:r>
      <w:proofErr w:type="gramEnd"/>
      <w:r w:rsidRPr="00315491">
        <w:rPr>
          <w:rFonts w:cs="Arial"/>
          <w:szCs w:val="20"/>
          <w:lang w:val="en-US"/>
        </w:rPr>
        <w:t xml:space="preserve"> as to the economic exposure to which the fund is committed. </w:t>
      </w:r>
    </w:p>
    <w:p w14:paraId="400601E1" w14:textId="77777777" w:rsidR="00315491" w:rsidRPr="00315491" w:rsidRDefault="00315491" w:rsidP="00315491">
      <w:pPr>
        <w:pStyle w:val="CommentText"/>
        <w:jc w:val="both"/>
        <w:rPr>
          <w:rFonts w:cs="Arial"/>
          <w:lang w:val="en-US"/>
        </w:rPr>
      </w:pPr>
    </w:p>
    <w:p w14:paraId="3D3AB0AE" w14:textId="6617F45A" w:rsidR="00315491" w:rsidRPr="00315491" w:rsidRDefault="00315491" w:rsidP="00315491">
      <w:pPr>
        <w:pStyle w:val="CommentText"/>
        <w:jc w:val="both"/>
        <w:rPr>
          <w:rFonts w:cs="Arial"/>
          <w:lang w:val="en-US"/>
        </w:rPr>
      </w:pPr>
      <w:proofErr w:type="gramStart"/>
      <w:r w:rsidRPr="00315491">
        <w:rPr>
          <w:rFonts w:cs="Arial"/>
          <w:lang w:val="en-US"/>
        </w:rPr>
        <w:t>As a consequence</w:t>
      </w:r>
      <w:proofErr w:type="gramEnd"/>
      <w:r w:rsidRPr="00315491">
        <w:rPr>
          <w:rFonts w:cs="Arial"/>
          <w:lang w:val="en-US"/>
        </w:rPr>
        <w:t xml:space="preserve"> of the above:</w:t>
      </w:r>
    </w:p>
    <w:p w14:paraId="0F98CEF7" w14:textId="77777777" w:rsidR="00315491" w:rsidRPr="00315491" w:rsidRDefault="00315491" w:rsidP="00C465AE">
      <w:pPr>
        <w:pStyle w:val="CommentText"/>
        <w:numPr>
          <w:ilvl w:val="0"/>
          <w:numId w:val="47"/>
        </w:numPr>
        <w:spacing w:after="160"/>
        <w:jc w:val="both"/>
        <w:rPr>
          <w:rFonts w:cs="Arial"/>
          <w:lang w:val="en-US"/>
        </w:rPr>
      </w:pPr>
      <w:r w:rsidRPr="00315491">
        <w:rPr>
          <w:rFonts w:cs="Arial"/>
          <w:lang w:val="en-US"/>
        </w:rPr>
        <w:t xml:space="preserve">We call for the regulator to </w:t>
      </w:r>
      <w:r w:rsidRPr="00315491">
        <w:rPr>
          <w:rFonts w:cs="Arial"/>
          <w:b/>
          <w:lang w:val="en-US"/>
        </w:rPr>
        <w:t>urgently consider aligning the requirements</w:t>
      </w:r>
      <w:r w:rsidRPr="00315491">
        <w:rPr>
          <w:rFonts w:cs="Arial"/>
          <w:lang w:val="en-US"/>
        </w:rPr>
        <w:t xml:space="preserve"> set in the proposed guidelines and SFDR’s requirement thereof </w:t>
      </w:r>
      <w:r w:rsidRPr="00315491">
        <w:rPr>
          <w:rFonts w:cs="Arial"/>
          <w:b/>
          <w:lang w:val="en-US"/>
        </w:rPr>
        <w:t>to index providers</w:t>
      </w:r>
    </w:p>
    <w:p w14:paraId="7448A5B4" w14:textId="77777777" w:rsidR="00315491" w:rsidRPr="00315491" w:rsidRDefault="00315491" w:rsidP="00C465AE">
      <w:pPr>
        <w:pStyle w:val="CommentText"/>
        <w:numPr>
          <w:ilvl w:val="0"/>
          <w:numId w:val="47"/>
        </w:numPr>
        <w:spacing w:after="160"/>
        <w:jc w:val="both"/>
        <w:rPr>
          <w:rFonts w:cs="Arial"/>
          <w:lang w:val="en-US"/>
        </w:rPr>
      </w:pPr>
      <w:r w:rsidRPr="00315491">
        <w:rPr>
          <w:rFonts w:cs="Arial"/>
          <w:b/>
          <w:lang w:val="en-US"/>
        </w:rPr>
        <w:lastRenderedPageBreak/>
        <w:t>Until then</w:t>
      </w:r>
      <w:r w:rsidRPr="00315491">
        <w:rPr>
          <w:rFonts w:cs="Arial"/>
          <w:lang w:val="en-US"/>
        </w:rPr>
        <w:t xml:space="preserve">, index and structured funds should for the time being be granted a </w:t>
      </w:r>
      <w:r w:rsidRPr="00315491">
        <w:rPr>
          <w:rFonts w:cs="Arial"/>
          <w:b/>
          <w:lang w:val="en-US"/>
        </w:rPr>
        <w:t>temporary exemption</w:t>
      </w:r>
      <w:r w:rsidRPr="00315491">
        <w:rPr>
          <w:rFonts w:cs="Arial"/>
          <w:lang w:val="en-US"/>
        </w:rPr>
        <w:t xml:space="preserve"> to apply the proposed guidelines. It is indeed not imaginable that all index providers will apply strictly and voluntarily the naming rules to their products. </w:t>
      </w:r>
    </w:p>
    <w:p w14:paraId="00CF15FC" w14:textId="77777777" w:rsidR="00315491" w:rsidRPr="00315491" w:rsidRDefault="00315491" w:rsidP="00C465AE">
      <w:pPr>
        <w:pStyle w:val="CommentText"/>
        <w:numPr>
          <w:ilvl w:val="0"/>
          <w:numId w:val="47"/>
        </w:numPr>
        <w:spacing w:after="160"/>
        <w:jc w:val="both"/>
        <w:rPr>
          <w:rFonts w:cs="Arial"/>
          <w:lang w:val="en-US"/>
        </w:rPr>
      </w:pPr>
      <w:r w:rsidRPr="00315491">
        <w:rPr>
          <w:rFonts w:cs="Arial"/>
          <w:b/>
          <w:lang w:val="en-US"/>
        </w:rPr>
        <w:t>Existing structured funds</w:t>
      </w:r>
      <w:r w:rsidRPr="00315491">
        <w:rPr>
          <w:rFonts w:cs="Arial"/>
          <w:lang w:val="en-US"/>
        </w:rPr>
        <w:t xml:space="preserve"> should benefit from a </w:t>
      </w:r>
      <w:r w:rsidRPr="00315491">
        <w:rPr>
          <w:rFonts w:cs="Arial"/>
          <w:b/>
          <w:lang w:val="en-US"/>
        </w:rPr>
        <w:t>grandfathering</w:t>
      </w:r>
      <w:r w:rsidRPr="00315491">
        <w:rPr>
          <w:rFonts w:cs="Arial"/>
          <w:lang w:val="en-US"/>
        </w:rPr>
        <w:t xml:space="preserve"> clause as they </w:t>
      </w:r>
      <w:proofErr w:type="gramStart"/>
      <w:r w:rsidRPr="00315491">
        <w:rPr>
          <w:rFonts w:cs="Arial"/>
          <w:lang w:val="en-US"/>
        </w:rPr>
        <w:t>are closed</w:t>
      </w:r>
      <w:proofErr w:type="gramEnd"/>
      <w:r w:rsidRPr="00315491">
        <w:rPr>
          <w:rFonts w:cs="Arial"/>
          <w:lang w:val="en-US"/>
        </w:rPr>
        <w:t xml:space="preserve"> to subscriptions and changing the name before the maturity could be very confusing to the end investor.</w:t>
      </w:r>
    </w:p>
    <w:p w14:paraId="2BABA8E0" w14:textId="2D1E9AA6" w:rsidR="00B92885" w:rsidRPr="00315491" w:rsidRDefault="00315491" w:rsidP="00C465AE">
      <w:pPr>
        <w:pStyle w:val="CommentText"/>
        <w:numPr>
          <w:ilvl w:val="0"/>
          <w:numId w:val="47"/>
        </w:numPr>
        <w:spacing w:after="160"/>
        <w:jc w:val="both"/>
        <w:rPr>
          <w:rFonts w:cs="Arial"/>
          <w:color w:val="002060"/>
          <w:lang w:val="en-US"/>
        </w:rPr>
      </w:pPr>
      <w:proofErr w:type="gramStart"/>
      <w:r w:rsidRPr="00315491">
        <w:rPr>
          <w:rFonts w:cs="Arial"/>
          <w:lang w:val="en-US"/>
        </w:rPr>
        <w:t>Last but not least</w:t>
      </w:r>
      <w:proofErr w:type="gramEnd"/>
      <w:r w:rsidRPr="00315491">
        <w:rPr>
          <w:rFonts w:cs="Arial"/>
          <w:lang w:val="en-US"/>
        </w:rPr>
        <w:t xml:space="preserve">, EMSA should ensure with the other ESAs that there is </w:t>
      </w:r>
      <w:r w:rsidRPr="00315491">
        <w:rPr>
          <w:rFonts w:cs="Arial"/>
          <w:b/>
          <w:lang w:val="en-US"/>
        </w:rPr>
        <w:t>level playing field</w:t>
      </w:r>
      <w:r w:rsidRPr="00315491">
        <w:rPr>
          <w:rFonts w:cs="Arial"/>
          <w:lang w:val="en-US"/>
        </w:rPr>
        <w:t xml:space="preserve"> with other index or formula-based products that are not funds and that also target retail investors.</w:t>
      </w:r>
    </w:p>
    <w:permEnd w:id="650455330"/>
    <w:p w14:paraId="737A5FA8" w14:textId="77777777" w:rsidR="00B92885" w:rsidRDefault="00B92885" w:rsidP="00B92885">
      <w:r>
        <w:t>&lt;ESMA_QUESTION_FUNA_8&gt;</w:t>
      </w:r>
    </w:p>
    <w:p w14:paraId="38B4AF69" w14:textId="77777777" w:rsidR="00B92885" w:rsidRDefault="00B92885" w:rsidP="00B92885"/>
    <w:p w14:paraId="06BA20E5" w14:textId="77777777" w:rsidR="00B92885" w:rsidRDefault="00B92885" w:rsidP="00B92885">
      <w:pPr>
        <w:pStyle w:val="Questionstyle"/>
        <w:numPr>
          <w:ilvl w:val="0"/>
          <w:numId w:val="39"/>
        </w:numPr>
      </w:pPr>
      <w:r>
        <w:t xml:space="preserve">: </w:t>
      </w:r>
      <w:r w:rsidRPr="000B78F5">
        <w:t>Would you make a distinction between physical and synthetic replication, for example in relation to the collateral held, of an index?</w:t>
      </w:r>
    </w:p>
    <w:p w14:paraId="2D8CAB30" w14:textId="77777777" w:rsidR="00B92885" w:rsidRDefault="00B92885" w:rsidP="00B92885">
      <w:r>
        <w:t>&lt;ESMA_QUESTION_FUNA_9&gt;</w:t>
      </w:r>
    </w:p>
    <w:p w14:paraId="77AECF2B" w14:textId="040CE86B" w:rsidR="00315491" w:rsidRPr="00315491" w:rsidRDefault="0007456C" w:rsidP="00315491">
      <w:pPr>
        <w:jc w:val="both"/>
        <w:rPr>
          <w:rFonts w:cs="Arial"/>
          <w:szCs w:val="20"/>
          <w:lang w:val="en-US"/>
        </w:rPr>
      </w:pPr>
      <w:permStart w:id="1876589445" w:edGrp="everyone"/>
      <w:r>
        <w:rPr>
          <w:rFonts w:cs="Arial"/>
          <w:szCs w:val="20"/>
          <w:lang w:val="en-US"/>
        </w:rPr>
        <w:t xml:space="preserve">Response to Q9 - </w:t>
      </w:r>
      <w:r w:rsidR="00315491" w:rsidRPr="00315491">
        <w:rPr>
          <w:rFonts w:cs="Arial"/>
          <w:szCs w:val="20"/>
          <w:lang w:val="en-US"/>
        </w:rPr>
        <w:t xml:space="preserve">For funds replicating an “ESG” index/ reference benchmark with derivatives instruments (for instance through total return swaps), we consider that such synthetic “indirect” replication has the same effects, in terms of exposure, as the physical “direct” replication. In the synthetic replication, the portfolio held by the fund is swapped against the exposure of the portfolio held by the counterparty and unitholders bear the risk and opportunities linked to the exposure portfolio (i.e. the index), not the portfolio held by the fund. </w:t>
      </w:r>
    </w:p>
    <w:p w14:paraId="44B3A884" w14:textId="77777777" w:rsidR="00315491" w:rsidRPr="00315491" w:rsidRDefault="00315491" w:rsidP="00315491">
      <w:pPr>
        <w:rPr>
          <w:rFonts w:cs="Arial"/>
          <w:szCs w:val="20"/>
          <w:lang w:val="en-US"/>
        </w:rPr>
      </w:pPr>
    </w:p>
    <w:p w14:paraId="08901A8C" w14:textId="75AE8F12" w:rsidR="00B92885" w:rsidRPr="00315491" w:rsidRDefault="00315491" w:rsidP="00315491">
      <w:r w:rsidRPr="00315491">
        <w:rPr>
          <w:rFonts w:cs="Arial"/>
          <w:szCs w:val="20"/>
          <w:lang w:val="en-US"/>
        </w:rPr>
        <w:t xml:space="preserve">The portfolio held by the fund is improperly called “collateral” (the fund is the direct owner of these assets, so there is no notion of collateral applicable in this case). This so-called “collateral” follows the asset managers’ Responsible Investment policy (the policy may include different elements as legal exclusions, constraints on coal and fossil fuels linked to the asset manager’s policy, </w:t>
      </w:r>
      <w:proofErr w:type="gramStart"/>
      <w:r w:rsidRPr="00315491">
        <w:rPr>
          <w:rFonts w:cs="Arial"/>
          <w:szCs w:val="20"/>
          <w:lang w:val="en-US"/>
        </w:rPr>
        <w:t>sometimes minimal</w:t>
      </w:r>
      <w:proofErr w:type="gramEnd"/>
      <w:r w:rsidRPr="00315491">
        <w:rPr>
          <w:rFonts w:cs="Arial"/>
          <w:szCs w:val="20"/>
          <w:lang w:val="en-US"/>
        </w:rPr>
        <w:t xml:space="preserve"> ESG ratings).</w:t>
      </w:r>
    </w:p>
    <w:permEnd w:id="1876589445"/>
    <w:p w14:paraId="1B5712A0" w14:textId="77777777" w:rsidR="00B92885" w:rsidRDefault="00B92885" w:rsidP="00B92885">
      <w:r>
        <w:t>&lt;ESMA_QUESTION_FUNA_9&gt;</w:t>
      </w:r>
    </w:p>
    <w:p w14:paraId="76724C94" w14:textId="77777777" w:rsidR="00B92885" w:rsidRDefault="00B92885" w:rsidP="00B92885"/>
    <w:p w14:paraId="19F0BC69" w14:textId="77777777" w:rsidR="00B92885" w:rsidRDefault="00B92885" w:rsidP="00B92885">
      <w:pPr>
        <w:pStyle w:val="Questionstyle"/>
        <w:numPr>
          <w:ilvl w:val="0"/>
          <w:numId w:val="39"/>
        </w:numPr>
      </w:pPr>
      <w:r>
        <w:t xml:space="preserve">: </w:t>
      </w:r>
      <w:r w:rsidRPr="000B78F5">
        <w:t>Do you agree of having specific provisions for “impact” or impact-related names in these Guidelines</w:t>
      </w:r>
      <w:r w:rsidRPr="00391CB0">
        <w:t>?</w:t>
      </w:r>
      <w:r>
        <w:t xml:space="preserve"> </w:t>
      </w:r>
    </w:p>
    <w:p w14:paraId="4378B853" w14:textId="77777777" w:rsidR="00B92885" w:rsidRDefault="00B92885" w:rsidP="00B92885">
      <w:r>
        <w:t>&lt;ESMA_QUESTION_FUNA_10&gt;</w:t>
      </w:r>
    </w:p>
    <w:p w14:paraId="09441A21" w14:textId="35088944" w:rsidR="00B92885" w:rsidRPr="005E28FC" w:rsidRDefault="0007456C" w:rsidP="005E28FC">
      <w:pPr>
        <w:pStyle w:val="Default"/>
        <w:spacing w:after="175"/>
        <w:jc w:val="both"/>
        <w:rPr>
          <w:rFonts w:ascii="Arial" w:hAnsi="Arial" w:cs="Arial"/>
          <w:bCs/>
          <w:color w:val="auto"/>
          <w:sz w:val="20"/>
          <w:szCs w:val="20"/>
          <w:lang w:val="en-US"/>
        </w:rPr>
      </w:pPr>
      <w:permStart w:id="1992309739" w:edGrp="everyone"/>
      <w:r>
        <w:rPr>
          <w:rFonts w:ascii="Arial" w:hAnsi="Arial" w:cs="Arial"/>
          <w:bCs/>
          <w:color w:val="auto"/>
          <w:sz w:val="20"/>
          <w:szCs w:val="20"/>
          <w:lang w:val="en-US"/>
        </w:rPr>
        <w:t xml:space="preserve">Response to Q10 - </w:t>
      </w:r>
      <w:r w:rsidR="005E28FC" w:rsidRPr="005E28FC">
        <w:rPr>
          <w:rFonts w:ascii="Arial" w:hAnsi="Arial" w:cs="Arial"/>
          <w:bCs/>
          <w:color w:val="auto"/>
          <w:sz w:val="20"/>
          <w:szCs w:val="20"/>
          <w:lang w:val="en-US"/>
        </w:rPr>
        <w:t xml:space="preserve">Yes. On top of the naming rule prevailing for ESG and sustainable-related names, we suggest referring to the </w:t>
      </w:r>
      <w:proofErr w:type="gramStart"/>
      <w:r w:rsidR="005E28FC" w:rsidRPr="005E28FC">
        <w:rPr>
          <w:rFonts w:ascii="Arial" w:hAnsi="Arial" w:cs="Arial"/>
          <w:bCs/>
          <w:color w:val="auto"/>
          <w:sz w:val="20"/>
          <w:szCs w:val="20"/>
          <w:lang w:val="en-US"/>
        </w:rPr>
        <w:t>3</w:t>
      </w:r>
      <w:proofErr w:type="gramEnd"/>
      <w:r w:rsidR="005E28FC" w:rsidRPr="005E28FC">
        <w:rPr>
          <w:rFonts w:ascii="Arial" w:hAnsi="Arial" w:cs="Arial"/>
          <w:bCs/>
          <w:color w:val="auto"/>
          <w:sz w:val="20"/>
          <w:szCs w:val="20"/>
          <w:lang w:val="en-US"/>
        </w:rPr>
        <w:t xml:space="preserve"> following pillars: intentionality, </w:t>
      </w:r>
      <w:proofErr w:type="spellStart"/>
      <w:r w:rsidR="00C465AE">
        <w:rPr>
          <w:rFonts w:ascii="Arial" w:hAnsi="Arial" w:cs="Arial"/>
          <w:bCs/>
          <w:color w:val="auto"/>
          <w:sz w:val="20"/>
          <w:szCs w:val="20"/>
          <w:lang w:val="en-US"/>
        </w:rPr>
        <w:t>additionality</w:t>
      </w:r>
      <w:proofErr w:type="spellEnd"/>
      <w:r w:rsidR="00C465AE">
        <w:rPr>
          <w:rFonts w:ascii="Arial" w:hAnsi="Arial" w:cs="Arial"/>
          <w:bCs/>
          <w:color w:val="auto"/>
          <w:sz w:val="20"/>
          <w:szCs w:val="20"/>
          <w:lang w:val="en-US"/>
        </w:rPr>
        <w:t xml:space="preserve"> and measurability.</w:t>
      </w:r>
    </w:p>
    <w:permEnd w:id="1992309739"/>
    <w:p w14:paraId="14AB0C87" w14:textId="77777777" w:rsidR="00B92885" w:rsidRDefault="00B92885" w:rsidP="00B92885">
      <w:r>
        <w:t>&lt;ESMA_QUESTION_FUNA_10&gt;</w:t>
      </w:r>
    </w:p>
    <w:p w14:paraId="010C54CA" w14:textId="77777777" w:rsidR="00B92885" w:rsidRDefault="00B92885" w:rsidP="00B92885"/>
    <w:p w14:paraId="511D7045" w14:textId="77777777" w:rsidR="00B92885" w:rsidRDefault="00B92885" w:rsidP="00B92885">
      <w:pPr>
        <w:pStyle w:val="Questionstyle"/>
        <w:numPr>
          <w:ilvl w:val="0"/>
          <w:numId w:val="39"/>
        </w:numPr>
      </w:pPr>
      <w:r>
        <w:t xml:space="preserve">: </w:t>
      </w:r>
      <w:r w:rsidRPr="00EA2F1C">
        <w:t>Should there be specific provisions for “transition” or transition-related names in these Guidelines? If yes, what should they be?</w:t>
      </w:r>
    </w:p>
    <w:p w14:paraId="7168EB52" w14:textId="77777777" w:rsidR="00B92885" w:rsidRDefault="00B92885" w:rsidP="00B92885">
      <w:r>
        <w:t>&lt;ESMA_QUESTION_FUNA_11&gt;</w:t>
      </w:r>
    </w:p>
    <w:p w14:paraId="61188F70" w14:textId="17188FC6" w:rsidR="00B92885" w:rsidRPr="005E28FC" w:rsidRDefault="0007456C" w:rsidP="00B92885">
      <w:permStart w:id="1423966990" w:edGrp="everyone"/>
      <w:r>
        <w:rPr>
          <w:rFonts w:cs="Arial"/>
          <w:bCs/>
          <w:szCs w:val="20"/>
          <w:lang w:val="en-US"/>
        </w:rPr>
        <w:t xml:space="preserve">Response to Q11 - </w:t>
      </w:r>
      <w:r w:rsidR="005E28FC" w:rsidRPr="005E28FC">
        <w:rPr>
          <w:rFonts w:cs="Arial"/>
          <w:bCs/>
          <w:szCs w:val="20"/>
          <w:lang w:val="en-US"/>
        </w:rPr>
        <w:t xml:space="preserve">No. We believe that “transition-related” names </w:t>
      </w:r>
      <w:proofErr w:type="gramStart"/>
      <w:r w:rsidR="005E28FC" w:rsidRPr="005E28FC">
        <w:rPr>
          <w:rFonts w:cs="Arial"/>
          <w:bCs/>
          <w:szCs w:val="20"/>
          <w:lang w:val="en-US"/>
        </w:rPr>
        <w:t>should be covered</w:t>
      </w:r>
      <w:proofErr w:type="gramEnd"/>
      <w:r w:rsidR="005E28FC" w:rsidRPr="005E28FC">
        <w:rPr>
          <w:rFonts w:cs="Arial"/>
          <w:bCs/>
          <w:szCs w:val="20"/>
          <w:lang w:val="en-US"/>
        </w:rPr>
        <w:t xml:space="preserve"> by the same rules as “ESG-related” names.</w:t>
      </w:r>
    </w:p>
    <w:permEnd w:id="1423966990"/>
    <w:p w14:paraId="0643B633" w14:textId="77777777" w:rsidR="00B92885" w:rsidRDefault="00B92885" w:rsidP="00B92885">
      <w:r>
        <w:t>&lt;ESMA_QUESTION_FUNA_11&gt;</w:t>
      </w:r>
    </w:p>
    <w:p w14:paraId="6EB17554" w14:textId="77777777" w:rsidR="00B92885" w:rsidRDefault="00B92885" w:rsidP="00B92885"/>
    <w:p w14:paraId="28EEF733" w14:textId="77777777" w:rsidR="00B92885" w:rsidRDefault="00B92885" w:rsidP="00B92885">
      <w:pPr>
        <w:pStyle w:val="Questionstyle"/>
        <w:numPr>
          <w:ilvl w:val="0"/>
          <w:numId w:val="39"/>
        </w:numPr>
      </w:pPr>
      <w:r>
        <w:t>:</w:t>
      </w:r>
      <w:r w:rsidRPr="00EA2F1C">
        <w:t xml:space="preserve"> The proposals in this consultation paper relates to investment funds’ names in light of specific sectoral concerns. However, considering the SFDR disclosures apply also to other sectors, do you think that these proposals may have implications for other sectors and, if so, would you see merit in </w:t>
      </w:r>
      <w:r>
        <w:t>hav</w:t>
      </w:r>
      <w:r w:rsidRPr="00EA2F1C">
        <w:t>ing similar guidance for other financial products?</w:t>
      </w:r>
      <w:r>
        <w:t xml:space="preserve">   </w:t>
      </w:r>
    </w:p>
    <w:p w14:paraId="728E37B7" w14:textId="77777777" w:rsidR="00B92885" w:rsidRDefault="00B92885" w:rsidP="00B92885">
      <w:r>
        <w:t>&lt;ESMA_QUESTION_FUNA_12&gt;</w:t>
      </w:r>
    </w:p>
    <w:p w14:paraId="1AC836BC" w14:textId="0575E4DF" w:rsidR="005E28FC" w:rsidRPr="005E28FC" w:rsidRDefault="0007456C" w:rsidP="005E28FC">
      <w:pPr>
        <w:pStyle w:val="Default"/>
        <w:spacing w:after="173"/>
        <w:jc w:val="both"/>
        <w:rPr>
          <w:rFonts w:ascii="Arial" w:hAnsi="Arial" w:cs="Arial"/>
          <w:bCs/>
          <w:color w:val="auto"/>
          <w:sz w:val="20"/>
          <w:szCs w:val="20"/>
          <w:lang w:val="en-US"/>
        </w:rPr>
      </w:pPr>
      <w:permStart w:id="1434478937" w:edGrp="everyone"/>
      <w:r>
        <w:rPr>
          <w:rFonts w:ascii="Arial" w:hAnsi="Arial" w:cs="Arial"/>
          <w:bCs/>
          <w:color w:val="auto"/>
          <w:sz w:val="20"/>
          <w:szCs w:val="20"/>
          <w:lang w:val="en-US"/>
        </w:rPr>
        <w:lastRenderedPageBreak/>
        <w:t xml:space="preserve">Response to Q12 - </w:t>
      </w:r>
      <w:r w:rsidR="005E28FC" w:rsidRPr="005E28FC">
        <w:rPr>
          <w:rFonts w:ascii="Arial" w:hAnsi="Arial" w:cs="Arial"/>
          <w:bCs/>
          <w:color w:val="auto"/>
          <w:sz w:val="20"/>
          <w:szCs w:val="20"/>
          <w:lang w:val="en-US"/>
        </w:rPr>
        <w:t xml:space="preserve">As a general principle and for level playing field purposes, we believe that guidelines addressing investor protection and greenwashing issues should relate only to publicly offered financial products and instruments (green bonds, notes, derivatives, …). However: </w:t>
      </w:r>
    </w:p>
    <w:p w14:paraId="0DE893BB" w14:textId="77777777" w:rsidR="005E28FC" w:rsidRPr="005E28FC" w:rsidRDefault="005E28FC" w:rsidP="00C465AE">
      <w:pPr>
        <w:pStyle w:val="Default"/>
        <w:numPr>
          <w:ilvl w:val="0"/>
          <w:numId w:val="48"/>
        </w:numPr>
        <w:spacing w:after="173"/>
        <w:jc w:val="both"/>
        <w:rPr>
          <w:rFonts w:ascii="Arial" w:hAnsi="Arial" w:cs="Arial"/>
          <w:bCs/>
          <w:color w:val="auto"/>
          <w:sz w:val="20"/>
          <w:szCs w:val="20"/>
          <w:lang w:val="en-US"/>
        </w:rPr>
      </w:pPr>
      <w:r w:rsidRPr="005E28FC">
        <w:rPr>
          <w:rFonts w:ascii="Arial" w:hAnsi="Arial" w:cs="Arial"/>
          <w:bCs/>
          <w:color w:val="auto"/>
          <w:sz w:val="20"/>
          <w:szCs w:val="20"/>
          <w:lang w:val="en-US"/>
        </w:rPr>
        <w:t xml:space="preserve">As long as these guidelines </w:t>
      </w:r>
      <w:proofErr w:type="gramStart"/>
      <w:r w:rsidRPr="005E28FC">
        <w:rPr>
          <w:rFonts w:ascii="Arial" w:hAnsi="Arial" w:cs="Arial"/>
          <w:bCs/>
          <w:color w:val="auto"/>
          <w:sz w:val="20"/>
          <w:szCs w:val="20"/>
          <w:lang w:val="en-US"/>
        </w:rPr>
        <w:t>are not substantially amended</w:t>
      </w:r>
      <w:proofErr w:type="gramEnd"/>
      <w:r w:rsidRPr="005E28FC">
        <w:rPr>
          <w:rFonts w:ascii="Arial" w:hAnsi="Arial" w:cs="Arial"/>
          <w:bCs/>
          <w:color w:val="auto"/>
          <w:sz w:val="20"/>
          <w:szCs w:val="20"/>
          <w:lang w:val="en-US"/>
        </w:rPr>
        <w:t xml:space="preserve"> in line with our comments and proposals, it is essential to conduct a proper impact assessment before any extension to other products or instruments. </w:t>
      </w:r>
    </w:p>
    <w:p w14:paraId="2E7820B6" w14:textId="77777777" w:rsidR="005E28FC" w:rsidRPr="005E28FC" w:rsidRDefault="005E28FC" w:rsidP="00C465AE">
      <w:pPr>
        <w:pStyle w:val="Default"/>
        <w:numPr>
          <w:ilvl w:val="0"/>
          <w:numId w:val="48"/>
        </w:numPr>
        <w:spacing w:after="173"/>
        <w:jc w:val="both"/>
        <w:rPr>
          <w:rFonts w:ascii="Arial" w:hAnsi="Arial" w:cs="Arial"/>
          <w:bCs/>
          <w:color w:val="auto"/>
          <w:sz w:val="20"/>
          <w:szCs w:val="20"/>
          <w:lang w:val="en-US"/>
        </w:rPr>
      </w:pPr>
      <w:r w:rsidRPr="005E28FC">
        <w:rPr>
          <w:rFonts w:ascii="Arial" w:hAnsi="Arial" w:cs="Arial"/>
          <w:bCs/>
          <w:color w:val="auto"/>
          <w:sz w:val="20"/>
          <w:szCs w:val="20"/>
          <w:lang w:val="en-US"/>
        </w:rPr>
        <w:t xml:space="preserve">In addition, we do not foresee how certain principles of these guidelines </w:t>
      </w:r>
      <w:proofErr w:type="gramStart"/>
      <w:r w:rsidRPr="005E28FC">
        <w:rPr>
          <w:rFonts w:ascii="Arial" w:hAnsi="Arial" w:cs="Arial"/>
          <w:bCs/>
          <w:color w:val="auto"/>
          <w:sz w:val="20"/>
          <w:szCs w:val="20"/>
          <w:lang w:val="en-US"/>
        </w:rPr>
        <w:t>could be easily extended</w:t>
      </w:r>
      <w:proofErr w:type="gramEnd"/>
      <w:r w:rsidRPr="005E28FC">
        <w:rPr>
          <w:rFonts w:ascii="Arial" w:hAnsi="Arial" w:cs="Arial"/>
          <w:bCs/>
          <w:color w:val="auto"/>
          <w:sz w:val="20"/>
          <w:szCs w:val="20"/>
          <w:lang w:val="en-US"/>
        </w:rPr>
        <w:t xml:space="preserve"> to products/instruments subject to different regulations and contractual documentation. For instance, how can PAB exclusions properly apply to a gas company issuing a bond to finance solar plants? </w:t>
      </w:r>
    </w:p>
    <w:p w14:paraId="518BAD4C" w14:textId="77777777" w:rsidR="005E28FC" w:rsidRPr="005E28FC" w:rsidRDefault="005E28FC" w:rsidP="00C465AE">
      <w:pPr>
        <w:pStyle w:val="Default"/>
        <w:numPr>
          <w:ilvl w:val="0"/>
          <w:numId w:val="48"/>
        </w:numPr>
        <w:spacing w:after="173"/>
        <w:jc w:val="both"/>
        <w:rPr>
          <w:rFonts w:ascii="Arial" w:hAnsi="Arial" w:cs="Arial"/>
          <w:bCs/>
          <w:color w:val="auto"/>
          <w:sz w:val="20"/>
          <w:szCs w:val="20"/>
          <w:lang w:val="en-US"/>
        </w:rPr>
      </w:pPr>
      <w:r w:rsidRPr="005E28FC">
        <w:rPr>
          <w:rFonts w:ascii="Arial" w:hAnsi="Arial" w:cs="Arial"/>
          <w:bCs/>
          <w:color w:val="auto"/>
          <w:sz w:val="20"/>
          <w:szCs w:val="20"/>
          <w:lang w:val="en-US"/>
        </w:rPr>
        <w:t xml:space="preserve">It </w:t>
      </w:r>
      <w:proofErr w:type="gramStart"/>
      <w:r w:rsidRPr="005E28FC">
        <w:rPr>
          <w:rFonts w:ascii="Arial" w:hAnsi="Arial" w:cs="Arial"/>
          <w:bCs/>
          <w:color w:val="auto"/>
          <w:sz w:val="20"/>
          <w:szCs w:val="20"/>
          <w:lang w:val="en-US"/>
        </w:rPr>
        <w:t>should be clarified</w:t>
      </w:r>
      <w:proofErr w:type="gramEnd"/>
      <w:r w:rsidRPr="005E28FC">
        <w:rPr>
          <w:rFonts w:ascii="Arial" w:hAnsi="Arial" w:cs="Arial"/>
          <w:bCs/>
          <w:color w:val="auto"/>
          <w:sz w:val="20"/>
          <w:szCs w:val="20"/>
          <w:lang w:val="en-US"/>
        </w:rPr>
        <w:t xml:space="preserve"> that investment funds / products / instruments dedicated to professional investors upon their request and preferences should be out of scope of these guidelines.    </w:t>
      </w:r>
    </w:p>
    <w:p w14:paraId="54FC5FAA" w14:textId="6E2EFDD7" w:rsidR="00B92885" w:rsidRPr="005E28FC" w:rsidRDefault="005E28FC" w:rsidP="005E28FC">
      <w:r w:rsidRPr="005E28FC">
        <w:rPr>
          <w:rFonts w:cs="Arial"/>
          <w:bCs/>
          <w:szCs w:val="20"/>
          <w:lang w:val="en-US"/>
        </w:rPr>
        <w:t>As a conclusion, and as long as the current provisions of the guidelines remain unchanged, we do not think it is appropriate to extend them as they stand.</w:t>
      </w:r>
    </w:p>
    <w:permEnd w:id="1434478937"/>
    <w:p w14:paraId="70EEE415" w14:textId="77777777" w:rsidR="00B92885" w:rsidRDefault="00B92885" w:rsidP="00B92885">
      <w:r>
        <w:t>&lt;ESMA_QUESTION_FUNA_12&gt;</w:t>
      </w:r>
    </w:p>
    <w:p w14:paraId="17B0E5FA" w14:textId="77777777" w:rsidR="00B92885" w:rsidRDefault="00B92885" w:rsidP="00B92885"/>
    <w:p w14:paraId="78737478" w14:textId="77777777" w:rsidR="00B92885" w:rsidRDefault="00B92885" w:rsidP="00B92885">
      <w:pPr>
        <w:pStyle w:val="Questionstyle"/>
        <w:numPr>
          <w:ilvl w:val="0"/>
          <w:numId w:val="39"/>
        </w:numPr>
      </w:pPr>
      <w:r>
        <w:t xml:space="preserve">: </w:t>
      </w:r>
      <w:r w:rsidRPr="00EA2F1C">
        <w:t>Do you agree with having a transitional period of 6 months from the date of the application of the Guidelines for existing funds? If not, please explain why and provide an alternative proposal.</w:t>
      </w:r>
    </w:p>
    <w:p w14:paraId="004818D5" w14:textId="77777777" w:rsidR="00B92885" w:rsidRDefault="00B92885" w:rsidP="00B92885">
      <w:r>
        <w:t>&lt;ESMA_QUESTION_FUNA_13&gt;</w:t>
      </w:r>
    </w:p>
    <w:p w14:paraId="3E7A18B1" w14:textId="72E899D8" w:rsidR="005E28FC" w:rsidRPr="005E28FC" w:rsidRDefault="0007456C" w:rsidP="005E28FC">
      <w:pPr>
        <w:pStyle w:val="Default"/>
        <w:jc w:val="both"/>
        <w:rPr>
          <w:rFonts w:ascii="Arial" w:hAnsi="Arial" w:cs="Arial"/>
          <w:bCs/>
          <w:color w:val="auto"/>
          <w:sz w:val="20"/>
          <w:szCs w:val="20"/>
          <w:lang w:val="en-US"/>
        </w:rPr>
      </w:pPr>
      <w:permStart w:id="489244833" w:edGrp="everyone"/>
      <w:r>
        <w:rPr>
          <w:rFonts w:ascii="Arial" w:hAnsi="Arial" w:cs="Arial"/>
          <w:bCs/>
          <w:color w:val="auto"/>
          <w:sz w:val="20"/>
          <w:szCs w:val="20"/>
          <w:lang w:val="en-US"/>
        </w:rPr>
        <w:t xml:space="preserve">Response to Q13 </w:t>
      </w:r>
      <w:proofErr w:type="gramStart"/>
      <w:r>
        <w:rPr>
          <w:rFonts w:ascii="Arial" w:hAnsi="Arial" w:cs="Arial"/>
          <w:bCs/>
          <w:color w:val="auto"/>
          <w:sz w:val="20"/>
          <w:szCs w:val="20"/>
          <w:lang w:val="en-US"/>
        </w:rPr>
        <w:t xml:space="preserve">-  </w:t>
      </w:r>
      <w:r w:rsidR="005E28FC" w:rsidRPr="005E28FC">
        <w:rPr>
          <w:rFonts w:ascii="Arial" w:hAnsi="Arial" w:cs="Arial"/>
          <w:bCs/>
          <w:color w:val="auto"/>
          <w:sz w:val="20"/>
          <w:szCs w:val="20"/>
          <w:lang w:val="en-US"/>
        </w:rPr>
        <w:t>A</w:t>
      </w:r>
      <w:proofErr w:type="gramEnd"/>
      <w:r w:rsidR="005E28FC" w:rsidRPr="005E28FC">
        <w:rPr>
          <w:rFonts w:ascii="Arial" w:hAnsi="Arial" w:cs="Arial"/>
          <w:bCs/>
          <w:color w:val="auto"/>
          <w:sz w:val="20"/>
          <w:szCs w:val="20"/>
          <w:lang w:val="en-US"/>
        </w:rPr>
        <w:t xml:space="preserve"> 6-month transitional period is too short and </w:t>
      </w:r>
      <w:r w:rsidR="005E28FC" w:rsidRPr="005E28FC">
        <w:rPr>
          <w:rFonts w:ascii="Arial" w:hAnsi="Arial" w:cs="Arial"/>
          <w:b/>
          <w:bCs/>
          <w:color w:val="auto"/>
          <w:sz w:val="20"/>
          <w:szCs w:val="20"/>
          <w:lang w:val="en-US"/>
        </w:rPr>
        <w:t>should be extended to at least one year, ideally 18 months</w:t>
      </w:r>
      <w:r w:rsidR="005E28FC" w:rsidRPr="005E28FC">
        <w:rPr>
          <w:rFonts w:ascii="Arial" w:hAnsi="Arial" w:cs="Arial"/>
          <w:bCs/>
          <w:color w:val="auto"/>
          <w:sz w:val="20"/>
          <w:szCs w:val="20"/>
          <w:lang w:val="en-US"/>
        </w:rPr>
        <w:t xml:space="preserve">. </w:t>
      </w:r>
    </w:p>
    <w:p w14:paraId="72058320" w14:textId="77777777" w:rsidR="005E28FC" w:rsidRDefault="005E28FC" w:rsidP="005E28FC">
      <w:pPr>
        <w:pStyle w:val="Default"/>
        <w:spacing w:after="120"/>
        <w:jc w:val="both"/>
        <w:rPr>
          <w:rFonts w:ascii="Arial" w:hAnsi="Arial" w:cs="Arial"/>
          <w:bCs/>
          <w:color w:val="auto"/>
          <w:sz w:val="20"/>
          <w:szCs w:val="20"/>
          <w:lang w:val="en-US"/>
        </w:rPr>
      </w:pPr>
    </w:p>
    <w:p w14:paraId="6D121A29" w14:textId="67BDA8E7" w:rsidR="005E28FC" w:rsidRPr="005E28FC" w:rsidRDefault="005E28FC" w:rsidP="005E28FC">
      <w:pPr>
        <w:pStyle w:val="Default"/>
        <w:spacing w:after="120"/>
        <w:jc w:val="both"/>
        <w:rPr>
          <w:rFonts w:ascii="Arial" w:hAnsi="Arial" w:cs="Arial"/>
          <w:bCs/>
          <w:color w:val="auto"/>
          <w:sz w:val="20"/>
          <w:szCs w:val="20"/>
          <w:lang w:val="en-US"/>
        </w:rPr>
      </w:pPr>
      <w:r w:rsidRPr="005E28FC">
        <w:rPr>
          <w:rFonts w:ascii="Arial" w:hAnsi="Arial" w:cs="Arial"/>
          <w:bCs/>
          <w:color w:val="auto"/>
          <w:sz w:val="20"/>
          <w:szCs w:val="20"/>
          <w:lang w:val="en-US"/>
        </w:rPr>
        <w:t xml:space="preserve">6 months do not take into account the fundamental nature of the reshaping that may need to occur for an impacted fund. </w:t>
      </w:r>
    </w:p>
    <w:p w14:paraId="6A828B42" w14:textId="77777777" w:rsidR="005E28FC" w:rsidRPr="005E28FC" w:rsidRDefault="005E28FC" w:rsidP="005E28FC">
      <w:pPr>
        <w:pStyle w:val="Default"/>
        <w:spacing w:after="120"/>
        <w:jc w:val="both"/>
        <w:rPr>
          <w:rFonts w:ascii="Arial" w:hAnsi="Arial" w:cs="Arial"/>
          <w:bCs/>
          <w:color w:val="auto"/>
          <w:sz w:val="20"/>
          <w:szCs w:val="20"/>
          <w:lang w:val="en-US"/>
        </w:rPr>
      </w:pPr>
      <w:r w:rsidRPr="005E28FC">
        <w:rPr>
          <w:rFonts w:ascii="Arial" w:hAnsi="Arial" w:cs="Arial"/>
          <w:bCs/>
          <w:color w:val="auto"/>
          <w:sz w:val="20"/>
          <w:szCs w:val="20"/>
          <w:lang w:val="en-US"/>
        </w:rPr>
        <w:t xml:space="preserve">As an illustration: this could involve a name change or a product redesign, portfolio restructuring, adjusting the strategy, incl. the distribution strategy for the fund, </w:t>
      </w:r>
      <w:proofErr w:type="spellStart"/>
      <w:r w:rsidRPr="005E28FC">
        <w:rPr>
          <w:rFonts w:ascii="Arial" w:hAnsi="Arial" w:cs="Arial"/>
          <w:bCs/>
          <w:color w:val="auto"/>
          <w:sz w:val="20"/>
          <w:szCs w:val="20"/>
          <w:lang w:val="en-US"/>
        </w:rPr>
        <w:t>etc</w:t>
      </w:r>
      <w:proofErr w:type="spellEnd"/>
      <w:r w:rsidRPr="005E28FC">
        <w:rPr>
          <w:rFonts w:ascii="Arial" w:hAnsi="Arial" w:cs="Arial"/>
          <w:bCs/>
          <w:color w:val="auto"/>
          <w:sz w:val="20"/>
          <w:szCs w:val="20"/>
          <w:lang w:val="en-US"/>
        </w:rPr>
        <w:t xml:space="preserve"> .After this reshaping </w:t>
      </w:r>
      <w:proofErr w:type="gramStart"/>
      <w:r w:rsidRPr="005E28FC">
        <w:rPr>
          <w:rFonts w:ascii="Arial" w:hAnsi="Arial" w:cs="Arial"/>
          <w:bCs/>
          <w:color w:val="auto"/>
          <w:sz w:val="20"/>
          <w:szCs w:val="20"/>
          <w:lang w:val="en-US"/>
        </w:rPr>
        <w:t>has been done</w:t>
      </w:r>
      <w:proofErr w:type="gramEnd"/>
      <w:r w:rsidRPr="005E28FC">
        <w:rPr>
          <w:rFonts w:ascii="Arial" w:hAnsi="Arial" w:cs="Arial"/>
          <w:bCs/>
          <w:color w:val="auto"/>
          <w:sz w:val="20"/>
          <w:szCs w:val="20"/>
          <w:lang w:val="en-US"/>
        </w:rPr>
        <w:t>, it will need filing and approval with the local NCA. In the case of umbrella funds, this may only be possible as part of a scheduled refiling of the whole umbrella – otherwise investors may be exposed to unreasonable costs. Such re-filings typically only occur at scheduled frequencies – ad hoc filings increase cost – further lengthening the timeline for the introduction of these types of fundamental change. Then, depending on the countries of registration of the fund (outside the EU), registrations extend the timeline for the introduction of material changes/EGM’s/unitholder notice requirements</w:t>
      </w:r>
      <w:proofErr w:type="gramStart"/>
      <w:r w:rsidRPr="005E28FC">
        <w:rPr>
          <w:rFonts w:ascii="Arial" w:hAnsi="Arial" w:cs="Arial"/>
          <w:bCs/>
          <w:color w:val="auto"/>
          <w:sz w:val="20"/>
          <w:szCs w:val="20"/>
          <w:lang w:val="en-US"/>
        </w:rPr>
        <w:t>,…</w:t>
      </w:r>
      <w:proofErr w:type="gramEnd"/>
      <w:r w:rsidRPr="005E28FC">
        <w:rPr>
          <w:rFonts w:ascii="Arial" w:hAnsi="Arial" w:cs="Arial"/>
          <w:bCs/>
          <w:color w:val="auto"/>
          <w:sz w:val="20"/>
          <w:szCs w:val="20"/>
          <w:lang w:val="en-US"/>
        </w:rPr>
        <w:t xml:space="preserve"> The overall timeline can easily extend to one year.  </w:t>
      </w:r>
    </w:p>
    <w:p w14:paraId="2D254044" w14:textId="77777777" w:rsidR="005E28FC" w:rsidRPr="005E28FC" w:rsidRDefault="005E28FC" w:rsidP="005E28FC">
      <w:pPr>
        <w:pStyle w:val="Default"/>
        <w:spacing w:after="120"/>
        <w:jc w:val="both"/>
        <w:rPr>
          <w:rFonts w:ascii="Arial" w:hAnsi="Arial" w:cs="Arial"/>
          <w:bCs/>
          <w:color w:val="auto"/>
          <w:sz w:val="20"/>
          <w:szCs w:val="20"/>
          <w:lang w:val="en-US"/>
        </w:rPr>
      </w:pPr>
      <w:proofErr w:type="gramStart"/>
      <w:r w:rsidRPr="005E28FC">
        <w:rPr>
          <w:rFonts w:ascii="Arial" w:hAnsi="Arial" w:cs="Arial"/>
          <w:bCs/>
          <w:color w:val="auto"/>
          <w:sz w:val="20"/>
          <w:szCs w:val="20"/>
          <w:u w:val="single"/>
          <w:lang w:val="en-US"/>
        </w:rPr>
        <w:t>Also</w:t>
      </w:r>
      <w:proofErr w:type="gramEnd"/>
      <w:r w:rsidRPr="005E28FC">
        <w:rPr>
          <w:rFonts w:ascii="Arial" w:hAnsi="Arial" w:cs="Arial"/>
          <w:bCs/>
          <w:color w:val="auto"/>
          <w:sz w:val="20"/>
          <w:szCs w:val="20"/>
          <w:u w:val="single"/>
          <w:lang w:val="en-US"/>
        </w:rPr>
        <w:t>, should the EC clarify “sustainable investment”</w:t>
      </w:r>
      <w:r w:rsidRPr="005E28FC">
        <w:rPr>
          <w:rFonts w:ascii="Arial" w:hAnsi="Arial" w:cs="Arial"/>
          <w:bCs/>
          <w:color w:val="auto"/>
          <w:sz w:val="20"/>
          <w:szCs w:val="20"/>
          <w:lang w:val="en-US"/>
        </w:rPr>
        <w:t xml:space="preserve">, it could involve additional implementation time by the industry and/or bottleneck situations which would advocate for an additional extension of the period of application. </w:t>
      </w:r>
    </w:p>
    <w:p w14:paraId="68ED52F5" w14:textId="4FAD7A0B" w:rsidR="00B92885" w:rsidRPr="005E28FC" w:rsidRDefault="005E28FC" w:rsidP="005E28FC">
      <w:pPr>
        <w:pStyle w:val="Default"/>
        <w:spacing w:after="120"/>
        <w:jc w:val="both"/>
        <w:rPr>
          <w:rFonts w:ascii="Arial" w:hAnsi="Arial" w:cs="Arial"/>
          <w:bCs/>
          <w:color w:val="auto"/>
          <w:sz w:val="20"/>
          <w:szCs w:val="20"/>
          <w:lang w:val="en-US"/>
        </w:rPr>
      </w:pPr>
      <w:r w:rsidRPr="005E28FC">
        <w:rPr>
          <w:rFonts w:ascii="Arial" w:hAnsi="Arial" w:cs="Arial"/>
          <w:bCs/>
          <w:color w:val="auto"/>
          <w:sz w:val="20"/>
          <w:szCs w:val="20"/>
          <w:u w:val="single"/>
          <w:lang w:val="en-US"/>
        </w:rPr>
        <w:t>Lastly,</w:t>
      </w:r>
      <w:r>
        <w:rPr>
          <w:rFonts w:ascii="Arial" w:hAnsi="Arial" w:cs="Arial"/>
          <w:bCs/>
          <w:color w:val="auto"/>
          <w:sz w:val="20"/>
          <w:szCs w:val="20"/>
          <w:u w:val="single"/>
          <w:lang w:val="en-US"/>
        </w:rPr>
        <w:t xml:space="preserve"> on top of the above mentioned process,</w:t>
      </w:r>
      <w:r w:rsidRPr="005E28FC">
        <w:rPr>
          <w:rFonts w:ascii="Arial" w:hAnsi="Arial" w:cs="Arial"/>
          <w:bCs/>
          <w:color w:val="auto"/>
          <w:sz w:val="20"/>
          <w:szCs w:val="20"/>
          <w:u w:val="single"/>
          <w:lang w:val="en-US"/>
        </w:rPr>
        <w:t xml:space="preserve"> funds using ESG benchmarks</w:t>
      </w:r>
      <w:r w:rsidRPr="005E28FC">
        <w:rPr>
          <w:rFonts w:ascii="Arial" w:hAnsi="Arial" w:cs="Arial"/>
          <w:bCs/>
          <w:color w:val="auto"/>
          <w:sz w:val="20"/>
          <w:szCs w:val="20"/>
          <w:lang w:val="en-US"/>
        </w:rPr>
        <w:t xml:space="preserve"> would </w:t>
      </w:r>
      <w:r>
        <w:rPr>
          <w:rFonts w:ascii="Arial" w:hAnsi="Arial" w:cs="Arial"/>
          <w:bCs/>
          <w:color w:val="auto"/>
          <w:sz w:val="20"/>
          <w:szCs w:val="20"/>
          <w:lang w:val="en-US"/>
        </w:rPr>
        <w:t>be subject to</w:t>
      </w:r>
      <w:r w:rsidRPr="005E28FC">
        <w:rPr>
          <w:rFonts w:ascii="Arial" w:hAnsi="Arial" w:cs="Arial"/>
          <w:bCs/>
          <w:color w:val="auto"/>
          <w:sz w:val="20"/>
          <w:szCs w:val="20"/>
          <w:lang w:val="en-US"/>
        </w:rPr>
        <w:t xml:space="preserve"> an additional step: the adaptation of the ESG index at the index provider </w:t>
      </w:r>
      <w:proofErr w:type="gramStart"/>
      <w:r w:rsidRPr="005E28FC">
        <w:rPr>
          <w:rFonts w:ascii="Arial" w:hAnsi="Arial" w:cs="Arial"/>
          <w:bCs/>
          <w:color w:val="auto"/>
          <w:sz w:val="20"/>
          <w:szCs w:val="20"/>
          <w:lang w:val="en-US"/>
        </w:rPr>
        <w:t>level  (</w:t>
      </w:r>
      <w:proofErr w:type="gramEnd"/>
      <w:r w:rsidRPr="005E28FC">
        <w:rPr>
          <w:rFonts w:ascii="Arial" w:hAnsi="Arial" w:cs="Arial"/>
          <w:bCs/>
          <w:color w:val="auto"/>
          <w:sz w:val="20"/>
          <w:szCs w:val="20"/>
          <w:lang w:val="en-US"/>
        </w:rPr>
        <w:t>this can add several months based on our experience).</w:t>
      </w:r>
    </w:p>
    <w:permEnd w:id="489244833"/>
    <w:p w14:paraId="739467F4" w14:textId="77777777" w:rsidR="00B92885" w:rsidRDefault="00B92885" w:rsidP="00B92885">
      <w:r>
        <w:t>&lt;ESMA_QUESTION_FUNA_13&gt;</w:t>
      </w:r>
    </w:p>
    <w:p w14:paraId="1F64F9E6" w14:textId="77777777" w:rsidR="00B92885" w:rsidRDefault="00B92885" w:rsidP="00B92885"/>
    <w:p w14:paraId="7FD3A293" w14:textId="77777777" w:rsidR="00B92885" w:rsidRDefault="00B92885" w:rsidP="00B92885">
      <w:pPr>
        <w:pStyle w:val="Questionstyle"/>
        <w:numPr>
          <w:ilvl w:val="0"/>
          <w:numId w:val="39"/>
        </w:numPr>
      </w:pPr>
      <w:r>
        <w:t xml:space="preserve">: </w:t>
      </w:r>
      <w:r w:rsidRPr="00EA2F1C">
        <w:t>Should the naming-related provisions be extended to closed-ended funds which have terminated their subscription period before the application date of the Guidelines? If not, please explain your answer.</w:t>
      </w:r>
    </w:p>
    <w:p w14:paraId="7510E02E" w14:textId="77777777" w:rsidR="00B92885" w:rsidRDefault="00B92885" w:rsidP="00B92885">
      <w:r>
        <w:t>&lt;ESMA_QUESTION_FUNA_14&gt;</w:t>
      </w:r>
    </w:p>
    <w:p w14:paraId="627B0347" w14:textId="67F6666F" w:rsidR="005E28FC" w:rsidRPr="00C465AE" w:rsidRDefault="0007456C" w:rsidP="005E28FC">
      <w:pPr>
        <w:pStyle w:val="Default"/>
        <w:spacing w:after="173"/>
        <w:jc w:val="both"/>
        <w:rPr>
          <w:rFonts w:ascii="Arial" w:hAnsi="Arial" w:cs="Arial"/>
          <w:bCs/>
          <w:color w:val="auto"/>
          <w:sz w:val="20"/>
          <w:szCs w:val="20"/>
          <w:lang w:val="en-US"/>
        </w:rPr>
      </w:pPr>
      <w:permStart w:id="1766353355" w:edGrp="everyone"/>
      <w:r>
        <w:rPr>
          <w:rFonts w:ascii="Arial" w:hAnsi="Arial" w:cs="Arial"/>
          <w:bCs/>
          <w:color w:val="auto"/>
          <w:sz w:val="20"/>
          <w:szCs w:val="20"/>
          <w:lang w:val="en-US"/>
        </w:rPr>
        <w:t xml:space="preserve">Response to Q14 - </w:t>
      </w:r>
      <w:r w:rsidR="005E28FC" w:rsidRPr="00C465AE">
        <w:rPr>
          <w:rFonts w:ascii="Arial" w:hAnsi="Arial" w:cs="Arial"/>
          <w:bCs/>
          <w:color w:val="auto"/>
          <w:sz w:val="20"/>
          <w:szCs w:val="20"/>
          <w:lang w:val="en-US"/>
        </w:rPr>
        <w:t xml:space="preserve">We understand from ESMA’s open hearing held on January </w:t>
      </w:r>
      <w:proofErr w:type="gramStart"/>
      <w:r w:rsidR="005E28FC" w:rsidRPr="00C465AE">
        <w:rPr>
          <w:rFonts w:ascii="Arial" w:hAnsi="Arial" w:cs="Arial"/>
          <w:bCs/>
          <w:color w:val="auto"/>
          <w:sz w:val="20"/>
          <w:szCs w:val="20"/>
          <w:lang w:val="en-US"/>
        </w:rPr>
        <w:t>23rd</w:t>
      </w:r>
      <w:proofErr w:type="gramEnd"/>
      <w:r w:rsidR="005E28FC" w:rsidRPr="00C465AE">
        <w:rPr>
          <w:rFonts w:ascii="Arial" w:hAnsi="Arial" w:cs="Arial"/>
          <w:bCs/>
          <w:color w:val="auto"/>
          <w:sz w:val="20"/>
          <w:szCs w:val="20"/>
          <w:lang w:val="en-US"/>
        </w:rPr>
        <w:t xml:space="preserve"> that the question is relative to funds closed for subscriptions.</w:t>
      </w:r>
    </w:p>
    <w:p w14:paraId="2439A38C" w14:textId="77777777" w:rsidR="005E28FC" w:rsidRPr="00C465AE" w:rsidRDefault="005E28FC" w:rsidP="005E28FC">
      <w:pPr>
        <w:pStyle w:val="Default"/>
        <w:spacing w:after="173"/>
        <w:jc w:val="both"/>
        <w:rPr>
          <w:rFonts w:ascii="Arial" w:hAnsi="Arial" w:cs="Arial"/>
          <w:bCs/>
          <w:color w:val="auto"/>
          <w:sz w:val="20"/>
          <w:szCs w:val="20"/>
          <w:lang w:val="en-US"/>
        </w:rPr>
      </w:pPr>
      <w:r w:rsidRPr="00C465AE">
        <w:rPr>
          <w:rFonts w:ascii="Arial" w:hAnsi="Arial" w:cs="Arial"/>
          <w:bCs/>
          <w:color w:val="auto"/>
          <w:sz w:val="20"/>
          <w:szCs w:val="20"/>
          <w:lang w:val="en-US"/>
        </w:rPr>
        <w:lastRenderedPageBreak/>
        <w:t xml:space="preserve">In such a case, it is not necessary to extend these naming-related </w:t>
      </w:r>
      <w:proofErr w:type="gramStart"/>
      <w:r w:rsidRPr="00C465AE">
        <w:rPr>
          <w:rFonts w:ascii="Arial" w:hAnsi="Arial" w:cs="Arial"/>
          <w:bCs/>
          <w:color w:val="auto"/>
          <w:sz w:val="20"/>
          <w:szCs w:val="20"/>
          <w:lang w:val="en-US"/>
        </w:rPr>
        <w:t>provisions</w:t>
      </w:r>
      <w:proofErr w:type="gramEnd"/>
      <w:r w:rsidRPr="00C465AE">
        <w:rPr>
          <w:rFonts w:ascii="Arial" w:hAnsi="Arial" w:cs="Arial"/>
          <w:bCs/>
          <w:color w:val="auto"/>
          <w:sz w:val="20"/>
          <w:szCs w:val="20"/>
          <w:lang w:val="en-US"/>
        </w:rPr>
        <w:t xml:space="preserve"> as there will be no new subscriptions. The name of the fund </w:t>
      </w:r>
      <w:proofErr w:type="gramStart"/>
      <w:r w:rsidRPr="00C465AE">
        <w:rPr>
          <w:rFonts w:ascii="Arial" w:hAnsi="Arial" w:cs="Arial"/>
          <w:bCs/>
          <w:color w:val="auto"/>
          <w:sz w:val="20"/>
          <w:szCs w:val="20"/>
          <w:lang w:val="en-US"/>
        </w:rPr>
        <w:t>is no longer used</w:t>
      </w:r>
      <w:proofErr w:type="gramEnd"/>
      <w:r w:rsidRPr="00C465AE">
        <w:rPr>
          <w:rFonts w:ascii="Arial" w:hAnsi="Arial" w:cs="Arial"/>
          <w:bCs/>
          <w:color w:val="auto"/>
          <w:sz w:val="20"/>
          <w:szCs w:val="20"/>
          <w:lang w:val="en-US"/>
        </w:rPr>
        <w:t xml:space="preserve"> for “marketing or promotion” communication. Changing the name would be costly and useless.</w:t>
      </w:r>
    </w:p>
    <w:p w14:paraId="23752B71" w14:textId="001ADF84" w:rsidR="00B92885" w:rsidRDefault="005E28FC" w:rsidP="005E28FC">
      <w:r w:rsidRPr="00C465AE">
        <w:rPr>
          <w:rFonts w:cs="Arial"/>
          <w:bCs/>
          <w:szCs w:val="20"/>
          <w:lang w:val="en-US"/>
        </w:rPr>
        <w:t>This would also be in line with the May 2022 SFDR Q&amp;A from the European Commission that indicates that “where a financial product is no longer made available to end investors”, such products must comply with requirements regarding “periodic report” and “websites disclosure” but not with pre-contractual requirements</w:t>
      </w:r>
      <w:r w:rsidR="00C465AE">
        <w:rPr>
          <w:rFonts w:cs="Arial"/>
          <w:bCs/>
          <w:color w:val="002060"/>
          <w:szCs w:val="20"/>
          <w:lang w:val="en-US"/>
        </w:rPr>
        <w:t>.</w:t>
      </w:r>
    </w:p>
    <w:permEnd w:id="1766353355"/>
    <w:p w14:paraId="611042B9" w14:textId="77777777" w:rsidR="00B92885" w:rsidRDefault="00B92885" w:rsidP="00B92885">
      <w:r>
        <w:t>&lt;ESMA_QUESTION_FUNA_14&gt;</w:t>
      </w:r>
    </w:p>
    <w:p w14:paraId="47DCA7A5" w14:textId="77777777" w:rsidR="00B92885" w:rsidRDefault="00B92885" w:rsidP="00B92885"/>
    <w:p w14:paraId="7718491E" w14:textId="77777777" w:rsidR="00B92885" w:rsidRDefault="00B92885" w:rsidP="00B92885">
      <w:pPr>
        <w:pStyle w:val="Questionstyle"/>
        <w:numPr>
          <w:ilvl w:val="0"/>
          <w:numId w:val="39"/>
        </w:numPr>
      </w:pPr>
      <w:r>
        <w:t xml:space="preserve">: </w:t>
      </w:r>
      <w:r w:rsidRPr="00D5777E">
        <w:t>What is the anticipated impact from the introduction of the proposed Guidelines?</w:t>
      </w:r>
    </w:p>
    <w:p w14:paraId="79B9FE7A" w14:textId="77777777" w:rsidR="00B92885" w:rsidRDefault="00B92885" w:rsidP="00B92885">
      <w:r>
        <w:t>&lt;ESMA_QUESTION_FUNA_15&gt;</w:t>
      </w:r>
    </w:p>
    <w:p w14:paraId="4085763E" w14:textId="61467841" w:rsidR="00C465AE" w:rsidRPr="00182BAA" w:rsidRDefault="0007456C" w:rsidP="00C465AE">
      <w:pPr>
        <w:spacing w:after="120"/>
        <w:jc w:val="both"/>
        <w:rPr>
          <w:rFonts w:cs="Arial"/>
          <w:szCs w:val="20"/>
        </w:rPr>
      </w:pPr>
      <w:permStart w:id="929254269" w:edGrp="everyone"/>
      <w:r>
        <w:rPr>
          <w:rFonts w:cs="Arial"/>
          <w:szCs w:val="20"/>
        </w:rPr>
        <w:t xml:space="preserve">Response to Q15 - </w:t>
      </w:r>
      <w:r w:rsidR="00C465AE" w:rsidRPr="00182BAA">
        <w:rPr>
          <w:rFonts w:cs="Arial"/>
          <w:szCs w:val="20"/>
        </w:rPr>
        <w:t xml:space="preserve">The laudable intention of these guidelines is to set common rules across the EU to protect retail investors from misleading </w:t>
      </w:r>
      <w:proofErr w:type="gramStart"/>
      <w:r w:rsidR="00C465AE" w:rsidRPr="00182BAA">
        <w:rPr>
          <w:rFonts w:cs="Arial"/>
          <w:szCs w:val="20"/>
        </w:rPr>
        <w:t>information/greenwashing and ensure trust in the market</w:t>
      </w:r>
      <w:proofErr w:type="gramEnd"/>
      <w:r w:rsidR="00C465AE" w:rsidRPr="00182BAA">
        <w:rPr>
          <w:rFonts w:cs="Arial"/>
          <w:szCs w:val="20"/>
        </w:rPr>
        <w:t xml:space="preserve"> and drive capital flows to a more sustainable economy. </w:t>
      </w:r>
    </w:p>
    <w:p w14:paraId="5B1607C2" w14:textId="33479563" w:rsidR="00C465AE" w:rsidRPr="00182BAA" w:rsidRDefault="00C465AE" w:rsidP="00C465AE">
      <w:pPr>
        <w:spacing w:after="120"/>
        <w:jc w:val="both"/>
        <w:rPr>
          <w:rFonts w:cs="Arial"/>
          <w:szCs w:val="20"/>
        </w:rPr>
      </w:pPr>
      <w:r w:rsidRPr="00182BAA">
        <w:rPr>
          <w:rFonts w:cs="Arial"/>
          <w:szCs w:val="20"/>
        </w:rPr>
        <w:t xml:space="preserve">However, </w:t>
      </w:r>
      <w:r w:rsidRPr="00182BAA">
        <w:rPr>
          <w:rFonts w:cs="Arial"/>
          <w:szCs w:val="20"/>
          <w:u w:val="single"/>
        </w:rPr>
        <w:t xml:space="preserve">if these guidelines </w:t>
      </w:r>
      <w:proofErr w:type="gramStart"/>
      <w:r w:rsidRPr="00182BAA">
        <w:rPr>
          <w:rFonts w:cs="Arial"/>
          <w:szCs w:val="20"/>
          <w:u w:val="single"/>
        </w:rPr>
        <w:t>are adopted</w:t>
      </w:r>
      <w:proofErr w:type="gramEnd"/>
      <w:r w:rsidRPr="00182BAA">
        <w:rPr>
          <w:rFonts w:cs="Arial"/>
          <w:szCs w:val="20"/>
          <w:u w:val="single"/>
        </w:rPr>
        <w:t xml:space="preserve"> as such, and until the lack of clarity and the inconsistencies in light of SFDR’s review and other regulatory initiatives are not addressed</w:t>
      </w:r>
      <w:r w:rsidRPr="00182BAA">
        <w:rPr>
          <w:rFonts w:cs="Arial"/>
          <w:szCs w:val="20"/>
        </w:rPr>
        <w:t>, we fear they could have the opposite effect:</w:t>
      </w:r>
    </w:p>
    <w:p w14:paraId="77347224" w14:textId="77777777" w:rsidR="00C465AE" w:rsidRPr="00182BAA" w:rsidRDefault="00C465AE" w:rsidP="00C465AE">
      <w:pPr>
        <w:pStyle w:val="ListParagraph"/>
        <w:numPr>
          <w:ilvl w:val="0"/>
          <w:numId w:val="49"/>
        </w:numPr>
        <w:spacing w:after="120" w:line="259" w:lineRule="auto"/>
        <w:contextualSpacing w:val="0"/>
        <w:jc w:val="both"/>
        <w:rPr>
          <w:rFonts w:cs="Arial"/>
          <w:szCs w:val="20"/>
        </w:rPr>
      </w:pPr>
      <w:r w:rsidRPr="00182BAA">
        <w:rPr>
          <w:rFonts w:cs="Arial"/>
          <w:szCs w:val="20"/>
        </w:rPr>
        <w:t>amplified greenwashing risks and legal uncertainties due to the lack of clarity and definitions</w:t>
      </w:r>
    </w:p>
    <w:p w14:paraId="320BD906" w14:textId="77777777" w:rsidR="00C465AE" w:rsidRPr="00182BAA" w:rsidRDefault="00C465AE" w:rsidP="00C465AE">
      <w:pPr>
        <w:pStyle w:val="ListParagraph"/>
        <w:numPr>
          <w:ilvl w:val="0"/>
          <w:numId w:val="49"/>
        </w:numPr>
        <w:spacing w:after="120" w:line="259" w:lineRule="auto"/>
        <w:contextualSpacing w:val="0"/>
        <w:jc w:val="both"/>
        <w:rPr>
          <w:rFonts w:cs="Arial"/>
          <w:szCs w:val="20"/>
        </w:rPr>
      </w:pPr>
      <w:r w:rsidRPr="00182BAA">
        <w:rPr>
          <w:rFonts w:cs="Arial"/>
          <w:szCs w:val="20"/>
        </w:rPr>
        <w:t xml:space="preserve">important level playing field / market fragmentation issues </w:t>
      </w:r>
    </w:p>
    <w:p w14:paraId="0B917E18" w14:textId="77777777" w:rsidR="00C465AE" w:rsidRPr="00182BAA" w:rsidRDefault="00C465AE" w:rsidP="00C465AE">
      <w:pPr>
        <w:pStyle w:val="ListParagraph"/>
        <w:numPr>
          <w:ilvl w:val="0"/>
          <w:numId w:val="50"/>
        </w:numPr>
        <w:spacing w:after="120" w:line="259" w:lineRule="auto"/>
        <w:ind w:left="1418" w:hanging="567"/>
        <w:contextualSpacing w:val="0"/>
        <w:jc w:val="both"/>
        <w:rPr>
          <w:rFonts w:cs="Arial"/>
          <w:szCs w:val="20"/>
        </w:rPr>
      </w:pPr>
      <w:r w:rsidRPr="00182BAA">
        <w:rPr>
          <w:rFonts w:cs="Arial"/>
          <w:b/>
          <w:szCs w:val="20"/>
        </w:rPr>
        <w:t>inapplicability to retail ETF/Index fund</w:t>
      </w:r>
      <w:r w:rsidRPr="00182BAA">
        <w:rPr>
          <w:rFonts w:cs="Arial"/>
          <w:szCs w:val="20"/>
        </w:rPr>
        <w:t xml:space="preserve"> naming considering benchmark administrators are not covered by SFDR and the guidelines</w:t>
      </w:r>
    </w:p>
    <w:p w14:paraId="679F1A0F" w14:textId="77777777" w:rsidR="00C465AE" w:rsidRPr="00182BAA" w:rsidRDefault="00C465AE" w:rsidP="00C465AE">
      <w:pPr>
        <w:pStyle w:val="ListParagraph"/>
        <w:numPr>
          <w:ilvl w:val="0"/>
          <w:numId w:val="50"/>
        </w:numPr>
        <w:spacing w:after="120" w:line="259" w:lineRule="auto"/>
        <w:ind w:left="1418" w:hanging="567"/>
        <w:contextualSpacing w:val="0"/>
        <w:jc w:val="both"/>
        <w:rPr>
          <w:rFonts w:cs="Arial"/>
          <w:szCs w:val="20"/>
        </w:rPr>
      </w:pPr>
      <w:r w:rsidRPr="00182BAA">
        <w:rPr>
          <w:rFonts w:cs="Arial"/>
          <w:szCs w:val="20"/>
        </w:rPr>
        <w:t xml:space="preserve">due to the unstable context and SFDR’s review to come, NCAs may continue to </w:t>
      </w:r>
      <w:r w:rsidRPr="00182BAA">
        <w:rPr>
          <w:rFonts w:cs="Arial"/>
          <w:b/>
          <w:szCs w:val="20"/>
        </w:rPr>
        <w:t>apply local rules in parallel to ESMA guidelines</w:t>
      </w:r>
      <w:r w:rsidRPr="00182BAA">
        <w:rPr>
          <w:rFonts w:cs="Arial"/>
          <w:szCs w:val="20"/>
        </w:rPr>
        <w:t xml:space="preserve"> </w:t>
      </w:r>
    </w:p>
    <w:p w14:paraId="5DB7AC41" w14:textId="77777777" w:rsidR="00C465AE" w:rsidRPr="00182BAA" w:rsidRDefault="00C465AE" w:rsidP="00C465AE">
      <w:pPr>
        <w:pStyle w:val="ListParagraph"/>
        <w:numPr>
          <w:ilvl w:val="0"/>
          <w:numId w:val="49"/>
        </w:numPr>
        <w:spacing w:after="120" w:line="259" w:lineRule="auto"/>
        <w:contextualSpacing w:val="0"/>
        <w:jc w:val="both"/>
        <w:rPr>
          <w:rFonts w:cs="Arial"/>
          <w:szCs w:val="20"/>
        </w:rPr>
      </w:pPr>
      <w:r w:rsidRPr="00182BAA">
        <w:rPr>
          <w:rFonts w:cs="Arial"/>
          <w:b/>
          <w:szCs w:val="20"/>
        </w:rPr>
        <w:t>inappropriate calibrations</w:t>
      </w:r>
      <w:r w:rsidRPr="00182BAA">
        <w:rPr>
          <w:rFonts w:cs="Arial"/>
          <w:szCs w:val="20"/>
        </w:rPr>
        <w:t xml:space="preserve"> (e.g. PAB minimum safeguards, lack of definition resulting in thresholds which can be disconnected from the real economy,…) penalise legitimate strategies</w:t>
      </w:r>
    </w:p>
    <w:p w14:paraId="35C42316" w14:textId="77777777" w:rsidR="00182BAA" w:rsidRPr="00182BAA" w:rsidRDefault="00C465AE" w:rsidP="00C465AE">
      <w:pPr>
        <w:pStyle w:val="ListParagraph"/>
        <w:numPr>
          <w:ilvl w:val="0"/>
          <w:numId w:val="49"/>
        </w:numPr>
        <w:spacing w:after="120" w:line="259" w:lineRule="auto"/>
        <w:contextualSpacing w:val="0"/>
        <w:jc w:val="both"/>
        <w:rPr>
          <w:rFonts w:cs="Arial"/>
          <w:szCs w:val="20"/>
        </w:rPr>
      </w:pPr>
      <w:r w:rsidRPr="00182BAA">
        <w:rPr>
          <w:rFonts w:cs="Arial"/>
          <w:szCs w:val="20"/>
        </w:rPr>
        <w:t xml:space="preserve">lack of regulatory consistency (“cart before the horse” effect) </w:t>
      </w:r>
      <w:r w:rsidRPr="00182BAA">
        <w:rPr>
          <w:rFonts w:cs="Arial"/>
          <w:b/>
          <w:szCs w:val="20"/>
        </w:rPr>
        <w:t>with increased confusion at end investors if current initiatives to assess SFDR finally lead to different rules than the guidelines, with a second batch of changes in fund names and strategies on the market (and associated costs)</w:t>
      </w:r>
    </w:p>
    <w:p w14:paraId="6F6494D0" w14:textId="623C137A" w:rsidR="00B92885" w:rsidRPr="00182BAA" w:rsidRDefault="00C465AE" w:rsidP="00C465AE">
      <w:pPr>
        <w:pStyle w:val="ListParagraph"/>
        <w:numPr>
          <w:ilvl w:val="0"/>
          <w:numId w:val="49"/>
        </w:numPr>
        <w:spacing w:after="120" w:line="259" w:lineRule="auto"/>
        <w:contextualSpacing w:val="0"/>
        <w:jc w:val="both"/>
        <w:rPr>
          <w:rFonts w:cs="Arial"/>
          <w:szCs w:val="20"/>
        </w:rPr>
      </w:pPr>
      <w:r w:rsidRPr="00182BAA">
        <w:rPr>
          <w:rFonts w:cs="Arial"/>
          <w:szCs w:val="20"/>
        </w:rPr>
        <w:t xml:space="preserve">risk of confusion of the end investor around the </w:t>
      </w:r>
      <w:r w:rsidRPr="00182BAA">
        <w:rPr>
          <w:rFonts w:cs="Arial"/>
          <w:b/>
          <w:szCs w:val="20"/>
        </w:rPr>
        <w:t>“sustainable concept</w:t>
      </w:r>
      <w:r w:rsidRPr="00182BAA">
        <w:rPr>
          <w:rFonts w:cs="Arial"/>
          <w:szCs w:val="20"/>
        </w:rPr>
        <w:t>” (mismatch between MiFID preferences and the fund naming rule)</w:t>
      </w:r>
    </w:p>
    <w:permEnd w:id="929254269"/>
    <w:p w14:paraId="00ADF191" w14:textId="77777777" w:rsidR="00B92885" w:rsidRDefault="00B92885" w:rsidP="00B92885">
      <w:r>
        <w:t>&lt;ESMA_QUESTION_FUNA_15&gt;</w:t>
      </w:r>
    </w:p>
    <w:p w14:paraId="2C1900D9" w14:textId="77777777" w:rsidR="00B92885" w:rsidRDefault="00B92885" w:rsidP="00B92885"/>
    <w:p w14:paraId="56424F03" w14:textId="77777777" w:rsidR="00B92885" w:rsidRPr="00C24402" w:rsidRDefault="00B92885" w:rsidP="00B92885">
      <w:pPr>
        <w:pStyle w:val="Questionstyle"/>
        <w:numPr>
          <w:ilvl w:val="0"/>
          <w:numId w:val="39"/>
        </w:numPr>
      </w:pPr>
      <w:r>
        <w:t xml:space="preserve">: </w:t>
      </w:r>
      <w:r w:rsidRPr="00D5777E">
        <w:t>What additional costs and benefits would compliance with the proposed Guidelines bring to the stakeholder(s) you represent? Please provide quantitative figures, where available.</w:t>
      </w:r>
      <w:r w:rsidRPr="00C24402">
        <w:t xml:space="preserve"> </w:t>
      </w:r>
    </w:p>
    <w:p w14:paraId="48DE04B0" w14:textId="77777777" w:rsidR="00B92885" w:rsidRDefault="00B92885" w:rsidP="00B92885">
      <w:r>
        <w:t>&lt;ESMA_QUESTION_FUNA_16&gt;</w:t>
      </w:r>
    </w:p>
    <w:p w14:paraId="5CBDCD5A" w14:textId="5149E898" w:rsidR="00C465AE" w:rsidRPr="00182BAA" w:rsidRDefault="0007456C" w:rsidP="00C465AE">
      <w:pPr>
        <w:pStyle w:val="Default"/>
        <w:jc w:val="both"/>
        <w:rPr>
          <w:rFonts w:ascii="Arial" w:hAnsi="Arial" w:cs="Arial"/>
          <w:color w:val="auto"/>
          <w:sz w:val="20"/>
          <w:szCs w:val="20"/>
          <w:lang w:val="en-GB"/>
        </w:rPr>
      </w:pPr>
      <w:permStart w:id="878708964" w:edGrp="everyone"/>
      <w:r>
        <w:rPr>
          <w:rFonts w:ascii="Arial" w:hAnsi="Arial" w:cs="Arial"/>
          <w:color w:val="auto"/>
          <w:sz w:val="20"/>
          <w:szCs w:val="20"/>
          <w:lang w:val="en-GB"/>
        </w:rPr>
        <w:t xml:space="preserve">Response to Q16 - </w:t>
      </w:r>
      <w:r w:rsidR="00C465AE" w:rsidRPr="00182BAA">
        <w:rPr>
          <w:rFonts w:ascii="Arial" w:hAnsi="Arial" w:cs="Arial"/>
          <w:color w:val="auto"/>
          <w:sz w:val="20"/>
          <w:szCs w:val="20"/>
          <w:lang w:val="en-GB"/>
        </w:rPr>
        <w:t xml:space="preserve">Costs and benefits are very dependent upon how the alternative proposals and the factors detailed in </w:t>
      </w:r>
      <w:r w:rsidR="009F3D30">
        <w:rPr>
          <w:rFonts w:ascii="Arial" w:hAnsi="Arial" w:cs="Arial"/>
          <w:color w:val="auto"/>
          <w:sz w:val="20"/>
          <w:szCs w:val="20"/>
          <w:lang w:val="en-GB"/>
        </w:rPr>
        <w:t xml:space="preserve">our response to </w:t>
      </w:r>
      <w:r w:rsidR="00C465AE" w:rsidRPr="00182BAA">
        <w:rPr>
          <w:rFonts w:ascii="Arial" w:hAnsi="Arial" w:cs="Arial"/>
          <w:color w:val="auto"/>
          <w:sz w:val="20"/>
          <w:szCs w:val="20"/>
          <w:lang w:val="en-GB"/>
        </w:rPr>
        <w:t xml:space="preserve">Q13 and Q15 </w:t>
      </w:r>
      <w:proofErr w:type="gramStart"/>
      <w:r w:rsidR="00C465AE" w:rsidRPr="00182BAA">
        <w:rPr>
          <w:rFonts w:ascii="Arial" w:hAnsi="Arial" w:cs="Arial"/>
          <w:color w:val="auto"/>
          <w:sz w:val="20"/>
          <w:szCs w:val="20"/>
          <w:lang w:val="en-GB"/>
        </w:rPr>
        <w:t>will be addressed</w:t>
      </w:r>
      <w:proofErr w:type="gramEnd"/>
      <w:r w:rsidR="00C465AE" w:rsidRPr="00182BAA">
        <w:rPr>
          <w:rFonts w:ascii="Arial" w:hAnsi="Arial" w:cs="Arial"/>
          <w:color w:val="auto"/>
          <w:sz w:val="20"/>
          <w:szCs w:val="20"/>
          <w:lang w:val="en-GB"/>
        </w:rPr>
        <w:t xml:space="preserve"> in establishing final guidelines.</w:t>
      </w:r>
    </w:p>
    <w:p w14:paraId="787BDBAB" w14:textId="77777777" w:rsidR="00C465AE" w:rsidRPr="00182BAA" w:rsidRDefault="00C465AE" w:rsidP="00C465AE">
      <w:pPr>
        <w:pStyle w:val="Default"/>
        <w:jc w:val="both"/>
        <w:rPr>
          <w:rFonts w:ascii="Arial" w:hAnsi="Arial" w:cs="Arial"/>
          <w:color w:val="auto"/>
          <w:sz w:val="20"/>
          <w:szCs w:val="20"/>
          <w:lang w:val="en-GB"/>
        </w:rPr>
      </w:pPr>
    </w:p>
    <w:p w14:paraId="0866A6F6" w14:textId="46289F48" w:rsidR="00B92885" w:rsidRPr="00182BAA" w:rsidRDefault="00C465AE" w:rsidP="00C465AE">
      <w:pPr>
        <w:rPr>
          <w:rFonts w:cs="Arial"/>
        </w:rPr>
      </w:pPr>
      <w:r w:rsidRPr="00182BAA">
        <w:rPr>
          <w:rFonts w:cs="Arial"/>
          <w:b/>
          <w:szCs w:val="20"/>
        </w:rPr>
        <w:t>The regulatory consistency and timing issues raised by the guidelines, if not solved ahead of their publication, could have very detrimental impacts</w:t>
      </w:r>
      <w:r w:rsidRPr="00182BAA">
        <w:rPr>
          <w:rFonts w:cs="Arial"/>
          <w:szCs w:val="20"/>
        </w:rPr>
        <w:t>, not only by adding costs linked to overlapping layers of regulations, but also confusion and risks that would be counterproductive.</w:t>
      </w:r>
    </w:p>
    <w:permEnd w:id="878708964"/>
    <w:p w14:paraId="651FE8BB" w14:textId="77777777" w:rsidR="00B92885" w:rsidRDefault="00B92885" w:rsidP="00B92885">
      <w:r>
        <w:t>&lt;ESMA_QUESTION_FUNA_16&gt;</w:t>
      </w:r>
    </w:p>
    <w:p w14:paraId="6D8E7793" w14:textId="14304513" w:rsidR="00F87897" w:rsidRDefault="00F87897" w:rsidP="00B92885">
      <w:pPr>
        <w:pStyle w:val="Questionstyle"/>
        <w:numPr>
          <w:ilvl w:val="0"/>
          <w:numId w:val="39"/>
        </w:numPr>
        <w:rPr>
          <w:rFonts w:cstheme="minorBidi"/>
          <w:b w:val="0"/>
          <w:sz w:val="22"/>
          <w:lang w:eastAsia="en-US"/>
        </w:rPr>
      </w:pPr>
    </w:p>
    <w:sectPr w:rsidR="00F87897" w:rsidSect="00A8728B">
      <w:headerReference w:type="even" r:id="rId20"/>
      <w:headerReference w:type="first" r:id="rId21"/>
      <w:footerReference w:type="first" r:id="rId22"/>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FBCC69" w14:textId="77777777" w:rsidR="00027EEB" w:rsidRDefault="00027EEB">
      <w:r>
        <w:separator/>
      </w:r>
    </w:p>
    <w:p w14:paraId="5DDDA9E4" w14:textId="77777777" w:rsidR="00027EEB" w:rsidRDefault="00027EEB"/>
  </w:endnote>
  <w:endnote w:type="continuationSeparator" w:id="0">
    <w:p w14:paraId="669BAB8A" w14:textId="77777777" w:rsidR="00027EEB" w:rsidRDefault="00027EEB">
      <w:r>
        <w:continuationSeparator/>
      </w:r>
    </w:p>
    <w:p w14:paraId="7D10BF9F" w14:textId="77777777" w:rsidR="00027EEB" w:rsidRDefault="00027EEB"/>
  </w:endnote>
  <w:endnote w:type="continuationNotice" w:id="1">
    <w:p w14:paraId="7C72917A" w14:textId="77777777" w:rsidR="00027EEB" w:rsidRDefault="00027E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mbr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53825C" w14:textId="77777777" w:rsidR="00D02CC3" w:rsidRDefault="00D02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616B9B" w14:paraId="313FAE1A" w14:textId="77777777" w:rsidTr="00315E96">
      <w:trPr>
        <w:trHeight w:val="284"/>
      </w:trPr>
      <w:tc>
        <w:tcPr>
          <w:tcW w:w="8460" w:type="dxa"/>
        </w:tcPr>
        <w:p w14:paraId="0BEF8BC6" w14:textId="77777777" w:rsidR="00267551" w:rsidRPr="00315E96" w:rsidRDefault="00267551" w:rsidP="00315E96">
          <w:pPr>
            <w:pStyle w:val="00Footer"/>
            <w:rPr>
              <w:lang w:val="fr-FR"/>
            </w:rPr>
          </w:pPr>
        </w:p>
      </w:tc>
      <w:tc>
        <w:tcPr>
          <w:tcW w:w="952" w:type="dxa"/>
        </w:tcPr>
        <w:p w14:paraId="7FD1DE07" w14:textId="3EF9175E" w:rsidR="00267551" w:rsidRPr="00616B9B" w:rsidRDefault="00267551"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9F3D30">
            <w:rPr>
              <w:rFonts w:cs="Arial"/>
              <w:noProof/>
              <w:sz w:val="22"/>
              <w:szCs w:val="22"/>
            </w:rPr>
            <w:t>14</w:t>
          </w:r>
          <w:r w:rsidRPr="00616B9B">
            <w:rPr>
              <w:rFonts w:cs="Arial"/>
              <w:noProof/>
              <w:sz w:val="22"/>
              <w:szCs w:val="22"/>
            </w:rPr>
            <w:fldChar w:fldCharType="end"/>
          </w:r>
        </w:p>
      </w:tc>
    </w:tr>
  </w:tbl>
  <w:p w14:paraId="7306E326" w14:textId="77777777" w:rsidR="00267551" w:rsidRDefault="00267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475726" w14:textId="4CF051A6" w:rsidR="00267551" w:rsidRDefault="00267551" w:rsidP="00B92885">
    <w:pPr>
      <w:pStyle w:val="Footer"/>
      <w:tabs>
        <w:tab w:val="clear" w:pos="4536"/>
        <w:tab w:val="clear" w:pos="9072"/>
        <w:tab w:val="left" w:pos="8227"/>
        <w:tab w:val="right" w:pos="9412"/>
      </w:tabs>
    </w:pPr>
    <w:r>
      <w:tab/>
    </w:r>
    <w:r w:rsidR="00B92885">
      <w:tab/>
    </w:r>
  </w:p>
  <w:p w14:paraId="3A793707" w14:textId="084F8123" w:rsidR="00B92885" w:rsidRDefault="00B92885" w:rsidP="00B92885">
    <w:pPr>
      <w:pStyle w:val="Footer"/>
      <w:tabs>
        <w:tab w:val="clear" w:pos="4536"/>
        <w:tab w:val="clear" w:pos="9072"/>
        <w:tab w:val="left" w:pos="8227"/>
        <w:tab w:val="right" w:pos="9412"/>
      </w:tabs>
    </w:pPr>
    <w:r>
      <w:tab/>
    </w:r>
    <w:r>
      <w:tab/>
    </w:r>
    <w:r>
      <w:tab/>
    </w:r>
  </w:p>
  <w:p w14:paraId="6D19C66C" w14:textId="10DE0B9B" w:rsidR="00B92885" w:rsidRDefault="00B92885" w:rsidP="00B92885">
    <w:pPr>
      <w:pStyle w:val="Footer"/>
      <w:tabs>
        <w:tab w:val="clear" w:pos="4536"/>
        <w:tab w:val="clear" w:pos="9072"/>
        <w:tab w:val="left" w:pos="8227"/>
        <w:tab w:val="right" w:pos="9412"/>
      </w:tabs>
    </w:pP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822F5" w14:textId="77777777" w:rsidR="00267551" w:rsidRDefault="00267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C4D776" w14:textId="77777777" w:rsidR="00027EEB" w:rsidRDefault="00027EEB">
      <w:r>
        <w:separator/>
      </w:r>
    </w:p>
    <w:p w14:paraId="4E8AA966" w14:textId="77777777" w:rsidR="00027EEB" w:rsidRDefault="00027EEB"/>
  </w:footnote>
  <w:footnote w:type="continuationSeparator" w:id="0">
    <w:p w14:paraId="457E26AD" w14:textId="77777777" w:rsidR="00027EEB" w:rsidRDefault="00027EEB">
      <w:r>
        <w:continuationSeparator/>
      </w:r>
    </w:p>
    <w:p w14:paraId="139EA58C" w14:textId="77777777" w:rsidR="00027EEB" w:rsidRDefault="00027EEB"/>
  </w:footnote>
  <w:footnote w:type="continuationNotice" w:id="1">
    <w:p w14:paraId="1C504C77" w14:textId="77777777" w:rsidR="00027EEB" w:rsidRDefault="00027EEB"/>
  </w:footnote>
  <w:footnote w:id="2">
    <w:p w14:paraId="76FA61C6" w14:textId="77777777" w:rsidR="0019388A" w:rsidRPr="0050664B" w:rsidRDefault="0019388A" w:rsidP="0019388A">
      <w:pPr>
        <w:pStyle w:val="FootnoteText"/>
        <w:rPr>
          <w:lang w:val="en-US"/>
        </w:rPr>
      </w:pPr>
      <w:r>
        <w:rPr>
          <w:rStyle w:val="FootnoteReference"/>
        </w:rPr>
        <w:footnoteRef/>
      </w:r>
      <w:r w:rsidRPr="0050664B">
        <w:rPr>
          <w:lang w:val="en-US"/>
        </w:rPr>
        <w:t xml:space="preserve"> ESA’s list of additional SFDR queries requiring the interpretation of Union law – 9 September 2022</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DADA88" w14:textId="77777777" w:rsidR="00D02CC3" w:rsidRDefault="00D02C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47985" w14:textId="77777777" w:rsidR="00267551" w:rsidRDefault="00267551">
    <w:pPr>
      <w:pStyle w:val="Header"/>
    </w:pPr>
    <w:r>
      <w:rPr>
        <w:noProof/>
        <w:lang w:val="fr-FR" w:eastAsia="fr-FR"/>
      </w:rPr>
      <w:drawing>
        <wp:anchor distT="0" distB="0" distL="114300" distR="114300" simplePos="0" relativeHeight="251658243" behindDoc="0" locked="0" layoutInCell="1" allowOverlap="1" wp14:anchorId="3805F143" wp14:editId="57057423">
          <wp:simplePos x="0" y="0"/>
          <wp:positionH relativeFrom="page">
            <wp:posOffset>791845</wp:posOffset>
          </wp:positionH>
          <wp:positionV relativeFrom="page">
            <wp:posOffset>612140</wp:posOffset>
          </wp:positionV>
          <wp:extent cx="561975" cy="561975"/>
          <wp:effectExtent l="0" t="0" r="9525" b="9525"/>
          <wp:wrapNone/>
          <wp:docPr id="5"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mc:AlternateContent>
        <mc:Choice Requires="wps">
          <w:drawing>
            <wp:anchor distT="0" distB="0" distL="114295" distR="114295" simplePos="0" relativeHeight="251658241" behindDoc="0" locked="0" layoutInCell="1" allowOverlap="1" wp14:anchorId="07454E51" wp14:editId="08DA269C">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4572D870" id="Line 16" o:spid="_x0000_s1026" style="position:absolute;z-index:251658241;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" strokecolor="#283583" strokeweight="1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48EEA6" w14:textId="77777777" w:rsidR="00267551" w:rsidRDefault="00267551" w:rsidP="00013CCE">
    <w:pPr>
      <w:pStyle w:val="Header"/>
      <w:jc w:val="right"/>
    </w:pPr>
    <w:r>
      <w:rPr>
        <w:noProof/>
        <w:lang w:val="fr-FR" w:eastAsia="fr-FR"/>
      </w:rPr>
      <w:drawing>
        <wp:anchor distT="0" distB="0" distL="114300" distR="114300" simplePos="0" relativeHeight="251658242" behindDoc="0" locked="0" layoutInCell="1" allowOverlap="1" wp14:anchorId="3407F674" wp14:editId="30869A6E">
          <wp:simplePos x="0" y="0"/>
          <wp:positionH relativeFrom="page">
            <wp:posOffset>377825</wp:posOffset>
          </wp:positionH>
          <wp:positionV relativeFrom="page">
            <wp:posOffset>377825</wp:posOffset>
          </wp:positionV>
          <wp:extent cx="2209800" cy="904875"/>
          <wp:effectExtent l="0" t="0" r="0" b="9525"/>
          <wp:wrapNone/>
          <wp:docPr id="7"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fr-FR" w:eastAsia="fr-FR"/>
      </w:rPr>
      <w:drawing>
        <wp:anchor distT="0" distB="0" distL="114300" distR="114300" simplePos="0" relativeHeight="251658240" behindDoc="1" locked="0" layoutInCell="1" allowOverlap="1" wp14:anchorId="36DF4315" wp14:editId="2E1D3D4B">
          <wp:simplePos x="0" y="0"/>
          <wp:positionH relativeFrom="page">
            <wp:posOffset>0</wp:posOffset>
          </wp:positionH>
          <wp:positionV relativeFrom="page">
            <wp:posOffset>3895725</wp:posOffset>
          </wp:positionV>
          <wp:extent cx="7560310" cy="6800850"/>
          <wp:effectExtent l="0" t="0" r="2540" b="0"/>
          <wp:wrapNone/>
          <wp:docPr id="8"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EA3DA" w14:textId="77777777" w:rsidR="00267551" w:rsidRDefault="00267551"/>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267551" w:rsidRPr="002F4496" w14:paraId="60C7474C" w14:textId="77777777" w:rsidTr="000C06C9">
      <w:trPr>
        <w:trHeight w:val="284"/>
      </w:trPr>
      <w:tc>
        <w:tcPr>
          <w:tcW w:w="8460" w:type="dxa"/>
        </w:tcPr>
        <w:p w14:paraId="54B7E7F0" w14:textId="77777777" w:rsidR="00267551" w:rsidRPr="000C3B6D" w:rsidRDefault="00267551" w:rsidP="000C06C9">
          <w:pPr>
            <w:pStyle w:val="00Footer"/>
            <w:rPr>
              <w:lang w:val="fr-FR"/>
            </w:rPr>
          </w:pPr>
        </w:p>
      </w:tc>
      <w:tc>
        <w:tcPr>
          <w:tcW w:w="952" w:type="dxa"/>
        </w:tcPr>
        <w:p w14:paraId="2E49D042" w14:textId="77777777" w:rsidR="00267551" w:rsidRPr="00146B34" w:rsidRDefault="00267551" w:rsidP="000C06C9">
          <w:pPr>
            <w:pStyle w:val="00aPagenumber"/>
            <w:rPr>
              <w:lang w:val="fr-FR"/>
            </w:rPr>
          </w:pPr>
        </w:p>
      </w:tc>
    </w:tr>
  </w:tbl>
  <w:p w14:paraId="580707D9" w14:textId="77777777" w:rsidR="00267551" w:rsidRPr="00DB46C3" w:rsidRDefault="00267551">
    <w:pPr>
      <w:rPr>
        <w:lang w:val="fr-FR"/>
      </w:rPr>
    </w:pPr>
  </w:p>
  <w:p w14:paraId="20C4F67C" w14:textId="77777777" w:rsidR="00267551" w:rsidRPr="002F4496" w:rsidRDefault="00267551">
    <w:pPr>
      <w:pStyle w:val="Header"/>
      <w:rPr>
        <w:lang w:val="fr-FR"/>
      </w:rPr>
    </w:pPr>
  </w:p>
  <w:p w14:paraId="3F30C70B" w14:textId="77777777" w:rsidR="00267551" w:rsidRPr="002F4496" w:rsidRDefault="00267551" w:rsidP="000C06C9">
    <w:pPr>
      <w:pStyle w:val="Header"/>
      <w:tabs>
        <w:tab w:val="clear" w:pos="4536"/>
        <w:tab w:val="clear" w:pos="9072"/>
        <w:tab w:val="left" w:pos="8227"/>
      </w:tabs>
      <w:rPr>
        <w:lang w:val="fr-FR"/>
      </w:rPr>
    </w:pPr>
  </w:p>
  <w:p w14:paraId="4D50BC39" w14:textId="77777777" w:rsidR="00267551" w:rsidRPr="002F4496" w:rsidRDefault="00267551" w:rsidP="00583885">
    <w:pPr>
      <w:pStyle w:val="Header"/>
      <w:jc w:val="right"/>
      <w:rPr>
        <w:lang w:val="fr-FR"/>
      </w:rPr>
    </w:pPr>
  </w:p>
  <w:p w14:paraId="2D51BEA2" w14:textId="77777777" w:rsidR="00267551" w:rsidRPr="002F4496" w:rsidRDefault="00267551">
    <w:pPr>
      <w:pStyle w:val="Header"/>
      <w:rPr>
        <w:lang w:val="fr-FR"/>
      </w:rPr>
    </w:pPr>
  </w:p>
  <w:p w14:paraId="340B2438" w14:textId="77777777" w:rsidR="00267551" w:rsidRPr="002F4496" w:rsidRDefault="00267551">
    <w:pPr>
      <w:pStyle w:val="Header"/>
      <w:rPr>
        <w:lang w:val="fr-FR"/>
      </w:rPr>
    </w:pPr>
  </w:p>
  <w:p w14:paraId="2A794A3E" w14:textId="77777777" w:rsidR="00267551" w:rsidRPr="002F4496" w:rsidRDefault="00267551">
    <w:pPr>
      <w:pStyle w:val="Header"/>
      <w:rPr>
        <w:lang w:val="fr-FR"/>
      </w:rPr>
    </w:pPr>
  </w:p>
  <w:p w14:paraId="0A21F475" w14:textId="77777777" w:rsidR="00267551" w:rsidRPr="002F4496" w:rsidRDefault="00267551">
    <w:pPr>
      <w:pStyle w:val="Header"/>
      <w:rPr>
        <w:highlight w:val="yellow"/>
        <w:lang w:val="fr-FR"/>
      </w:rPr>
    </w:pPr>
  </w:p>
  <w:p w14:paraId="53ABEE5D" w14:textId="77777777" w:rsidR="00267551" w:rsidRDefault="00267551">
    <w:pPr>
      <w:pStyle w:val="Header"/>
    </w:pPr>
    <w:r>
      <w:rPr>
        <w:noProof/>
        <w:lang w:val="fr-FR" w:eastAsia="fr-FR"/>
      </w:rPr>
      <mc:AlternateContent>
        <mc:Choice Requires="wps">
          <w:drawing>
            <wp:anchor distT="0" distB="0" distL="114299" distR="114299" simplePos="0" relativeHeight="251658245"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line w14:anchorId="7DBC18BA" id="Straight Connector 138" o:spid="_x0000_s1026" style="position:absolute;z-index:251658245;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" strokecolor="#283583" strokeweight="1pt">
              <w10:wrap anchorx="page" anchory="page"/>
            </v:line>
          </w:pict>
        </mc:Fallback>
      </mc:AlternateContent>
    </w:r>
    <w:r>
      <w:rPr>
        <w:noProof/>
        <w:lang w:val="fr-FR" w:eastAsia="fr-FR"/>
      </w:rPr>
      <w:drawing>
        <wp:anchor distT="0" distB="0" distL="114300" distR="114300" simplePos="0" relativeHeight="25165824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5C3A7D"/>
    <w:multiLevelType w:val="hybridMultilevel"/>
    <w:tmpl w:val="3B209360"/>
    <w:lvl w:ilvl="0" w:tplc="040C001B">
      <w:start w:val="1"/>
      <w:numFmt w:val="lowerRoman"/>
      <w:lvlText w:val="%1."/>
      <w:lvlJc w:val="righ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6825AB5"/>
    <w:multiLevelType w:val="hybridMultilevel"/>
    <w:tmpl w:val="106AEF80"/>
    <w:lvl w:ilvl="0" w:tplc="D9ECCB4C">
      <w:start w:val="6"/>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 w15:restartNumberingAfterBreak="0">
    <w:nsid w:val="086C500B"/>
    <w:multiLevelType w:val="hybridMultilevel"/>
    <w:tmpl w:val="8B942F2E"/>
    <w:lvl w:ilvl="0" w:tplc="F9C474C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0A2889"/>
    <w:multiLevelType w:val="hybridMultilevel"/>
    <w:tmpl w:val="99F4CDD2"/>
    <w:lvl w:ilvl="0" w:tplc="0EECE6A6">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8" w15:restartNumberingAfterBreak="0">
    <w:nsid w:val="1C3C6171"/>
    <w:multiLevelType w:val="hybridMultilevel"/>
    <w:tmpl w:val="0544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D9B0521"/>
    <w:multiLevelType w:val="hybridMultilevel"/>
    <w:tmpl w:val="F76CB20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EA53D0"/>
    <w:multiLevelType w:val="hybridMultilevel"/>
    <w:tmpl w:val="337220C4"/>
    <w:lvl w:ilvl="0" w:tplc="E7344D52">
      <w:numFmt w:val="bullet"/>
      <w:lvlText w:val="-"/>
      <w:lvlJc w:val="left"/>
      <w:pPr>
        <w:ind w:left="720" w:hanging="360"/>
      </w:pPr>
      <w:rPr>
        <w:rFonts w:ascii="Calibri" w:eastAsiaTheme="minorEastAsia"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6" w15:restartNumberingAfterBreak="0">
    <w:nsid w:val="3279767A"/>
    <w:multiLevelType w:val="hybridMultilevel"/>
    <w:tmpl w:val="D41A7340"/>
    <w:lvl w:ilvl="0" w:tplc="040C0003">
      <w:start w:val="1"/>
      <w:numFmt w:val="bullet"/>
      <w:lvlText w:val="o"/>
      <w:lvlJc w:val="left"/>
      <w:pPr>
        <w:ind w:left="2140" w:hanging="360"/>
      </w:pPr>
      <w:rPr>
        <w:rFonts w:ascii="Courier New" w:hAnsi="Courier New" w:cs="Courier New" w:hint="default"/>
      </w:rPr>
    </w:lvl>
    <w:lvl w:ilvl="1" w:tplc="040C0003" w:tentative="1">
      <w:start w:val="1"/>
      <w:numFmt w:val="bullet"/>
      <w:lvlText w:val="o"/>
      <w:lvlJc w:val="left"/>
      <w:pPr>
        <w:ind w:left="2860" w:hanging="360"/>
      </w:pPr>
      <w:rPr>
        <w:rFonts w:ascii="Courier New" w:hAnsi="Courier New" w:cs="Courier New" w:hint="default"/>
      </w:rPr>
    </w:lvl>
    <w:lvl w:ilvl="2" w:tplc="040C0005" w:tentative="1">
      <w:start w:val="1"/>
      <w:numFmt w:val="bullet"/>
      <w:lvlText w:val=""/>
      <w:lvlJc w:val="left"/>
      <w:pPr>
        <w:ind w:left="3580" w:hanging="360"/>
      </w:pPr>
      <w:rPr>
        <w:rFonts w:ascii="Wingdings" w:hAnsi="Wingdings" w:hint="default"/>
      </w:rPr>
    </w:lvl>
    <w:lvl w:ilvl="3" w:tplc="040C0001" w:tentative="1">
      <w:start w:val="1"/>
      <w:numFmt w:val="bullet"/>
      <w:lvlText w:val=""/>
      <w:lvlJc w:val="left"/>
      <w:pPr>
        <w:ind w:left="4300" w:hanging="360"/>
      </w:pPr>
      <w:rPr>
        <w:rFonts w:ascii="Symbol" w:hAnsi="Symbol" w:hint="default"/>
      </w:rPr>
    </w:lvl>
    <w:lvl w:ilvl="4" w:tplc="040C0003" w:tentative="1">
      <w:start w:val="1"/>
      <w:numFmt w:val="bullet"/>
      <w:lvlText w:val="o"/>
      <w:lvlJc w:val="left"/>
      <w:pPr>
        <w:ind w:left="5020" w:hanging="360"/>
      </w:pPr>
      <w:rPr>
        <w:rFonts w:ascii="Courier New" w:hAnsi="Courier New" w:cs="Courier New" w:hint="default"/>
      </w:rPr>
    </w:lvl>
    <w:lvl w:ilvl="5" w:tplc="040C0005" w:tentative="1">
      <w:start w:val="1"/>
      <w:numFmt w:val="bullet"/>
      <w:lvlText w:val=""/>
      <w:lvlJc w:val="left"/>
      <w:pPr>
        <w:ind w:left="5740" w:hanging="360"/>
      </w:pPr>
      <w:rPr>
        <w:rFonts w:ascii="Wingdings" w:hAnsi="Wingdings" w:hint="default"/>
      </w:rPr>
    </w:lvl>
    <w:lvl w:ilvl="6" w:tplc="040C0001" w:tentative="1">
      <w:start w:val="1"/>
      <w:numFmt w:val="bullet"/>
      <w:lvlText w:val=""/>
      <w:lvlJc w:val="left"/>
      <w:pPr>
        <w:ind w:left="6460" w:hanging="360"/>
      </w:pPr>
      <w:rPr>
        <w:rFonts w:ascii="Symbol" w:hAnsi="Symbol" w:hint="default"/>
      </w:rPr>
    </w:lvl>
    <w:lvl w:ilvl="7" w:tplc="040C0003" w:tentative="1">
      <w:start w:val="1"/>
      <w:numFmt w:val="bullet"/>
      <w:lvlText w:val="o"/>
      <w:lvlJc w:val="left"/>
      <w:pPr>
        <w:ind w:left="7180" w:hanging="360"/>
      </w:pPr>
      <w:rPr>
        <w:rFonts w:ascii="Courier New" w:hAnsi="Courier New" w:cs="Courier New" w:hint="default"/>
      </w:rPr>
    </w:lvl>
    <w:lvl w:ilvl="8" w:tplc="040C0005" w:tentative="1">
      <w:start w:val="1"/>
      <w:numFmt w:val="bullet"/>
      <w:lvlText w:val=""/>
      <w:lvlJc w:val="left"/>
      <w:pPr>
        <w:ind w:left="7900" w:hanging="360"/>
      </w:pPr>
      <w:rPr>
        <w:rFonts w:ascii="Wingdings" w:hAnsi="Wingdings" w:hint="default"/>
      </w:rPr>
    </w:lvl>
  </w:abstractNum>
  <w:abstractNum w:abstractNumId="1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A52232B"/>
    <w:multiLevelType w:val="hybridMultilevel"/>
    <w:tmpl w:val="E332A2FA"/>
    <w:lvl w:ilvl="0" w:tplc="F13C2DE2">
      <w:start w:val="1"/>
      <w:numFmt w:val="decimal"/>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20"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22"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24" w15:restartNumberingAfterBreak="0">
    <w:nsid w:val="42557044"/>
    <w:multiLevelType w:val="hybridMultilevel"/>
    <w:tmpl w:val="0038D77C"/>
    <w:lvl w:ilvl="0" w:tplc="2ECC9D10">
      <w:start w:val="2"/>
      <w:numFmt w:val="bullet"/>
      <w:lvlText w:val="-"/>
      <w:lvlJc w:val="left"/>
      <w:pPr>
        <w:ind w:left="786" w:hanging="360"/>
      </w:pPr>
      <w:rPr>
        <w:rFonts w:ascii="Arial" w:eastAsiaTheme="minorHAnsi" w:hAnsi="Arial" w:cs="Arial" w:hint="default"/>
        <w:color w:val="00206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5"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6"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7"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B97295A"/>
    <w:multiLevelType w:val="hybridMultilevel"/>
    <w:tmpl w:val="2B887BC4"/>
    <w:lvl w:ilvl="0" w:tplc="2ECC9D10">
      <w:start w:val="2"/>
      <w:numFmt w:val="bullet"/>
      <w:lvlText w:val="-"/>
      <w:lvlJc w:val="left"/>
      <w:pPr>
        <w:ind w:left="720" w:hanging="360"/>
      </w:pPr>
      <w:rPr>
        <w:rFonts w:ascii="Arial" w:eastAsiaTheme="minorHAnsi" w:hAnsi="Arial" w:cs="Arial"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30" w15:restartNumberingAfterBreak="0">
    <w:nsid w:val="4BE143CB"/>
    <w:multiLevelType w:val="hybridMultilevel"/>
    <w:tmpl w:val="99828466"/>
    <w:lvl w:ilvl="0" w:tplc="0EECE6A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1091A2D"/>
    <w:multiLevelType w:val="hybridMultilevel"/>
    <w:tmpl w:val="BF56DDC8"/>
    <w:lvl w:ilvl="0" w:tplc="FA900A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35" w15:restartNumberingAfterBreak="0">
    <w:nsid w:val="55DE60E9"/>
    <w:multiLevelType w:val="hybridMultilevel"/>
    <w:tmpl w:val="1084069A"/>
    <w:lvl w:ilvl="0" w:tplc="B532C018">
      <w:start w:val="2"/>
      <w:numFmt w:val="upperRoman"/>
      <w:pStyle w:val="Heading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7" w15:restartNumberingAfterBreak="0">
    <w:nsid w:val="59514DC6"/>
    <w:multiLevelType w:val="hybridMultilevel"/>
    <w:tmpl w:val="F73EB290"/>
    <w:lvl w:ilvl="0" w:tplc="FD041300">
      <w:start w:val="8"/>
      <w:numFmt w:val="bullet"/>
      <w:lvlText w:val="-"/>
      <w:lvlJc w:val="left"/>
      <w:pPr>
        <w:ind w:left="720" w:hanging="360"/>
      </w:pPr>
      <w:rPr>
        <w:rFonts w:ascii="Georgia" w:eastAsia="Times New Roman"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9"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40"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41"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43" w15:restartNumberingAfterBreak="0">
    <w:nsid w:val="65B757C6"/>
    <w:multiLevelType w:val="hybridMultilevel"/>
    <w:tmpl w:val="F9C80E82"/>
    <w:lvl w:ilvl="0" w:tplc="2AE01722">
      <w:start w:val="1"/>
      <w:numFmt w:val="low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6510491"/>
    <w:multiLevelType w:val="hybridMultilevel"/>
    <w:tmpl w:val="0E3EE5DC"/>
    <w:lvl w:ilvl="0" w:tplc="4CA6D1E4">
      <w:numFmt w:val="bullet"/>
      <w:lvlText w:val=""/>
      <w:lvlJc w:val="left"/>
      <w:pPr>
        <w:ind w:left="720" w:hanging="360"/>
      </w:pPr>
      <w:rPr>
        <w:rFonts w:ascii="Symbol" w:eastAsiaTheme="minorHAnsi"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6" w15:restartNumberingAfterBreak="0">
    <w:nsid w:val="6D4D7F76"/>
    <w:multiLevelType w:val="hybridMultilevel"/>
    <w:tmpl w:val="68BA330E"/>
    <w:lvl w:ilvl="0" w:tplc="FA900A9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8"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01A6077"/>
    <w:multiLevelType w:val="hybridMultilevel"/>
    <w:tmpl w:val="E9FE7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1" w15:restartNumberingAfterBreak="0">
    <w:nsid w:val="764A4F39"/>
    <w:multiLevelType w:val="hybridMultilevel"/>
    <w:tmpl w:val="EBEECFB2"/>
    <w:lvl w:ilvl="0" w:tplc="2AE0172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2"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53"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num w:numId="1">
    <w:abstractNumId w:val="22"/>
  </w:num>
  <w:num w:numId="2">
    <w:abstractNumId w:val="25"/>
  </w:num>
  <w:num w:numId="3">
    <w:abstractNumId w:val="17"/>
  </w:num>
  <w:num w:numId="4">
    <w:abstractNumId w:val="33"/>
  </w:num>
  <w:num w:numId="5">
    <w:abstractNumId w:val="35"/>
  </w:num>
  <w:num w:numId="6">
    <w:abstractNumId w:val="0"/>
  </w:num>
  <w:num w:numId="7">
    <w:abstractNumId w:val="7"/>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2"/>
  </w:num>
  <w:num w:numId="1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8"/>
  </w:num>
  <w:num w:numId="13">
    <w:abstractNumId w:val="41"/>
  </w:num>
  <w:num w:numId="14">
    <w:abstractNumId w:val="31"/>
  </w:num>
  <w:num w:numId="15">
    <w:abstractNumId w:val="15"/>
  </w:num>
  <w:num w:numId="16">
    <w:abstractNumId w:val="2"/>
  </w:num>
  <w:num w:numId="17">
    <w:abstractNumId w:val="20"/>
  </w:num>
  <w:num w:numId="18">
    <w:abstractNumId w:val="21"/>
  </w:num>
  <w:num w:numId="19">
    <w:abstractNumId w:val="23"/>
  </w:num>
  <w:num w:numId="20">
    <w:abstractNumId w:val="36"/>
  </w:num>
  <w:num w:numId="21">
    <w:abstractNumId w:val="50"/>
  </w:num>
  <w:num w:numId="22">
    <w:abstractNumId w:val="34"/>
  </w:num>
  <w:num w:numId="23">
    <w:abstractNumId w:val="14"/>
  </w:num>
  <w:num w:numId="24">
    <w:abstractNumId w:val="40"/>
  </w:num>
  <w:num w:numId="25">
    <w:abstractNumId w:val="39"/>
  </w:num>
  <w:num w:numId="26">
    <w:abstractNumId w:val="26"/>
  </w:num>
  <w:num w:numId="27">
    <w:abstractNumId w:val="45"/>
  </w:num>
  <w:num w:numId="28">
    <w:abstractNumId w:val="53"/>
  </w:num>
  <w:num w:numId="29">
    <w:abstractNumId w:val="12"/>
  </w:num>
  <w:num w:numId="30">
    <w:abstractNumId w:val="5"/>
  </w:num>
  <w:num w:numId="31">
    <w:abstractNumId w:val="29"/>
  </w:num>
  <w:num w:numId="32">
    <w:abstractNumId w:val="27"/>
  </w:num>
  <w:num w:numId="33">
    <w:abstractNumId w:val="48"/>
  </w:num>
  <w:num w:numId="34">
    <w:abstractNumId w:val="47"/>
  </w:num>
  <w:num w:numId="35">
    <w:abstractNumId w:val="8"/>
  </w:num>
  <w:num w:numId="36">
    <w:abstractNumId w:val="49"/>
  </w:num>
  <w:num w:numId="37">
    <w:abstractNumId w:val="18"/>
  </w:num>
  <w:num w:numId="38">
    <w:abstractNumId w:val="9"/>
  </w:num>
  <w:num w:numId="39">
    <w:abstractNumId w:val="44"/>
  </w:num>
  <w:num w:numId="40">
    <w:abstractNumId w:val="46"/>
  </w:num>
  <w:num w:numId="41">
    <w:abstractNumId w:val="1"/>
  </w:num>
  <w:num w:numId="42">
    <w:abstractNumId w:val="24"/>
  </w:num>
  <w:num w:numId="43">
    <w:abstractNumId w:val="28"/>
  </w:num>
  <w:num w:numId="44">
    <w:abstractNumId w:val="6"/>
  </w:num>
  <w:num w:numId="45">
    <w:abstractNumId w:val="51"/>
  </w:num>
  <w:num w:numId="46">
    <w:abstractNumId w:val="43"/>
  </w:num>
  <w:num w:numId="47">
    <w:abstractNumId w:val="4"/>
  </w:num>
  <w:num w:numId="48">
    <w:abstractNumId w:val="11"/>
  </w:num>
  <w:num w:numId="49">
    <w:abstractNumId w:val="3"/>
  </w:num>
  <w:num w:numId="50">
    <w:abstractNumId w:val="16"/>
  </w:num>
  <w:num w:numId="51">
    <w:abstractNumId w:val="37"/>
  </w:num>
  <w:num w:numId="52">
    <w:abstractNumId w:val="30"/>
  </w:num>
  <w:num w:numId="53">
    <w:abstractNumId w:val="3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AES" w:cryptAlgorithmClass="hash" w:cryptAlgorithmType="typeAny" w:cryptAlgorithmSid="14" w:cryptSpinCount="100000" w:hash="ql+FyrJRIpIZ+6Lmlf37vcyrEwxculZlAqor49Mb3vWDHtuyruwrq9FlOtk8ij2nk4hStJ5t1je+F2j/k7sqAw==" w:salt="XtxIJ4JTstjo6DkS7RFc8g=="/>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26"/>
    <w:rsid w:val="00026269"/>
    <w:rsid w:val="00027154"/>
    <w:rsid w:val="00027ECF"/>
    <w:rsid w:val="00027EEB"/>
    <w:rsid w:val="000303BE"/>
    <w:rsid w:val="000344D6"/>
    <w:rsid w:val="00034960"/>
    <w:rsid w:val="00036FAE"/>
    <w:rsid w:val="00041417"/>
    <w:rsid w:val="00041858"/>
    <w:rsid w:val="0004389E"/>
    <w:rsid w:val="00045CA6"/>
    <w:rsid w:val="000463A6"/>
    <w:rsid w:val="00046CC9"/>
    <w:rsid w:val="00046E91"/>
    <w:rsid w:val="00047350"/>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52D7"/>
    <w:rsid w:val="00066479"/>
    <w:rsid w:val="0006723C"/>
    <w:rsid w:val="00070376"/>
    <w:rsid w:val="00070630"/>
    <w:rsid w:val="00070974"/>
    <w:rsid w:val="00071EAD"/>
    <w:rsid w:val="00071F4E"/>
    <w:rsid w:val="00072271"/>
    <w:rsid w:val="00072B54"/>
    <w:rsid w:val="0007456C"/>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395E"/>
    <w:rsid w:val="000A43CC"/>
    <w:rsid w:val="000A609F"/>
    <w:rsid w:val="000A7314"/>
    <w:rsid w:val="000A7B53"/>
    <w:rsid w:val="000A7B64"/>
    <w:rsid w:val="000B275C"/>
    <w:rsid w:val="000B2C3D"/>
    <w:rsid w:val="000B55C0"/>
    <w:rsid w:val="000B5DF2"/>
    <w:rsid w:val="000C06C9"/>
    <w:rsid w:val="000C1DCC"/>
    <w:rsid w:val="000C1FBC"/>
    <w:rsid w:val="000C2054"/>
    <w:rsid w:val="000C2B6A"/>
    <w:rsid w:val="000C2F88"/>
    <w:rsid w:val="000C55C8"/>
    <w:rsid w:val="000C57C4"/>
    <w:rsid w:val="000C5FD3"/>
    <w:rsid w:val="000C701D"/>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8C1"/>
    <w:rsid w:val="000E7C65"/>
    <w:rsid w:val="000F04D2"/>
    <w:rsid w:val="000F55B7"/>
    <w:rsid w:val="000F604F"/>
    <w:rsid w:val="000F7399"/>
    <w:rsid w:val="00101BF1"/>
    <w:rsid w:val="001027F1"/>
    <w:rsid w:val="00104F2E"/>
    <w:rsid w:val="001072DD"/>
    <w:rsid w:val="00110D7A"/>
    <w:rsid w:val="00111464"/>
    <w:rsid w:val="0011167D"/>
    <w:rsid w:val="00112892"/>
    <w:rsid w:val="001129F9"/>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BAA"/>
    <w:rsid w:val="00182F7C"/>
    <w:rsid w:val="001843B5"/>
    <w:rsid w:val="00186829"/>
    <w:rsid w:val="001868CA"/>
    <w:rsid w:val="00187304"/>
    <w:rsid w:val="001875BE"/>
    <w:rsid w:val="0019017A"/>
    <w:rsid w:val="00190B8C"/>
    <w:rsid w:val="00190FF8"/>
    <w:rsid w:val="0019311A"/>
    <w:rsid w:val="0019388A"/>
    <w:rsid w:val="0019508A"/>
    <w:rsid w:val="001960D8"/>
    <w:rsid w:val="001A1642"/>
    <w:rsid w:val="001A371B"/>
    <w:rsid w:val="001A4766"/>
    <w:rsid w:val="001A6A0D"/>
    <w:rsid w:val="001A6C51"/>
    <w:rsid w:val="001A6FAA"/>
    <w:rsid w:val="001A7D73"/>
    <w:rsid w:val="001B0363"/>
    <w:rsid w:val="001B1355"/>
    <w:rsid w:val="001B2FC9"/>
    <w:rsid w:val="001B3138"/>
    <w:rsid w:val="001B4E4B"/>
    <w:rsid w:val="001B50AC"/>
    <w:rsid w:val="001B5E05"/>
    <w:rsid w:val="001B6D68"/>
    <w:rsid w:val="001B6F2E"/>
    <w:rsid w:val="001B73D3"/>
    <w:rsid w:val="001C0344"/>
    <w:rsid w:val="001C0F2A"/>
    <w:rsid w:val="001C188E"/>
    <w:rsid w:val="001C1A59"/>
    <w:rsid w:val="001C270F"/>
    <w:rsid w:val="001C4679"/>
    <w:rsid w:val="001C5770"/>
    <w:rsid w:val="001C6195"/>
    <w:rsid w:val="001D000A"/>
    <w:rsid w:val="001D0883"/>
    <w:rsid w:val="001D0C4D"/>
    <w:rsid w:val="001D2205"/>
    <w:rsid w:val="001D3A1F"/>
    <w:rsid w:val="001D3DDE"/>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0609"/>
    <w:rsid w:val="00204CBC"/>
    <w:rsid w:val="002051F1"/>
    <w:rsid w:val="002067BA"/>
    <w:rsid w:val="002073F1"/>
    <w:rsid w:val="0021058D"/>
    <w:rsid w:val="00211E2F"/>
    <w:rsid w:val="00211E9E"/>
    <w:rsid w:val="00214FB4"/>
    <w:rsid w:val="00215940"/>
    <w:rsid w:val="00217C23"/>
    <w:rsid w:val="00220561"/>
    <w:rsid w:val="00220CE4"/>
    <w:rsid w:val="00222D9B"/>
    <w:rsid w:val="00223788"/>
    <w:rsid w:val="00223D11"/>
    <w:rsid w:val="002242D3"/>
    <w:rsid w:val="00227C1A"/>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FB4"/>
    <w:rsid w:val="00250898"/>
    <w:rsid w:val="00250E70"/>
    <w:rsid w:val="00251EA9"/>
    <w:rsid w:val="00252843"/>
    <w:rsid w:val="002543F8"/>
    <w:rsid w:val="002551A4"/>
    <w:rsid w:val="002559F3"/>
    <w:rsid w:val="00256DFE"/>
    <w:rsid w:val="00261D56"/>
    <w:rsid w:val="00261FD3"/>
    <w:rsid w:val="00263505"/>
    <w:rsid w:val="00264077"/>
    <w:rsid w:val="00266B9A"/>
    <w:rsid w:val="00267551"/>
    <w:rsid w:val="00270E54"/>
    <w:rsid w:val="00273633"/>
    <w:rsid w:val="00273681"/>
    <w:rsid w:val="002754B5"/>
    <w:rsid w:val="002764C5"/>
    <w:rsid w:val="00276A5A"/>
    <w:rsid w:val="002772AE"/>
    <w:rsid w:val="00277943"/>
    <w:rsid w:val="00280613"/>
    <w:rsid w:val="002819C4"/>
    <w:rsid w:val="002822A1"/>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6DC"/>
    <w:rsid w:val="002A0C82"/>
    <w:rsid w:val="002A0CD8"/>
    <w:rsid w:val="002A13EB"/>
    <w:rsid w:val="002A35EF"/>
    <w:rsid w:val="002A3DE0"/>
    <w:rsid w:val="002A40EA"/>
    <w:rsid w:val="002A4373"/>
    <w:rsid w:val="002A46E8"/>
    <w:rsid w:val="002A491C"/>
    <w:rsid w:val="002A4C8E"/>
    <w:rsid w:val="002B1FEF"/>
    <w:rsid w:val="002B2DF8"/>
    <w:rsid w:val="002B354F"/>
    <w:rsid w:val="002B3614"/>
    <w:rsid w:val="002B45D1"/>
    <w:rsid w:val="002B4ED8"/>
    <w:rsid w:val="002B4FAA"/>
    <w:rsid w:val="002B52C2"/>
    <w:rsid w:val="002B7656"/>
    <w:rsid w:val="002C0642"/>
    <w:rsid w:val="002C1492"/>
    <w:rsid w:val="002C1E8B"/>
    <w:rsid w:val="002C2EFE"/>
    <w:rsid w:val="002C53AA"/>
    <w:rsid w:val="002C5B2D"/>
    <w:rsid w:val="002C6AF9"/>
    <w:rsid w:val="002C7DFC"/>
    <w:rsid w:val="002D08B8"/>
    <w:rsid w:val="002D14F3"/>
    <w:rsid w:val="002D16E4"/>
    <w:rsid w:val="002D2FEF"/>
    <w:rsid w:val="002D36C2"/>
    <w:rsid w:val="002D3FCB"/>
    <w:rsid w:val="002D4FEF"/>
    <w:rsid w:val="002D502D"/>
    <w:rsid w:val="002D63F5"/>
    <w:rsid w:val="002D6E1A"/>
    <w:rsid w:val="002E036D"/>
    <w:rsid w:val="002E1517"/>
    <w:rsid w:val="002E1760"/>
    <w:rsid w:val="002E1B22"/>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4013"/>
    <w:rsid w:val="00314945"/>
    <w:rsid w:val="00315389"/>
    <w:rsid w:val="00315491"/>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3083"/>
    <w:rsid w:val="00344496"/>
    <w:rsid w:val="00344626"/>
    <w:rsid w:val="00345968"/>
    <w:rsid w:val="00347667"/>
    <w:rsid w:val="00350485"/>
    <w:rsid w:val="003507E2"/>
    <w:rsid w:val="003522B2"/>
    <w:rsid w:val="0035455E"/>
    <w:rsid w:val="00354A6F"/>
    <w:rsid w:val="00354B48"/>
    <w:rsid w:val="00355789"/>
    <w:rsid w:val="003609B6"/>
    <w:rsid w:val="00361119"/>
    <w:rsid w:val="0036538D"/>
    <w:rsid w:val="00365D12"/>
    <w:rsid w:val="00366E20"/>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E7B"/>
    <w:rsid w:val="00395F4C"/>
    <w:rsid w:val="003A51C5"/>
    <w:rsid w:val="003A5DAC"/>
    <w:rsid w:val="003A6591"/>
    <w:rsid w:val="003A6E9A"/>
    <w:rsid w:val="003B08C8"/>
    <w:rsid w:val="003B2567"/>
    <w:rsid w:val="003B381A"/>
    <w:rsid w:val="003B4976"/>
    <w:rsid w:val="003B4B3F"/>
    <w:rsid w:val="003B6258"/>
    <w:rsid w:val="003B7A99"/>
    <w:rsid w:val="003C0343"/>
    <w:rsid w:val="003C1C32"/>
    <w:rsid w:val="003C2760"/>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076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173B"/>
    <w:rsid w:val="00431B0A"/>
    <w:rsid w:val="00431DA4"/>
    <w:rsid w:val="00432A91"/>
    <w:rsid w:val="004332A4"/>
    <w:rsid w:val="0043453F"/>
    <w:rsid w:val="00434A74"/>
    <w:rsid w:val="00437929"/>
    <w:rsid w:val="00437A4A"/>
    <w:rsid w:val="00440541"/>
    <w:rsid w:val="0044162D"/>
    <w:rsid w:val="00441DDE"/>
    <w:rsid w:val="0044277A"/>
    <w:rsid w:val="004434EF"/>
    <w:rsid w:val="004456DC"/>
    <w:rsid w:val="00447FBE"/>
    <w:rsid w:val="0045035E"/>
    <w:rsid w:val="0045175A"/>
    <w:rsid w:val="00451ED9"/>
    <w:rsid w:val="00452180"/>
    <w:rsid w:val="00453072"/>
    <w:rsid w:val="004539F8"/>
    <w:rsid w:val="00453F26"/>
    <w:rsid w:val="0045503F"/>
    <w:rsid w:val="00455273"/>
    <w:rsid w:val="0045658C"/>
    <w:rsid w:val="00460905"/>
    <w:rsid w:val="00461E35"/>
    <w:rsid w:val="004621DB"/>
    <w:rsid w:val="004634A7"/>
    <w:rsid w:val="00463787"/>
    <w:rsid w:val="00466926"/>
    <w:rsid w:val="00466FDA"/>
    <w:rsid w:val="004671D0"/>
    <w:rsid w:val="004674D1"/>
    <w:rsid w:val="00470773"/>
    <w:rsid w:val="00471A69"/>
    <w:rsid w:val="00471FF9"/>
    <w:rsid w:val="00473E74"/>
    <w:rsid w:val="00473FEF"/>
    <w:rsid w:val="00475B8E"/>
    <w:rsid w:val="0048104E"/>
    <w:rsid w:val="004814BB"/>
    <w:rsid w:val="004815DA"/>
    <w:rsid w:val="00482458"/>
    <w:rsid w:val="004837ED"/>
    <w:rsid w:val="00483942"/>
    <w:rsid w:val="0048406D"/>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6D06"/>
    <w:rsid w:val="004B71C7"/>
    <w:rsid w:val="004C03AA"/>
    <w:rsid w:val="004C0B9A"/>
    <w:rsid w:val="004C14E7"/>
    <w:rsid w:val="004C1D89"/>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E70"/>
    <w:rsid w:val="004F6F14"/>
    <w:rsid w:val="004F728D"/>
    <w:rsid w:val="004F757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1FB"/>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452E"/>
    <w:rsid w:val="005765C0"/>
    <w:rsid w:val="005778DE"/>
    <w:rsid w:val="00580B3F"/>
    <w:rsid w:val="005825F2"/>
    <w:rsid w:val="00583885"/>
    <w:rsid w:val="005860AF"/>
    <w:rsid w:val="00587F1D"/>
    <w:rsid w:val="00590348"/>
    <w:rsid w:val="00591161"/>
    <w:rsid w:val="00591CDF"/>
    <w:rsid w:val="00592318"/>
    <w:rsid w:val="00593133"/>
    <w:rsid w:val="0059575D"/>
    <w:rsid w:val="00596825"/>
    <w:rsid w:val="005A06A0"/>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0750"/>
    <w:rsid w:val="005D1023"/>
    <w:rsid w:val="005D148F"/>
    <w:rsid w:val="005D2AD2"/>
    <w:rsid w:val="005D4A86"/>
    <w:rsid w:val="005D5EB1"/>
    <w:rsid w:val="005D6A29"/>
    <w:rsid w:val="005E0481"/>
    <w:rsid w:val="005E10BF"/>
    <w:rsid w:val="005E1834"/>
    <w:rsid w:val="005E28FC"/>
    <w:rsid w:val="005E49E5"/>
    <w:rsid w:val="005E5481"/>
    <w:rsid w:val="005E55E4"/>
    <w:rsid w:val="005E6C5F"/>
    <w:rsid w:val="005E7636"/>
    <w:rsid w:val="005F028E"/>
    <w:rsid w:val="005F04B4"/>
    <w:rsid w:val="005F11A4"/>
    <w:rsid w:val="005F19F8"/>
    <w:rsid w:val="005F3FB1"/>
    <w:rsid w:val="005F4C33"/>
    <w:rsid w:val="005F5ACF"/>
    <w:rsid w:val="005F60DC"/>
    <w:rsid w:val="006000DD"/>
    <w:rsid w:val="00600F63"/>
    <w:rsid w:val="006012E1"/>
    <w:rsid w:val="0060161A"/>
    <w:rsid w:val="006021B8"/>
    <w:rsid w:val="00602253"/>
    <w:rsid w:val="006023E1"/>
    <w:rsid w:val="00605531"/>
    <w:rsid w:val="00605748"/>
    <w:rsid w:val="00606240"/>
    <w:rsid w:val="0060674A"/>
    <w:rsid w:val="00606F77"/>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58B"/>
    <w:rsid w:val="006509B0"/>
    <w:rsid w:val="006521F3"/>
    <w:rsid w:val="006524D5"/>
    <w:rsid w:val="00652BBD"/>
    <w:rsid w:val="00653633"/>
    <w:rsid w:val="00653F69"/>
    <w:rsid w:val="00654936"/>
    <w:rsid w:val="00655485"/>
    <w:rsid w:val="006558B3"/>
    <w:rsid w:val="00660BF0"/>
    <w:rsid w:val="0066189C"/>
    <w:rsid w:val="0066246A"/>
    <w:rsid w:val="006630CF"/>
    <w:rsid w:val="00663EFF"/>
    <w:rsid w:val="00664FFB"/>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CA"/>
    <w:rsid w:val="006F45EC"/>
    <w:rsid w:val="006F47B8"/>
    <w:rsid w:val="006F47D2"/>
    <w:rsid w:val="006F4B04"/>
    <w:rsid w:val="006F5456"/>
    <w:rsid w:val="006F57F2"/>
    <w:rsid w:val="006F6468"/>
    <w:rsid w:val="006F71FA"/>
    <w:rsid w:val="00700247"/>
    <w:rsid w:val="00701051"/>
    <w:rsid w:val="00701E69"/>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1740A"/>
    <w:rsid w:val="007209DD"/>
    <w:rsid w:val="00722E49"/>
    <w:rsid w:val="00723A08"/>
    <w:rsid w:val="00723B5C"/>
    <w:rsid w:val="00724391"/>
    <w:rsid w:val="00724C18"/>
    <w:rsid w:val="007254DD"/>
    <w:rsid w:val="00725FB1"/>
    <w:rsid w:val="00726630"/>
    <w:rsid w:val="00727F73"/>
    <w:rsid w:val="00730705"/>
    <w:rsid w:val="00730944"/>
    <w:rsid w:val="0073248E"/>
    <w:rsid w:val="00733158"/>
    <w:rsid w:val="00733EE9"/>
    <w:rsid w:val="00735B8E"/>
    <w:rsid w:val="00736651"/>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85D"/>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077"/>
    <w:rsid w:val="007E3514"/>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24B3"/>
    <w:rsid w:val="0083497C"/>
    <w:rsid w:val="008352A6"/>
    <w:rsid w:val="00835B5B"/>
    <w:rsid w:val="008367AE"/>
    <w:rsid w:val="00836E50"/>
    <w:rsid w:val="00840477"/>
    <w:rsid w:val="0084121D"/>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0B90"/>
    <w:rsid w:val="008D2DB5"/>
    <w:rsid w:val="008D37D4"/>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3B8"/>
    <w:rsid w:val="00900E7A"/>
    <w:rsid w:val="00902197"/>
    <w:rsid w:val="00903E11"/>
    <w:rsid w:val="00903EBE"/>
    <w:rsid w:val="009041DE"/>
    <w:rsid w:val="00905D59"/>
    <w:rsid w:val="009062CA"/>
    <w:rsid w:val="00907631"/>
    <w:rsid w:val="00907776"/>
    <w:rsid w:val="00907865"/>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2478"/>
    <w:rsid w:val="00934EEC"/>
    <w:rsid w:val="009360F6"/>
    <w:rsid w:val="009371DC"/>
    <w:rsid w:val="0093759D"/>
    <w:rsid w:val="00940239"/>
    <w:rsid w:val="009424FB"/>
    <w:rsid w:val="00942BD6"/>
    <w:rsid w:val="00942DED"/>
    <w:rsid w:val="00944404"/>
    <w:rsid w:val="009452D7"/>
    <w:rsid w:val="00945BCF"/>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948"/>
    <w:rsid w:val="00963FDF"/>
    <w:rsid w:val="00964C32"/>
    <w:rsid w:val="0096528F"/>
    <w:rsid w:val="009653F2"/>
    <w:rsid w:val="009661DF"/>
    <w:rsid w:val="009667BD"/>
    <w:rsid w:val="009670C9"/>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6AF7"/>
    <w:rsid w:val="00987829"/>
    <w:rsid w:val="00987F7A"/>
    <w:rsid w:val="00991276"/>
    <w:rsid w:val="009923E7"/>
    <w:rsid w:val="00992697"/>
    <w:rsid w:val="00992ADB"/>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D6B1F"/>
    <w:rsid w:val="009E0711"/>
    <w:rsid w:val="009E1917"/>
    <w:rsid w:val="009E3594"/>
    <w:rsid w:val="009E6B77"/>
    <w:rsid w:val="009E7724"/>
    <w:rsid w:val="009E7D1F"/>
    <w:rsid w:val="009F1D82"/>
    <w:rsid w:val="009F37AA"/>
    <w:rsid w:val="009F3D30"/>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785"/>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2EBB"/>
    <w:rsid w:val="00A54BFF"/>
    <w:rsid w:val="00A54C63"/>
    <w:rsid w:val="00A54FBB"/>
    <w:rsid w:val="00A55BB1"/>
    <w:rsid w:val="00A55D7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3623"/>
    <w:rsid w:val="00A74F9F"/>
    <w:rsid w:val="00A750B3"/>
    <w:rsid w:val="00A75559"/>
    <w:rsid w:val="00A7623D"/>
    <w:rsid w:val="00A8217C"/>
    <w:rsid w:val="00A824A7"/>
    <w:rsid w:val="00A83644"/>
    <w:rsid w:val="00A83C07"/>
    <w:rsid w:val="00A83F40"/>
    <w:rsid w:val="00A84945"/>
    <w:rsid w:val="00A85543"/>
    <w:rsid w:val="00A8728B"/>
    <w:rsid w:val="00A91682"/>
    <w:rsid w:val="00A92125"/>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824"/>
    <w:rsid w:val="00AB4B1D"/>
    <w:rsid w:val="00AB4C16"/>
    <w:rsid w:val="00AB60CE"/>
    <w:rsid w:val="00AB6B5E"/>
    <w:rsid w:val="00AC047F"/>
    <w:rsid w:val="00AC3934"/>
    <w:rsid w:val="00AC4B91"/>
    <w:rsid w:val="00AC50C8"/>
    <w:rsid w:val="00AC5132"/>
    <w:rsid w:val="00AC5581"/>
    <w:rsid w:val="00AC56AD"/>
    <w:rsid w:val="00AC61BE"/>
    <w:rsid w:val="00AD0C8A"/>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27460"/>
    <w:rsid w:val="00B27E7B"/>
    <w:rsid w:val="00B306FC"/>
    <w:rsid w:val="00B309D2"/>
    <w:rsid w:val="00B30E4F"/>
    <w:rsid w:val="00B3124F"/>
    <w:rsid w:val="00B31B4A"/>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85"/>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1917"/>
    <w:rsid w:val="00C1234A"/>
    <w:rsid w:val="00C12661"/>
    <w:rsid w:val="00C126E3"/>
    <w:rsid w:val="00C1330F"/>
    <w:rsid w:val="00C13ED7"/>
    <w:rsid w:val="00C14615"/>
    <w:rsid w:val="00C14F48"/>
    <w:rsid w:val="00C15296"/>
    <w:rsid w:val="00C17750"/>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68D7"/>
    <w:rsid w:val="00C36FD1"/>
    <w:rsid w:val="00C371A5"/>
    <w:rsid w:val="00C400B0"/>
    <w:rsid w:val="00C413FC"/>
    <w:rsid w:val="00C42424"/>
    <w:rsid w:val="00C43D33"/>
    <w:rsid w:val="00C44407"/>
    <w:rsid w:val="00C456E8"/>
    <w:rsid w:val="00C465AE"/>
    <w:rsid w:val="00C46630"/>
    <w:rsid w:val="00C47A2F"/>
    <w:rsid w:val="00C50D18"/>
    <w:rsid w:val="00C51179"/>
    <w:rsid w:val="00C5282C"/>
    <w:rsid w:val="00C52FBE"/>
    <w:rsid w:val="00C5355E"/>
    <w:rsid w:val="00C535E2"/>
    <w:rsid w:val="00C53FC1"/>
    <w:rsid w:val="00C551D2"/>
    <w:rsid w:val="00C56438"/>
    <w:rsid w:val="00C570B3"/>
    <w:rsid w:val="00C6009F"/>
    <w:rsid w:val="00C60417"/>
    <w:rsid w:val="00C6046F"/>
    <w:rsid w:val="00C638C2"/>
    <w:rsid w:val="00C651D4"/>
    <w:rsid w:val="00C6669E"/>
    <w:rsid w:val="00C672B0"/>
    <w:rsid w:val="00C729C7"/>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67C1"/>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2CC3"/>
    <w:rsid w:val="00D045CE"/>
    <w:rsid w:val="00D05082"/>
    <w:rsid w:val="00D06163"/>
    <w:rsid w:val="00D06937"/>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0F7"/>
    <w:rsid w:val="00D323E4"/>
    <w:rsid w:val="00D32871"/>
    <w:rsid w:val="00D329F6"/>
    <w:rsid w:val="00D32D17"/>
    <w:rsid w:val="00D33881"/>
    <w:rsid w:val="00D34282"/>
    <w:rsid w:val="00D366B1"/>
    <w:rsid w:val="00D37AE0"/>
    <w:rsid w:val="00D4017D"/>
    <w:rsid w:val="00D416A8"/>
    <w:rsid w:val="00D4217D"/>
    <w:rsid w:val="00D4257C"/>
    <w:rsid w:val="00D425AC"/>
    <w:rsid w:val="00D42823"/>
    <w:rsid w:val="00D42D5E"/>
    <w:rsid w:val="00D43F14"/>
    <w:rsid w:val="00D44009"/>
    <w:rsid w:val="00D44C18"/>
    <w:rsid w:val="00D4556D"/>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20D1"/>
    <w:rsid w:val="00DA0FA7"/>
    <w:rsid w:val="00DA12B0"/>
    <w:rsid w:val="00DA2BA0"/>
    <w:rsid w:val="00DA39AD"/>
    <w:rsid w:val="00DA5B13"/>
    <w:rsid w:val="00DA6917"/>
    <w:rsid w:val="00DA6926"/>
    <w:rsid w:val="00DB0965"/>
    <w:rsid w:val="00DB0E47"/>
    <w:rsid w:val="00DB2BDD"/>
    <w:rsid w:val="00DB3381"/>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3B5"/>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0775"/>
    <w:rsid w:val="00E3179E"/>
    <w:rsid w:val="00E32AC9"/>
    <w:rsid w:val="00E354DA"/>
    <w:rsid w:val="00E354F5"/>
    <w:rsid w:val="00E3687E"/>
    <w:rsid w:val="00E40974"/>
    <w:rsid w:val="00E40AAB"/>
    <w:rsid w:val="00E41205"/>
    <w:rsid w:val="00E41F32"/>
    <w:rsid w:val="00E42608"/>
    <w:rsid w:val="00E43536"/>
    <w:rsid w:val="00E43DA3"/>
    <w:rsid w:val="00E44B80"/>
    <w:rsid w:val="00E45938"/>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A83"/>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54EE"/>
    <w:rsid w:val="00F6612A"/>
    <w:rsid w:val="00F66724"/>
    <w:rsid w:val="00F67F04"/>
    <w:rsid w:val="00F70207"/>
    <w:rsid w:val="00F702CB"/>
    <w:rsid w:val="00F71AC2"/>
    <w:rsid w:val="00F739D4"/>
    <w:rsid w:val="00F75972"/>
    <w:rsid w:val="00F77D43"/>
    <w:rsid w:val="00F80953"/>
    <w:rsid w:val="00F80B5C"/>
    <w:rsid w:val="00F81312"/>
    <w:rsid w:val="00F81B90"/>
    <w:rsid w:val="00F81E6F"/>
    <w:rsid w:val="00F82FF3"/>
    <w:rsid w:val="00F8453C"/>
    <w:rsid w:val="00F84D4C"/>
    <w:rsid w:val="00F8657D"/>
    <w:rsid w:val="00F8730F"/>
    <w:rsid w:val="00F87897"/>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24"/>
    <w:rsid w:val="00FA5535"/>
    <w:rsid w:val="00FA7206"/>
    <w:rsid w:val="00FA7EFB"/>
    <w:rsid w:val="00FB0816"/>
    <w:rsid w:val="00FB08C2"/>
    <w:rsid w:val="00FB2A11"/>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5EC4"/>
    <w:rsid w:val="00FD7858"/>
    <w:rsid w:val="00FD7A8D"/>
    <w:rsid w:val="00FE1330"/>
    <w:rsid w:val="00FE1CE5"/>
    <w:rsid w:val="00FE2832"/>
    <w:rsid w:val="00FE2D38"/>
    <w:rsid w:val="00FE3929"/>
    <w:rsid w:val="00FE3E32"/>
    <w:rsid w:val="00FF097B"/>
    <w:rsid w:val="00FF0B6E"/>
    <w:rsid w:val="00FF1C1B"/>
    <w:rsid w:val="00FF2067"/>
    <w:rsid w:val="00FF3BC4"/>
    <w:rsid w:val="00FF4B66"/>
    <w:rsid w:val="00FF5939"/>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8635646D-F3FD-4B53-9199-E1F8DE938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iPriority="99" w:unhideWhenUsed="1" w:qFormat="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C30"/>
    <w:rPr>
      <w:rFonts w:ascii="Arial" w:hAnsi="Arial"/>
      <w:szCs w:val="24"/>
      <w:lang w:eastAsia="de-DE"/>
    </w:rPr>
  </w:style>
  <w:style w:type="paragraph" w:styleId="Heading1">
    <w:name w:val="heading 1"/>
    <w:basedOn w:val="Normal"/>
    <w:next w:val="Normal"/>
    <w:link w:val="Heading1Char"/>
    <w:qFormat/>
    <w:locked/>
    <w:rsid w:val="009E7724"/>
    <w:pPr>
      <w:keepNext/>
      <w:numPr>
        <w:numId w:val="5"/>
      </w:numPr>
      <w:spacing w:before="240" w:after="60"/>
      <w:outlineLvl w:val="0"/>
    </w:pPr>
    <w:rPr>
      <w:rFonts w:cs="Arial"/>
      <w:b/>
      <w:bCs/>
      <w:kern w:val="32"/>
      <w:sz w:val="24"/>
      <w:szCs w:val="32"/>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3"/>
      </w:numPr>
      <w:spacing w:before="200"/>
      <w:jc w:val="both"/>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pPr>
      <w:spacing w:after="250" w:line="276" w:lineRule="auto"/>
      <w:jc w:val="both"/>
    </w:pPr>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uiPriority w:val="99"/>
    <w:qFormat/>
    <w:locked/>
    <w:rsid w:val="001725A5"/>
    <w:pPr>
      <w:spacing w:line="200" w:lineRule="exact"/>
    </w:pPr>
    <w:rPr>
      <w:sz w:val="16"/>
      <w:szCs w:val="20"/>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uiPriority w:val="99"/>
    <w:locked/>
    <w:rsid w:val="004B1E61"/>
    <w:rPr>
      <w:szCs w:val="20"/>
    </w:rPr>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123 List Paragraph,Numbered Paragraph,Main numbered paragraph,References,Numbered List Paragraph,Bullets,List Paragraph (numbered (a)),List Paragraph nowy,Liste 1,List_Paragraph,3"/>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uiPriority w:val="99"/>
    <w:locked/>
    <w:rsid w:val="00D0272C"/>
    <w:rPr>
      <w:rFonts w:ascii="Georgia" w:hAnsi="Georgia"/>
      <w:sz w:val="16"/>
      <w:lang w:eastAsia="de-DE"/>
    </w:rPr>
  </w:style>
  <w:style w:type="paragraph" w:customStyle="1" w:styleId="DPpara">
    <w:name w:val="DP para"/>
    <w:basedOn w:val="04aNumeration"/>
    <w:link w:val="DPparaChar"/>
    <w:locked/>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9E7724"/>
    <w:rPr>
      <w:rFonts w:ascii="Arial" w:hAnsi="Arial" w:cs="Arial"/>
      <w:b/>
      <w:bCs/>
      <w:kern w:val="32"/>
      <w:sz w:val="24"/>
      <w:szCs w:val="32"/>
      <w:lang w:eastAsia="de-DE"/>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eastAsia="en-US"/>
    </w:rPr>
  </w:style>
  <w:style w:type="paragraph" w:styleId="TOC4">
    <w:name w:val="toc 4"/>
    <w:basedOn w:val="Normal"/>
    <w:next w:val="Normal"/>
    <w:autoRedefine/>
    <w:uiPriority w:val="39"/>
    <w:unhideWhenUsed/>
    <w:locked/>
    <w:rsid w:val="00F377CD"/>
    <w:pPr>
      <w:spacing w:after="100" w:line="276" w:lineRule="auto"/>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line="276" w:lineRule="auto"/>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line="276" w:lineRule="auto"/>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line="276" w:lineRule="auto"/>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line="276" w:lineRule="auto"/>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8"/>
      </w:numPr>
      <w:spacing w:after="240"/>
      <w:jc w:val="both"/>
    </w:pPr>
    <w:rPr>
      <w:rFonts w:ascii="Times New Roman" w:hAnsi="Times New Roman"/>
      <w:sz w:val="24"/>
      <w:szCs w:val="20"/>
      <w:lang w:eastAsia="en-GB"/>
    </w:rPr>
  </w:style>
  <w:style w:type="character" w:customStyle="1" w:styleId="BodyTextChar">
    <w:name w:val="Body Text Char"/>
    <w:link w:val="BodyText"/>
    <w:rsid w:val="00AA016B"/>
    <w:rPr>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b/>
      <w:bCs/>
      <w:szCs w:val="22"/>
      <w:lang w:eastAsia="de-DE"/>
    </w:rPr>
  </w:style>
  <w:style w:type="character" w:customStyle="1" w:styleId="Heading8Char">
    <w:name w:val="Heading 8 Char"/>
    <w:link w:val="Heading8"/>
    <w:rsid w:val="002D6E1A"/>
    <w:rPr>
      <w:i/>
      <w:iCs/>
      <w:szCs w:val="24"/>
      <w:lang w:eastAsia="de-DE"/>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rPr>
      <w:szCs w:val="20"/>
    </w:rPr>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9"/>
      </w:numPr>
      <w:spacing w:before="120" w:after="120"/>
      <w:ind w:left="360" w:hanging="360"/>
      <w:jc w:val="both"/>
    </w:pPr>
    <w:rPr>
      <w:rFonts w:ascii="Times New Roman" w:hAnsi="Times New Roman"/>
      <w:sz w:val="24"/>
      <w:lang w:eastAsia="en-US"/>
    </w:rPr>
  </w:style>
  <w:style w:type="character" w:customStyle="1" w:styleId="ListParagraphChar">
    <w:name w:val="List Paragraph Char"/>
    <w:aliases w:val="Paragraphe EI Char,Paragraphe de liste1 Char,EC Char,Paragraphe de liste Char,123 List Paragraph Char,Numbered Paragraph Char,Main numbered paragraph Char,References Char,Numbered List Paragraph Char,Bullets Char,Liste 1 Char,3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spacing w:after="250" w:line="276" w:lineRule="auto"/>
      <w:jc w:val="both"/>
    </w:pPr>
    <w:rPr>
      <w:rFonts w:eastAsia="Calibri"/>
      <w:szCs w:val="20"/>
      <w:lang w:eastAsia="en-GB"/>
    </w:rPr>
  </w:style>
  <w:style w:type="paragraph" w:customStyle="1" w:styleId="Tiret1">
    <w:name w:val="Tiret 1"/>
    <w:basedOn w:val="Normal"/>
    <w:locke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jc w:val="both"/>
    </w:pPr>
    <w:rPr>
      <w:b/>
      <w:szCs w:val="20"/>
      <w:u w:val="single"/>
    </w:rPr>
  </w:style>
  <w:style w:type="paragraph" w:customStyle="1" w:styleId="Bullet">
    <w:name w:val="Bullet"/>
    <w:basedOn w:val="Normal"/>
    <w:locked/>
    <w:rsid w:val="002D6E1A"/>
    <w:pPr>
      <w:numPr>
        <w:numId w:val="11"/>
      </w:numPr>
      <w:tabs>
        <w:tab w:val="left" w:pos="708"/>
      </w:tabs>
      <w:spacing w:before="120" w:after="120" w:line="276" w:lineRule="auto"/>
      <w:jc w:val="both"/>
    </w:pPr>
    <w:rPr>
      <w:szCs w:val="20"/>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hAnsi="Arial"/>
      <w:b/>
      <w:szCs w:val="24"/>
      <w:lang w:eastAsia="de-DE"/>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Normal"/>
    <w:link w:val="04RunningTextChar"/>
    <w:locked/>
    <w:rsid w:val="000D2D0B"/>
    <w:pPr>
      <w:spacing w:after="250" w:line="276" w:lineRule="auto"/>
      <w:ind w:left="397" w:hanging="397"/>
      <w:jc w:val="both"/>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Normal"/>
    <w:locke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Normal"/>
    <w:next w:val="Normal"/>
    <w:locke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Normal"/>
    <w:locke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Normal"/>
    <w:rsid w:val="000D2D0B"/>
    <w:rPr>
      <w:szCs w:val="20"/>
    </w:rPr>
  </w:style>
  <w:style w:type="paragraph" w:customStyle="1" w:styleId="Sbuchead">
    <w:name w:val="Sbuchead"/>
    <w:basedOn w:val="Normal"/>
    <w:locked/>
    <w:rsid w:val="000D2D0B"/>
    <w:pPr>
      <w:spacing w:after="360"/>
    </w:pPr>
    <w:rPr>
      <w:rFonts w:ascii="Times New Roman" w:hAnsi="Times New Roman"/>
      <w:b/>
      <w:caps/>
      <w:sz w:val="24"/>
      <w:szCs w:val="20"/>
      <w:lang w:eastAsia="en-GB"/>
    </w:rPr>
  </w:style>
  <w:style w:type="paragraph" w:customStyle="1" w:styleId="Applicationdirecte">
    <w:name w:val="Application directe"/>
    <w:basedOn w:val="Normal"/>
    <w:next w:val="Fait"/>
    <w:locked/>
    <w:rsid w:val="000D2D0B"/>
    <w:pPr>
      <w:spacing w:before="480" w:after="120"/>
      <w:jc w:val="both"/>
    </w:pPr>
    <w:rPr>
      <w:rFonts w:ascii="Times New Roman" w:hAnsi="Times New Roman"/>
      <w:sz w:val="24"/>
      <w:lang w:eastAsia="en-US"/>
    </w:rPr>
  </w:style>
  <w:style w:type="paragraph" w:customStyle="1" w:styleId="Fait">
    <w:name w:val="Fait à"/>
    <w:basedOn w:val="Normal"/>
    <w:next w:val="Institutionquisigne"/>
    <w:locked/>
    <w:rsid w:val="000D2D0B"/>
    <w:pPr>
      <w:keepNext/>
      <w:spacing w:before="120"/>
      <w:jc w:val="both"/>
    </w:pPr>
    <w:rPr>
      <w:rFonts w:ascii="Times New Roman" w:hAnsi="Times New Roman"/>
      <w:sz w:val="24"/>
      <w:lang w:eastAsia="en-US"/>
    </w:rPr>
  </w:style>
  <w:style w:type="paragraph" w:customStyle="1" w:styleId="Formuledadoption">
    <w:name w:val="Formule d'adoption"/>
    <w:basedOn w:val="Normal"/>
    <w:next w:val="Titrearticle"/>
    <w:locked/>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lang w:eastAsia="en-US"/>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lang w:eastAsia="en-US"/>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lang w:eastAsia="en-US"/>
    </w:rPr>
  </w:style>
  <w:style w:type="paragraph" w:customStyle="1" w:styleId="HeaderLandscape">
    <w:name w:val="HeaderLandscape"/>
    <w:basedOn w:val="Normal"/>
    <w:locke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Normal"/>
    <w:locked/>
    <w:rsid w:val="000D2D0B"/>
    <w:pPr>
      <w:spacing w:before="120" w:after="120"/>
      <w:ind w:left="850"/>
      <w:jc w:val="both"/>
    </w:pPr>
    <w:rPr>
      <w:rFonts w:ascii="Times New Roman" w:hAnsi="Times New Roman"/>
      <w:sz w:val="24"/>
      <w:lang w:eastAsia="en-US"/>
    </w:rPr>
  </w:style>
  <w:style w:type="paragraph" w:customStyle="1" w:styleId="Text2">
    <w:name w:val="Text 2"/>
    <w:basedOn w:val="Normal"/>
    <w:locked/>
    <w:rsid w:val="000D2D0B"/>
    <w:pPr>
      <w:spacing w:before="120" w:after="120"/>
      <w:ind w:left="1417"/>
      <w:jc w:val="both"/>
    </w:pPr>
    <w:rPr>
      <w:rFonts w:ascii="Times New Roman" w:hAnsi="Times New Roman"/>
      <w:sz w:val="24"/>
      <w:lang w:eastAsia="en-US"/>
    </w:rPr>
  </w:style>
  <w:style w:type="paragraph" w:customStyle="1" w:styleId="Text3">
    <w:name w:val="Text 3"/>
    <w:basedOn w:val="Normal"/>
    <w:locked/>
    <w:rsid w:val="000D2D0B"/>
    <w:pPr>
      <w:spacing w:before="120" w:after="120"/>
      <w:ind w:left="1984"/>
      <w:jc w:val="both"/>
    </w:pPr>
    <w:rPr>
      <w:rFonts w:ascii="Times New Roman" w:hAnsi="Times New Roman"/>
      <w:sz w:val="24"/>
      <w:lang w:eastAsia="en-US"/>
    </w:rPr>
  </w:style>
  <w:style w:type="paragraph" w:customStyle="1" w:styleId="Text4">
    <w:name w:val="Text 4"/>
    <w:basedOn w:val="Normal"/>
    <w:locke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Normal"/>
    <w:rsid w:val="000D2D0B"/>
    <w:pPr>
      <w:spacing w:before="120" w:after="120"/>
      <w:jc w:val="center"/>
    </w:pPr>
    <w:rPr>
      <w:rFonts w:ascii="Times New Roman" w:hAnsi="Times New Roman"/>
      <w:sz w:val="24"/>
      <w:lang w:eastAsia="en-US"/>
    </w:rPr>
  </w:style>
  <w:style w:type="paragraph" w:customStyle="1" w:styleId="NormalLeft">
    <w:name w:val="Normal Left"/>
    <w:basedOn w:val="Normal"/>
    <w:rsid w:val="000D2D0B"/>
    <w:pPr>
      <w:spacing w:before="120" w:after="120"/>
    </w:pPr>
    <w:rPr>
      <w:rFonts w:ascii="Times New Roman" w:hAnsi="Times New Roman"/>
      <w:sz w:val="24"/>
      <w:lang w:eastAsia="en-US"/>
    </w:rPr>
  </w:style>
  <w:style w:type="paragraph" w:customStyle="1" w:styleId="NormalRight">
    <w:name w:val="Normal Right"/>
    <w:basedOn w:val="Normal"/>
    <w:rsid w:val="000D2D0B"/>
    <w:pPr>
      <w:spacing w:before="120" w:after="120"/>
      <w:jc w:val="right"/>
    </w:pPr>
    <w:rPr>
      <w:rFonts w:ascii="Times New Roman" w:hAnsi="Times New Roman"/>
      <w:sz w:val="24"/>
      <w:lang w:eastAsia="en-US"/>
    </w:rPr>
  </w:style>
  <w:style w:type="paragraph" w:customStyle="1" w:styleId="QuotedText">
    <w:name w:val="Quoted Text"/>
    <w:basedOn w:val="Normal"/>
    <w:locked/>
    <w:rsid w:val="000D2D0B"/>
    <w:pPr>
      <w:spacing w:before="120" w:after="120"/>
      <w:ind w:left="1417"/>
      <w:jc w:val="both"/>
    </w:pPr>
    <w:rPr>
      <w:rFonts w:ascii="Times New Roman" w:hAnsi="Times New Roman"/>
      <w:sz w:val="24"/>
      <w:lang w:eastAsia="en-US"/>
    </w:rPr>
  </w:style>
  <w:style w:type="paragraph" w:customStyle="1" w:styleId="Point0">
    <w:name w:val="Point 0"/>
    <w:basedOn w:val="Normal"/>
    <w:locke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Normal"/>
    <w:locke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Normal"/>
    <w:locke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Normal"/>
    <w:locke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Normal"/>
    <w:locke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locked/>
    <w:rsid w:val="000D2D0B"/>
    <w:pPr>
      <w:numPr>
        <w:numId w:val="18"/>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9"/>
      </w:numPr>
    </w:pPr>
  </w:style>
  <w:style w:type="paragraph" w:customStyle="1" w:styleId="Tiret4">
    <w:name w:val="Tiret 4"/>
    <w:basedOn w:val="Point4"/>
    <w:locked/>
    <w:rsid w:val="000D2D0B"/>
    <w:pPr>
      <w:numPr>
        <w:numId w:val="20"/>
      </w:numPr>
    </w:pPr>
  </w:style>
  <w:style w:type="paragraph" w:customStyle="1" w:styleId="PointDouble0">
    <w:name w:val="PointDouble 0"/>
    <w:basedOn w:val="Normal"/>
    <w:locke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Normal"/>
    <w:locke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Normal"/>
    <w:locke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Normal"/>
    <w:locke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Normal"/>
    <w:locke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Normal"/>
    <w:locke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Normal"/>
    <w:locke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Normal"/>
    <w:locke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Normal"/>
    <w:locke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Normal"/>
    <w:locke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Normal"/>
    <w:next w:val="Text1"/>
    <w:locked/>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Normal"/>
    <w:next w:val="Text1"/>
    <w:locked/>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Normal"/>
    <w:next w:val="Text1"/>
    <w:locked/>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Normal"/>
    <w:next w:val="Text1"/>
    <w:locked/>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Normal"/>
    <w:next w:val="Text1"/>
    <w:locked/>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Normal"/>
    <w:locke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Normal"/>
    <w:next w:val="Text1"/>
    <w:locked/>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Normal"/>
    <w:next w:val="Text1"/>
    <w:locked/>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Normal"/>
    <w:next w:val="Text1"/>
    <w:locked/>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Normal"/>
    <w:next w:val="Text1"/>
    <w:locked/>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lang w:eastAsia="en-US"/>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lang w:eastAsia="en-US"/>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Normal"/>
    <w:locke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Normal"/>
    <w:locke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Normal"/>
    <w:locke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Normal"/>
    <w:locke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Normal"/>
    <w:locke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Normal"/>
    <w:locke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Normal"/>
    <w:locke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Normal"/>
    <w:locke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Normal"/>
    <w:locke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Normal"/>
    <w:locke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Normal"/>
    <w:locke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Normal"/>
    <w:locke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Normal"/>
    <w:locke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Normal"/>
    <w:next w:val="Normal"/>
    <w:locke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Normal"/>
    <w:next w:val="Normal"/>
    <w:locked/>
    <w:rsid w:val="000D2D0B"/>
    <w:pPr>
      <w:spacing w:before="360" w:after="120"/>
      <w:jc w:val="center"/>
    </w:pPr>
    <w:rPr>
      <w:rFonts w:ascii="Times New Roman" w:hAnsi="Times New Roman"/>
      <w:sz w:val="24"/>
      <w:lang w:eastAsia="en-US"/>
    </w:rPr>
  </w:style>
  <w:style w:type="paragraph" w:customStyle="1" w:styleId="Confidentialit">
    <w:name w:val="Confidentialité"/>
    <w:basedOn w:val="Normal"/>
    <w:next w:val="TypedudocumentPagedecouverture"/>
    <w:locked/>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Normal"/>
    <w:next w:val="Normal"/>
    <w:locked/>
    <w:rsid w:val="000D2D0B"/>
    <w:pPr>
      <w:spacing w:after="240"/>
    </w:pPr>
    <w:rPr>
      <w:rFonts w:ascii="Times New Roman" w:hAnsi="Times New Roman"/>
      <w:sz w:val="24"/>
      <w:lang w:eastAsia="en-US"/>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lang w:eastAsia="en-US"/>
    </w:rPr>
  </w:style>
  <w:style w:type="paragraph" w:customStyle="1" w:styleId="Emission">
    <w:name w:val="Emission"/>
    <w:basedOn w:val="Normal"/>
    <w:next w:val="Rfrenceinstitutionnelle"/>
    <w:locked/>
    <w:rsid w:val="000D2D0B"/>
    <w:pPr>
      <w:ind w:left="5103"/>
    </w:pPr>
    <w:rPr>
      <w:rFonts w:ascii="Times New Roman" w:hAnsi="Times New Roman"/>
      <w:sz w:val="24"/>
      <w:lang w:eastAsia="en-US"/>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Normal"/>
    <w:next w:val="Normal"/>
    <w:locked/>
    <w:rsid w:val="000D2D0B"/>
    <w:pPr>
      <w:keepNext/>
      <w:spacing w:before="600" w:after="120"/>
      <w:jc w:val="both"/>
    </w:pPr>
    <w:rPr>
      <w:rFonts w:ascii="Times New Roman" w:hAnsi="Times New Roman"/>
      <w:sz w:val="24"/>
      <w:lang w:eastAsia="en-US"/>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Normal"/>
    <w:locke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Normal"/>
    <w:next w:val="Emission"/>
    <w:locked/>
    <w:rsid w:val="000D2D0B"/>
    <w:rPr>
      <w:rFonts w:cs="Arial"/>
      <w:sz w:val="24"/>
      <w:lang w:eastAsia="en-US"/>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lang w:eastAsia="en-US"/>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lang w:eastAsia="en-US"/>
    </w:rPr>
  </w:style>
  <w:style w:type="paragraph" w:customStyle="1" w:styleId="Sous-titreobjet">
    <w:name w:val="Sous-titre objet"/>
    <w:basedOn w:val="Normal"/>
    <w:locked/>
    <w:rsid w:val="000D2D0B"/>
    <w:pPr>
      <w:jc w:val="center"/>
    </w:pPr>
    <w:rPr>
      <w:rFonts w:ascii="Times New Roman" w:hAnsi="Times New Roman"/>
      <w:b/>
      <w:sz w:val="24"/>
      <w:lang w:eastAsia="en-US"/>
    </w:rPr>
  </w:style>
  <w:style w:type="paragraph" w:customStyle="1" w:styleId="Statut">
    <w:name w:val="Statut"/>
    <w:basedOn w:val="Normal"/>
    <w:next w:val="Typedudocument"/>
    <w:locked/>
    <w:rsid w:val="000D2D0B"/>
    <w:pPr>
      <w:spacing w:before="360"/>
      <w:jc w:val="center"/>
    </w:pPr>
    <w:rPr>
      <w:rFonts w:ascii="Times New Roman" w:hAnsi="Times New Roman"/>
      <w:sz w:val="24"/>
      <w:lang w:eastAsia="en-US"/>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Normal"/>
    <w:next w:val="Normal"/>
    <w:locke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Normal"/>
    <w:next w:val="Normal"/>
    <w:locked/>
    <w:rsid w:val="000D2D0B"/>
    <w:pPr>
      <w:spacing w:before="120" w:after="120"/>
      <w:jc w:val="both"/>
    </w:pPr>
    <w:rPr>
      <w:rFonts w:ascii="Times New Roman" w:hAnsi="Times New Roman"/>
      <w:sz w:val="24"/>
      <w:lang w:eastAsia="en-US"/>
    </w:rPr>
  </w:style>
  <w:style w:type="paragraph" w:customStyle="1" w:styleId="Supertitre">
    <w:name w:val="Supertitre"/>
    <w:basedOn w:val="Normal"/>
    <w:next w:val="Normal"/>
    <w:locked/>
    <w:rsid w:val="000D2D0B"/>
    <w:pPr>
      <w:spacing w:after="600"/>
      <w:jc w:val="center"/>
    </w:pPr>
    <w:rPr>
      <w:rFonts w:ascii="Times New Roman" w:hAnsi="Times New Roman"/>
      <w:b/>
      <w:sz w:val="24"/>
      <w:lang w:eastAsia="en-US"/>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lang w:eastAsia="en-US"/>
    </w:rPr>
  </w:style>
  <w:style w:type="paragraph" w:customStyle="1" w:styleId="Rfrencecroise">
    <w:name w:val="Référence croisée"/>
    <w:basedOn w:val="Normal"/>
    <w:locked/>
    <w:rsid w:val="000D2D0B"/>
    <w:pPr>
      <w:jc w:val="center"/>
    </w:pPr>
    <w:rPr>
      <w:rFonts w:ascii="Times New Roman" w:hAnsi="Times New Roman"/>
      <w:sz w:val="24"/>
      <w:lang w:eastAsia="en-US"/>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lang w:eastAsia="en-US"/>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lang w:eastAsia="en-US"/>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lang w:eastAsia="en-US"/>
    </w:rPr>
  </w:style>
  <w:style w:type="paragraph" w:styleId="ListNumber2">
    <w:name w:val="List Number 2"/>
    <w:basedOn w:val="Normal"/>
    <w:locked/>
    <w:rsid w:val="000D2D0B"/>
    <w:pPr>
      <w:tabs>
        <w:tab w:val="num" w:pos="643"/>
      </w:tabs>
      <w:spacing w:before="120" w:after="120"/>
      <w:ind w:left="643" w:hanging="360"/>
      <w:jc w:val="both"/>
    </w:pPr>
    <w:rPr>
      <w:rFonts w:ascii="Times New Roman" w:hAnsi="Times New Roman"/>
      <w:sz w:val="24"/>
      <w:lang w:eastAsia="en-US"/>
    </w:rPr>
  </w:style>
  <w:style w:type="paragraph" w:styleId="ListNumber3">
    <w:name w:val="List Number 3"/>
    <w:basedOn w:val="Normal"/>
    <w:locked/>
    <w:rsid w:val="000D2D0B"/>
    <w:pPr>
      <w:tabs>
        <w:tab w:val="num" w:pos="926"/>
      </w:tabs>
      <w:spacing w:before="120" w:after="120"/>
      <w:ind w:left="926" w:hanging="360"/>
      <w:jc w:val="both"/>
    </w:pPr>
    <w:rPr>
      <w:rFonts w:ascii="Times New Roman" w:hAnsi="Times New Roman"/>
      <w:sz w:val="24"/>
      <w:lang w:eastAsia="en-US"/>
    </w:rPr>
  </w:style>
  <w:style w:type="paragraph" w:styleId="ListNumber4">
    <w:name w:val="List Number 4"/>
    <w:basedOn w:val="Normal"/>
    <w:locke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ListBullet">
    <w:name w:val="List Bullet"/>
    <w:basedOn w:val="Normal"/>
    <w:locke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ListBullet2">
    <w:name w:val="List Bullet 2"/>
    <w:basedOn w:val="Normal"/>
    <w:locke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ListBullet3">
    <w:name w:val="List Bullet 3"/>
    <w:basedOn w:val="Normal"/>
    <w:locked/>
    <w:rsid w:val="000D2D0B"/>
    <w:pPr>
      <w:numPr>
        <w:numId w:val="16"/>
      </w:numPr>
      <w:tabs>
        <w:tab w:val="num" w:pos="926"/>
      </w:tabs>
      <w:spacing w:before="120" w:after="120"/>
      <w:ind w:left="926"/>
      <w:jc w:val="both"/>
    </w:pPr>
    <w:rPr>
      <w:rFonts w:ascii="Times New Roman" w:hAnsi="Times New Roman"/>
      <w:sz w:val="24"/>
      <w:lang w:eastAsia="en-US"/>
    </w:rPr>
  </w:style>
  <w:style w:type="paragraph" w:styleId="ListBullet4">
    <w:name w:val="List Bullet 4"/>
    <w:basedOn w:val="Normal"/>
    <w:locke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TableofFigures">
    <w:name w:val="table of figures"/>
    <w:basedOn w:val="Normal"/>
    <w:next w:val="Normal"/>
    <w:locke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eastAsia="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7"/>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Normal"/>
    <w:uiPriority w:val="99"/>
    <w:locked/>
    <w:rsid w:val="000D2D0B"/>
    <w:pPr>
      <w:ind w:left="720"/>
      <w:contextualSpacing/>
    </w:pPr>
    <w:rPr>
      <w:rFonts w:ascii="Cambria" w:hAnsi="Cambria"/>
      <w:sz w:val="24"/>
      <w:lang w:val="en-US" w:eastAsia="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jc w:val="both"/>
    </w:pPr>
    <w:rPr>
      <w:rFonts w:ascii="Myriad Pro Light" w:hAnsi="Myriad Pro Light"/>
      <w:b/>
      <w:sz w:val="21"/>
      <w:szCs w:val="20"/>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Normal"/>
    <w:link w:val="NEW-Paragraph-level3Char"/>
    <w:locked/>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Normal"/>
    <w:locke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Normal"/>
    <w:locke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Normal"/>
    <w:link w:val="NEW-Level2Char"/>
    <w:locked/>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Normal"/>
    <w:link w:val="aNew-Level33Char"/>
    <w:qFormat/>
    <w:locked/>
    <w:rsid w:val="004C14E7"/>
    <w:pPr>
      <w:spacing w:after="250" w:line="276" w:lineRule="auto"/>
      <w:ind w:left="426" w:hanging="426"/>
      <w:jc w:val="both"/>
    </w:pPr>
    <w:rPr>
      <w:b/>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Normal"/>
    <w:link w:val="aNew-Level5Char"/>
    <w:qFormat/>
    <w:locked/>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2"/>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DefaultParagraphFon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locked/>
    <w:rsid w:val="00566C6A"/>
    <w:pPr>
      <w:numPr>
        <w:numId w:val="33"/>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sz w:val="32"/>
      <w:szCs w:val="32"/>
    </w:rPr>
  </w:style>
  <w:style w:type="paragraph" w:customStyle="1" w:styleId="CPTitle1">
    <w:name w:val="CP_Title1"/>
    <w:basedOn w:val="Heading1"/>
    <w:link w:val="CPTitle1Char"/>
    <w:qFormat/>
    <w:locked/>
    <w:rsid w:val="00D34282"/>
    <w:pPr>
      <w:keepLines/>
      <w:numPr>
        <w:numId w:val="34"/>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4"/>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Normal"/>
    <w:qFormat/>
    <w:locked/>
    <w:rsid w:val="00D34282"/>
    <w:pPr>
      <w:numPr>
        <w:ilvl w:val="3"/>
        <w:numId w:val="34"/>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Normal"/>
    <w:qFormat/>
    <w:locked/>
    <w:rsid w:val="00D34282"/>
    <w:pPr>
      <w:numPr>
        <w:ilvl w:val="4"/>
        <w:numId w:val="34"/>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Normal"/>
    <w:qFormat/>
    <w:locked/>
    <w:rsid w:val="00D34282"/>
    <w:pPr>
      <w:numPr>
        <w:ilvl w:val="5"/>
        <w:numId w:val="34"/>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Normal"/>
    <w:qFormat/>
    <w:locked/>
    <w:rsid w:val="00D34282"/>
    <w:pPr>
      <w:numPr>
        <w:ilvl w:val="6"/>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Normal"/>
    <w:qFormat/>
    <w:locked/>
    <w:rsid w:val="00D34282"/>
    <w:pPr>
      <w:numPr>
        <w:ilvl w:val="7"/>
        <w:numId w:val="34"/>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Normal"/>
    <w:qFormat/>
    <w:locked/>
    <w:rsid w:val="00D34282"/>
    <w:pPr>
      <w:numPr>
        <w:ilvl w:val="8"/>
        <w:numId w:val="34"/>
      </w:numPr>
      <w:spacing w:before="250" w:line="276" w:lineRule="auto"/>
      <w:jc w:val="both"/>
    </w:pPr>
    <w:rPr>
      <w:rFonts w:asciiTheme="minorHAnsi" w:eastAsiaTheme="minorEastAsia" w:hAnsiTheme="minorHAnsi" w:cstheme="minorBidi"/>
      <w:sz w:val="22"/>
      <w:szCs w:val="20"/>
      <w:lang w:eastAsia="en-US"/>
    </w:rPr>
  </w:style>
  <w:style w:type="character" w:customStyle="1" w:styleId="QuestionstyleChar">
    <w:name w:val="Question style Char"/>
    <w:basedOn w:val="DefaultParagraphFont"/>
    <w:link w:val="Questionstyle"/>
    <w:locked/>
    <w:rsid w:val="000A609F"/>
    <w:rPr>
      <w:rFonts w:ascii="Arial" w:eastAsiaTheme="minorEastAsia" w:hAnsi="Arial" w:cs="Arial"/>
      <w:b/>
      <w:lang w:val="en-US"/>
    </w:rPr>
  </w:style>
  <w:style w:type="paragraph" w:customStyle="1" w:styleId="Questionstyle">
    <w:name w:val="Question style"/>
    <w:basedOn w:val="Normal"/>
    <w:next w:val="Normal"/>
    <w:link w:val="QuestionstyleChar"/>
    <w:autoRedefine/>
    <w:qFormat/>
    <w:rsid w:val="000A609F"/>
    <w:pPr>
      <w:spacing w:after="250" w:line="276" w:lineRule="auto"/>
      <w:contextualSpacing/>
      <w:jc w:val="both"/>
    </w:pPr>
    <w:rPr>
      <w:rFonts w:eastAsiaTheme="minorEastAsia" w:cs="Arial"/>
      <w:b/>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25463588">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09818697">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esma.europa.eu"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ustainable Finance Document" ma:contentTypeID="0x010100DD70E92362DEE14191597B20A60D97FF0500970CD517293225479483743EE25FFF6B" ma:contentTypeVersion="6" ma:contentTypeDescription="" ma:contentTypeScope="" ma:versionID="fc5a918ed19341902796e5920a7d490b">
  <xsd:schema xmlns:xsd="http://www.w3.org/2001/XMLSchema" xmlns:xs="http://www.w3.org/2001/XMLSchema" xmlns:p="http://schemas.microsoft.com/office/2006/metadata/properties" xmlns:ns2="35c8e399-07b8-49e4-91bf-01a20105d4df" targetNamespace="http://schemas.microsoft.com/office/2006/metadata/properties" ma:root="true" ma:fieldsID="a7a2222f662d2cbeb6ad9aa76c34296d" ns2:_="">
    <xsd:import namespace="35c8e399-07b8-49e4-91bf-01a20105d4df"/>
    <xsd:element name="properties">
      <xsd:complexType>
        <xsd:sequence>
          <xsd:element name="documentManagement">
            <xsd:complexType>
              <xsd:all>
                <xsd:element ref="ns2:Year"/>
                <xsd:element ref="ns2:MeetingDate" minOccurs="0"/>
                <xsd:element ref="ns2:k9db3a09612944c49e649e0ff38a506b" minOccurs="0"/>
                <xsd:element ref="ns2:kdd529b9a5cb416096d62dbd0e6e5583" minOccurs="0"/>
                <xsd:element ref="ns2:_dlc_DocIdPersistId" minOccurs="0"/>
                <xsd:element ref="ns2:oa4fe03ffd8943c1880fe290404e8de7" minOccurs="0"/>
                <xsd:element ref="ns2:o129a376828d47fdaef4d5f5d93fd079" minOccurs="0"/>
                <xsd:element ref="ns2:_dlc_DocId" minOccurs="0"/>
                <xsd:element ref="ns2:_dlc_DocIdUrl" minOccurs="0"/>
                <xsd:element ref="ns2:TaxCatchAll" minOccurs="0"/>
                <xsd:element ref="ns2:i273e4c9de95495b82bee898e1d119e4" minOccurs="0"/>
                <xsd:element ref="ns2:pe003f6b23174764860dd10a5d2d3e7f"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c8e399-07b8-49e4-91bf-01a20105d4df" elementFormDefault="qualified">
    <xsd:import namespace="http://schemas.microsoft.com/office/2006/documentManagement/types"/>
    <xsd:import namespace="http://schemas.microsoft.com/office/infopath/2007/PartnerControls"/>
    <xsd:element name="Year" ma:index="6" ma:displayName="Year" ma:description="" ma:internalName="Year" ma:readOnly="false">
      <xsd:simpleType>
        <xsd:restriction base="dms:Text">
          <xsd:maxLength value="4"/>
        </xsd:restriction>
      </xsd:simpleType>
    </xsd:element>
    <xsd:element name="MeetingDate" ma:index="8" nillable="true" ma:displayName="Meeting Date" ma:description="" ma:format="DateOnly" ma:internalName="MeetingDate">
      <xsd:simpleType>
        <xsd:restriction base="dms:DateTime"/>
      </xsd:simpleType>
    </xsd:element>
    <xsd:element name="k9db3a09612944c49e649e0ff38a506b" ma:index="10" nillable="true" ma:taxonomy="true" ma:internalName="k9db3a09612944c49e649e0ff38a506b" ma:taxonomyFieldName="EsmaAudience" ma:displayName="Audience" ma:readOnly="false" ma:default="" ma:fieldId="{49db3a09-6129-44c4-9e64-9e0ff38a506b}" ma:sspId="0ac1876e-32bf-4158-94e7-cdbcd053a335" ma:termSetId="76343289-0524-4d6c-b317-76d8c2e49caa" ma:anchorId="00000000-0000-0000-0000-000000000000" ma:open="false" ma:isKeyword="false">
      <xsd:complexType>
        <xsd:sequence>
          <xsd:element ref="pc:Terms" minOccurs="0" maxOccurs="1"/>
        </xsd:sequence>
      </xsd:complexType>
    </xsd:element>
    <xsd:element name="kdd529b9a5cb416096d62dbd0e6e5583" ma:index="14" nillable="true" ma:taxonomy="true" ma:internalName="kdd529b9a5cb416096d62dbd0e6e5583" ma:taxonomyFieldName="TeamName" ma:displayName="Team Name" ma:readOnly="false" ma:default="38;#Investment Management|9630b78b-e81c-4ffd-baef-5f8b4aeb7ac5" ma:fieldId="{4dd529b9-a5cb-4160-96d6-2dbd0e6e5583}" ma:sspId="0ac1876e-32bf-4158-94e7-cdbcd053a335" ma:termSetId="9ab8a8dd-aa7f-4e9e-9345-c8f50d6bfad1" ma:anchorId="00000000-0000-0000-0000-000000000000" ma:open="false" ma:isKeyword="false">
      <xsd:complexType>
        <xsd:sequence>
          <xsd:element ref="pc:Terms" minOccurs="0" maxOccurs="1"/>
        </xsd:sequence>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oa4fe03ffd8943c1880fe290404e8de7" ma:index="16" nillable="true" ma:taxonomy="true" ma:internalName="oa4fe03ffd8943c1880fe290404e8de7" ma:taxonomyFieldName="DocumentType" ma:displayName="Document Type" ma:readOnly="false" ma:default="" ma:fieldId="{8a4fe03f-fd89-43c1-880f-e290404e8de7}" ma:sspId="0ac1876e-32bf-4158-94e7-cdbcd053a335" ma:termSetId="f83a1c9a-b23f-455b-8c9e-17fb9037db30" ma:anchorId="00000000-0000-0000-0000-000000000000" ma:open="false" ma:isKeyword="false">
      <xsd:complexType>
        <xsd:sequence>
          <xsd:element ref="pc:Terms" minOccurs="0" maxOccurs="1"/>
        </xsd:sequence>
      </xsd:complexType>
    </xsd:element>
    <xsd:element name="o129a376828d47fdaef4d5f5d93fd079" ma:index="18" ma:taxonomy="true" ma:internalName="o129a376828d47fdaef4d5f5d93fd079" ma:taxonomyFieldName="ConfidentialityLevel" ma:displayName="Confidentiality Level" ma:readOnly="false" ma:default="15;#Regular|07f1e362-856b-423d-bea6-a14079762141" ma:fieldId="{8129a376-828d-47fd-aef4-d5f5d93fd079}" ma:sspId="0ac1876e-32bf-4158-94e7-cdbcd053a335" ma:termSetId="63da149f-0364-4b58-9838-6f5855a402c0"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1" nillable="true" ma:displayName="Taxonomy Catch All Column" ma:hidden="true" ma:list="{c380671e-f6c3-419a-ac4e-e7d07b07efc7}" ma:internalName="TaxCatchAll" ma:showField="CatchAllData" ma:web="35c8e399-07b8-49e4-91bf-01a20105d4df">
      <xsd:complexType>
        <xsd:complexContent>
          <xsd:extension base="dms:MultiChoiceLookup">
            <xsd:sequence>
              <xsd:element name="Value" type="dms:Lookup" maxOccurs="unbounded" minOccurs="0" nillable="true"/>
            </xsd:sequence>
          </xsd:extension>
        </xsd:complexContent>
      </xsd:complexType>
    </xsd:element>
    <xsd:element name="i273e4c9de95495b82bee898e1d119e4" ma:index="23" nillable="true" ma:taxonomy="true" ma:internalName="i273e4c9de95495b82bee898e1d119e4" ma:taxonomyFieldName="Topic" ma:displayName="Topic" ma:fieldId="{2273e4c9-de95-495b-82be-e898e1d119e4}" ma:sspId="0ac1876e-32bf-4158-94e7-cdbcd053a335" ma:termSetId="dce471d3-59d8-4d80-8316-7dd10dc94245" ma:anchorId="00000000-0000-0000-0000-000000000000" ma:open="false" ma:isKeyword="false">
      <xsd:complexType>
        <xsd:sequence>
          <xsd:element ref="pc:Terms" minOccurs="0" maxOccurs="1"/>
        </xsd:sequence>
      </xsd:complexType>
    </xsd:element>
    <xsd:element name="pe003f6b23174764860dd10a5d2d3e7f" ma:index="25" nillable="true" ma:taxonomy="true" ma:internalName="pe003f6b23174764860dd10a5d2d3e7f" ma:taxonomyFieldName="SubTopic" ma:displayName="Sub Topic" ma:fieldId="{9e003f6b-2317-4764-860d-d10a5d2d3e7f}" ma:sspId="0ac1876e-32bf-4158-94e7-cdbcd053a335" ma:termSetId="0a6922ba-4b5d-4066-b81e-7cc61c85a71b" ma:anchorId="00000000-0000-0000-0000-000000000000" ma:open="false" ma:isKeyword="false">
      <xsd:complexType>
        <xsd:sequence>
          <xsd:element ref="pc:Terms" minOccurs="0" maxOccurs="1"/>
        </xsd:sequence>
      </xsd:complexType>
    </xsd:element>
    <xsd:element name="TaxCatchAllLabel" ma:index="26" nillable="true" ma:displayName="Taxonomy Catch All Column1" ma:hidden="true" ma:list="{c380671e-f6c3-419a-ac4e-e7d07b07efc7}" ma:internalName="TaxCatchAllLabel" ma:readOnly="true" ma:showField="CatchAllDataLabel" ma:web="35c8e399-07b8-49e4-91bf-01a20105d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2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etingDate xmlns="35c8e399-07b8-49e4-91bf-01a20105d4df" xsi:nil="true"/>
    <Year xmlns="35c8e399-07b8-49e4-91bf-01a20105d4df">2022</Year>
    <TaxCatchAll xmlns="35c8e399-07b8-49e4-91bf-01a20105d4df">
      <Value>15</Value>
      <Value>46</Value>
      <Value>385</Value>
      <Value>194</Value>
      <Value>379</Value>
      <Value>38</Value>
    </TaxCatchAll>
    <_dlc_DocId xmlns="35c8e399-07b8-49e4-91bf-01a20105d4df">ESMA34-472-383</_dlc_DocId>
    <_dlc_DocIdUrl xmlns="35c8e399-07b8-49e4-91bf-01a20105d4df">
      <Url>https://sherpa.esma.europa.eu/sites/INIIVM/_layouts/15/DocIdRedir.aspx?ID=ESMA34-472-383</Url>
      <Description>ESMA34-472-383</Description>
    </_dlc_DocIdUrl>
    <k9db3a09612944c49e649e0ff38a506b xmlns="35c8e399-07b8-49e4-91bf-01a20105d4df">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902c1e7c-3957-48c1-abbe-acf26525b3f2</TermId>
        </TermInfo>
      </Terms>
    </k9db3a09612944c49e649e0ff38a506b>
    <o129a376828d47fdaef4d5f5d93fd079 xmlns="35c8e399-07b8-49e4-91bf-01a20105d4df">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129a376828d47fdaef4d5f5d93fd079>
    <pe003f6b23174764860dd10a5d2d3e7f xmlns="35c8e399-07b8-49e4-91bf-01a20105d4df">
      <Terms xmlns="http://schemas.microsoft.com/office/infopath/2007/PartnerControls">
        <TermInfo xmlns="http://schemas.microsoft.com/office/infopath/2007/PartnerControls">
          <TermName xmlns="http://schemas.microsoft.com/office/infopath/2007/PartnerControls">Supervisory briefing</TermName>
          <TermId xmlns="http://schemas.microsoft.com/office/infopath/2007/PartnerControls">bf46ff00-e6bf-4d5e-8642-e9ec713c4e98</TermId>
        </TermInfo>
      </Terms>
    </pe003f6b23174764860dd10a5d2d3e7f>
    <kdd529b9a5cb416096d62dbd0e6e5583 xmlns="35c8e399-07b8-49e4-91bf-01a20105d4df">
      <Terms xmlns="http://schemas.microsoft.com/office/infopath/2007/PartnerControls">
        <TermInfo xmlns="http://schemas.microsoft.com/office/infopath/2007/PartnerControls">
          <TermName xmlns="http://schemas.microsoft.com/office/infopath/2007/PartnerControls">Investment Management</TermName>
          <TermId xmlns="http://schemas.microsoft.com/office/infopath/2007/PartnerControls">9630b78b-e81c-4ffd-baef-5f8b4aeb7ac5</TermId>
        </TermInfo>
      </Terms>
    </kdd529b9a5cb416096d62dbd0e6e5583>
    <i273e4c9de95495b82bee898e1d119e4 xmlns="35c8e399-07b8-49e4-91bf-01a20105d4df">
      <Terms xmlns="http://schemas.microsoft.com/office/infopath/2007/PartnerControls">
        <TermInfo xmlns="http://schemas.microsoft.com/office/infopath/2007/PartnerControls">
          <TermName xmlns="http://schemas.microsoft.com/office/infopath/2007/PartnerControls">IMSC and OWG work on sustainable finance</TermName>
          <TermId xmlns="http://schemas.microsoft.com/office/infopath/2007/PartnerControls">f6ed5092-971f-4cd6-863c-09ec339003ff</TermId>
        </TermInfo>
      </Terms>
    </i273e4c9de95495b82bee898e1d119e4>
    <oa4fe03ffd8943c1880fe290404e8de7 xmlns="35c8e399-07b8-49e4-91bf-01a20105d4df">
      <Terms xmlns="http://schemas.microsoft.com/office/infopath/2007/PartnerControls">
        <TermInfo xmlns="http://schemas.microsoft.com/office/infopath/2007/PartnerControls">
          <TermName xmlns="http://schemas.microsoft.com/office/infopath/2007/PartnerControls">Note</TermName>
          <TermId xmlns="http://schemas.microsoft.com/office/infopath/2007/PartnerControls">b9e1c92e-303a-4555-86f0-5c711c65937e</TermId>
        </TermInfo>
      </Terms>
    </oa4fe03ffd8943c1880fe290404e8de7>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B5F0D0-E3B5-4691-8DB3-653E429C4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c8e399-07b8-49e4-91bf-01a20105d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37C169-B082-42D7-95A8-39DCDC7C43D3}">
  <ds:schemaRefs>
    <ds:schemaRef ds:uri="http://schemas.microsoft.com/office/2006/documentManagement/types"/>
    <ds:schemaRef ds:uri="35c8e399-07b8-49e4-91bf-01a20105d4d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4.xml><?xml version="1.0" encoding="utf-8"?>
<ds:datastoreItem xmlns:ds="http://schemas.openxmlformats.org/officeDocument/2006/customXml" ds:itemID="{1C96BF86-3724-44E7-9F6D-9B5016056B8E}">
  <ds:schemaRefs>
    <ds:schemaRef ds:uri="http://schemas.microsoft.com/sharepoint/events"/>
  </ds:schemaRefs>
</ds:datastoreItem>
</file>

<file path=customXml/itemProps5.xml><?xml version="1.0" encoding="utf-8"?>
<ds:datastoreItem xmlns:ds="http://schemas.openxmlformats.org/officeDocument/2006/customXml" ds:itemID="{6EDF4738-0709-4793-90CE-91BCA635DB7E}">
  <ds:schemaRefs>
    <ds:schemaRef ds:uri="http://schemas.openxmlformats.org/officeDocument/2006/bibliography"/>
  </ds:schemaRefs>
</ds:datastoreItem>
</file>

<file path=customXml/itemProps6.xml><?xml version="1.0" encoding="utf-8"?>
<ds:datastoreItem xmlns:ds="http://schemas.openxmlformats.org/officeDocument/2006/customXml" ds:itemID="{0B39B523-448D-4874-B282-8EF75B7256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5427</Words>
  <Characters>29694</Characters>
  <Application>Microsoft Office Word</Application>
  <DocSecurity>8</DocSecurity>
  <Lines>247</Lines>
  <Paragraphs>70</Paragraphs>
  <ScaleCrop>false</ScaleCrop>
  <HeadingPairs>
    <vt:vector size="10" baseType="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ariant>
        <vt:lpstr>Titel</vt:lpstr>
      </vt:variant>
      <vt:variant>
        <vt:i4>1</vt:i4>
      </vt:variant>
    </vt:vector>
  </HeadingPairs>
  <TitlesOfParts>
    <vt:vector size="5" baseType="lpstr">
      <vt:lpstr>Reply form - CP on Guidelines on funds’ names using ESG or sustainability-related terms</vt:lpstr>
      <vt:lpstr>20110000</vt:lpstr>
      <vt:lpstr>20110000</vt:lpstr>
      <vt:lpstr>20110000</vt:lpstr>
      <vt:lpstr>20110000</vt:lpstr>
    </vt:vector>
  </TitlesOfParts>
  <Company>ESMA</Company>
  <LinksUpToDate>false</LinksUpToDate>
  <CharactersWithSpaces>35051</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 CP on Guidelines on funds’ names using ESG or sustainability-related terms</dc:title>
  <dc:creator>ESMA</dc:creator>
  <cp:lastModifiedBy>Charles Isabelle (AMUNDI)</cp:lastModifiedBy>
  <cp:revision>5</cp:revision>
  <cp:lastPrinted>2015-02-18T11:01:00Z</cp:lastPrinted>
  <dcterms:created xsi:type="dcterms:W3CDTF">2023-02-20T10:32:00Z</dcterms:created>
  <dcterms:modified xsi:type="dcterms:W3CDTF">2023-02-20T10:35:00Z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0x010100DD70E92362DEE14191597B20A60D97FF0500970CD517293225479483743EE25FFF6B</vt:lpwstr>
  </property>
  <property fmtid="{D5CDD505-2E9C-101B-9397-08002B2CF9AE}" pid="3" name="_dlc_DocIdItemGuid">
    <vt:lpwstr>75d40206-4f20-46b1-8861-374bc561b2bb</vt:lpwstr>
  </property>
  <property fmtid="{D5CDD505-2E9C-101B-9397-08002B2CF9AE}" pid="4" name="EsmaAudience">
    <vt:lpwstr>194;#Public|902c1e7c-3957-48c1-abbe-acf26525b3f2</vt:lpwstr>
  </property>
  <property fmtid="{D5CDD505-2E9C-101B-9397-08002B2CF9AE}" pid="5" name="TeamName">
    <vt:lpwstr>38;#Investment Management|9630b78b-e81c-4ffd-baef-5f8b4aeb7ac5</vt:lpwstr>
  </property>
  <property fmtid="{D5CDD505-2E9C-101B-9397-08002B2CF9AE}" pid="6" name="Topic">
    <vt:lpwstr>379;#IMSC and OWG work on sustainable finance|f6ed5092-971f-4cd6-863c-09ec339003ff</vt:lpwstr>
  </property>
  <property fmtid="{D5CDD505-2E9C-101B-9397-08002B2CF9AE}" pid="7" name="ConfidentialityLevel">
    <vt:lpwstr>15;#Regular|07f1e362-856b-423d-bea6-a14079762141</vt:lpwstr>
  </property>
  <property fmtid="{D5CDD505-2E9C-101B-9397-08002B2CF9AE}" pid="8" name="DocumentType">
    <vt:lpwstr>46;#Note|b9e1c92e-303a-4555-86f0-5c711c65937e</vt:lpwstr>
  </property>
  <property fmtid="{D5CDD505-2E9C-101B-9397-08002B2CF9AE}" pid="9" name="SubTopic">
    <vt:lpwstr>385;#Supervisory briefing|bf46ff00-e6bf-4d5e-8642-e9ec713c4e98</vt:lpwstr>
  </property>
  <property fmtid="{D5CDD505-2E9C-101B-9397-08002B2CF9AE}" pid="10" name="MSIP_Label_6ac45191-74e4-40a9-a4c5-ab5c9391e33a_Enabled">
    <vt:lpwstr>true</vt:lpwstr>
  </property>
  <property fmtid="{D5CDD505-2E9C-101B-9397-08002B2CF9AE}" pid="11" name="MSIP_Label_6ac45191-74e4-40a9-a4c5-ab5c9391e33a_SetDate">
    <vt:lpwstr>2023-02-17T17:27:47Z</vt:lpwstr>
  </property>
  <property fmtid="{D5CDD505-2E9C-101B-9397-08002B2CF9AE}" pid="12" name="MSIP_Label_6ac45191-74e4-40a9-a4c5-ab5c9391e33a_Method">
    <vt:lpwstr>Standard</vt:lpwstr>
  </property>
  <property fmtid="{D5CDD505-2E9C-101B-9397-08002B2CF9AE}" pid="13" name="MSIP_Label_6ac45191-74e4-40a9-a4c5-ab5c9391e33a_Name">
    <vt:lpwstr>Internal Data</vt:lpwstr>
  </property>
  <property fmtid="{D5CDD505-2E9C-101B-9397-08002B2CF9AE}" pid="14" name="MSIP_Label_6ac45191-74e4-40a9-a4c5-ab5c9391e33a_SiteId">
    <vt:lpwstr>a5c34232-eadc-4609-bff3-dd6fcdae3fe2</vt:lpwstr>
  </property>
  <property fmtid="{D5CDD505-2E9C-101B-9397-08002B2CF9AE}" pid="15" name="MSIP_Label_6ac45191-74e4-40a9-a4c5-ab5c9391e33a_ActionId">
    <vt:lpwstr>17198612-b519-4f46-ab81-48cf8adccc68</vt:lpwstr>
  </property>
  <property fmtid="{D5CDD505-2E9C-101B-9397-08002B2CF9AE}" pid="16" name="MSIP_Label_6ac45191-74e4-40a9-a4c5-ab5c9391e33a_ContentBits">
    <vt:lpwstr>0</vt:lpwstr>
  </property>
</Properties>
</file>