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Pidipagina"/>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Collegamentoipertestuale"/>
        </w:rPr>
        <w:t>www.esma.europa.eu</w:t>
      </w:r>
      <w:r w:rsidR="0066246A">
        <w:rPr>
          <w:rStyle w:val="Collegamentoipertestuale"/>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Titol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Testosegnaposto"/>
              <w:rFonts w:cs="Arial"/>
              <w:lang w:val="it-IT"/>
            </w:rPr>
            <w:id w:val="651570699"/>
            <w:text/>
          </w:sdtPr>
          <w:sdtContent>
            <w:tc>
              <w:tcPr>
                <w:tcW w:w="5595" w:type="dxa"/>
                <w:shd w:val="clear" w:color="auto" w:fill="auto"/>
              </w:tcPr>
              <w:p w14:paraId="7A68491E" w14:textId="67A9B986" w:rsidR="00C2682A" w:rsidRPr="00F462AC" w:rsidRDefault="00F462AC" w:rsidP="00FA5524">
                <w:pPr>
                  <w:rPr>
                    <w:rStyle w:val="Testosegnaposto"/>
                    <w:rFonts w:cs="Arial"/>
                    <w:lang w:val="it-IT"/>
                  </w:rPr>
                </w:pPr>
                <w:r w:rsidRPr="00F462AC">
                  <w:rPr>
                    <w:rStyle w:val="Testosegnaposto"/>
                    <w:rFonts w:cs="Arial"/>
                    <w:lang w:val="it-IT"/>
                  </w:rPr>
                  <w:t xml:space="preserve">AIPB (Associazione Italiana Private </w:t>
                </w:r>
                <w:r>
                  <w:rPr>
                    <w:rStyle w:val="Testosegnaposto"/>
                    <w:rFonts w:cs="Arial"/>
                    <w:lang w:val="it-IT"/>
                  </w:rPr>
                  <w:t>Banking)</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6EFD3B4A" w:rsidR="00C2682A" w:rsidRPr="00CA13B6" w:rsidRDefault="00000000" w:rsidP="00FA5524">
            <w:pPr>
              <w:rPr>
                <w:rFonts w:cs="Arial"/>
                <w:color w:val="FF0000"/>
              </w:rPr>
            </w:pPr>
            <w:sdt>
              <w:sdtPr>
                <w:rPr>
                  <w:rStyle w:val="Testosegnaposto"/>
                  <w:lang w:val="it-IT"/>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412E59">
                  <w:rPr>
                    <w:rStyle w:val="Testosegnaposto"/>
                    <w:lang w:val="it-IT"/>
                  </w:rPr>
                  <w:t xml:space="preserve">Banking and </w:t>
                </w:r>
                <w:proofErr w:type="spellStart"/>
                <w:r w:rsidR="00412E59">
                  <w:rPr>
                    <w:rStyle w:val="Testosegnaposto"/>
                    <w:lang w:val="it-IT"/>
                  </w:rPr>
                  <w:t>financial</w:t>
                </w:r>
                <w:proofErr w:type="spellEnd"/>
                <w:r w:rsidR="00CA13B6" w:rsidRPr="00412E59">
                  <w:rPr>
                    <w:rStyle w:val="Testosegnaposto"/>
                    <w:lang w:val="it-IT"/>
                  </w:rPr>
                  <w:t xml:space="preserve">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14:paraId="3EE0D441" w14:textId="085C1CB7" w:rsidR="00C2682A" w:rsidRPr="00AB6D88" w:rsidRDefault="00F462AC"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38D76799" w:rsidR="00C2682A" w:rsidRPr="00AB6D88" w:rsidRDefault="00F462AC" w:rsidP="00FA5524">
                <w:pPr>
                  <w:rPr>
                    <w:rFonts w:cs="Arial"/>
                  </w:rPr>
                </w:pPr>
                <w:r>
                  <w:rPr>
                    <w:rFonts w:cs="Arial"/>
                  </w:rPr>
                  <w:t>I</w:t>
                </w:r>
                <w:r>
                  <w:t>taly</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Titolo1"/>
        <w:numPr>
          <w:ilvl w:val="0"/>
          <w:numId w:val="0"/>
        </w:numPr>
        <w:ind w:left="431" w:hanging="431"/>
      </w:pPr>
      <w:r>
        <w:t>Introduction</w:t>
      </w:r>
    </w:p>
    <w:p w14:paraId="0A354328" w14:textId="77777777" w:rsidR="00F87897" w:rsidRPr="001D47A5" w:rsidRDefault="00F87897" w:rsidP="00F87897">
      <w:pPr>
        <w:rPr>
          <w:rStyle w:val="Enfasiintensa"/>
        </w:rPr>
      </w:pPr>
      <w:r w:rsidRPr="001D47A5">
        <w:rPr>
          <w:rStyle w:val="Enfasiintensa"/>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2D54E759" w14:textId="207621AA" w:rsidR="00ED00ED" w:rsidRDefault="00ED00ED" w:rsidP="00F462AC">
      <w:pPr>
        <w:ind w:left="851" w:right="851"/>
        <w:jc w:val="both"/>
        <w:rPr>
          <w:rFonts w:ascii="Garamond" w:eastAsia="Calibri" w:hAnsi="Garamond"/>
          <w:sz w:val="24"/>
          <w:lang w:eastAsia="en-US"/>
        </w:rPr>
      </w:pPr>
      <w:permStart w:id="1100430741" w:edGrp="everyone"/>
      <w:r w:rsidRPr="00412E59">
        <w:rPr>
          <w:rFonts w:ascii="Garamond" w:eastAsia="Calibri" w:hAnsi="Garamond"/>
          <w:sz w:val="24"/>
          <w:lang w:eastAsia="en-US"/>
        </w:rPr>
        <w:t>Dear Sirs,</w:t>
      </w:r>
    </w:p>
    <w:p w14:paraId="74D5B1F5" w14:textId="77777777" w:rsidR="008C76DA" w:rsidRPr="00412E59" w:rsidRDefault="008C76DA" w:rsidP="00F462AC">
      <w:pPr>
        <w:ind w:left="851" w:right="851"/>
        <w:jc w:val="both"/>
        <w:rPr>
          <w:rFonts w:ascii="Garamond" w:eastAsia="Calibri" w:hAnsi="Garamond"/>
          <w:sz w:val="24"/>
          <w:lang w:eastAsia="en-US"/>
        </w:rPr>
      </w:pPr>
    </w:p>
    <w:p w14:paraId="52A031D7" w14:textId="30F81022" w:rsidR="00F462AC" w:rsidRPr="00412E59" w:rsidRDefault="00050685" w:rsidP="00F462AC">
      <w:pPr>
        <w:ind w:left="851" w:right="851"/>
        <w:jc w:val="both"/>
        <w:rPr>
          <w:rFonts w:ascii="Garamond" w:eastAsia="Calibri" w:hAnsi="Garamond"/>
          <w:sz w:val="24"/>
          <w:lang w:eastAsia="en-US"/>
        </w:rPr>
      </w:pPr>
      <w:r w:rsidRPr="00412E59">
        <w:rPr>
          <w:rFonts w:ascii="Garamond" w:eastAsia="Calibri" w:hAnsi="Garamond"/>
          <w:sz w:val="24"/>
          <w:lang w:eastAsia="en-US"/>
        </w:rPr>
        <w:t>In answering the questions asked in the above</w:t>
      </w:r>
      <w:r w:rsidR="009F64B2" w:rsidRPr="00412E59">
        <w:rPr>
          <w:rFonts w:ascii="Garamond" w:eastAsia="Calibri" w:hAnsi="Garamond"/>
          <w:sz w:val="24"/>
          <w:lang w:eastAsia="en-US"/>
        </w:rPr>
        <w:t>-mentioned consult</w:t>
      </w:r>
      <w:r w:rsidRPr="00412E59">
        <w:rPr>
          <w:rFonts w:ascii="Garamond" w:eastAsia="Calibri" w:hAnsi="Garamond"/>
          <w:sz w:val="24"/>
          <w:lang w:eastAsia="en-US"/>
        </w:rPr>
        <w:t xml:space="preserve">ation paper </w:t>
      </w:r>
      <w:r w:rsidR="00F462AC" w:rsidRPr="00412E59">
        <w:rPr>
          <w:rFonts w:ascii="Garamond" w:eastAsia="Calibri" w:hAnsi="Garamond"/>
          <w:sz w:val="24"/>
          <w:lang w:eastAsia="en-US"/>
        </w:rPr>
        <w:t>(“</w:t>
      </w:r>
      <w:r w:rsidR="00F462AC" w:rsidRPr="00412E59">
        <w:rPr>
          <w:rFonts w:ascii="Garamond" w:eastAsia="Calibri" w:hAnsi="Garamond"/>
          <w:b/>
          <w:bCs/>
          <w:sz w:val="24"/>
          <w:lang w:eastAsia="en-US"/>
        </w:rPr>
        <w:t>Consulta</w:t>
      </w:r>
      <w:r w:rsidRPr="00412E59">
        <w:rPr>
          <w:rFonts w:ascii="Garamond" w:eastAsia="Calibri" w:hAnsi="Garamond"/>
          <w:b/>
          <w:bCs/>
          <w:sz w:val="24"/>
          <w:lang w:eastAsia="en-US"/>
        </w:rPr>
        <w:t>t</w:t>
      </w:r>
      <w:r w:rsidR="00F462AC" w:rsidRPr="00412E59">
        <w:rPr>
          <w:rFonts w:ascii="Garamond" w:eastAsia="Calibri" w:hAnsi="Garamond"/>
          <w:b/>
          <w:bCs/>
          <w:sz w:val="24"/>
          <w:lang w:eastAsia="en-US"/>
        </w:rPr>
        <w:t>ion</w:t>
      </w:r>
      <w:r w:rsidR="00F462AC" w:rsidRPr="00412E59">
        <w:rPr>
          <w:rFonts w:ascii="Garamond" w:eastAsia="Calibri" w:hAnsi="Garamond"/>
          <w:sz w:val="24"/>
          <w:lang w:eastAsia="en-US"/>
        </w:rPr>
        <w:t>”), Associazione Italiana Private Banking (“</w:t>
      </w:r>
      <w:r w:rsidR="00F462AC" w:rsidRPr="00412E59">
        <w:rPr>
          <w:rFonts w:ascii="Garamond" w:eastAsia="Calibri" w:hAnsi="Garamond"/>
          <w:b/>
          <w:bCs/>
          <w:sz w:val="24"/>
          <w:lang w:eastAsia="en-US"/>
        </w:rPr>
        <w:t>AIPB</w:t>
      </w:r>
      <w:r w:rsidR="00F462AC" w:rsidRPr="00412E59">
        <w:rPr>
          <w:rFonts w:ascii="Garamond" w:eastAsia="Calibri" w:hAnsi="Garamond"/>
          <w:sz w:val="24"/>
          <w:lang w:eastAsia="en-US"/>
        </w:rPr>
        <w:t>” o</w:t>
      </w:r>
      <w:r w:rsidRPr="00412E59">
        <w:rPr>
          <w:rFonts w:ascii="Garamond" w:eastAsia="Calibri" w:hAnsi="Garamond"/>
          <w:sz w:val="24"/>
          <w:lang w:eastAsia="en-US"/>
        </w:rPr>
        <w:t>r the “</w:t>
      </w:r>
      <w:r w:rsidR="00F462AC" w:rsidRPr="00412E59">
        <w:rPr>
          <w:rFonts w:ascii="Garamond" w:eastAsia="Calibri" w:hAnsi="Garamond"/>
          <w:b/>
          <w:bCs/>
          <w:sz w:val="24"/>
          <w:lang w:eastAsia="en-US"/>
        </w:rPr>
        <w:t>Associa</w:t>
      </w:r>
      <w:r w:rsidRPr="00412E59">
        <w:rPr>
          <w:rFonts w:ascii="Garamond" w:eastAsia="Calibri" w:hAnsi="Garamond"/>
          <w:b/>
          <w:bCs/>
          <w:sz w:val="24"/>
          <w:lang w:eastAsia="en-US"/>
        </w:rPr>
        <w:t>tion</w:t>
      </w:r>
      <w:r w:rsidR="00F462AC" w:rsidRPr="00412E59">
        <w:rPr>
          <w:rFonts w:ascii="Garamond" w:eastAsia="Calibri" w:hAnsi="Garamond"/>
          <w:sz w:val="24"/>
          <w:lang w:eastAsia="en-US"/>
        </w:rPr>
        <w:t xml:space="preserve">”) </w:t>
      </w:r>
      <w:r w:rsidRPr="00412E59">
        <w:rPr>
          <w:rFonts w:ascii="Garamond" w:eastAsia="Calibri" w:hAnsi="Garamond"/>
          <w:sz w:val="24"/>
          <w:lang w:eastAsia="en-US"/>
        </w:rPr>
        <w:t>w</w:t>
      </w:r>
      <w:r w:rsidR="00ED00ED" w:rsidRPr="00412E59">
        <w:rPr>
          <w:rFonts w:ascii="Garamond" w:eastAsia="Calibri" w:hAnsi="Garamond"/>
          <w:sz w:val="24"/>
          <w:lang w:eastAsia="en-US"/>
        </w:rPr>
        <w:t>ould like</w:t>
      </w:r>
      <w:r w:rsidRPr="00412E59">
        <w:rPr>
          <w:rFonts w:ascii="Garamond" w:eastAsia="Calibri" w:hAnsi="Garamond"/>
          <w:sz w:val="24"/>
          <w:lang w:eastAsia="en-US"/>
        </w:rPr>
        <w:t xml:space="preserve"> </w:t>
      </w:r>
      <w:proofErr w:type="gramStart"/>
      <w:r w:rsidRPr="00412E59">
        <w:rPr>
          <w:rFonts w:ascii="Garamond" w:eastAsia="Calibri" w:hAnsi="Garamond"/>
          <w:sz w:val="24"/>
          <w:lang w:eastAsia="en-US"/>
        </w:rPr>
        <w:t>first of all</w:t>
      </w:r>
      <w:proofErr w:type="gramEnd"/>
      <w:r w:rsidRPr="00412E59">
        <w:rPr>
          <w:rFonts w:ascii="Garamond" w:eastAsia="Calibri" w:hAnsi="Garamond"/>
          <w:sz w:val="24"/>
          <w:lang w:eastAsia="en-US"/>
        </w:rPr>
        <w:t xml:space="preserve"> to thank for th</w:t>
      </w:r>
      <w:r w:rsidR="00ED00ED" w:rsidRPr="00412E59">
        <w:rPr>
          <w:rFonts w:ascii="Garamond" w:eastAsia="Calibri" w:hAnsi="Garamond"/>
          <w:sz w:val="24"/>
          <w:lang w:eastAsia="en-US"/>
        </w:rPr>
        <w:t>e</w:t>
      </w:r>
      <w:r w:rsidRPr="00412E59">
        <w:rPr>
          <w:rFonts w:ascii="Garamond" w:eastAsia="Calibri" w:hAnsi="Garamond"/>
          <w:sz w:val="24"/>
          <w:lang w:eastAsia="en-US"/>
        </w:rPr>
        <w:t xml:space="preserve"> opportunity.</w:t>
      </w:r>
    </w:p>
    <w:p w14:paraId="6A0B6ADC" w14:textId="77777777" w:rsidR="008C76DA" w:rsidRDefault="008C76DA" w:rsidP="00F462AC">
      <w:pPr>
        <w:ind w:left="851" w:right="851"/>
        <w:jc w:val="both"/>
        <w:rPr>
          <w:rFonts w:ascii="Garamond" w:eastAsia="Calibri" w:hAnsi="Garamond"/>
          <w:sz w:val="24"/>
          <w:lang w:eastAsia="en-US"/>
        </w:rPr>
      </w:pPr>
    </w:p>
    <w:p w14:paraId="66A4E5B0" w14:textId="4518F8BE" w:rsidR="00F462AC" w:rsidRDefault="009F64B2" w:rsidP="00F462AC">
      <w:pPr>
        <w:ind w:left="851" w:right="851"/>
        <w:jc w:val="both"/>
        <w:rPr>
          <w:rFonts w:ascii="Garamond" w:eastAsia="Calibri" w:hAnsi="Garamond"/>
          <w:sz w:val="24"/>
          <w:lang w:eastAsia="en-US"/>
        </w:rPr>
      </w:pPr>
      <w:r w:rsidRPr="00412E59">
        <w:rPr>
          <w:rFonts w:ascii="Garamond" w:eastAsia="Calibri" w:hAnsi="Garamond"/>
          <w:sz w:val="24"/>
          <w:lang w:eastAsia="en-US"/>
        </w:rPr>
        <w:t xml:space="preserve">Firstly, </w:t>
      </w:r>
      <w:r w:rsidR="00F462AC" w:rsidRPr="00412E59">
        <w:rPr>
          <w:rFonts w:ascii="Garamond" w:eastAsia="Calibri" w:hAnsi="Garamond"/>
          <w:sz w:val="24"/>
          <w:lang w:eastAsia="en-US"/>
        </w:rPr>
        <w:t xml:space="preserve">AIPB </w:t>
      </w:r>
      <w:r w:rsidR="00050685" w:rsidRPr="00412E59">
        <w:rPr>
          <w:rFonts w:ascii="Garamond" w:eastAsia="Calibri" w:hAnsi="Garamond"/>
          <w:sz w:val="24"/>
          <w:lang w:eastAsia="en-US"/>
        </w:rPr>
        <w:t xml:space="preserve">agrees </w:t>
      </w:r>
      <w:r w:rsidR="00ED00ED" w:rsidRPr="00412E59">
        <w:rPr>
          <w:rFonts w:ascii="Garamond" w:eastAsia="Calibri" w:hAnsi="Garamond"/>
          <w:sz w:val="24"/>
          <w:lang w:eastAsia="en-US"/>
        </w:rPr>
        <w:t xml:space="preserve">that </w:t>
      </w:r>
      <w:r w:rsidR="00F462AC" w:rsidRPr="00412E59">
        <w:rPr>
          <w:rFonts w:ascii="Garamond" w:eastAsia="Calibri" w:hAnsi="Garamond"/>
          <w:sz w:val="24"/>
          <w:lang w:eastAsia="en-US"/>
        </w:rPr>
        <w:t>“</w:t>
      </w:r>
      <w:r w:rsidR="00F462AC" w:rsidRPr="00412E59">
        <w:rPr>
          <w:rFonts w:ascii="Garamond" w:eastAsia="Calibri" w:hAnsi="Garamond"/>
          <w:i/>
          <w:iCs/>
          <w:sz w:val="24"/>
          <w:lang w:eastAsia="en-US"/>
        </w:rPr>
        <w:t>funds names in fund documents or marketing communications should not be misleading</w:t>
      </w:r>
      <w:r w:rsidR="00F462AC" w:rsidRPr="00412E59">
        <w:rPr>
          <w:rFonts w:ascii="Garamond" w:eastAsia="Calibri" w:hAnsi="Garamond"/>
          <w:sz w:val="24"/>
          <w:lang w:eastAsia="en-US"/>
        </w:rPr>
        <w:t xml:space="preserve">”; </w:t>
      </w:r>
      <w:r w:rsidR="00050685" w:rsidRPr="00412E59">
        <w:rPr>
          <w:rFonts w:ascii="Garamond" w:eastAsia="Calibri" w:hAnsi="Garamond"/>
          <w:sz w:val="24"/>
          <w:lang w:eastAsia="en-US"/>
        </w:rPr>
        <w:t xml:space="preserve">on the other hand, it considers it important, </w:t>
      </w:r>
      <w:r w:rsidR="00462C35" w:rsidRPr="00412E59">
        <w:rPr>
          <w:rFonts w:ascii="Garamond" w:eastAsia="Calibri" w:hAnsi="Garamond"/>
          <w:sz w:val="24"/>
          <w:lang w:eastAsia="en-US"/>
        </w:rPr>
        <w:t xml:space="preserve">by way of </w:t>
      </w:r>
      <w:r w:rsidR="00050685" w:rsidRPr="00412E59">
        <w:rPr>
          <w:rFonts w:ascii="Garamond" w:eastAsia="Calibri" w:hAnsi="Garamond"/>
          <w:sz w:val="24"/>
          <w:lang w:eastAsia="en-US"/>
        </w:rPr>
        <w:t xml:space="preserve">general </w:t>
      </w:r>
      <w:r w:rsidR="00462C35" w:rsidRPr="00412E59">
        <w:rPr>
          <w:rFonts w:ascii="Garamond" w:eastAsia="Calibri" w:hAnsi="Garamond"/>
          <w:sz w:val="24"/>
          <w:lang w:eastAsia="en-US"/>
        </w:rPr>
        <w:t xml:space="preserve">and overriding </w:t>
      </w:r>
      <w:r w:rsidR="00050685" w:rsidRPr="00412E59">
        <w:rPr>
          <w:rFonts w:ascii="Garamond" w:eastAsia="Calibri" w:hAnsi="Garamond"/>
          <w:sz w:val="24"/>
          <w:lang w:eastAsia="en-US"/>
        </w:rPr>
        <w:t xml:space="preserve">requests, </w:t>
      </w:r>
      <w:r w:rsidR="00462C35" w:rsidRPr="00412E59">
        <w:rPr>
          <w:rFonts w:ascii="Garamond" w:eastAsia="Calibri" w:hAnsi="Garamond"/>
          <w:sz w:val="24"/>
          <w:lang w:eastAsia="en-US"/>
        </w:rPr>
        <w:t>details of which will be provided b</w:t>
      </w:r>
      <w:r w:rsidR="00050685" w:rsidRPr="00412E59">
        <w:rPr>
          <w:rFonts w:ascii="Garamond" w:eastAsia="Calibri" w:hAnsi="Garamond"/>
          <w:sz w:val="24"/>
          <w:lang w:eastAsia="en-US"/>
        </w:rPr>
        <w:t xml:space="preserve">elow, </w:t>
      </w:r>
      <w:r w:rsidR="00ED00ED" w:rsidRPr="00412E59">
        <w:rPr>
          <w:rFonts w:ascii="Garamond" w:eastAsia="Calibri" w:hAnsi="Garamond"/>
          <w:sz w:val="24"/>
          <w:lang w:eastAsia="en-US"/>
        </w:rPr>
        <w:t xml:space="preserve">that </w:t>
      </w:r>
      <w:r w:rsidR="00050685" w:rsidRPr="00412E59">
        <w:rPr>
          <w:rFonts w:ascii="Garamond" w:eastAsia="Calibri" w:hAnsi="Garamond"/>
          <w:sz w:val="24"/>
          <w:lang w:eastAsia="en-US"/>
        </w:rPr>
        <w:t xml:space="preserve">the </w:t>
      </w:r>
      <w:r w:rsidR="000B3C0B" w:rsidRPr="00412E59">
        <w:rPr>
          <w:rFonts w:ascii="Garamond" w:eastAsia="Calibri" w:hAnsi="Garamond"/>
          <w:sz w:val="24"/>
          <w:lang w:eastAsia="en-US"/>
        </w:rPr>
        <w:t>guidance</w:t>
      </w:r>
      <w:r w:rsidR="00E469B0" w:rsidRPr="00412E59">
        <w:rPr>
          <w:rFonts w:ascii="Garamond" w:eastAsia="Calibri" w:hAnsi="Garamond"/>
          <w:sz w:val="24"/>
          <w:lang w:eastAsia="en-US"/>
        </w:rPr>
        <w:t xml:space="preserve"> under</w:t>
      </w:r>
      <w:r w:rsidR="00050685" w:rsidRPr="00412E59">
        <w:rPr>
          <w:rFonts w:ascii="Garamond" w:eastAsia="Calibri" w:hAnsi="Garamond"/>
          <w:sz w:val="24"/>
          <w:lang w:eastAsia="en-US"/>
        </w:rPr>
        <w:t xml:space="preserve"> consultation be </w:t>
      </w:r>
      <w:r w:rsidR="00E469B0" w:rsidRPr="00412E59">
        <w:rPr>
          <w:rFonts w:ascii="Garamond" w:eastAsia="Calibri" w:hAnsi="Garamond"/>
          <w:sz w:val="24"/>
          <w:lang w:eastAsia="en-US"/>
        </w:rPr>
        <w:t>modified</w:t>
      </w:r>
      <w:r w:rsidR="00F462AC" w:rsidRPr="00412E59">
        <w:rPr>
          <w:rFonts w:ascii="Garamond" w:eastAsia="Calibri" w:hAnsi="Garamond"/>
          <w:sz w:val="24"/>
          <w:lang w:eastAsia="en-US"/>
        </w:rPr>
        <w:t>:</w:t>
      </w:r>
    </w:p>
    <w:p w14:paraId="44BDEA52" w14:textId="77777777" w:rsidR="008C76DA" w:rsidRPr="00412E59" w:rsidRDefault="008C76DA" w:rsidP="00F462AC">
      <w:pPr>
        <w:ind w:left="851" w:right="851"/>
        <w:jc w:val="both"/>
        <w:rPr>
          <w:rFonts w:ascii="Garamond" w:eastAsia="Calibri" w:hAnsi="Garamond"/>
          <w:sz w:val="24"/>
          <w:lang w:eastAsia="en-US"/>
        </w:rPr>
      </w:pPr>
    </w:p>
    <w:p w14:paraId="5F0C6FF2" w14:textId="273BE877" w:rsidR="00F462AC" w:rsidRPr="00412E59" w:rsidRDefault="00050685" w:rsidP="00F462AC">
      <w:pPr>
        <w:numPr>
          <w:ilvl w:val="0"/>
          <w:numId w:val="41"/>
        </w:numPr>
        <w:ind w:right="851"/>
        <w:jc w:val="both"/>
        <w:rPr>
          <w:rFonts w:ascii="Garamond" w:eastAsia="Calibri" w:hAnsi="Garamond"/>
          <w:sz w:val="24"/>
          <w:lang w:eastAsia="en-US"/>
        </w:rPr>
      </w:pPr>
      <w:r w:rsidRPr="00412E59">
        <w:rPr>
          <w:rFonts w:ascii="Garamond" w:eastAsia="Calibri" w:hAnsi="Garamond"/>
          <w:sz w:val="24"/>
          <w:lang w:eastAsia="en-US"/>
        </w:rPr>
        <w:t xml:space="preserve">This </w:t>
      </w:r>
      <w:r w:rsidR="00F462AC" w:rsidRPr="00412E59">
        <w:rPr>
          <w:rFonts w:ascii="Garamond" w:eastAsia="Calibri" w:hAnsi="Garamond"/>
          <w:sz w:val="24"/>
          <w:lang w:eastAsia="en-US"/>
        </w:rPr>
        <w:t>Associa</w:t>
      </w:r>
      <w:r w:rsidRPr="00412E59">
        <w:rPr>
          <w:rFonts w:ascii="Garamond" w:eastAsia="Calibri" w:hAnsi="Garamond"/>
          <w:sz w:val="24"/>
          <w:lang w:eastAsia="en-US"/>
        </w:rPr>
        <w:t xml:space="preserve">tion understands and agrees with the need to identify minimum investment thresholds </w:t>
      </w:r>
      <w:r w:rsidR="00407EDE" w:rsidRPr="00412E59">
        <w:rPr>
          <w:rFonts w:ascii="Garamond" w:eastAsia="Calibri" w:hAnsi="Garamond"/>
          <w:sz w:val="24"/>
          <w:lang w:eastAsia="en-US"/>
        </w:rPr>
        <w:t xml:space="preserve">intended to </w:t>
      </w:r>
      <w:r w:rsidR="002B65D5" w:rsidRPr="00412E59">
        <w:rPr>
          <w:rFonts w:ascii="Garamond" w:eastAsia="Calibri" w:hAnsi="Garamond"/>
          <w:sz w:val="24"/>
          <w:lang w:eastAsia="en-US"/>
        </w:rPr>
        <w:t xml:space="preserve">promote </w:t>
      </w:r>
      <w:r w:rsidRPr="00412E59">
        <w:rPr>
          <w:rFonts w:ascii="Garamond" w:eastAsia="Calibri" w:hAnsi="Garamond"/>
          <w:sz w:val="24"/>
          <w:lang w:eastAsia="en-US"/>
        </w:rPr>
        <w:t xml:space="preserve">environmental and social </w:t>
      </w:r>
      <w:r w:rsidR="002B65D5" w:rsidRPr="00412E59">
        <w:rPr>
          <w:rFonts w:ascii="Garamond" w:eastAsia="Calibri" w:hAnsi="Garamond"/>
          <w:sz w:val="24"/>
          <w:lang w:eastAsia="en-US"/>
        </w:rPr>
        <w:t xml:space="preserve">characteristics </w:t>
      </w:r>
      <w:r w:rsidR="000B3C0B" w:rsidRPr="00412E59">
        <w:rPr>
          <w:rFonts w:ascii="Garamond" w:eastAsia="Calibri" w:hAnsi="Garamond"/>
          <w:sz w:val="24"/>
          <w:lang w:eastAsia="en-US"/>
        </w:rPr>
        <w:t xml:space="preserve">or </w:t>
      </w:r>
      <w:r w:rsidRPr="00412E59">
        <w:rPr>
          <w:rFonts w:ascii="Garamond" w:eastAsia="Calibri" w:hAnsi="Garamond"/>
          <w:sz w:val="24"/>
          <w:lang w:eastAsia="en-US"/>
        </w:rPr>
        <w:t>sustainable investment</w:t>
      </w:r>
      <w:r w:rsidR="002B65D5" w:rsidRPr="00412E59">
        <w:rPr>
          <w:rFonts w:ascii="Garamond" w:eastAsia="Calibri" w:hAnsi="Garamond"/>
          <w:sz w:val="24"/>
          <w:lang w:eastAsia="en-US"/>
        </w:rPr>
        <w:t>s</w:t>
      </w:r>
      <w:r w:rsidRPr="00412E59">
        <w:rPr>
          <w:rFonts w:ascii="Garamond" w:eastAsia="Calibri" w:hAnsi="Garamond"/>
          <w:sz w:val="24"/>
          <w:lang w:eastAsia="en-US"/>
        </w:rPr>
        <w:t>, but i</w:t>
      </w:r>
      <w:r w:rsidR="002B65D5" w:rsidRPr="00412E59">
        <w:rPr>
          <w:rFonts w:ascii="Garamond" w:eastAsia="Calibri" w:hAnsi="Garamond"/>
          <w:sz w:val="24"/>
          <w:lang w:eastAsia="en-US"/>
        </w:rPr>
        <w:t xml:space="preserve">t believes </w:t>
      </w:r>
      <w:r w:rsidRPr="00412E59">
        <w:rPr>
          <w:rFonts w:ascii="Garamond" w:eastAsia="Calibri" w:hAnsi="Garamond"/>
          <w:sz w:val="24"/>
          <w:lang w:eastAsia="en-US"/>
        </w:rPr>
        <w:t xml:space="preserve">that this must necessarily </w:t>
      </w:r>
      <w:r w:rsidR="008D6A7E" w:rsidRPr="00412E59">
        <w:rPr>
          <w:rFonts w:ascii="Garamond" w:eastAsia="Calibri" w:hAnsi="Garamond"/>
          <w:sz w:val="24"/>
          <w:lang w:eastAsia="en-US"/>
        </w:rPr>
        <w:t xml:space="preserve">be done </w:t>
      </w:r>
      <w:r w:rsidRPr="00412E59">
        <w:rPr>
          <w:rFonts w:ascii="Garamond" w:eastAsia="Calibri" w:hAnsi="Garamond"/>
          <w:sz w:val="24"/>
          <w:lang w:eastAsia="en-US"/>
        </w:rPr>
        <w:t>within the framework</w:t>
      </w:r>
      <w:r w:rsidR="00407EDE" w:rsidRPr="00412E59">
        <w:rPr>
          <w:rFonts w:ascii="Garamond" w:eastAsia="Calibri" w:hAnsi="Garamond"/>
          <w:sz w:val="24"/>
          <w:lang w:eastAsia="en-US"/>
        </w:rPr>
        <w:t>,</w:t>
      </w:r>
      <w:r w:rsidRPr="00412E59">
        <w:rPr>
          <w:rFonts w:ascii="Garamond" w:eastAsia="Calibri" w:hAnsi="Garamond"/>
          <w:sz w:val="24"/>
          <w:lang w:eastAsia="en-US"/>
        </w:rPr>
        <w:t xml:space="preserve"> and as a</w:t>
      </w:r>
      <w:r w:rsidR="008D6A7E" w:rsidRPr="00412E59">
        <w:rPr>
          <w:rFonts w:ascii="Garamond" w:eastAsia="Calibri" w:hAnsi="Garamond"/>
          <w:sz w:val="24"/>
          <w:lang w:eastAsia="en-US"/>
        </w:rPr>
        <w:t xml:space="preserve"> further </w:t>
      </w:r>
      <w:r w:rsidRPr="00412E59">
        <w:rPr>
          <w:rFonts w:ascii="Garamond" w:eastAsia="Calibri" w:hAnsi="Garamond"/>
          <w:sz w:val="24"/>
          <w:lang w:eastAsia="en-US"/>
        </w:rPr>
        <w:t>specification</w:t>
      </w:r>
      <w:r w:rsidR="00407EDE" w:rsidRPr="00412E59">
        <w:rPr>
          <w:rFonts w:ascii="Garamond" w:eastAsia="Calibri" w:hAnsi="Garamond"/>
          <w:sz w:val="24"/>
          <w:lang w:eastAsia="en-US"/>
        </w:rPr>
        <w:t>,</w:t>
      </w:r>
      <w:r w:rsidRPr="00412E59">
        <w:rPr>
          <w:rFonts w:ascii="Garamond" w:eastAsia="Calibri" w:hAnsi="Garamond"/>
          <w:sz w:val="24"/>
          <w:lang w:eastAsia="en-US"/>
        </w:rPr>
        <w:t xml:space="preserve"> of the </w:t>
      </w:r>
      <w:r w:rsidR="002D647D" w:rsidRPr="00412E59">
        <w:rPr>
          <w:rFonts w:ascii="Garamond" w:eastAsia="Calibri" w:hAnsi="Garamond"/>
          <w:sz w:val="24"/>
          <w:lang w:eastAsia="en-US"/>
        </w:rPr>
        <w:t xml:space="preserve">ESG product categories already </w:t>
      </w:r>
      <w:r w:rsidR="008D6A7E" w:rsidRPr="00412E59">
        <w:rPr>
          <w:rFonts w:ascii="Garamond" w:eastAsia="Calibri" w:hAnsi="Garamond"/>
          <w:sz w:val="24"/>
          <w:lang w:eastAsia="en-US"/>
        </w:rPr>
        <w:t xml:space="preserve">laid down </w:t>
      </w:r>
      <w:r w:rsidR="002D647D" w:rsidRPr="00412E59">
        <w:rPr>
          <w:rFonts w:ascii="Garamond" w:eastAsia="Calibri" w:hAnsi="Garamond"/>
          <w:sz w:val="24"/>
          <w:lang w:eastAsia="en-US"/>
        </w:rPr>
        <w:t xml:space="preserve">in </w:t>
      </w:r>
      <w:r w:rsidR="00F462AC" w:rsidRPr="00412E59">
        <w:rPr>
          <w:rFonts w:ascii="Garamond" w:eastAsia="Calibri" w:hAnsi="Garamond"/>
          <w:sz w:val="24"/>
          <w:lang w:eastAsia="en-US"/>
        </w:rPr>
        <w:t>Reg</w:t>
      </w:r>
      <w:r w:rsidR="002D647D" w:rsidRPr="00412E59">
        <w:rPr>
          <w:rFonts w:ascii="Garamond" w:eastAsia="Calibri" w:hAnsi="Garamond"/>
          <w:sz w:val="24"/>
          <w:lang w:eastAsia="en-US"/>
        </w:rPr>
        <w:t xml:space="preserve">ulation </w:t>
      </w:r>
      <w:r w:rsidR="00F462AC" w:rsidRPr="00412E59">
        <w:rPr>
          <w:rFonts w:ascii="Garamond" w:eastAsia="Calibri" w:hAnsi="Garamond"/>
          <w:sz w:val="24"/>
          <w:lang w:eastAsia="en-US"/>
        </w:rPr>
        <w:t>2019/2088</w:t>
      </w:r>
      <w:r w:rsidR="00412E59">
        <w:rPr>
          <w:rFonts w:ascii="Garamond" w:eastAsia="Calibri" w:hAnsi="Garamond"/>
          <w:sz w:val="24"/>
          <w:lang w:eastAsia="en-US"/>
        </w:rPr>
        <w:t xml:space="preserve"> and for all the financial product, not only for investment funds</w:t>
      </w:r>
      <w:r w:rsidR="00F462AC" w:rsidRPr="00412E59">
        <w:rPr>
          <w:rFonts w:ascii="Garamond" w:eastAsia="Calibri" w:hAnsi="Garamond"/>
          <w:sz w:val="24"/>
          <w:lang w:eastAsia="en-US"/>
        </w:rPr>
        <w:t>.</w:t>
      </w:r>
      <w:r w:rsidR="00D97861" w:rsidRPr="00412E59">
        <w:rPr>
          <w:rFonts w:ascii="Garamond" w:eastAsia="Calibri" w:hAnsi="Garamond"/>
          <w:sz w:val="24"/>
          <w:lang w:eastAsia="en-US"/>
        </w:rPr>
        <w:t xml:space="preserve"> </w:t>
      </w:r>
      <w:r w:rsidR="00412E59" w:rsidRPr="00412E59">
        <w:rPr>
          <w:rFonts w:ascii="Garamond" w:eastAsia="Calibri" w:hAnsi="Garamond"/>
          <w:sz w:val="24"/>
          <w:lang w:eastAsia="en-US"/>
        </w:rPr>
        <w:t>To be more specific</w:t>
      </w:r>
      <w:r w:rsidR="002D647D" w:rsidRPr="00412E59">
        <w:rPr>
          <w:rFonts w:ascii="Garamond" w:eastAsia="Calibri" w:hAnsi="Garamond"/>
          <w:sz w:val="24"/>
          <w:lang w:eastAsia="en-US"/>
        </w:rPr>
        <w:t xml:space="preserve">, </w:t>
      </w:r>
      <w:r w:rsidR="002B65D5" w:rsidRPr="00412E59">
        <w:rPr>
          <w:rFonts w:ascii="Garamond" w:eastAsia="Calibri" w:hAnsi="Garamond"/>
          <w:sz w:val="24"/>
          <w:lang w:eastAsia="en-US"/>
        </w:rPr>
        <w:t xml:space="preserve">such </w:t>
      </w:r>
      <w:r w:rsidR="009B78DC" w:rsidRPr="00412E59">
        <w:rPr>
          <w:rFonts w:ascii="Garamond" w:eastAsia="Calibri" w:hAnsi="Garamond"/>
          <w:sz w:val="24"/>
          <w:lang w:eastAsia="en-US"/>
        </w:rPr>
        <w:t>proportion</w:t>
      </w:r>
      <w:r w:rsidR="002D647D" w:rsidRPr="00412E59">
        <w:rPr>
          <w:rFonts w:ascii="Garamond" w:eastAsia="Calibri" w:hAnsi="Garamond"/>
          <w:sz w:val="24"/>
          <w:lang w:eastAsia="en-US"/>
        </w:rPr>
        <w:t xml:space="preserve">s shall be required not only for </w:t>
      </w:r>
      <w:r w:rsidR="00412E59" w:rsidRPr="00412E59">
        <w:rPr>
          <w:rFonts w:ascii="Garamond" w:eastAsia="Calibri" w:hAnsi="Garamond"/>
          <w:sz w:val="24"/>
          <w:lang w:eastAsia="en-US"/>
        </w:rPr>
        <w:t>funds</w:t>
      </w:r>
      <w:r w:rsidR="002D647D" w:rsidRPr="00412E59">
        <w:rPr>
          <w:rFonts w:ascii="Garamond" w:eastAsia="Calibri" w:hAnsi="Garamond"/>
          <w:sz w:val="24"/>
          <w:lang w:eastAsia="en-US"/>
        </w:rPr>
        <w:t xml:space="preserve"> having certain acronyms in their names, but for all </w:t>
      </w:r>
      <w:r w:rsidR="00241680" w:rsidRPr="00412E59">
        <w:rPr>
          <w:rFonts w:ascii="Garamond" w:eastAsia="Calibri" w:hAnsi="Garamond"/>
          <w:sz w:val="24"/>
          <w:lang w:eastAsia="en-US"/>
        </w:rPr>
        <w:t>SFDR Article 8 fina</w:t>
      </w:r>
      <w:r w:rsidR="002D647D" w:rsidRPr="00412E59">
        <w:rPr>
          <w:rFonts w:ascii="Garamond" w:eastAsia="Calibri" w:hAnsi="Garamond"/>
          <w:sz w:val="24"/>
          <w:lang w:eastAsia="en-US"/>
        </w:rPr>
        <w:t>ncial products</w:t>
      </w:r>
      <w:r w:rsidR="00D97861" w:rsidRPr="00412E59">
        <w:rPr>
          <w:rFonts w:ascii="Garamond" w:eastAsia="Calibri" w:hAnsi="Garamond"/>
          <w:sz w:val="24"/>
          <w:lang w:eastAsia="en-US"/>
        </w:rPr>
        <w:t xml:space="preserve">, </w:t>
      </w:r>
      <w:r w:rsidR="002D647D" w:rsidRPr="00412E59">
        <w:rPr>
          <w:rFonts w:ascii="Garamond" w:eastAsia="Calibri" w:hAnsi="Garamond"/>
          <w:sz w:val="24"/>
          <w:lang w:eastAsia="en-US"/>
        </w:rPr>
        <w:t xml:space="preserve">as </w:t>
      </w:r>
      <w:r w:rsidR="00241680" w:rsidRPr="00412E59">
        <w:rPr>
          <w:rFonts w:ascii="Garamond" w:eastAsia="Calibri" w:hAnsi="Garamond"/>
          <w:sz w:val="24"/>
          <w:lang w:eastAsia="en-US"/>
        </w:rPr>
        <w:t xml:space="preserve">far as </w:t>
      </w:r>
      <w:r w:rsidR="002D647D" w:rsidRPr="00412E59">
        <w:rPr>
          <w:rFonts w:ascii="Garamond" w:eastAsia="Calibri" w:hAnsi="Garamond"/>
          <w:sz w:val="24"/>
          <w:lang w:eastAsia="en-US"/>
        </w:rPr>
        <w:t xml:space="preserve">the suggested </w:t>
      </w:r>
      <w:r w:rsidR="000B3C0B" w:rsidRPr="00412E59">
        <w:rPr>
          <w:rFonts w:ascii="Garamond" w:eastAsia="Calibri" w:hAnsi="Garamond"/>
          <w:sz w:val="24"/>
          <w:lang w:eastAsia="en-US"/>
        </w:rPr>
        <w:t xml:space="preserve">80% </w:t>
      </w:r>
      <w:r w:rsidR="009B78DC" w:rsidRPr="00412E59">
        <w:rPr>
          <w:rFonts w:ascii="Garamond" w:eastAsia="Calibri" w:hAnsi="Garamond"/>
          <w:sz w:val="24"/>
          <w:lang w:eastAsia="en-US"/>
        </w:rPr>
        <w:t>proportion</w:t>
      </w:r>
      <w:r w:rsidR="002D647D" w:rsidRPr="00412E59">
        <w:rPr>
          <w:rFonts w:ascii="Garamond" w:eastAsia="Calibri" w:hAnsi="Garamond"/>
          <w:sz w:val="24"/>
          <w:lang w:eastAsia="en-US"/>
        </w:rPr>
        <w:t xml:space="preserve"> </w:t>
      </w:r>
      <w:r w:rsidR="00241680" w:rsidRPr="00412E59">
        <w:rPr>
          <w:rFonts w:ascii="Garamond" w:eastAsia="Calibri" w:hAnsi="Garamond"/>
          <w:sz w:val="24"/>
          <w:lang w:eastAsia="en-US"/>
        </w:rPr>
        <w:t>is concerned</w:t>
      </w:r>
      <w:r w:rsidR="002D647D" w:rsidRPr="00412E59">
        <w:rPr>
          <w:rFonts w:ascii="Garamond" w:eastAsia="Calibri" w:hAnsi="Garamond"/>
          <w:sz w:val="24"/>
          <w:lang w:eastAsia="en-US"/>
        </w:rPr>
        <w:t>, and for all Article 8</w:t>
      </w:r>
      <w:r w:rsidR="00412E59" w:rsidRPr="00412E59">
        <w:rPr>
          <w:rFonts w:ascii="Garamond" w:eastAsia="Calibri" w:hAnsi="Garamond"/>
          <w:sz w:val="24"/>
          <w:lang w:eastAsia="en-US"/>
        </w:rPr>
        <w:t xml:space="preserve"> products with a minimum proportion of sustainable investment (i.e. “8 “plus”</w:t>
      </w:r>
      <w:r w:rsidR="002D647D" w:rsidRPr="00412E59">
        <w:rPr>
          <w:rFonts w:ascii="Garamond" w:eastAsia="Calibri" w:hAnsi="Garamond"/>
          <w:sz w:val="24"/>
          <w:lang w:eastAsia="en-US"/>
        </w:rPr>
        <w:t xml:space="preserve"> f</w:t>
      </w:r>
      <w:r w:rsidR="00412E59" w:rsidRPr="00412E59">
        <w:rPr>
          <w:rFonts w:ascii="Garamond" w:eastAsia="Calibri" w:hAnsi="Garamond"/>
          <w:sz w:val="24"/>
          <w:lang w:eastAsia="en-US"/>
        </w:rPr>
        <w:t>unds/products)</w:t>
      </w:r>
      <w:r w:rsidR="002D647D" w:rsidRPr="00412E59">
        <w:rPr>
          <w:rFonts w:ascii="Garamond" w:eastAsia="Calibri" w:hAnsi="Garamond"/>
          <w:sz w:val="24"/>
          <w:lang w:eastAsia="en-US"/>
        </w:rPr>
        <w:t xml:space="preserve">, as </w:t>
      </w:r>
      <w:r w:rsidR="00241680" w:rsidRPr="00412E59">
        <w:rPr>
          <w:rFonts w:ascii="Garamond" w:eastAsia="Calibri" w:hAnsi="Garamond"/>
          <w:sz w:val="24"/>
          <w:lang w:eastAsia="en-US"/>
        </w:rPr>
        <w:t xml:space="preserve">far as </w:t>
      </w:r>
      <w:r w:rsidR="002D647D" w:rsidRPr="00412E59">
        <w:rPr>
          <w:rFonts w:ascii="Garamond" w:eastAsia="Calibri" w:hAnsi="Garamond"/>
          <w:sz w:val="24"/>
          <w:lang w:eastAsia="en-US"/>
        </w:rPr>
        <w:t xml:space="preserve">the </w:t>
      </w:r>
      <w:r w:rsidR="000B3C0B" w:rsidRPr="00412E59">
        <w:rPr>
          <w:rFonts w:ascii="Garamond" w:eastAsia="Calibri" w:hAnsi="Garamond"/>
          <w:sz w:val="24"/>
          <w:lang w:eastAsia="en-US"/>
        </w:rPr>
        <w:t xml:space="preserve">50% </w:t>
      </w:r>
      <w:r w:rsidR="009B78DC" w:rsidRPr="00412E59">
        <w:rPr>
          <w:rFonts w:ascii="Garamond" w:eastAsia="Calibri" w:hAnsi="Garamond"/>
          <w:sz w:val="24"/>
          <w:lang w:eastAsia="en-US"/>
        </w:rPr>
        <w:t>proportion</w:t>
      </w:r>
      <w:r w:rsidR="002D647D" w:rsidRPr="00412E59">
        <w:rPr>
          <w:rFonts w:ascii="Garamond" w:eastAsia="Calibri" w:hAnsi="Garamond"/>
          <w:sz w:val="24"/>
          <w:lang w:eastAsia="en-US"/>
        </w:rPr>
        <w:t xml:space="preserve"> of sustainable investments</w:t>
      </w:r>
      <w:r w:rsidR="00241680" w:rsidRPr="00412E59">
        <w:rPr>
          <w:rFonts w:ascii="Garamond" w:eastAsia="Calibri" w:hAnsi="Garamond"/>
          <w:sz w:val="24"/>
          <w:lang w:eastAsia="en-US"/>
        </w:rPr>
        <w:t xml:space="preserve"> as compared to </w:t>
      </w:r>
      <w:r w:rsidR="000B3C0B" w:rsidRPr="00412E59">
        <w:rPr>
          <w:rFonts w:ascii="Garamond" w:eastAsia="Calibri" w:hAnsi="Garamond"/>
          <w:sz w:val="24"/>
          <w:lang w:eastAsia="en-US"/>
        </w:rPr>
        <w:t>80</w:t>
      </w:r>
      <w:r w:rsidR="00D97861" w:rsidRPr="00412E59">
        <w:rPr>
          <w:rFonts w:ascii="Garamond" w:eastAsia="Calibri" w:hAnsi="Garamond"/>
          <w:sz w:val="24"/>
          <w:lang w:eastAsia="en-US"/>
        </w:rPr>
        <w:t xml:space="preserve">% </w:t>
      </w:r>
      <w:r w:rsidR="00CE37F1" w:rsidRPr="00412E59">
        <w:rPr>
          <w:rFonts w:ascii="Garamond" w:eastAsia="Calibri" w:hAnsi="Garamond"/>
          <w:sz w:val="24"/>
          <w:lang w:eastAsia="en-US"/>
        </w:rPr>
        <w:t xml:space="preserve">of investments promoting </w:t>
      </w:r>
      <w:r w:rsidR="002D647D" w:rsidRPr="00412E59">
        <w:rPr>
          <w:rFonts w:ascii="Garamond" w:eastAsia="Calibri" w:hAnsi="Garamond"/>
          <w:sz w:val="24"/>
          <w:lang w:eastAsia="en-US"/>
        </w:rPr>
        <w:t>environmental and social characteristics</w:t>
      </w:r>
      <w:r w:rsidR="00241680" w:rsidRPr="00412E59">
        <w:rPr>
          <w:rFonts w:ascii="Garamond" w:eastAsia="Calibri" w:hAnsi="Garamond"/>
          <w:sz w:val="24"/>
          <w:lang w:eastAsia="en-US"/>
        </w:rPr>
        <w:t xml:space="preserve"> is concerned</w:t>
      </w:r>
      <w:r w:rsidR="00D97861" w:rsidRPr="00412E59">
        <w:rPr>
          <w:rFonts w:ascii="Garamond" w:eastAsia="Calibri" w:hAnsi="Garamond"/>
          <w:sz w:val="24"/>
          <w:lang w:eastAsia="en-US"/>
        </w:rPr>
        <w:t>.</w:t>
      </w:r>
      <w:r w:rsidR="00F462AC" w:rsidRPr="00412E59">
        <w:rPr>
          <w:rFonts w:ascii="Garamond" w:eastAsia="Calibri" w:hAnsi="Garamond"/>
          <w:sz w:val="24"/>
          <w:lang w:eastAsia="en-US"/>
        </w:rPr>
        <w:t xml:space="preserve"> </w:t>
      </w:r>
    </w:p>
    <w:p w14:paraId="216DE713" w14:textId="77777777" w:rsidR="00412E59" w:rsidRDefault="00412E59" w:rsidP="00412E59">
      <w:pPr>
        <w:ind w:left="1211" w:right="851"/>
        <w:jc w:val="both"/>
        <w:rPr>
          <w:rFonts w:ascii="Garamond" w:eastAsia="Calibri" w:hAnsi="Garamond"/>
          <w:sz w:val="24"/>
          <w:lang w:eastAsia="en-US"/>
        </w:rPr>
      </w:pPr>
    </w:p>
    <w:p w14:paraId="59380CE3" w14:textId="077A1FD9" w:rsidR="006966F3" w:rsidRPr="00CA69F5" w:rsidRDefault="002D647D" w:rsidP="006966F3">
      <w:pPr>
        <w:numPr>
          <w:ilvl w:val="0"/>
          <w:numId w:val="41"/>
        </w:numPr>
        <w:ind w:right="851"/>
        <w:jc w:val="both"/>
        <w:rPr>
          <w:rFonts w:ascii="Garamond" w:eastAsia="Calibri" w:hAnsi="Garamond"/>
          <w:sz w:val="24"/>
          <w:lang w:eastAsia="en-US"/>
        </w:rPr>
      </w:pPr>
      <w:r w:rsidRPr="00412E59">
        <w:rPr>
          <w:rFonts w:ascii="Garamond" w:eastAsia="Calibri" w:hAnsi="Garamond"/>
          <w:sz w:val="24"/>
          <w:lang w:eastAsia="en-US"/>
        </w:rPr>
        <w:t>In fact, we disagree with the intention to create a</w:t>
      </w:r>
      <w:r w:rsidR="000E2ECD" w:rsidRPr="00412E59">
        <w:rPr>
          <w:rFonts w:ascii="Garamond" w:eastAsia="Calibri" w:hAnsi="Garamond"/>
          <w:sz w:val="24"/>
          <w:lang w:eastAsia="en-US"/>
        </w:rPr>
        <w:t xml:space="preserve"> further </w:t>
      </w:r>
      <w:r w:rsidRPr="00412E59">
        <w:rPr>
          <w:rFonts w:ascii="Garamond" w:eastAsia="Calibri" w:hAnsi="Garamond"/>
          <w:sz w:val="24"/>
          <w:lang w:eastAsia="en-US"/>
        </w:rPr>
        <w:t xml:space="preserve">differentiation and classification in the </w:t>
      </w:r>
      <w:r w:rsidR="007263BC" w:rsidRPr="00412E59">
        <w:rPr>
          <w:rFonts w:ascii="Garamond" w:eastAsia="Calibri" w:hAnsi="Garamond"/>
          <w:sz w:val="24"/>
          <w:lang w:eastAsia="en-US"/>
        </w:rPr>
        <w:t xml:space="preserve">ESG </w:t>
      </w:r>
      <w:r w:rsidRPr="00412E59">
        <w:rPr>
          <w:rFonts w:ascii="Garamond" w:eastAsia="Calibri" w:hAnsi="Garamond"/>
          <w:sz w:val="24"/>
          <w:lang w:eastAsia="en-US"/>
        </w:rPr>
        <w:t xml:space="preserve">area, </w:t>
      </w:r>
      <w:r w:rsidR="007F0369" w:rsidRPr="00412E59">
        <w:rPr>
          <w:rFonts w:ascii="Garamond" w:eastAsia="Calibri" w:hAnsi="Garamond"/>
          <w:sz w:val="24"/>
          <w:lang w:eastAsia="en-US"/>
        </w:rPr>
        <w:t xml:space="preserve">because </w:t>
      </w:r>
      <w:r w:rsidR="000E2ECD" w:rsidRPr="00412E59">
        <w:rPr>
          <w:rFonts w:ascii="Garamond" w:eastAsia="Calibri" w:hAnsi="Garamond"/>
          <w:sz w:val="24"/>
          <w:lang w:eastAsia="en-US"/>
        </w:rPr>
        <w:t xml:space="preserve">the </w:t>
      </w:r>
      <w:r w:rsidRPr="00412E59">
        <w:rPr>
          <w:rFonts w:ascii="Garamond" w:eastAsia="Calibri" w:hAnsi="Garamond"/>
          <w:sz w:val="24"/>
          <w:lang w:eastAsia="en-US"/>
        </w:rPr>
        <w:t>level of regulatory stratification</w:t>
      </w:r>
      <w:r w:rsidR="000E2ECD" w:rsidRPr="00412E59">
        <w:rPr>
          <w:rFonts w:ascii="Garamond" w:eastAsia="Calibri" w:hAnsi="Garamond"/>
          <w:sz w:val="24"/>
          <w:lang w:eastAsia="en-US"/>
        </w:rPr>
        <w:t xml:space="preserve"> is already high</w:t>
      </w:r>
      <w:r w:rsidRPr="00412E59">
        <w:rPr>
          <w:rFonts w:ascii="Garamond" w:eastAsia="Calibri" w:hAnsi="Garamond"/>
          <w:sz w:val="24"/>
          <w:lang w:eastAsia="en-US"/>
        </w:rPr>
        <w:t xml:space="preserve">. More specifically, </w:t>
      </w:r>
      <w:r w:rsidR="009A4B1F" w:rsidRPr="00412E59">
        <w:rPr>
          <w:rFonts w:ascii="Garamond" w:eastAsia="Calibri" w:hAnsi="Garamond"/>
          <w:sz w:val="24"/>
          <w:lang w:eastAsia="en-US"/>
        </w:rPr>
        <w:t xml:space="preserve">we believe that </w:t>
      </w:r>
      <w:r w:rsidR="00080AD2" w:rsidRPr="00412E59">
        <w:rPr>
          <w:rFonts w:ascii="Garamond" w:eastAsia="Calibri" w:hAnsi="Garamond"/>
          <w:sz w:val="24"/>
          <w:lang w:eastAsia="en-US"/>
        </w:rPr>
        <w:t>–</w:t>
      </w:r>
      <w:r w:rsidR="009A4B1F" w:rsidRPr="00412E59">
        <w:rPr>
          <w:rFonts w:ascii="Garamond" w:eastAsia="Calibri" w:hAnsi="Garamond"/>
          <w:sz w:val="24"/>
          <w:lang w:eastAsia="en-US"/>
        </w:rPr>
        <w:t xml:space="preserve"> c</w:t>
      </w:r>
      <w:r w:rsidRPr="00412E59">
        <w:rPr>
          <w:rFonts w:ascii="Garamond" w:eastAsia="Calibri" w:hAnsi="Garamond"/>
          <w:sz w:val="24"/>
          <w:lang w:eastAsia="en-US"/>
        </w:rPr>
        <w:t>ontrary</w:t>
      </w:r>
      <w:r w:rsidR="00080AD2" w:rsidRPr="00412E59">
        <w:rPr>
          <w:rFonts w:ascii="Garamond" w:eastAsia="Calibri" w:hAnsi="Garamond"/>
          <w:sz w:val="24"/>
          <w:lang w:eastAsia="en-US"/>
        </w:rPr>
        <w:t xml:space="preserve"> </w:t>
      </w:r>
      <w:r w:rsidRPr="00412E59">
        <w:rPr>
          <w:rFonts w:ascii="Garamond" w:eastAsia="Calibri" w:hAnsi="Garamond"/>
          <w:sz w:val="24"/>
          <w:lang w:eastAsia="en-US"/>
        </w:rPr>
        <w:t xml:space="preserve">to what is stated in ESMA’s </w:t>
      </w:r>
      <w:r w:rsidR="009A4B1F" w:rsidRPr="00412E59">
        <w:rPr>
          <w:rFonts w:ascii="Garamond" w:eastAsia="Calibri" w:hAnsi="Garamond"/>
          <w:sz w:val="24"/>
          <w:lang w:eastAsia="en-US"/>
        </w:rPr>
        <w:t xml:space="preserve">paper </w:t>
      </w:r>
      <w:r w:rsidR="00F462AC" w:rsidRPr="00412E59">
        <w:rPr>
          <w:rFonts w:ascii="Garamond" w:eastAsia="Calibri" w:hAnsi="Garamond"/>
          <w:sz w:val="24"/>
          <w:lang w:eastAsia="en-US"/>
        </w:rPr>
        <w:t>(par</w:t>
      </w:r>
      <w:r w:rsidRPr="00412E59">
        <w:rPr>
          <w:rFonts w:ascii="Garamond" w:eastAsia="Calibri" w:hAnsi="Garamond"/>
          <w:sz w:val="24"/>
          <w:lang w:eastAsia="en-US"/>
        </w:rPr>
        <w:t>a</w:t>
      </w:r>
      <w:r w:rsidR="00F462AC" w:rsidRPr="00412E59">
        <w:rPr>
          <w:rFonts w:ascii="Garamond" w:eastAsia="Calibri" w:hAnsi="Garamond"/>
          <w:sz w:val="24"/>
          <w:lang w:eastAsia="en-US"/>
        </w:rPr>
        <w:t>. 11)</w:t>
      </w:r>
      <w:r w:rsidR="009A4B1F" w:rsidRPr="00412E59">
        <w:rPr>
          <w:rFonts w:ascii="Garamond" w:eastAsia="Calibri" w:hAnsi="Garamond"/>
          <w:sz w:val="24"/>
          <w:lang w:eastAsia="en-US"/>
        </w:rPr>
        <w:t xml:space="preserve"> – </w:t>
      </w:r>
      <w:r w:rsidRPr="00412E59">
        <w:rPr>
          <w:rFonts w:ascii="Garamond" w:eastAsia="Calibri" w:hAnsi="Garamond"/>
          <w:sz w:val="24"/>
          <w:lang w:eastAsia="en-US"/>
        </w:rPr>
        <w:t>the</w:t>
      </w:r>
      <w:r w:rsidR="009A4B1F" w:rsidRPr="00412E59">
        <w:rPr>
          <w:rFonts w:ascii="Garamond" w:eastAsia="Calibri" w:hAnsi="Garamond"/>
          <w:sz w:val="24"/>
          <w:lang w:eastAsia="en-US"/>
        </w:rPr>
        <w:t xml:space="preserve"> </w:t>
      </w:r>
      <w:r w:rsidRPr="00412E59">
        <w:rPr>
          <w:rFonts w:ascii="Garamond" w:eastAsia="Calibri" w:hAnsi="Garamond"/>
          <w:sz w:val="24"/>
          <w:lang w:eastAsia="en-US"/>
        </w:rPr>
        <w:t xml:space="preserve">new proposed rules must </w:t>
      </w:r>
      <w:r w:rsidR="009A4B1F" w:rsidRPr="00412E59">
        <w:rPr>
          <w:rFonts w:ascii="Garamond" w:eastAsia="Calibri" w:hAnsi="Garamond"/>
          <w:sz w:val="24"/>
          <w:lang w:eastAsia="en-US"/>
        </w:rPr>
        <w:t xml:space="preserve">necessarily align </w:t>
      </w:r>
      <w:r w:rsidRPr="00412E59">
        <w:rPr>
          <w:rFonts w:ascii="Garamond" w:eastAsia="Calibri" w:hAnsi="Garamond"/>
          <w:sz w:val="24"/>
          <w:lang w:eastAsia="en-US"/>
        </w:rPr>
        <w:t>with th</w:t>
      </w:r>
      <w:r w:rsidR="009A4B1F" w:rsidRPr="00412E59">
        <w:rPr>
          <w:rFonts w:ascii="Garamond" w:eastAsia="Calibri" w:hAnsi="Garamond"/>
          <w:sz w:val="24"/>
          <w:lang w:eastAsia="en-US"/>
        </w:rPr>
        <w:t xml:space="preserve">e requirements of </w:t>
      </w:r>
      <w:r w:rsidR="00F462AC" w:rsidRPr="00412E59">
        <w:rPr>
          <w:rFonts w:ascii="Garamond" w:eastAsia="Calibri" w:hAnsi="Garamond"/>
          <w:sz w:val="24"/>
          <w:lang w:eastAsia="en-US"/>
        </w:rPr>
        <w:t>Reg</w:t>
      </w:r>
      <w:r w:rsidRPr="00412E59">
        <w:rPr>
          <w:rFonts w:ascii="Garamond" w:eastAsia="Calibri" w:hAnsi="Garamond"/>
          <w:sz w:val="24"/>
          <w:lang w:eastAsia="en-US"/>
        </w:rPr>
        <w:t>ulation</w:t>
      </w:r>
      <w:r w:rsidR="00F462AC" w:rsidRPr="00412E59">
        <w:rPr>
          <w:rFonts w:ascii="Garamond" w:eastAsia="Calibri" w:hAnsi="Garamond"/>
          <w:sz w:val="24"/>
          <w:lang w:eastAsia="en-US"/>
        </w:rPr>
        <w:t xml:space="preserve"> </w:t>
      </w:r>
      <w:r w:rsidR="00CA13B6" w:rsidRPr="00412E59">
        <w:rPr>
          <w:rFonts w:ascii="Garamond" w:eastAsia="Calibri" w:hAnsi="Garamond"/>
          <w:sz w:val="24"/>
          <w:lang w:eastAsia="en-US"/>
        </w:rPr>
        <w:t>2019/</w:t>
      </w:r>
      <w:r w:rsidR="00F462AC" w:rsidRPr="00412E59">
        <w:rPr>
          <w:rFonts w:ascii="Garamond" w:eastAsia="Calibri" w:hAnsi="Garamond"/>
          <w:sz w:val="24"/>
          <w:lang w:eastAsia="en-US"/>
        </w:rPr>
        <w:t xml:space="preserve">2088. </w:t>
      </w:r>
      <w:r w:rsidRPr="00412E59">
        <w:rPr>
          <w:rFonts w:ascii="Garamond" w:eastAsia="Calibri" w:hAnsi="Garamond"/>
          <w:sz w:val="24"/>
          <w:lang w:eastAsia="en-US"/>
        </w:rPr>
        <w:t xml:space="preserve">Otherwise, </w:t>
      </w:r>
      <w:r w:rsidR="009A4B1F" w:rsidRPr="00412E59">
        <w:rPr>
          <w:rFonts w:ascii="Garamond" w:eastAsia="Calibri" w:hAnsi="Garamond"/>
          <w:sz w:val="24"/>
          <w:lang w:eastAsia="en-US"/>
        </w:rPr>
        <w:t xml:space="preserve">in addition to the </w:t>
      </w:r>
      <w:r w:rsidRPr="00412E59">
        <w:rPr>
          <w:rFonts w:ascii="Garamond" w:eastAsia="Calibri" w:hAnsi="Garamond"/>
          <w:sz w:val="24"/>
          <w:lang w:eastAsia="en-US"/>
        </w:rPr>
        <w:t xml:space="preserve">existing </w:t>
      </w:r>
      <w:r w:rsidR="00080AD2" w:rsidRPr="00412E59">
        <w:rPr>
          <w:rFonts w:ascii="Garamond" w:eastAsia="Calibri" w:hAnsi="Garamond"/>
          <w:sz w:val="24"/>
          <w:lang w:eastAsia="en-US"/>
        </w:rPr>
        <w:t xml:space="preserve">categories for </w:t>
      </w:r>
      <w:r w:rsidRPr="00412E59">
        <w:rPr>
          <w:rFonts w:ascii="Garamond" w:eastAsia="Calibri" w:hAnsi="Garamond"/>
          <w:sz w:val="24"/>
          <w:lang w:eastAsia="en-US"/>
        </w:rPr>
        <w:t>Article</w:t>
      </w:r>
      <w:r w:rsidR="00F462AC" w:rsidRPr="00412E59">
        <w:rPr>
          <w:rFonts w:ascii="Garamond" w:eastAsia="Calibri" w:hAnsi="Garamond"/>
          <w:sz w:val="24"/>
          <w:lang w:eastAsia="en-US"/>
        </w:rPr>
        <w:t xml:space="preserve"> 8, </w:t>
      </w:r>
      <w:r w:rsidR="008C7ECA" w:rsidRPr="00412E59">
        <w:rPr>
          <w:rFonts w:ascii="Garamond" w:eastAsia="Calibri" w:hAnsi="Garamond"/>
          <w:sz w:val="24"/>
          <w:lang w:eastAsia="en-US"/>
        </w:rPr>
        <w:t xml:space="preserve">Article 8 </w:t>
      </w:r>
      <w:r w:rsidR="00F462AC" w:rsidRPr="00412E59">
        <w:rPr>
          <w:rFonts w:ascii="Garamond" w:eastAsia="Calibri" w:hAnsi="Garamond"/>
          <w:sz w:val="24"/>
          <w:lang w:eastAsia="en-US"/>
        </w:rPr>
        <w:t xml:space="preserve">plus </w:t>
      </w:r>
      <w:r w:rsidRPr="00412E59">
        <w:rPr>
          <w:rFonts w:ascii="Garamond" w:eastAsia="Calibri" w:hAnsi="Garamond"/>
          <w:sz w:val="24"/>
          <w:lang w:eastAsia="en-US"/>
        </w:rPr>
        <w:t>and</w:t>
      </w:r>
      <w:r w:rsidR="00F462AC" w:rsidRPr="00412E59">
        <w:rPr>
          <w:rFonts w:ascii="Garamond" w:eastAsia="Calibri" w:hAnsi="Garamond"/>
          <w:sz w:val="24"/>
          <w:lang w:eastAsia="en-US"/>
        </w:rPr>
        <w:t xml:space="preserve"> </w:t>
      </w:r>
      <w:r w:rsidR="008C7ECA" w:rsidRPr="00412E59">
        <w:rPr>
          <w:rFonts w:ascii="Garamond" w:eastAsia="Calibri" w:hAnsi="Garamond"/>
          <w:sz w:val="24"/>
          <w:lang w:eastAsia="en-US"/>
        </w:rPr>
        <w:t xml:space="preserve">Article </w:t>
      </w:r>
      <w:r w:rsidR="00F462AC" w:rsidRPr="00412E59">
        <w:rPr>
          <w:rFonts w:ascii="Garamond" w:eastAsia="Calibri" w:hAnsi="Garamond"/>
          <w:sz w:val="24"/>
          <w:lang w:eastAsia="en-US"/>
        </w:rPr>
        <w:t>9</w:t>
      </w:r>
      <w:r w:rsidRPr="00412E59">
        <w:rPr>
          <w:rFonts w:ascii="Garamond" w:eastAsia="Calibri" w:hAnsi="Garamond"/>
          <w:sz w:val="24"/>
          <w:lang w:eastAsia="en-US"/>
        </w:rPr>
        <w:t xml:space="preserve"> product</w:t>
      </w:r>
      <w:r w:rsidR="00080AD2" w:rsidRPr="00412E59">
        <w:rPr>
          <w:rFonts w:ascii="Garamond" w:eastAsia="Calibri" w:hAnsi="Garamond"/>
          <w:sz w:val="24"/>
          <w:lang w:eastAsia="en-US"/>
        </w:rPr>
        <w:t>s</w:t>
      </w:r>
      <w:r w:rsidR="009A4B1F" w:rsidRPr="00412E59">
        <w:rPr>
          <w:rFonts w:ascii="Garamond" w:eastAsia="Calibri" w:hAnsi="Garamond"/>
          <w:sz w:val="24"/>
          <w:lang w:eastAsia="en-US"/>
        </w:rPr>
        <w:t>,</w:t>
      </w:r>
      <w:r w:rsidR="00F462AC" w:rsidRPr="00412E59">
        <w:rPr>
          <w:rFonts w:ascii="Garamond" w:eastAsia="Calibri" w:hAnsi="Garamond"/>
          <w:sz w:val="24"/>
          <w:lang w:eastAsia="en-US"/>
        </w:rPr>
        <w:t xml:space="preserve"> </w:t>
      </w:r>
      <w:r w:rsidR="007F0369" w:rsidRPr="00412E59">
        <w:rPr>
          <w:rFonts w:ascii="Garamond" w:eastAsia="Calibri" w:hAnsi="Garamond"/>
          <w:sz w:val="24"/>
          <w:lang w:eastAsia="en-US"/>
        </w:rPr>
        <w:t xml:space="preserve">there would be a proliferation of </w:t>
      </w:r>
      <w:r w:rsidRPr="00412E59">
        <w:rPr>
          <w:rFonts w:ascii="Garamond" w:eastAsia="Calibri" w:hAnsi="Garamond"/>
          <w:sz w:val="24"/>
          <w:lang w:eastAsia="en-US"/>
        </w:rPr>
        <w:t xml:space="preserve">categories </w:t>
      </w:r>
      <w:r w:rsidR="00080AD2" w:rsidRPr="00412E59">
        <w:rPr>
          <w:rFonts w:ascii="Garamond" w:eastAsia="Calibri" w:hAnsi="Garamond"/>
          <w:sz w:val="24"/>
          <w:lang w:eastAsia="en-US"/>
        </w:rPr>
        <w:t>for</w:t>
      </w:r>
      <w:r w:rsidRPr="00412E59">
        <w:rPr>
          <w:rFonts w:ascii="Garamond" w:eastAsia="Calibri" w:hAnsi="Garamond"/>
          <w:sz w:val="24"/>
          <w:lang w:eastAsia="en-US"/>
        </w:rPr>
        <w:t xml:space="preserve"> Article 8 funds having the acronym </w:t>
      </w:r>
      <w:r w:rsidR="00F462AC" w:rsidRPr="00CA69F5">
        <w:rPr>
          <w:rFonts w:ascii="Garamond" w:eastAsia="Calibri" w:hAnsi="Garamond"/>
          <w:sz w:val="24"/>
          <w:lang w:eastAsia="en-US"/>
        </w:rPr>
        <w:t xml:space="preserve">ESG </w:t>
      </w:r>
      <w:r w:rsidRPr="00CA69F5">
        <w:rPr>
          <w:rFonts w:ascii="Garamond" w:eastAsia="Calibri" w:hAnsi="Garamond"/>
          <w:sz w:val="24"/>
          <w:lang w:eastAsia="en-US"/>
        </w:rPr>
        <w:t>in their names and Article</w:t>
      </w:r>
      <w:r w:rsidR="00F462AC" w:rsidRPr="00CA69F5">
        <w:rPr>
          <w:rFonts w:ascii="Garamond" w:eastAsia="Calibri" w:hAnsi="Garamond"/>
          <w:sz w:val="24"/>
          <w:lang w:eastAsia="en-US"/>
        </w:rPr>
        <w:t xml:space="preserve"> 8 </w:t>
      </w:r>
      <w:r w:rsidRPr="00CA69F5">
        <w:rPr>
          <w:rFonts w:ascii="Garamond" w:eastAsia="Calibri" w:hAnsi="Garamond"/>
          <w:sz w:val="24"/>
          <w:lang w:eastAsia="en-US"/>
        </w:rPr>
        <w:t>funds without that peculiarity</w:t>
      </w:r>
      <w:r w:rsidR="00DD2CB2" w:rsidRPr="00CA69F5">
        <w:rPr>
          <w:rFonts w:ascii="Garamond" w:eastAsia="Calibri" w:hAnsi="Garamond"/>
          <w:sz w:val="24"/>
          <w:lang w:eastAsia="en-US"/>
        </w:rPr>
        <w:t xml:space="preserve">. Thus, </w:t>
      </w:r>
      <w:r w:rsidR="00080AD2" w:rsidRPr="00CA69F5">
        <w:rPr>
          <w:rFonts w:ascii="Garamond" w:eastAsia="Calibri" w:hAnsi="Garamond"/>
          <w:sz w:val="24"/>
          <w:lang w:eastAsia="en-US"/>
        </w:rPr>
        <w:t xml:space="preserve">for example, </w:t>
      </w:r>
      <w:r w:rsidR="00DD2CB2" w:rsidRPr="00CA69F5">
        <w:rPr>
          <w:rFonts w:ascii="Garamond" w:eastAsia="Calibri" w:hAnsi="Garamond"/>
          <w:sz w:val="24"/>
          <w:lang w:eastAsia="en-US"/>
        </w:rPr>
        <w:t xml:space="preserve">the following </w:t>
      </w:r>
      <w:r w:rsidR="00080AD2" w:rsidRPr="00CA69F5">
        <w:rPr>
          <w:rFonts w:ascii="Garamond" w:eastAsia="Calibri" w:hAnsi="Garamond"/>
          <w:sz w:val="24"/>
          <w:lang w:eastAsia="en-US"/>
        </w:rPr>
        <w:t xml:space="preserve">categories would be created for </w:t>
      </w:r>
      <w:r w:rsidR="00412E59" w:rsidRPr="00CA69F5">
        <w:rPr>
          <w:rFonts w:ascii="Garamond" w:eastAsia="Calibri" w:hAnsi="Garamond"/>
          <w:sz w:val="24"/>
          <w:lang w:eastAsia="en-US"/>
        </w:rPr>
        <w:t>investment</w:t>
      </w:r>
      <w:r w:rsidR="00080AD2" w:rsidRPr="00CA69F5">
        <w:rPr>
          <w:rFonts w:ascii="Garamond" w:eastAsia="Calibri" w:hAnsi="Garamond"/>
          <w:sz w:val="24"/>
          <w:lang w:eastAsia="en-US"/>
        </w:rPr>
        <w:t xml:space="preserve"> funds</w:t>
      </w:r>
      <w:r w:rsidR="00F462AC" w:rsidRPr="00CA69F5">
        <w:rPr>
          <w:rFonts w:ascii="Garamond" w:eastAsia="Calibri" w:hAnsi="Garamond"/>
          <w:sz w:val="24"/>
          <w:lang w:eastAsia="en-US"/>
        </w:rPr>
        <w:t xml:space="preserve">: 1. </w:t>
      </w:r>
      <w:r w:rsidR="00DD2CB2" w:rsidRPr="00CA69F5">
        <w:rPr>
          <w:rFonts w:ascii="Garamond" w:eastAsia="Calibri" w:hAnsi="Garamond"/>
          <w:sz w:val="24"/>
          <w:lang w:eastAsia="en-US"/>
        </w:rPr>
        <w:t xml:space="preserve">Article 8 funds having </w:t>
      </w:r>
      <w:r w:rsidR="00F462AC" w:rsidRPr="00CA69F5">
        <w:rPr>
          <w:rFonts w:ascii="Garamond" w:eastAsia="Calibri" w:hAnsi="Garamond"/>
          <w:sz w:val="24"/>
          <w:lang w:eastAsia="en-US"/>
        </w:rPr>
        <w:t>ESG</w:t>
      </w:r>
      <w:r w:rsidR="00080AD2" w:rsidRPr="00CA69F5">
        <w:rPr>
          <w:rFonts w:ascii="Garamond" w:eastAsia="Calibri" w:hAnsi="Garamond"/>
          <w:sz w:val="24"/>
          <w:lang w:eastAsia="en-US"/>
        </w:rPr>
        <w:t xml:space="preserve">-related </w:t>
      </w:r>
      <w:r w:rsidR="0012718B" w:rsidRPr="00CA69F5">
        <w:rPr>
          <w:rFonts w:ascii="Garamond" w:eastAsia="Calibri" w:hAnsi="Garamond"/>
          <w:sz w:val="24"/>
          <w:lang w:eastAsia="en-US"/>
        </w:rPr>
        <w:t>terms</w:t>
      </w:r>
      <w:r w:rsidR="00F462AC" w:rsidRPr="00CA69F5">
        <w:rPr>
          <w:rFonts w:ascii="Garamond" w:eastAsia="Calibri" w:hAnsi="Garamond"/>
          <w:sz w:val="24"/>
          <w:lang w:eastAsia="en-US"/>
        </w:rPr>
        <w:t xml:space="preserve"> </w:t>
      </w:r>
      <w:r w:rsidR="00DD2CB2" w:rsidRPr="00CA69F5">
        <w:rPr>
          <w:rFonts w:ascii="Garamond" w:eastAsia="Calibri" w:hAnsi="Garamond"/>
          <w:sz w:val="24"/>
          <w:lang w:eastAsia="en-US"/>
        </w:rPr>
        <w:t>in their names</w:t>
      </w:r>
      <w:r w:rsidR="00F462AC" w:rsidRPr="00CA69F5">
        <w:rPr>
          <w:rFonts w:ascii="Garamond" w:eastAsia="Calibri" w:hAnsi="Garamond"/>
          <w:sz w:val="24"/>
          <w:lang w:eastAsia="en-US"/>
        </w:rPr>
        <w:t>; 2</w:t>
      </w:r>
      <w:r w:rsidR="00A47243" w:rsidRPr="00CA69F5">
        <w:rPr>
          <w:rFonts w:ascii="Garamond" w:eastAsia="Calibri" w:hAnsi="Garamond"/>
          <w:sz w:val="24"/>
          <w:lang w:eastAsia="en-US"/>
        </w:rPr>
        <w:t xml:space="preserve">. </w:t>
      </w:r>
      <w:r w:rsidR="00DD2CB2" w:rsidRPr="00CA69F5">
        <w:rPr>
          <w:rFonts w:ascii="Garamond" w:eastAsia="Calibri" w:hAnsi="Garamond"/>
          <w:sz w:val="24"/>
          <w:lang w:eastAsia="en-US"/>
        </w:rPr>
        <w:t>Article</w:t>
      </w:r>
      <w:r w:rsidR="001B364F" w:rsidRPr="00CA69F5">
        <w:rPr>
          <w:rFonts w:ascii="Garamond" w:eastAsia="Calibri" w:hAnsi="Garamond"/>
          <w:sz w:val="24"/>
          <w:lang w:eastAsia="en-US"/>
        </w:rPr>
        <w:t> </w:t>
      </w:r>
      <w:r w:rsidR="00DD2CB2" w:rsidRPr="00CA69F5">
        <w:rPr>
          <w:rFonts w:ascii="Garamond" w:eastAsia="Calibri" w:hAnsi="Garamond"/>
          <w:sz w:val="24"/>
          <w:lang w:eastAsia="en-US"/>
        </w:rPr>
        <w:t>8</w:t>
      </w:r>
      <w:r w:rsidR="00080AD2" w:rsidRPr="00CA69F5">
        <w:rPr>
          <w:rFonts w:ascii="Garamond" w:eastAsia="Calibri" w:hAnsi="Garamond"/>
          <w:sz w:val="24"/>
          <w:lang w:eastAsia="en-US"/>
        </w:rPr>
        <w:t xml:space="preserve"> </w:t>
      </w:r>
      <w:r w:rsidR="00DD2CB2" w:rsidRPr="00CA69F5">
        <w:rPr>
          <w:rFonts w:ascii="Garamond" w:eastAsia="Calibri" w:hAnsi="Garamond"/>
          <w:sz w:val="24"/>
          <w:lang w:eastAsia="en-US"/>
        </w:rPr>
        <w:t xml:space="preserve">funds without </w:t>
      </w:r>
      <w:r w:rsidR="00F462AC" w:rsidRPr="00CA69F5">
        <w:rPr>
          <w:rFonts w:ascii="Garamond" w:eastAsia="Calibri" w:hAnsi="Garamond"/>
          <w:sz w:val="24"/>
          <w:lang w:eastAsia="en-US"/>
        </w:rPr>
        <w:t>ESG</w:t>
      </w:r>
      <w:r w:rsidR="00080AD2" w:rsidRPr="00CA69F5">
        <w:rPr>
          <w:rFonts w:ascii="Garamond" w:eastAsia="Calibri" w:hAnsi="Garamond"/>
          <w:sz w:val="24"/>
          <w:lang w:eastAsia="en-US"/>
        </w:rPr>
        <w:t xml:space="preserve">-related </w:t>
      </w:r>
      <w:r w:rsidR="0012718B" w:rsidRPr="00CA69F5">
        <w:rPr>
          <w:rFonts w:ascii="Garamond" w:eastAsia="Calibri" w:hAnsi="Garamond"/>
          <w:sz w:val="24"/>
          <w:lang w:eastAsia="en-US"/>
        </w:rPr>
        <w:t>terms</w:t>
      </w:r>
      <w:r w:rsidR="00F462AC" w:rsidRPr="00CA69F5">
        <w:rPr>
          <w:rFonts w:ascii="Garamond" w:eastAsia="Calibri" w:hAnsi="Garamond"/>
          <w:sz w:val="24"/>
          <w:lang w:eastAsia="en-US"/>
        </w:rPr>
        <w:t xml:space="preserve"> </w:t>
      </w:r>
      <w:r w:rsidR="00DD2CB2" w:rsidRPr="00CA69F5">
        <w:rPr>
          <w:rFonts w:ascii="Garamond" w:eastAsia="Calibri" w:hAnsi="Garamond"/>
          <w:sz w:val="24"/>
          <w:lang w:eastAsia="en-US"/>
        </w:rPr>
        <w:t>in their names</w:t>
      </w:r>
      <w:r w:rsidR="00F462AC" w:rsidRPr="00CA69F5">
        <w:rPr>
          <w:rFonts w:ascii="Garamond" w:eastAsia="Calibri" w:hAnsi="Garamond"/>
          <w:sz w:val="24"/>
          <w:lang w:eastAsia="en-US"/>
        </w:rPr>
        <w:t>; 3</w:t>
      </w:r>
      <w:r w:rsidR="00A47243" w:rsidRPr="00CA69F5">
        <w:rPr>
          <w:rFonts w:ascii="Garamond" w:eastAsia="Calibri" w:hAnsi="Garamond"/>
          <w:sz w:val="24"/>
          <w:lang w:eastAsia="en-US"/>
        </w:rPr>
        <w:t>.</w:t>
      </w:r>
      <w:r w:rsidR="00F462AC" w:rsidRPr="00CA69F5">
        <w:rPr>
          <w:rFonts w:ascii="Garamond" w:eastAsia="Calibri" w:hAnsi="Garamond"/>
          <w:sz w:val="24"/>
          <w:lang w:eastAsia="en-US"/>
        </w:rPr>
        <w:t xml:space="preserve"> </w:t>
      </w:r>
      <w:r w:rsidR="00DD2CB2" w:rsidRPr="00CA69F5">
        <w:rPr>
          <w:rFonts w:ascii="Garamond" w:eastAsia="Calibri" w:hAnsi="Garamond"/>
          <w:sz w:val="24"/>
          <w:lang w:eastAsia="en-US"/>
        </w:rPr>
        <w:t xml:space="preserve">Article 8 funds having </w:t>
      </w:r>
      <w:r w:rsidR="00F462AC" w:rsidRPr="00CA69F5">
        <w:rPr>
          <w:rFonts w:ascii="Garamond" w:eastAsia="Calibri" w:hAnsi="Garamond"/>
          <w:sz w:val="24"/>
          <w:lang w:eastAsia="en-US"/>
        </w:rPr>
        <w:t>impact</w:t>
      </w:r>
      <w:r w:rsidR="00080AD2" w:rsidRPr="00CA69F5">
        <w:rPr>
          <w:rFonts w:ascii="Garamond" w:eastAsia="Calibri" w:hAnsi="Garamond"/>
          <w:sz w:val="24"/>
          <w:lang w:eastAsia="en-US"/>
        </w:rPr>
        <w:t>-</w:t>
      </w:r>
      <w:r w:rsidR="00080AD2" w:rsidRPr="00CA69F5">
        <w:rPr>
          <w:rFonts w:ascii="Garamond" w:eastAsia="Calibri" w:hAnsi="Garamond"/>
          <w:sz w:val="24"/>
          <w:lang w:eastAsia="en-US"/>
        </w:rPr>
        <w:lastRenderedPageBreak/>
        <w:t xml:space="preserve">related </w:t>
      </w:r>
      <w:r w:rsidR="0012718B" w:rsidRPr="00CA69F5">
        <w:rPr>
          <w:rFonts w:ascii="Garamond" w:eastAsia="Calibri" w:hAnsi="Garamond"/>
          <w:sz w:val="24"/>
          <w:lang w:eastAsia="en-US"/>
        </w:rPr>
        <w:t>terms</w:t>
      </w:r>
      <w:r w:rsidR="00080AD2" w:rsidRPr="00CA69F5">
        <w:rPr>
          <w:rFonts w:ascii="Garamond" w:eastAsia="Calibri" w:hAnsi="Garamond"/>
          <w:sz w:val="24"/>
          <w:lang w:eastAsia="en-US"/>
        </w:rPr>
        <w:t xml:space="preserve"> </w:t>
      </w:r>
      <w:r w:rsidR="00DD2CB2" w:rsidRPr="00CA69F5">
        <w:rPr>
          <w:rFonts w:ascii="Garamond" w:eastAsia="Calibri" w:hAnsi="Garamond"/>
          <w:sz w:val="24"/>
          <w:lang w:eastAsia="en-US"/>
        </w:rPr>
        <w:t>in their names</w:t>
      </w:r>
      <w:r w:rsidR="00F462AC" w:rsidRPr="00CA69F5">
        <w:rPr>
          <w:rFonts w:ascii="Garamond" w:eastAsia="Calibri" w:hAnsi="Garamond"/>
          <w:sz w:val="24"/>
          <w:lang w:eastAsia="en-US"/>
        </w:rPr>
        <w:t>; 4</w:t>
      </w:r>
      <w:r w:rsidR="00A47243" w:rsidRPr="00CA69F5">
        <w:rPr>
          <w:rFonts w:ascii="Garamond" w:eastAsia="Calibri" w:hAnsi="Garamond"/>
          <w:sz w:val="24"/>
          <w:lang w:eastAsia="en-US"/>
        </w:rPr>
        <w:t>.</w:t>
      </w:r>
      <w:r w:rsidR="00F462AC" w:rsidRPr="00CA69F5">
        <w:rPr>
          <w:rFonts w:ascii="Garamond" w:eastAsia="Calibri" w:hAnsi="Garamond"/>
          <w:sz w:val="24"/>
          <w:lang w:eastAsia="en-US"/>
        </w:rPr>
        <w:t xml:space="preserve"> </w:t>
      </w:r>
      <w:r w:rsidR="00DD2CB2" w:rsidRPr="00CA69F5">
        <w:rPr>
          <w:rFonts w:ascii="Garamond" w:eastAsia="Calibri" w:hAnsi="Garamond"/>
          <w:sz w:val="24"/>
          <w:lang w:eastAsia="en-US"/>
        </w:rPr>
        <w:t>Article 9</w:t>
      </w:r>
      <w:r w:rsidR="00080AD2" w:rsidRPr="00CA69F5">
        <w:rPr>
          <w:rFonts w:ascii="Garamond" w:eastAsia="Calibri" w:hAnsi="Garamond"/>
          <w:sz w:val="24"/>
          <w:lang w:eastAsia="en-US"/>
        </w:rPr>
        <w:t xml:space="preserve"> </w:t>
      </w:r>
      <w:r w:rsidR="00DD2CB2" w:rsidRPr="00CA69F5">
        <w:rPr>
          <w:rFonts w:ascii="Garamond" w:eastAsia="Calibri" w:hAnsi="Garamond"/>
          <w:sz w:val="24"/>
          <w:lang w:eastAsia="en-US"/>
        </w:rPr>
        <w:t xml:space="preserve">funds, </w:t>
      </w:r>
      <w:proofErr w:type="gramStart"/>
      <w:r w:rsidR="00DD2CB2" w:rsidRPr="00CA69F5">
        <w:rPr>
          <w:rFonts w:ascii="Garamond" w:eastAsia="Calibri" w:hAnsi="Garamond"/>
          <w:sz w:val="24"/>
          <w:lang w:eastAsia="en-US"/>
        </w:rPr>
        <w:t>etc</w:t>
      </w:r>
      <w:r w:rsidR="00F462AC" w:rsidRPr="00CA69F5">
        <w:rPr>
          <w:rFonts w:ascii="Garamond" w:eastAsia="Calibri" w:hAnsi="Garamond"/>
          <w:sz w:val="24"/>
          <w:lang w:eastAsia="en-US"/>
        </w:rPr>
        <w:t>..</w:t>
      </w:r>
      <w:proofErr w:type="gramEnd"/>
      <w:r w:rsidR="00F462AC" w:rsidRPr="00CA69F5">
        <w:rPr>
          <w:rFonts w:ascii="Garamond" w:eastAsia="Calibri" w:hAnsi="Garamond"/>
          <w:sz w:val="24"/>
          <w:lang w:eastAsia="en-US"/>
        </w:rPr>
        <w:t xml:space="preserve"> T</w:t>
      </w:r>
      <w:r w:rsidR="00DD2CB2" w:rsidRPr="00CA69F5">
        <w:rPr>
          <w:rFonts w:ascii="Garamond" w:eastAsia="Calibri" w:hAnsi="Garamond"/>
          <w:sz w:val="24"/>
          <w:lang w:eastAsia="en-US"/>
        </w:rPr>
        <w:t xml:space="preserve">his </w:t>
      </w:r>
      <w:r w:rsidR="00080AD2" w:rsidRPr="00CA69F5">
        <w:rPr>
          <w:rFonts w:ascii="Garamond" w:eastAsia="Calibri" w:hAnsi="Garamond"/>
          <w:sz w:val="24"/>
          <w:lang w:eastAsia="en-US"/>
        </w:rPr>
        <w:t xml:space="preserve">further </w:t>
      </w:r>
      <w:r w:rsidR="00DD2CB2" w:rsidRPr="00CA69F5">
        <w:rPr>
          <w:rFonts w:ascii="Garamond" w:eastAsia="Calibri" w:hAnsi="Garamond"/>
          <w:sz w:val="24"/>
          <w:lang w:eastAsia="en-US"/>
        </w:rPr>
        <w:t xml:space="preserve">classification, </w:t>
      </w:r>
      <w:r w:rsidR="00271FFC" w:rsidRPr="00CA69F5">
        <w:rPr>
          <w:rFonts w:ascii="Garamond" w:eastAsia="Calibri" w:hAnsi="Garamond"/>
          <w:sz w:val="24"/>
          <w:lang w:eastAsia="en-US"/>
        </w:rPr>
        <w:t xml:space="preserve">where </w:t>
      </w:r>
      <w:r w:rsidR="00080AD2" w:rsidRPr="00CA69F5">
        <w:rPr>
          <w:rFonts w:ascii="Garamond" w:eastAsia="Calibri" w:hAnsi="Garamond"/>
          <w:sz w:val="24"/>
          <w:lang w:eastAsia="en-US"/>
        </w:rPr>
        <w:t xml:space="preserve">not aligned </w:t>
      </w:r>
      <w:r w:rsidR="00DD2CB2" w:rsidRPr="00CA69F5">
        <w:rPr>
          <w:rFonts w:ascii="Garamond" w:eastAsia="Calibri" w:hAnsi="Garamond"/>
          <w:sz w:val="24"/>
          <w:lang w:eastAsia="en-US"/>
        </w:rPr>
        <w:t xml:space="preserve">with the </w:t>
      </w:r>
      <w:r w:rsidR="00F462AC" w:rsidRPr="00CA69F5">
        <w:rPr>
          <w:rFonts w:ascii="Garamond" w:eastAsia="Calibri" w:hAnsi="Garamond"/>
          <w:sz w:val="24"/>
          <w:lang w:eastAsia="en-US"/>
        </w:rPr>
        <w:t xml:space="preserve">SFDR </w:t>
      </w:r>
      <w:r w:rsidR="00DD2CB2" w:rsidRPr="00CA69F5">
        <w:rPr>
          <w:rFonts w:ascii="Garamond" w:eastAsia="Calibri" w:hAnsi="Garamond"/>
          <w:sz w:val="24"/>
          <w:lang w:eastAsia="en-US"/>
        </w:rPr>
        <w:t xml:space="preserve">regulation, would make </w:t>
      </w:r>
      <w:r w:rsidR="00080AD2" w:rsidRPr="00CA69F5">
        <w:rPr>
          <w:rFonts w:ascii="Garamond" w:eastAsia="Calibri" w:hAnsi="Garamond"/>
          <w:sz w:val="24"/>
          <w:lang w:eastAsia="en-US"/>
        </w:rPr>
        <w:t xml:space="preserve">it </w:t>
      </w:r>
      <w:r w:rsidR="00DD2CB2" w:rsidRPr="00CA69F5">
        <w:rPr>
          <w:rFonts w:ascii="Garamond" w:eastAsia="Calibri" w:hAnsi="Garamond"/>
          <w:sz w:val="24"/>
          <w:lang w:eastAsia="en-US"/>
        </w:rPr>
        <w:t xml:space="preserve">even more complex </w:t>
      </w:r>
      <w:r w:rsidR="00080AD2" w:rsidRPr="00CA69F5">
        <w:rPr>
          <w:rFonts w:ascii="Garamond" w:eastAsia="Calibri" w:hAnsi="Garamond"/>
          <w:sz w:val="24"/>
          <w:lang w:eastAsia="en-US"/>
        </w:rPr>
        <w:t xml:space="preserve">firstly </w:t>
      </w:r>
      <w:r w:rsidR="00DD2CB2" w:rsidRPr="00CA69F5">
        <w:rPr>
          <w:rFonts w:ascii="Garamond" w:eastAsia="Calibri" w:hAnsi="Garamond"/>
          <w:sz w:val="24"/>
          <w:lang w:eastAsia="en-US"/>
        </w:rPr>
        <w:t xml:space="preserve">for end investors, but also for </w:t>
      </w:r>
      <w:r w:rsidR="004F306D" w:rsidRPr="00CA69F5">
        <w:rPr>
          <w:rFonts w:ascii="Garamond" w:eastAsia="Calibri" w:hAnsi="Garamond"/>
          <w:sz w:val="24"/>
          <w:lang w:eastAsia="en-US"/>
        </w:rPr>
        <w:t>distribution ne</w:t>
      </w:r>
      <w:r w:rsidR="00DD2CB2" w:rsidRPr="00CA69F5">
        <w:rPr>
          <w:rFonts w:ascii="Garamond" w:eastAsia="Calibri" w:hAnsi="Garamond"/>
          <w:sz w:val="24"/>
          <w:lang w:eastAsia="en-US"/>
        </w:rPr>
        <w:t>tworks to distinguish one product from another</w:t>
      </w:r>
      <w:r w:rsidR="00F462AC" w:rsidRPr="00CA69F5">
        <w:rPr>
          <w:rFonts w:ascii="Garamond" w:eastAsia="Calibri" w:hAnsi="Garamond"/>
          <w:sz w:val="24"/>
          <w:lang w:eastAsia="en-US"/>
        </w:rPr>
        <w:t xml:space="preserve">. </w:t>
      </w:r>
      <w:r w:rsidR="00EF7CA7" w:rsidRPr="00CA69F5">
        <w:rPr>
          <w:rFonts w:ascii="Garamond" w:eastAsia="Calibri" w:hAnsi="Garamond"/>
          <w:sz w:val="24"/>
          <w:lang w:eastAsia="en-US"/>
        </w:rPr>
        <w:t xml:space="preserve">In fact, we </w:t>
      </w:r>
      <w:r w:rsidR="00446A3E" w:rsidRPr="00CA69F5">
        <w:rPr>
          <w:rFonts w:ascii="Garamond" w:eastAsia="Calibri" w:hAnsi="Garamond"/>
          <w:sz w:val="24"/>
          <w:lang w:eastAsia="en-US"/>
        </w:rPr>
        <w:t xml:space="preserve">believe </w:t>
      </w:r>
      <w:r w:rsidR="00EF7CA7" w:rsidRPr="00CA69F5">
        <w:rPr>
          <w:rFonts w:ascii="Garamond" w:eastAsia="Calibri" w:hAnsi="Garamond"/>
          <w:sz w:val="24"/>
          <w:lang w:eastAsia="en-US"/>
        </w:rPr>
        <w:t xml:space="preserve">that, paradoxically, such an accumulation of rules and regulations may contribute to confusion and therefore, albeit unintentionally, </w:t>
      </w:r>
      <w:r w:rsidR="00536876" w:rsidRPr="00CA69F5">
        <w:rPr>
          <w:rFonts w:ascii="Garamond" w:eastAsia="Calibri" w:hAnsi="Garamond"/>
          <w:sz w:val="24"/>
          <w:lang w:eastAsia="en-US"/>
        </w:rPr>
        <w:t xml:space="preserve">facilitate </w:t>
      </w:r>
      <w:r w:rsidR="00F462AC" w:rsidRPr="00CA69F5">
        <w:rPr>
          <w:rFonts w:ascii="Garamond" w:eastAsia="Calibri" w:hAnsi="Garamond"/>
          <w:sz w:val="24"/>
          <w:lang w:eastAsia="en-US"/>
        </w:rPr>
        <w:t>greenwashing</w:t>
      </w:r>
      <w:r w:rsidR="00EF7CA7" w:rsidRPr="00CA69F5">
        <w:rPr>
          <w:rFonts w:ascii="Garamond" w:eastAsia="Calibri" w:hAnsi="Garamond"/>
          <w:sz w:val="24"/>
          <w:lang w:eastAsia="en-US"/>
        </w:rPr>
        <w:t xml:space="preserve"> phenomena.</w:t>
      </w:r>
      <w:r w:rsidR="006966F3" w:rsidRPr="00CA69F5">
        <w:rPr>
          <w:rFonts w:ascii="Garamond" w:eastAsia="Calibri" w:hAnsi="Garamond"/>
          <w:sz w:val="24"/>
          <w:lang w:eastAsia="en-US"/>
        </w:rPr>
        <w:t xml:space="preserve"> </w:t>
      </w:r>
    </w:p>
    <w:p w14:paraId="73248725" w14:textId="77777777" w:rsidR="006966F3" w:rsidRPr="00CA69F5" w:rsidRDefault="006966F3" w:rsidP="006966F3">
      <w:pPr>
        <w:ind w:left="1211" w:right="851"/>
        <w:jc w:val="both"/>
        <w:rPr>
          <w:rFonts w:ascii="Garamond" w:eastAsia="Calibri" w:hAnsi="Garamond"/>
          <w:sz w:val="24"/>
          <w:lang w:eastAsia="en-US"/>
        </w:rPr>
      </w:pPr>
    </w:p>
    <w:p w14:paraId="030FAE31" w14:textId="00271864" w:rsidR="006966F3" w:rsidRDefault="006966F3" w:rsidP="006966F3">
      <w:pPr>
        <w:numPr>
          <w:ilvl w:val="0"/>
          <w:numId w:val="41"/>
        </w:numPr>
        <w:ind w:right="851"/>
        <w:jc w:val="both"/>
        <w:rPr>
          <w:rFonts w:ascii="Garamond" w:eastAsia="Calibri" w:hAnsi="Garamond"/>
          <w:sz w:val="24"/>
          <w:lang w:eastAsia="en-US"/>
        </w:rPr>
      </w:pPr>
      <w:r w:rsidRPr="00CA69F5">
        <w:rPr>
          <w:rFonts w:ascii="Garamond" w:eastAsia="Calibri" w:hAnsi="Garamond"/>
          <w:sz w:val="24"/>
          <w:lang w:eastAsia="en-US"/>
        </w:rPr>
        <w:t>This further classification, based on terminological criteria, would make it more complex for the investor to understand the meaning of ESG products as well as the different product categories that comply with the SFDR.</w:t>
      </w:r>
    </w:p>
    <w:p w14:paraId="76DF6BFF" w14:textId="77777777" w:rsidR="005E683C" w:rsidRPr="005E683C" w:rsidRDefault="005E683C" w:rsidP="005E683C">
      <w:pPr>
        <w:ind w:left="1211" w:right="851"/>
        <w:jc w:val="both"/>
        <w:rPr>
          <w:rFonts w:ascii="Garamond" w:eastAsia="Calibri" w:hAnsi="Garamond"/>
          <w:sz w:val="24"/>
          <w:lang w:eastAsia="en-US"/>
        </w:rPr>
      </w:pPr>
    </w:p>
    <w:p w14:paraId="67DCD893" w14:textId="3B9D3265" w:rsidR="00F462AC" w:rsidRPr="00CA69F5" w:rsidRDefault="00EF7CA7" w:rsidP="00F462AC">
      <w:pPr>
        <w:numPr>
          <w:ilvl w:val="0"/>
          <w:numId w:val="41"/>
        </w:numPr>
        <w:ind w:right="851"/>
        <w:jc w:val="both"/>
        <w:rPr>
          <w:rFonts w:ascii="Garamond" w:eastAsia="Calibri" w:hAnsi="Garamond"/>
          <w:sz w:val="24"/>
          <w:lang w:eastAsia="en-US"/>
        </w:rPr>
      </w:pPr>
      <w:r w:rsidRPr="00CA69F5">
        <w:rPr>
          <w:rFonts w:ascii="Garamond" w:eastAsia="Calibri" w:hAnsi="Garamond"/>
          <w:sz w:val="24"/>
          <w:lang w:eastAsia="en-US"/>
        </w:rPr>
        <w:t xml:space="preserve">Even </w:t>
      </w:r>
      <w:r w:rsidR="00536876" w:rsidRPr="00CA69F5">
        <w:rPr>
          <w:rFonts w:ascii="Garamond" w:eastAsia="Calibri" w:hAnsi="Garamond"/>
          <w:sz w:val="24"/>
          <w:lang w:eastAsia="en-US"/>
        </w:rPr>
        <w:t xml:space="preserve">agreeing with </w:t>
      </w:r>
      <w:r w:rsidRPr="00CA69F5">
        <w:rPr>
          <w:rFonts w:ascii="Garamond" w:eastAsia="Calibri" w:hAnsi="Garamond"/>
          <w:sz w:val="24"/>
          <w:lang w:eastAsia="en-US"/>
        </w:rPr>
        <w:t xml:space="preserve">the intention to identify minimum thresholds for Article 8 and Article 8 </w:t>
      </w:r>
      <w:r w:rsidRPr="00CA69F5">
        <w:rPr>
          <w:rFonts w:ascii="Garamond" w:eastAsia="Calibri" w:hAnsi="Garamond"/>
          <w:i/>
          <w:iCs/>
          <w:sz w:val="24"/>
          <w:lang w:eastAsia="en-US"/>
        </w:rPr>
        <w:t xml:space="preserve">plus </w:t>
      </w:r>
      <w:r w:rsidRPr="00CA69F5">
        <w:rPr>
          <w:rFonts w:ascii="Garamond" w:eastAsia="Calibri" w:hAnsi="Garamond"/>
          <w:sz w:val="24"/>
          <w:lang w:eastAsia="en-US"/>
        </w:rPr>
        <w:t>financial product</w:t>
      </w:r>
      <w:r w:rsidR="00536876" w:rsidRPr="00CA69F5">
        <w:rPr>
          <w:rFonts w:ascii="Garamond" w:eastAsia="Calibri" w:hAnsi="Garamond"/>
          <w:sz w:val="24"/>
          <w:lang w:eastAsia="en-US"/>
        </w:rPr>
        <w:t>s,</w:t>
      </w:r>
      <w:r w:rsidRPr="00CA69F5">
        <w:rPr>
          <w:rFonts w:ascii="Garamond" w:eastAsia="Calibri" w:hAnsi="Garamond"/>
          <w:sz w:val="24"/>
          <w:lang w:eastAsia="en-US"/>
        </w:rPr>
        <w:t xml:space="preserve"> we </w:t>
      </w:r>
      <w:r w:rsidR="00446A3E" w:rsidRPr="00CA69F5">
        <w:rPr>
          <w:rFonts w:ascii="Garamond" w:eastAsia="Calibri" w:hAnsi="Garamond"/>
          <w:sz w:val="24"/>
          <w:lang w:eastAsia="en-US"/>
        </w:rPr>
        <w:t>believe</w:t>
      </w:r>
      <w:r w:rsidRPr="00CA69F5">
        <w:rPr>
          <w:rFonts w:ascii="Garamond" w:eastAsia="Calibri" w:hAnsi="Garamond"/>
          <w:sz w:val="24"/>
          <w:lang w:eastAsia="en-US"/>
        </w:rPr>
        <w:t xml:space="preserve"> that the proposed thresholds are </w:t>
      </w:r>
      <w:r w:rsidR="00271FFC" w:rsidRPr="00CA69F5">
        <w:rPr>
          <w:rFonts w:ascii="Garamond" w:eastAsia="Calibri" w:hAnsi="Garamond"/>
          <w:sz w:val="24"/>
          <w:lang w:eastAsia="en-US"/>
        </w:rPr>
        <w:t>too</w:t>
      </w:r>
      <w:r w:rsidRPr="00CA69F5">
        <w:rPr>
          <w:rFonts w:ascii="Garamond" w:eastAsia="Calibri" w:hAnsi="Garamond"/>
          <w:sz w:val="24"/>
          <w:lang w:eastAsia="en-US"/>
        </w:rPr>
        <w:t xml:space="preserve"> high and, in any case, not in line with market </w:t>
      </w:r>
      <w:r w:rsidR="00F462AC" w:rsidRPr="00CA69F5">
        <w:rPr>
          <w:rFonts w:ascii="Garamond" w:eastAsia="Calibri" w:hAnsi="Garamond"/>
          <w:sz w:val="24"/>
          <w:lang w:eastAsia="en-US"/>
        </w:rPr>
        <w:t>benchmark</w:t>
      </w:r>
      <w:r w:rsidRPr="00CA69F5">
        <w:rPr>
          <w:rFonts w:ascii="Garamond" w:eastAsia="Calibri" w:hAnsi="Garamond"/>
          <w:sz w:val="24"/>
          <w:lang w:eastAsia="en-US"/>
        </w:rPr>
        <w:t>s</w:t>
      </w:r>
      <w:r w:rsidR="00F462AC" w:rsidRPr="00CA69F5">
        <w:rPr>
          <w:rFonts w:ascii="Garamond" w:eastAsia="Calibri" w:hAnsi="Garamond"/>
          <w:sz w:val="24"/>
          <w:lang w:eastAsia="en-US"/>
        </w:rPr>
        <w:t xml:space="preserve">. </w:t>
      </w:r>
      <w:r w:rsidRPr="00CA69F5">
        <w:rPr>
          <w:rFonts w:ascii="Garamond" w:eastAsia="Calibri" w:hAnsi="Garamond"/>
          <w:sz w:val="24"/>
          <w:lang w:eastAsia="en-US"/>
        </w:rPr>
        <w:t xml:space="preserve">We therefore suggest </w:t>
      </w:r>
      <w:r w:rsidR="00271FFC" w:rsidRPr="00CA69F5">
        <w:rPr>
          <w:rFonts w:ascii="Garamond" w:eastAsia="Calibri" w:hAnsi="Garamond"/>
          <w:sz w:val="24"/>
          <w:lang w:eastAsia="en-US"/>
        </w:rPr>
        <w:t xml:space="preserve">that </w:t>
      </w:r>
      <w:r w:rsidRPr="00CA69F5">
        <w:rPr>
          <w:rFonts w:ascii="Garamond" w:eastAsia="Calibri" w:hAnsi="Garamond"/>
          <w:sz w:val="24"/>
          <w:lang w:eastAsia="en-US"/>
        </w:rPr>
        <w:t xml:space="preserve">the aforesaid thresholds </w:t>
      </w:r>
      <w:r w:rsidR="00271FFC" w:rsidRPr="00CA69F5">
        <w:rPr>
          <w:rFonts w:ascii="Garamond" w:eastAsia="Calibri" w:hAnsi="Garamond"/>
          <w:sz w:val="24"/>
          <w:lang w:eastAsia="en-US"/>
        </w:rPr>
        <w:t xml:space="preserve">should be lowered </w:t>
      </w:r>
      <w:r w:rsidRPr="00CA69F5">
        <w:rPr>
          <w:rFonts w:ascii="Garamond" w:eastAsia="Calibri" w:hAnsi="Garamond"/>
          <w:sz w:val="24"/>
          <w:lang w:eastAsia="en-US"/>
        </w:rPr>
        <w:t>for example to</w:t>
      </w:r>
      <w:r w:rsidR="00A33354" w:rsidRPr="00CA69F5">
        <w:rPr>
          <w:rFonts w:ascii="Garamond" w:eastAsia="Calibri" w:hAnsi="Garamond"/>
          <w:sz w:val="24"/>
          <w:lang w:eastAsia="en-US"/>
        </w:rPr>
        <w:t xml:space="preserve"> 60 % for all </w:t>
      </w:r>
      <w:r w:rsidR="00CD17F0" w:rsidRPr="00CA69F5">
        <w:rPr>
          <w:rFonts w:ascii="Garamond" w:eastAsia="Calibri" w:hAnsi="Garamond"/>
          <w:sz w:val="24"/>
          <w:lang w:eastAsia="en-US"/>
        </w:rPr>
        <w:t>A</w:t>
      </w:r>
      <w:r w:rsidR="00A33354" w:rsidRPr="00CA69F5">
        <w:rPr>
          <w:rFonts w:ascii="Garamond" w:eastAsia="Calibri" w:hAnsi="Garamond"/>
          <w:sz w:val="24"/>
          <w:lang w:eastAsia="en-US"/>
        </w:rPr>
        <w:t>rt</w:t>
      </w:r>
      <w:r w:rsidR="00CD17F0" w:rsidRPr="00CA69F5">
        <w:rPr>
          <w:rFonts w:ascii="Garamond" w:eastAsia="Calibri" w:hAnsi="Garamond"/>
          <w:sz w:val="24"/>
          <w:lang w:eastAsia="en-US"/>
        </w:rPr>
        <w:t xml:space="preserve">icle </w:t>
      </w:r>
      <w:r w:rsidR="00A33354" w:rsidRPr="00CA69F5">
        <w:rPr>
          <w:rFonts w:ascii="Garamond" w:eastAsia="Calibri" w:hAnsi="Garamond"/>
          <w:sz w:val="24"/>
          <w:lang w:eastAsia="en-US"/>
        </w:rPr>
        <w:t>8 financial products and</w:t>
      </w:r>
      <w:r w:rsidR="00B377E1" w:rsidRPr="00CA69F5">
        <w:rPr>
          <w:rFonts w:ascii="Garamond" w:eastAsia="Calibri" w:hAnsi="Garamond"/>
          <w:sz w:val="24"/>
          <w:lang w:eastAsia="en-US"/>
        </w:rPr>
        <w:t>,</w:t>
      </w:r>
      <w:r w:rsidR="00A33354" w:rsidRPr="00CA69F5">
        <w:rPr>
          <w:rFonts w:ascii="Garamond" w:eastAsia="Calibri" w:hAnsi="Garamond"/>
          <w:sz w:val="24"/>
          <w:lang w:eastAsia="en-US"/>
        </w:rPr>
        <w:t xml:space="preserve"> only for </w:t>
      </w:r>
      <w:r w:rsidR="00CD17F0" w:rsidRPr="00CA69F5">
        <w:rPr>
          <w:rFonts w:ascii="Garamond" w:eastAsia="Calibri" w:hAnsi="Garamond"/>
          <w:sz w:val="24"/>
          <w:lang w:eastAsia="en-US"/>
        </w:rPr>
        <w:t xml:space="preserve">Article </w:t>
      </w:r>
      <w:r w:rsidR="00A33354" w:rsidRPr="00CA69F5">
        <w:rPr>
          <w:rFonts w:ascii="Garamond" w:eastAsia="Calibri" w:hAnsi="Garamond"/>
          <w:sz w:val="24"/>
          <w:lang w:eastAsia="en-US"/>
        </w:rPr>
        <w:t xml:space="preserve">8 </w:t>
      </w:r>
      <w:r w:rsidR="00A33354" w:rsidRPr="00CA69F5">
        <w:rPr>
          <w:rFonts w:ascii="Garamond" w:eastAsia="Calibri" w:hAnsi="Garamond"/>
          <w:i/>
          <w:iCs/>
          <w:sz w:val="24"/>
          <w:lang w:eastAsia="en-US"/>
        </w:rPr>
        <w:t>plus</w:t>
      </w:r>
      <w:r w:rsidR="00A33354" w:rsidRPr="00CA69F5">
        <w:rPr>
          <w:rFonts w:ascii="Garamond" w:eastAsia="Calibri" w:hAnsi="Garamond"/>
          <w:sz w:val="24"/>
          <w:lang w:eastAsia="en-US"/>
        </w:rPr>
        <w:t xml:space="preserve"> financial products</w:t>
      </w:r>
      <w:r w:rsidR="00B377E1" w:rsidRPr="00CA69F5">
        <w:rPr>
          <w:rFonts w:ascii="Garamond" w:eastAsia="Calibri" w:hAnsi="Garamond"/>
          <w:sz w:val="24"/>
          <w:lang w:eastAsia="en-US"/>
        </w:rPr>
        <w:t>,</w:t>
      </w:r>
      <w:r w:rsidR="00A33354" w:rsidRPr="00CA69F5">
        <w:rPr>
          <w:rFonts w:ascii="Garamond" w:eastAsia="Calibri" w:hAnsi="Garamond"/>
          <w:sz w:val="24"/>
          <w:lang w:eastAsia="en-US"/>
        </w:rPr>
        <w:t xml:space="preserve"> to provide for the additional investment limit of 50% in sustainable investments compared to the general constraint of 60%.</w:t>
      </w:r>
    </w:p>
    <w:p w14:paraId="40757E27" w14:textId="77777777" w:rsidR="00A33354" w:rsidRPr="00CA69F5" w:rsidRDefault="00A33354" w:rsidP="00A33354">
      <w:pPr>
        <w:pStyle w:val="Paragrafoelenco"/>
        <w:rPr>
          <w:rFonts w:ascii="Garamond" w:eastAsia="Calibri" w:hAnsi="Garamond"/>
          <w:strike/>
          <w:sz w:val="24"/>
          <w:lang w:eastAsia="en-US"/>
        </w:rPr>
      </w:pPr>
    </w:p>
    <w:p w14:paraId="2DC6F454" w14:textId="1A4873AD" w:rsidR="00A33354" w:rsidRPr="00CA69F5" w:rsidRDefault="00A33354" w:rsidP="00F462AC">
      <w:pPr>
        <w:numPr>
          <w:ilvl w:val="0"/>
          <w:numId w:val="41"/>
        </w:numPr>
        <w:ind w:right="851"/>
        <w:jc w:val="both"/>
        <w:rPr>
          <w:rFonts w:ascii="Garamond" w:eastAsia="Calibri" w:hAnsi="Garamond"/>
          <w:sz w:val="24"/>
          <w:lang w:eastAsia="en-US"/>
        </w:rPr>
      </w:pPr>
      <w:r w:rsidRPr="00CA69F5">
        <w:rPr>
          <w:rFonts w:ascii="Garamond" w:eastAsia="Calibri" w:hAnsi="Garamond"/>
          <w:sz w:val="24"/>
          <w:lang w:eastAsia="en-US"/>
        </w:rPr>
        <w:t xml:space="preserve">Finally, we consider it more efficient to suspend the definition of these Guidelines and to resume the contents in 2024 with the consideration of </w:t>
      </w:r>
      <w:r w:rsidR="00B377E1" w:rsidRPr="00CA69F5">
        <w:rPr>
          <w:rFonts w:ascii="Garamond" w:eastAsia="Calibri" w:hAnsi="Garamond"/>
          <w:sz w:val="24"/>
          <w:lang w:eastAsia="en-US"/>
        </w:rPr>
        <w:t xml:space="preserve">the </w:t>
      </w:r>
      <w:r w:rsidRPr="00CA69F5">
        <w:rPr>
          <w:rFonts w:ascii="Garamond" w:eastAsia="Calibri" w:hAnsi="Garamond"/>
          <w:sz w:val="24"/>
          <w:lang w:eastAsia="en-US"/>
        </w:rPr>
        <w:t xml:space="preserve">proposed revision </w:t>
      </w:r>
      <w:r w:rsidR="00B377E1" w:rsidRPr="00CA69F5">
        <w:rPr>
          <w:rFonts w:ascii="Garamond" w:eastAsia="Calibri" w:hAnsi="Garamond"/>
          <w:sz w:val="24"/>
          <w:lang w:eastAsia="en-US"/>
        </w:rPr>
        <w:t xml:space="preserve">of </w:t>
      </w:r>
      <w:r w:rsidRPr="00CA69F5">
        <w:rPr>
          <w:rFonts w:ascii="Garamond" w:eastAsia="Calibri" w:hAnsi="Garamond"/>
          <w:sz w:val="24"/>
          <w:lang w:eastAsia="en-US"/>
        </w:rPr>
        <w:t>the SFDR.</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455B5710" w14:textId="28805054" w:rsidR="00F43042" w:rsidRPr="008C76DA" w:rsidRDefault="00EF7CA7" w:rsidP="00F43042">
      <w:pPr>
        <w:numPr>
          <w:ilvl w:val="0"/>
          <w:numId w:val="41"/>
        </w:numPr>
        <w:ind w:right="851"/>
        <w:jc w:val="both"/>
        <w:rPr>
          <w:rFonts w:ascii="Garamond" w:eastAsia="Calibri" w:hAnsi="Garamond"/>
          <w:sz w:val="24"/>
          <w:lang w:eastAsia="en-US"/>
        </w:rPr>
      </w:pPr>
      <w:permStart w:id="1596738700" w:edGrp="everyone"/>
      <w:r w:rsidRPr="008C76DA">
        <w:rPr>
          <w:rFonts w:ascii="Garamond" w:eastAsia="Calibri" w:hAnsi="Garamond"/>
          <w:sz w:val="24"/>
          <w:lang w:eastAsia="en-US"/>
        </w:rPr>
        <w:t>Yes, we do</w:t>
      </w:r>
      <w:r w:rsidR="00F43042" w:rsidRPr="008C76DA">
        <w:rPr>
          <w:rFonts w:ascii="Garamond" w:eastAsia="Calibri" w:hAnsi="Garamond"/>
          <w:sz w:val="24"/>
          <w:lang w:eastAsia="en-US"/>
        </w:rPr>
        <w:t xml:space="preserve">; </w:t>
      </w:r>
      <w:r w:rsidRPr="008C76DA">
        <w:rPr>
          <w:rFonts w:ascii="Garamond" w:eastAsia="Calibri" w:hAnsi="Garamond"/>
          <w:sz w:val="24"/>
          <w:lang w:eastAsia="en-US"/>
        </w:rPr>
        <w:t xml:space="preserve">however, we </w:t>
      </w:r>
      <w:r w:rsidR="00536876" w:rsidRPr="008C76DA">
        <w:rPr>
          <w:rFonts w:ascii="Garamond" w:eastAsia="Calibri" w:hAnsi="Garamond"/>
          <w:sz w:val="24"/>
          <w:lang w:eastAsia="en-US"/>
        </w:rPr>
        <w:t xml:space="preserve">believe </w:t>
      </w:r>
      <w:r w:rsidRPr="008C76DA">
        <w:rPr>
          <w:rFonts w:ascii="Garamond" w:eastAsia="Calibri" w:hAnsi="Garamond"/>
          <w:sz w:val="24"/>
          <w:lang w:eastAsia="en-US"/>
        </w:rPr>
        <w:t xml:space="preserve">that, as </w:t>
      </w:r>
      <w:r w:rsidR="00A47243" w:rsidRPr="008C76DA">
        <w:rPr>
          <w:rFonts w:ascii="Garamond" w:eastAsia="Calibri" w:hAnsi="Garamond"/>
          <w:sz w:val="24"/>
          <w:lang w:eastAsia="en-US"/>
        </w:rPr>
        <w:t xml:space="preserve">already mentioned </w:t>
      </w:r>
      <w:r w:rsidRPr="008C76DA">
        <w:rPr>
          <w:rFonts w:ascii="Garamond" w:eastAsia="Calibri" w:hAnsi="Garamond"/>
          <w:sz w:val="24"/>
          <w:lang w:eastAsia="en-US"/>
        </w:rPr>
        <w:t xml:space="preserve">in the </w:t>
      </w:r>
      <w:r w:rsidR="00536876" w:rsidRPr="008C76DA">
        <w:rPr>
          <w:rFonts w:ascii="Garamond" w:eastAsia="Calibri" w:hAnsi="Garamond"/>
          <w:sz w:val="24"/>
          <w:lang w:eastAsia="en-US"/>
        </w:rPr>
        <w:t>introduction,</w:t>
      </w:r>
      <w:r w:rsidRPr="008C76DA">
        <w:rPr>
          <w:rFonts w:ascii="Garamond" w:eastAsia="Calibri" w:hAnsi="Garamond"/>
          <w:sz w:val="24"/>
          <w:lang w:eastAsia="en-US"/>
        </w:rPr>
        <w:t xml:space="preserve"> this should </w:t>
      </w:r>
      <w:r w:rsidR="001B364F" w:rsidRPr="008C76DA">
        <w:rPr>
          <w:rFonts w:ascii="Garamond" w:eastAsia="Calibri" w:hAnsi="Garamond"/>
          <w:sz w:val="24"/>
          <w:lang w:eastAsia="en-US"/>
        </w:rPr>
        <w:t>be done w</w:t>
      </w:r>
      <w:r w:rsidRPr="008C76DA">
        <w:rPr>
          <w:rFonts w:ascii="Garamond" w:eastAsia="Calibri" w:hAnsi="Garamond"/>
          <w:sz w:val="24"/>
          <w:lang w:eastAsia="en-US"/>
        </w:rPr>
        <w:t>ithin the framework of the existing nomenclature</w:t>
      </w:r>
      <w:r w:rsidR="00536876" w:rsidRPr="008C76DA">
        <w:rPr>
          <w:rFonts w:ascii="Garamond" w:eastAsia="Calibri" w:hAnsi="Garamond"/>
          <w:sz w:val="24"/>
          <w:lang w:eastAsia="en-US"/>
        </w:rPr>
        <w:t>s</w:t>
      </w:r>
      <w:r w:rsidRPr="008C76DA">
        <w:rPr>
          <w:rFonts w:ascii="Garamond" w:eastAsia="Calibri" w:hAnsi="Garamond"/>
          <w:sz w:val="24"/>
          <w:lang w:eastAsia="en-US"/>
        </w:rPr>
        <w:t xml:space="preserve"> already introduced by Regulation </w:t>
      </w:r>
      <w:r w:rsidR="00F462AC" w:rsidRPr="008C76DA">
        <w:rPr>
          <w:rFonts w:ascii="Garamond" w:eastAsia="Calibri" w:hAnsi="Garamond"/>
          <w:sz w:val="24"/>
          <w:lang w:eastAsia="en-US"/>
        </w:rPr>
        <w:t>2019/2088.</w:t>
      </w:r>
      <w:r w:rsidR="00F43042" w:rsidRPr="008C76DA">
        <w:rPr>
          <w:rFonts w:ascii="Garamond" w:eastAsia="Calibri" w:hAnsi="Garamond"/>
          <w:sz w:val="24"/>
          <w:lang w:eastAsia="en-US"/>
        </w:rPr>
        <w:t xml:space="preserve"> </w:t>
      </w:r>
      <w:r w:rsidRPr="008C76DA">
        <w:rPr>
          <w:rFonts w:ascii="Garamond" w:eastAsia="Calibri" w:hAnsi="Garamond"/>
          <w:sz w:val="24"/>
          <w:lang w:eastAsia="en-US"/>
        </w:rPr>
        <w:t>In fact, we d</w:t>
      </w:r>
      <w:r w:rsidR="001B364F" w:rsidRPr="008C76DA">
        <w:rPr>
          <w:rFonts w:ascii="Garamond" w:eastAsia="Calibri" w:hAnsi="Garamond"/>
          <w:sz w:val="24"/>
          <w:lang w:eastAsia="en-US"/>
        </w:rPr>
        <w:t>is</w:t>
      </w:r>
      <w:r w:rsidRPr="008C76DA">
        <w:rPr>
          <w:rFonts w:ascii="Garamond" w:eastAsia="Calibri" w:hAnsi="Garamond"/>
          <w:sz w:val="24"/>
          <w:lang w:eastAsia="en-US"/>
        </w:rPr>
        <w:t>agree with the intention to create a</w:t>
      </w:r>
      <w:r w:rsidR="00536876" w:rsidRPr="008C76DA">
        <w:rPr>
          <w:rFonts w:ascii="Garamond" w:eastAsia="Calibri" w:hAnsi="Garamond"/>
          <w:sz w:val="24"/>
          <w:lang w:eastAsia="en-US"/>
        </w:rPr>
        <w:t xml:space="preserve"> further </w:t>
      </w:r>
      <w:r w:rsidRPr="008C76DA">
        <w:rPr>
          <w:rFonts w:ascii="Garamond" w:eastAsia="Calibri" w:hAnsi="Garamond"/>
          <w:sz w:val="24"/>
          <w:lang w:eastAsia="en-US"/>
        </w:rPr>
        <w:t xml:space="preserve">differentiation and classification in the ESG area, </w:t>
      </w:r>
      <w:r w:rsidR="001B364F" w:rsidRPr="008C76DA">
        <w:rPr>
          <w:rFonts w:ascii="Garamond" w:eastAsia="Calibri" w:hAnsi="Garamond"/>
          <w:sz w:val="24"/>
          <w:lang w:eastAsia="en-US"/>
        </w:rPr>
        <w:t>because</w:t>
      </w:r>
      <w:r w:rsidR="00536876" w:rsidRPr="008C76DA">
        <w:rPr>
          <w:rFonts w:ascii="Garamond" w:eastAsia="Calibri" w:hAnsi="Garamond"/>
          <w:sz w:val="24"/>
          <w:lang w:eastAsia="en-US"/>
        </w:rPr>
        <w:t xml:space="preserve"> the </w:t>
      </w:r>
      <w:r w:rsidRPr="008C76DA">
        <w:rPr>
          <w:rFonts w:ascii="Garamond" w:eastAsia="Calibri" w:hAnsi="Garamond"/>
          <w:sz w:val="24"/>
          <w:lang w:eastAsia="en-US"/>
        </w:rPr>
        <w:t>level of regulatory stratification</w:t>
      </w:r>
      <w:r w:rsidR="00536876" w:rsidRPr="008C76DA">
        <w:rPr>
          <w:rFonts w:ascii="Garamond" w:eastAsia="Calibri" w:hAnsi="Garamond"/>
          <w:sz w:val="24"/>
          <w:lang w:eastAsia="en-US"/>
        </w:rPr>
        <w:t xml:space="preserve"> is already high</w:t>
      </w:r>
      <w:r w:rsidRPr="008C76DA">
        <w:rPr>
          <w:rFonts w:ascii="Garamond" w:eastAsia="Calibri" w:hAnsi="Garamond"/>
          <w:sz w:val="24"/>
          <w:lang w:eastAsia="en-US"/>
        </w:rPr>
        <w:t xml:space="preserve">. More specifically, we reiterate that, contrary to what </w:t>
      </w:r>
      <w:r w:rsidR="005D6A2B" w:rsidRPr="008C76DA">
        <w:rPr>
          <w:rFonts w:ascii="Garamond" w:eastAsia="Calibri" w:hAnsi="Garamond"/>
          <w:sz w:val="24"/>
          <w:lang w:eastAsia="en-US"/>
        </w:rPr>
        <w:t>is s</w:t>
      </w:r>
      <w:r w:rsidRPr="008C76DA">
        <w:rPr>
          <w:rFonts w:ascii="Garamond" w:eastAsia="Calibri" w:hAnsi="Garamond"/>
          <w:sz w:val="24"/>
          <w:lang w:eastAsia="en-US"/>
        </w:rPr>
        <w:t>tated in the paper</w:t>
      </w:r>
      <w:r w:rsidR="00F43042" w:rsidRPr="008C76DA">
        <w:rPr>
          <w:rFonts w:ascii="Garamond" w:eastAsia="Calibri" w:hAnsi="Garamond"/>
          <w:sz w:val="24"/>
          <w:lang w:eastAsia="en-US"/>
        </w:rPr>
        <w:t xml:space="preserve"> (par</w:t>
      </w:r>
      <w:r w:rsidR="00536876" w:rsidRPr="008C76DA">
        <w:rPr>
          <w:rFonts w:ascii="Garamond" w:eastAsia="Calibri" w:hAnsi="Garamond"/>
          <w:sz w:val="24"/>
          <w:lang w:eastAsia="en-US"/>
        </w:rPr>
        <w:t>a</w:t>
      </w:r>
      <w:r w:rsidR="00F43042" w:rsidRPr="008C76DA">
        <w:rPr>
          <w:rFonts w:ascii="Garamond" w:eastAsia="Calibri" w:hAnsi="Garamond"/>
          <w:sz w:val="24"/>
          <w:lang w:eastAsia="en-US"/>
        </w:rPr>
        <w:t xml:space="preserve">. 11), </w:t>
      </w:r>
      <w:r w:rsidRPr="008C76DA">
        <w:rPr>
          <w:rFonts w:ascii="Garamond" w:eastAsia="Calibri" w:hAnsi="Garamond"/>
          <w:sz w:val="24"/>
          <w:lang w:eastAsia="en-US"/>
        </w:rPr>
        <w:t xml:space="preserve">the new proposed rules must </w:t>
      </w:r>
      <w:r w:rsidR="000D67FE" w:rsidRPr="008C76DA">
        <w:rPr>
          <w:rFonts w:ascii="Garamond" w:eastAsia="Calibri" w:hAnsi="Garamond"/>
          <w:sz w:val="24"/>
          <w:lang w:eastAsia="en-US"/>
        </w:rPr>
        <w:t xml:space="preserve">necessarily </w:t>
      </w:r>
      <w:r w:rsidR="00536876" w:rsidRPr="008C76DA">
        <w:rPr>
          <w:rFonts w:ascii="Garamond" w:eastAsia="Calibri" w:hAnsi="Garamond"/>
          <w:sz w:val="24"/>
          <w:lang w:eastAsia="en-US"/>
        </w:rPr>
        <w:t xml:space="preserve">align </w:t>
      </w:r>
      <w:r w:rsidR="000D67FE" w:rsidRPr="008C76DA">
        <w:rPr>
          <w:rFonts w:ascii="Garamond" w:eastAsia="Calibri" w:hAnsi="Garamond"/>
          <w:sz w:val="24"/>
          <w:lang w:eastAsia="en-US"/>
        </w:rPr>
        <w:t>with th</w:t>
      </w:r>
      <w:r w:rsidR="00536876" w:rsidRPr="008C76DA">
        <w:rPr>
          <w:rFonts w:ascii="Garamond" w:eastAsia="Calibri" w:hAnsi="Garamond"/>
          <w:sz w:val="24"/>
          <w:lang w:eastAsia="en-US"/>
        </w:rPr>
        <w:t>e requirement</w:t>
      </w:r>
      <w:r w:rsidR="001B364F" w:rsidRPr="008C76DA">
        <w:rPr>
          <w:rFonts w:ascii="Garamond" w:eastAsia="Calibri" w:hAnsi="Garamond"/>
          <w:sz w:val="24"/>
          <w:lang w:eastAsia="en-US"/>
        </w:rPr>
        <w:t>s</w:t>
      </w:r>
      <w:r w:rsidR="00536876" w:rsidRPr="008C76DA">
        <w:rPr>
          <w:rFonts w:ascii="Garamond" w:eastAsia="Calibri" w:hAnsi="Garamond"/>
          <w:sz w:val="24"/>
          <w:lang w:eastAsia="en-US"/>
        </w:rPr>
        <w:t xml:space="preserve"> of </w:t>
      </w:r>
      <w:r w:rsidR="000D67FE" w:rsidRPr="008C76DA">
        <w:rPr>
          <w:rFonts w:ascii="Garamond" w:eastAsia="Calibri" w:hAnsi="Garamond"/>
          <w:sz w:val="24"/>
          <w:lang w:eastAsia="en-US"/>
        </w:rPr>
        <w:t xml:space="preserve">Regulation </w:t>
      </w:r>
      <w:r w:rsidR="00CA13B6" w:rsidRPr="008C76DA">
        <w:rPr>
          <w:rFonts w:ascii="Garamond" w:eastAsia="Calibri" w:hAnsi="Garamond"/>
          <w:sz w:val="24"/>
          <w:lang w:eastAsia="en-US"/>
        </w:rPr>
        <w:t>2019/</w:t>
      </w:r>
      <w:r w:rsidR="00F43042" w:rsidRPr="008C76DA">
        <w:rPr>
          <w:rFonts w:ascii="Garamond" w:eastAsia="Calibri" w:hAnsi="Garamond"/>
          <w:sz w:val="24"/>
          <w:lang w:eastAsia="en-US"/>
        </w:rPr>
        <w:t>2088</w:t>
      </w:r>
      <w:r w:rsidR="000D67FE" w:rsidRPr="008C76DA">
        <w:rPr>
          <w:rFonts w:ascii="Garamond" w:eastAsia="Calibri" w:hAnsi="Garamond"/>
          <w:sz w:val="24"/>
          <w:lang w:eastAsia="en-US"/>
        </w:rPr>
        <w:t xml:space="preserve">, </w:t>
      </w:r>
      <w:proofErr w:type="gramStart"/>
      <w:r w:rsidR="00A47243" w:rsidRPr="008C76DA">
        <w:rPr>
          <w:rFonts w:ascii="Garamond" w:eastAsia="Calibri" w:hAnsi="Garamond"/>
          <w:sz w:val="24"/>
          <w:lang w:eastAsia="en-US"/>
        </w:rPr>
        <w:t xml:space="preserve">in order </w:t>
      </w:r>
      <w:r w:rsidR="000D67FE" w:rsidRPr="008C76DA">
        <w:rPr>
          <w:rFonts w:ascii="Garamond" w:eastAsia="Calibri" w:hAnsi="Garamond"/>
          <w:sz w:val="24"/>
          <w:lang w:eastAsia="en-US"/>
        </w:rPr>
        <w:t>to</w:t>
      </w:r>
      <w:proofErr w:type="gramEnd"/>
      <w:r w:rsidR="000D67FE" w:rsidRPr="008C76DA">
        <w:rPr>
          <w:rFonts w:ascii="Garamond" w:eastAsia="Calibri" w:hAnsi="Garamond"/>
          <w:sz w:val="24"/>
          <w:lang w:eastAsia="en-US"/>
        </w:rPr>
        <w:t xml:space="preserve"> avoid any further differentiations </w:t>
      </w:r>
      <w:r w:rsidR="001B364F" w:rsidRPr="008C76DA">
        <w:rPr>
          <w:rFonts w:ascii="Garamond" w:eastAsia="Calibri" w:hAnsi="Garamond"/>
          <w:sz w:val="24"/>
          <w:lang w:eastAsia="en-US"/>
        </w:rPr>
        <w:t xml:space="preserve">that are </w:t>
      </w:r>
      <w:r w:rsidR="000D67FE" w:rsidRPr="008C76DA">
        <w:rPr>
          <w:rFonts w:ascii="Garamond" w:eastAsia="Calibri" w:hAnsi="Garamond"/>
          <w:sz w:val="24"/>
          <w:lang w:eastAsia="en-US"/>
        </w:rPr>
        <w:t>detriment</w:t>
      </w:r>
      <w:r w:rsidR="001B364F" w:rsidRPr="008C76DA">
        <w:rPr>
          <w:rFonts w:ascii="Garamond" w:eastAsia="Calibri" w:hAnsi="Garamond"/>
          <w:sz w:val="24"/>
          <w:lang w:eastAsia="en-US"/>
        </w:rPr>
        <w:t>al to c</w:t>
      </w:r>
      <w:r w:rsidR="000D67FE" w:rsidRPr="008C76DA">
        <w:rPr>
          <w:rFonts w:ascii="Garamond" w:eastAsia="Calibri" w:hAnsi="Garamond"/>
          <w:sz w:val="24"/>
          <w:lang w:eastAsia="en-US"/>
        </w:rPr>
        <w:t>larity</w:t>
      </w:r>
      <w:r w:rsidR="00F43042" w:rsidRPr="008C76DA">
        <w:rPr>
          <w:rFonts w:ascii="Garamond" w:eastAsia="Calibri" w:hAnsi="Garamond"/>
          <w:sz w:val="24"/>
          <w:lang w:eastAsia="en-US"/>
        </w:rPr>
        <w:t xml:space="preserve">. </w:t>
      </w:r>
      <w:r w:rsidR="000D67FE" w:rsidRPr="008C76DA">
        <w:rPr>
          <w:rFonts w:ascii="Garamond" w:eastAsia="Calibri" w:hAnsi="Garamond"/>
          <w:sz w:val="24"/>
          <w:lang w:eastAsia="en-US"/>
        </w:rPr>
        <w:t xml:space="preserve">Otherwise, </w:t>
      </w:r>
      <w:r w:rsidR="007B48F9" w:rsidRPr="008C76DA">
        <w:rPr>
          <w:rFonts w:ascii="Garamond" w:eastAsia="Calibri" w:hAnsi="Garamond"/>
          <w:sz w:val="24"/>
          <w:lang w:eastAsia="en-US"/>
        </w:rPr>
        <w:t xml:space="preserve">in addition to </w:t>
      </w:r>
      <w:r w:rsidR="000D67FE" w:rsidRPr="008C76DA">
        <w:rPr>
          <w:rFonts w:ascii="Garamond" w:eastAsia="Calibri" w:hAnsi="Garamond"/>
          <w:sz w:val="24"/>
          <w:lang w:eastAsia="en-US"/>
        </w:rPr>
        <w:t xml:space="preserve">the existing categories </w:t>
      </w:r>
      <w:r w:rsidR="007B48F9" w:rsidRPr="008C76DA">
        <w:rPr>
          <w:rFonts w:ascii="Garamond" w:eastAsia="Calibri" w:hAnsi="Garamond"/>
          <w:sz w:val="24"/>
          <w:lang w:eastAsia="en-US"/>
        </w:rPr>
        <w:t xml:space="preserve">for </w:t>
      </w:r>
      <w:r w:rsidR="000D67FE" w:rsidRPr="008C76DA">
        <w:rPr>
          <w:rFonts w:ascii="Garamond" w:eastAsia="Calibri" w:hAnsi="Garamond"/>
          <w:sz w:val="24"/>
          <w:lang w:eastAsia="en-US"/>
        </w:rPr>
        <w:t>Article</w:t>
      </w:r>
      <w:r w:rsidR="00F43042" w:rsidRPr="008C76DA">
        <w:rPr>
          <w:rFonts w:ascii="Garamond" w:eastAsia="Calibri" w:hAnsi="Garamond"/>
          <w:sz w:val="24"/>
          <w:lang w:eastAsia="en-US"/>
        </w:rPr>
        <w:t xml:space="preserve"> 8, </w:t>
      </w:r>
      <w:r w:rsidR="008C7ECA" w:rsidRPr="008C76DA">
        <w:rPr>
          <w:rFonts w:ascii="Garamond" w:eastAsia="Calibri" w:hAnsi="Garamond"/>
          <w:sz w:val="24"/>
          <w:lang w:eastAsia="en-US"/>
        </w:rPr>
        <w:t xml:space="preserve">Article </w:t>
      </w:r>
      <w:r w:rsidR="00F43042" w:rsidRPr="008C76DA">
        <w:rPr>
          <w:rFonts w:ascii="Garamond" w:eastAsia="Calibri" w:hAnsi="Garamond"/>
          <w:sz w:val="24"/>
          <w:lang w:eastAsia="en-US"/>
        </w:rPr>
        <w:t xml:space="preserve">8 plus </w:t>
      </w:r>
      <w:r w:rsidR="000D67FE" w:rsidRPr="008C76DA">
        <w:rPr>
          <w:rFonts w:ascii="Garamond" w:eastAsia="Calibri" w:hAnsi="Garamond"/>
          <w:sz w:val="24"/>
          <w:lang w:eastAsia="en-US"/>
        </w:rPr>
        <w:t>and</w:t>
      </w:r>
      <w:r w:rsidR="00F43042" w:rsidRPr="008C76DA">
        <w:rPr>
          <w:rFonts w:ascii="Garamond" w:eastAsia="Calibri" w:hAnsi="Garamond"/>
          <w:sz w:val="24"/>
          <w:lang w:eastAsia="en-US"/>
        </w:rPr>
        <w:t xml:space="preserve"> </w:t>
      </w:r>
      <w:r w:rsidR="008C7ECA" w:rsidRPr="008C76DA">
        <w:rPr>
          <w:rFonts w:ascii="Garamond" w:eastAsia="Calibri" w:hAnsi="Garamond"/>
          <w:sz w:val="24"/>
          <w:lang w:eastAsia="en-US"/>
        </w:rPr>
        <w:t xml:space="preserve">Article </w:t>
      </w:r>
      <w:r w:rsidR="00F43042" w:rsidRPr="008C76DA">
        <w:rPr>
          <w:rFonts w:ascii="Garamond" w:eastAsia="Calibri" w:hAnsi="Garamond"/>
          <w:sz w:val="24"/>
          <w:lang w:eastAsia="en-US"/>
        </w:rPr>
        <w:t>9</w:t>
      </w:r>
      <w:r w:rsidR="000D67FE" w:rsidRPr="008C76DA">
        <w:rPr>
          <w:rFonts w:ascii="Garamond" w:eastAsia="Calibri" w:hAnsi="Garamond"/>
          <w:sz w:val="24"/>
          <w:lang w:eastAsia="en-US"/>
        </w:rPr>
        <w:t xml:space="preserve"> products, </w:t>
      </w:r>
      <w:r w:rsidR="001B364F" w:rsidRPr="008C76DA">
        <w:rPr>
          <w:rFonts w:ascii="Garamond" w:eastAsia="Calibri" w:hAnsi="Garamond"/>
          <w:sz w:val="24"/>
          <w:lang w:eastAsia="en-US"/>
        </w:rPr>
        <w:t>there would be a proliferation of categ</w:t>
      </w:r>
      <w:r w:rsidR="000D67FE" w:rsidRPr="008C76DA">
        <w:rPr>
          <w:rFonts w:ascii="Garamond" w:eastAsia="Calibri" w:hAnsi="Garamond"/>
          <w:sz w:val="24"/>
          <w:lang w:eastAsia="en-US"/>
        </w:rPr>
        <w:t xml:space="preserve">ories </w:t>
      </w:r>
      <w:r w:rsidR="007B48F9" w:rsidRPr="008C76DA">
        <w:rPr>
          <w:rFonts w:ascii="Garamond" w:eastAsia="Calibri" w:hAnsi="Garamond"/>
          <w:sz w:val="24"/>
          <w:lang w:eastAsia="en-US"/>
        </w:rPr>
        <w:t xml:space="preserve">for </w:t>
      </w:r>
      <w:r w:rsidR="000D67FE" w:rsidRPr="008C76DA">
        <w:rPr>
          <w:rFonts w:ascii="Garamond" w:eastAsia="Calibri" w:hAnsi="Garamond"/>
          <w:sz w:val="24"/>
          <w:lang w:eastAsia="en-US"/>
        </w:rPr>
        <w:t xml:space="preserve">Article 8 funds </w:t>
      </w:r>
      <w:r w:rsidR="005D6A2B" w:rsidRPr="008C76DA">
        <w:rPr>
          <w:rFonts w:ascii="Garamond" w:eastAsia="Calibri" w:hAnsi="Garamond"/>
          <w:sz w:val="24"/>
          <w:lang w:eastAsia="en-US"/>
        </w:rPr>
        <w:t xml:space="preserve">having </w:t>
      </w:r>
      <w:r w:rsidR="000D67FE" w:rsidRPr="008C76DA">
        <w:rPr>
          <w:rFonts w:ascii="Garamond" w:eastAsia="Calibri" w:hAnsi="Garamond"/>
          <w:sz w:val="24"/>
          <w:lang w:eastAsia="en-US"/>
        </w:rPr>
        <w:t xml:space="preserve">the acronym ESG in their names and Article 8 products without </w:t>
      </w:r>
      <w:r w:rsidR="005D6A2B" w:rsidRPr="008C76DA">
        <w:rPr>
          <w:rFonts w:ascii="Garamond" w:eastAsia="Calibri" w:hAnsi="Garamond"/>
          <w:sz w:val="24"/>
          <w:lang w:eastAsia="en-US"/>
        </w:rPr>
        <w:t xml:space="preserve">that </w:t>
      </w:r>
      <w:r w:rsidR="000D67FE" w:rsidRPr="008C76DA">
        <w:rPr>
          <w:rFonts w:ascii="Garamond" w:eastAsia="Calibri" w:hAnsi="Garamond"/>
          <w:sz w:val="24"/>
          <w:lang w:eastAsia="en-US"/>
        </w:rPr>
        <w:t>peculiarity. Th</w:t>
      </w:r>
      <w:r w:rsidR="007B48F9" w:rsidRPr="008C76DA">
        <w:rPr>
          <w:rFonts w:ascii="Garamond" w:eastAsia="Calibri" w:hAnsi="Garamond"/>
          <w:sz w:val="24"/>
          <w:lang w:eastAsia="en-US"/>
        </w:rPr>
        <w:t>us</w:t>
      </w:r>
      <w:r w:rsidR="000D67FE" w:rsidRPr="008C76DA">
        <w:rPr>
          <w:rFonts w:ascii="Garamond" w:eastAsia="Calibri" w:hAnsi="Garamond"/>
          <w:sz w:val="24"/>
          <w:lang w:eastAsia="en-US"/>
        </w:rPr>
        <w:t xml:space="preserve">, </w:t>
      </w:r>
      <w:r w:rsidR="007B48F9" w:rsidRPr="008C76DA">
        <w:rPr>
          <w:rFonts w:ascii="Garamond" w:eastAsia="Calibri" w:hAnsi="Garamond"/>
          <w:sz w:val="24"/>
          <w:lang w:eastAsia="en-US"/>
        </w:rPr>
        <w:t xml:space="preserve">for example, </w:t>
      </w:r>
      <w:r w:rsidR="000D67FE" w:rsidRPr="008C76DA">
        <w:rPr>
          <w:rFonts w:ascii="Garamond" w:eastAsia="Calibri" w:hAnsi="Garamond"/>
          <w:sz w:val="24"/>
          <w:lang w:eastAsia="en-US"/>
        </w:rPr>
        <w:t xml:space="preserve">the following categories </w:t>
      </w:r>
      <w:r w:rsidR="001B364F" w:rsidRPr="008C76DA">
        <w:rPr>
          <w:rFonts w:ascii="Garamond" w:eastAsia="Calibri" w:hAnsi="Garamond"/>
          <w:sz w:val="24"/>
          <w:lang w:eastAsia="en-US"/>
        </w:rPr>
        <w:t xml:space="preserve">would be created </w:t>
      </w:r>
      <w:r w:rsidR="000D67FE" w:rsidRPr="008C76DA">
        <w:rPr>
          <w:rFonts w:ascii="Garamond" w:eastAsia="Calibri" w:hAnsi="Garamond"/>
          <w:sz w:val="24"/>
          <w:lang w:eastAsia="en-US"/>
        </w:rPr>
        <w:t xml:space="preserve">for </w:t>
      </w:r>
      <w:r w:rsidR="00412E59" w:rsidRPr="008C76DA">
        <w:rPr>
          <w:rFonts w:ascii="Garamond" w:eastAsia="Calibri" w:hAnsi="Garamond"/>
          <w:sz w:val="24"/>
          <w:lang w:eastAsia="en-US"/>
        </w:rPr>
        <w:t>investment</w:t>
      </w:r>
      <w:r w:rsidR="000D67FE" w:rsidRPr="008C76DA">
        <w:rPr>
          <w:rFonts w:ascii="Garamond" w:eastAsia="Calibri" w:hAnsi="Garamond"/>
          <w:sz w:val="24"/>
          <w:lang w:eastAsia="en-US"/>
        </w:rPr>
        <w:t xml:space="preserve"> funds</w:t>
      </w:r>
      <w:r w:rsidR="00F43042" w:rsidRPr="008C76DA">
        <w:rPr>
          <w:rFonts w:ascii="Garamond" w:eastAsia="Calibri" w:hAnsi="Garamond"/>
          <w:sz w:val="24"/>
          <w:lang w:eastAsia="en-US"/>
        </w:rPr>
        <w:t xml:space="preserve">: 1. </w:t>
      </w:r>
      <w:r w:rsidR="000D67FE" w:rsidRPr="008C76DA">
        <w:rPr>
          <w:rFonts w:ascii="Garamond" w:eastAsia="Calibri" w:hAnsi="Garamond"/>
          <w:sz w:val="24"/>
          <w:lang w:eastAsia="en-US"/>
        </w:rPr>
        <w:t>Article 8</w:t>
      </w:r>
      <w:r w:rsidR="007B48F9" w:rsidRPr="008C76DA">
        <w:rPr>
          <w:rFonts w:ascii="Garamond" w:eastAsia="Calibri" w:hAnsi="Garamond"/>
          <w:sz w:val="24"/>
          <w:lang w:eastAsia="en-US"/>
        </w:rPr>
        <w:t xml:space="preserve"> </w:t>
      </w:r>
      <w:r w:rsidR="000D67FE" w:rsidRPr="008C76DA">
        <w:rPr>
          <w:rFonts w:ascii="Garamond" w:eastAsia="Calibri" w:hAnsi="Garamond"/>
          <w:sz w:val="24"/>
          <w:lang w:eastAsia="en-US"/>
        </w:rPr>
        <w:t xml:space="preserve">funds having </w:t>
      </w:r>
      <w:r w:rsidR="00F43042" w:rsidRPr="008C76DA">
        <w:rPr>
          <w:rFonts w:ascii="Garamond" w:eastAsia="Calibri" w:hAnsi="Garamond"/>
          <w:sz w:val="24"/>
          <w:lang w:eastAsia="en-US"/>
        </w:rPr>
        <w:t>ESG</w:t>
      </w:r>
      <w:r w:rsidR="009B78DC" w:rsidRPr="008C76DA">
        <w:rPr>
          <w:rFonts w:ascii="Garamond" w:eastAsia="Calibri" w:hAnsi="Garamond"/>
          <w:sz w:val="24"/>
          <w:lang w:eastAsia="en-US"/>
        </w:rPr>
        <w:t xml:space="preserve">-related </w:t>
      </w:r>
      <w:r w:rsidR="000513BC" w:rsidRPr="008C76DA">
        <w:rPr>
          <w:rFonts w:ascii="Garamond" w:eastAsia="Calibri" w:hAnsi="Garamond"/>
          <w:sz w:val="24"/>
          <w:lang w:eastAsia="en-US"/>
        </w:rPr>
        <w:t>terms</w:t>
      </w:r>
      <w:r w:rsidR="00F43042" w:rsidRPr="008C76DA">
        <w:rPr>
          <w:rFonts w:ascii="Garamond" w:eastAsia="Calibri" w:hAnsi="Garamond"/>
          <w:sz w:val="24"/>
          <w:lang w:eastAsia="en-US"/>
        </w:rPr>
        <w:t xml:space="preserve"> </w:t>
      </w:r>
      <w:r w:rsidR="000D67FE" w:rsidRPr="008C76DA">
        <w:rPr>
          <w:rFonts w:ascii="Garamond" w:eastAsia="Calibri" w:hAnsi="Garamond"/>
          <w:sz w:val="24"/>
          <w:lang w:eastAsia="en-US"/>
        </w:rPr>
        <w:t>in their names</w:t>
      </w:r>
      <w:r w:rsidR="00F43042" w:rsidRPr="008C76DA">
        <w:rPr>
          <w:rFonts w:ascii="Garamond" w:eastAsia="Calibri" w:hAnsi="Garamond"/>
          <w:sz w:val="24"/>
          <w:lang w:eastAsia="en-US"/>
        </w:rPr>
        <w:t>; 2</w:t>
      </w:r>
      <w:r w:rsidR="005D6A2B" w:rsidRPr="008C76DA">
        <w:rPr>
          <w:rFonts w:ascii="Garamond" w:eastAsia="Calibri" w:hAnsi="Garamond"/>
          <w:sz w:val="24"/>
          <w:lang w:eastAsia="en-US"/>
        </w:rPr>
        <w:t>. </w:t>
      </w:r>
      <w:r w:rsidR="000D67FE" w:rsidRPr="008C76DA">
        <w:rPr>
          <w:rFonts w:ascii="Garamond" w:eastAsia="Calibri" w:hAnsi="Garamond"/>
          <w:sz w:val="24"/>
          <w:lang w:eastAsia="en-US"/>
        </w:rPr>
        <w:t>Article 8</w:t>
      </w:r>
      <w:r w:rsidR="007B48F9" w:rsidRPr="008C76DA">
        <w:rPr>
          <w:rFonts w:ascii="Garamond" w:eastAsia="Calibri" w:hAnsi="Garamond"/>
          <w:sz w:val="24"/>
          <w:lang w:eastAsia="en-US"/>
        </w:rPr>
        <w:t xml:space="preserve"> </w:t>
      </w:r>
      <w:r w:rsidR="000D67FE" w:rsidRPr="008C76DA">
        <w:rPr>
          <w:rFonts w:ascii="Garamond" w:eastAsia="Calibri" w:hAnsi="Garamond"/>
          <w:sz w:val="24"/>
          <w:lang w:eastAsia="en-US"/>
        </w:rPr>
        <w:t xml:space="preserve">funds without </w:t>
      </w:r>
      <w:r w:rsidR="00F43042" w:rsidRPr="008C76DA">
        <w:rPr>
          <w:rFonts w:ascii="Garamond" w:eastAsia="Calibri" w:hAnsi="Garamond"/>
          <w:sz w:val="24"/>
          <w:lang w:eastAsia="en-US"/>
        </w:rPr>
        <w:t>ESG</w:t>
      </w:r>
      <w:r w:rsidR="009B78DC" w:rsidRPr="008C76DA">
        <w:rPr>
          <w:rFonts w:ascii="Garamond" w:eastAsia="Calibri" w:hAnsi="Garamond"/>
          <w:sz w:val="24"/>
          <w:lang w:eastAsia="en-US"/>
        </w:rPr>
        <w:t xml:space="preserve">-related </w:t>
      </w:r>
      <w:r w:rsidR="000513BC" w:rsidRPr="008C76DA">
        <w:rPr>
          <w:rFonts w:ascii="Garamond" w:eastAsia="Calibri" w:hAnsi="Garamond"/>
          <w:sz w:val="24"/>
          <w:lang w:eastAsia="en-US"/>
        </w:rPr>
        <w:t>terms</w:t>
      </w:r>
      <w:r w:rsidR="00F43042" w:rsidRPr="008C76DA">
        <w:rPr>
          <w:rFonts w:ascii="Garamond" w:eastAsia="Calibri" w:hAnsi="Garamond"/>
          <w:sz w:val="24"/>
          <w:lang w:eastAsia="en-US"/>
        </w:rPr>
        <w:t xml:space="preserve"> </w:t>
      </w:r>
      <w:r w:rsidR="000D67FE" w:rsidRPr="008C76DA">
        <w:rPr>
          <w:rFonts w:ascii="Garamond" w:eastAsia="Calibri" w:hAnsi="Garamond"/>
          <w:sz w:val="24"/>
          <w:lang w:eastAsia="en-US"/>
        </w:rPr>
        <w:t>in their names</w:t>
      </w:r>
      <w:r w:rsidR="00F43042" w:rsidRPr="008C76DA">
        <w:rPr>
          <w:rFonts w:ascii="Garamond" w:eastAsia="Calibri" w:hAnsi="Garamond"/>
          <w:sz w:val="24"/>
          <w:lang w:eastAsia="en-US"/>
        </w:rPr>
        <w:t>; 3</w:t>
      </w:r>
      <w:r w:rsidR="005D6A2B" w:rsidRPr="008C76DA">
        <w:rPr>
          <w:rFonts w:ascii="Garamond" w:eastAsia="Calibri" w:hAnsi="Garamond"/>
          <w:sz w:val="24"/>
          <w:lang w:eastAsia="en-US"/>
        </w:rPr>
        <w:t>.</w:t>
      </w:r>
      <w:r w:rsidR="001B364F" w:rsidRPr="008C76DA">
        <w:rPr>
          <w:rFonts w:ascii="Garamond" w:eastAsia="Calibri" w:hAnsi="Garamond"/>
          <w:sz w:val="24"/>
          <w:lang w:eastAsia="en-US"/>
        </w:rPr>
        <w:t> </w:t>
      </w:r>
      <w:r w:rsidR="000D67FE" w:rsidRPr="008C76DA">
        <w:rPr>
          <w:rFonts w:ascii="Garamond" w:eastAsia="Calibri" w:hAnsi="Garamond"/>
          <w:sz w:val="24"/>
          <w:lang w:eastAsia="en-US"/>
        </w:rPr>
        <w:t>Article</w:t>
      </w:r>
      <w:r w:rsidR="001B364F" w:rsidRPr="008C76DA">
        <w:rPr>
          <w:rFonts w:ascii="Garamond" w:eastAsia="Calibri" w:hAnsi="Garamond"/>
          <w:sz w:val="24"/>
          <w:lang w:eastAsia="en-US"/>
        </w:rPr>
        <w:t> </w:t>
      </w:r>
      <w:r w:rsidR="000D67FE" w:rsidRPr="008C76DA">
        <w:rPr>
          <w:rFonts w:ascii="Garamond" w:eastAsia="Calibri" w:hAnsi="Garamond"/>
          <w:sz w:val="24"/>
          <w:lang w:eastAsia="en-US"/>
        </w:rPr>
        <w:t xml:space="preserve">8 funds having </w:t>
      </w:r>
      <w:r w:rsidR="00F43042" w:rsidRPr="008C76DA">
        <w:rPr>
          <w:rFonts w:ascii="Garamond" w:eastAsia="Calibri" w:hAnsi="Garamond"/>
          <w:sz w:val="24"/>
          <w:lang w:eastAsia="en-US"/>
        </w:rPr>
        <w:t>impact</w:t>
      </w:r>
      <w:r w:rsidR="009B78DC" w:rsidRPr="008C76DA">
        <w:rPr>
          <w:rFonts w:ascii="Garamond" w:eastAsia="Calibri" w:hAnsi="Garamond"/>
          <w:sz w:val="24"/>
          <w:lang w:eastAsia="en-US"/>
        </w:rPr>
        <w:t xml:space="preserve">-related </w:t>
      </w:r>
      <w:r w:rsidR="000513BC" w:rsidRPr="008C76DA">
        <w:rPr>
          <w:rFonts w:ascii="Garamond" w:eastAsia="Calibri" w:hAnsi="Garamond"/>
          <w:sz w:val="24"/>
          <w:lang w:eastAsia="en-US"/>
        </w:rPr>
        <w:t>terms</w:t>
      </w:r>
      <w:r w:rsidR="000D67FE" w:rsidRPr="008C76DA">
        <w:rPr>
          <w:rFonts w:ascii="Garamond" w:eastAsia="Calibri" w:hAnsi="Garamond"/>
          <w:sz w:val="24"/>
          <w:lang w:eastAsia="en-US"/>
        </w:rPr>
        <w:t xml:space="preserve"> in their names</w:t>
      </w:r>
      <w:r w:rsidR="00F43042" w:rsidRPr="008C76DA">
        <w:rPr>
          <w:rFonts w:ascii="Garamond" w:eastAsia="Calibri" w:hAnsi="Garamond"/>
          <w:sz w:val="24"/>
          <w:lang w:eastAsia="en-US"/>
        </w:rPr>
        <w:t>; 4</w:t>
      </w:r>
      <w:r w:rsidR="005D6A2B" w:rsidRPr="008C76DA">
        <w:rPr>
          <w:rFonts w:ascii="Garamond" w:eastAsia="Calibri" w:hAnsi="Garamond"/>
          <w:sz w:val="24"/>
          <w:lang w:eastAsia="en-US"/>
        </w:rPr>
        <w:t>.</w:t>
      </w:r>
      <w:r w:rsidR="001B364F" w:rsidRPr="008C76DA">
        <w:rPr>
          <w:rFonts w:ascii="Garamond" w:eastAsia="Calibri" w:hAnsi="Garamond"/>
          <w:sz w:val="24"/>
          <w:lang w:eastAsia="en-US"/>
        </w:rPr>
        <w:t> </w:t>
      </w:r>
      <w:r w:rsidR="000D67FE" w:rsidRPr="008C76DA">
        <w:rPr>
          <w:rFonts w:ascii="Garamond" w:eastAsia="Calibri" w:hAnsi="Garamond"/>
          <w:sz w:val="24"/>
          <w:lang w:eastAsia="en-US"/>
        </w:rPr>
        <w:t>Article 9</w:t>
      </w:r>
      <w:r w:rsidR="007B48F9" w:rsidRPr="008C76DA">
        <w:rPr>
          <w:rFonts w:ascii="Garamond" w:eastAsia="Calibri" w:hAnsi="Garamond"/>
          <w:sz w:val="24"/>
          <w:lang w:eastAsia="en-US"/>
        </w:rPr>
        <w:t xml:space="preserve"> </w:t>
      </w:r>
      <w:r w:rsidR="000D67FE" w:rsidRPr="008C76DA">
        <w:rPr>
          <w:rFonts w:ascii="Garamond" w:eastAsia="Calibri" w:hAnsi="Garamond"/>
          <w:sz w:val="24"/>
          <w:lang w:eastAsia="en-US"/>
        </w:rPr>
        <w:t>funds,</w:t>
      </w:r>
      <w:r w:rsidR="00F43042" w:rsidRPr="008C76DA">
        <w:rPr>
          <w:rFonts w:ascii="Garamond" w:eastAsia="Calibri" w:hAnsi="Garamond"/>
          <w:sz w:val="24"/>
          <w:lang w:eastAsia="en-US"/>
        </w:rPr>
        <w:t xml:space="preserve"> </w:t>
      </w:r>
      <w:proofErr w:type="gramStart"/>
      <w:r w:rsidR="00F43042" w:rsidRPr="008C76DA">
        <w:rPr>
          <w:rFonts w:ascii="Garamond" w:eastAsia="Calibri" w:hAnsi="Garamond"/>
          <w:sz w:val="24"/>
          <w:lang w:eastAsia="en-US"/>
        </w:rPr>
        <w:t>e</w:t>
      </w:r>
      <w:r w:rsidR="000D67FE" w:rsidRPr="008C76DA">
        <w:rPr>
          <w:rFonts w:ascii="Garamond" w:eastAsia="Calibri" w:hAnsi="Garamond"/>
          <w:sz w:val="24"/>
          <w:lang w:eastAsia="en-US"/>
        </w:rPr>
        <w:t>t</w:t>
      </w:r>
      <w:r w:rsidR="00F43042" w:rsidRPr="008C76DA">
        <w:rPr>
          <w:rFonts w:ascii="Garamond" w:eastAsia="Calibri" w:hAnsi="Garamond"/>
          <w:sz w:val="24"/>
          <w:lang w:eastAsia="en-US"/>
        </w:rPr>
        <w:t>c..</w:t>
      </w:r>
      <w:proofErr w:type="gramEnd"/>
      <w:r w:rsidR="00F43042" w:rsidRPr="008C76DA">
        <w:rPr>
          <w:rFonts w:ascii="Garamond" w:eastAsia="Calibri" w:hAnsi="Garamond"/>
          <w:sz w:val="24"/>
          <w:lang w:eastAsia="en-US"/>
        </w:rPr>
        <w:t xml:space="preserve"> </w:t>
      </w:r>
      <w:r w:rsidR="000D67FE" w:rsidRPr="008C76DA">
        <w:rPr>
          <w:rFonts w:ascii="Garamond" w:eastAsia="Calibri" w:hAnsi="Garamond"/>
          <w:sz w:val="24"/>
          <w:lang w:eastAsia="en-US"/>
        </w:rPr>
        <w:t xml:space="preserve">This further classification, </w:t>
      </w:r>
      <w:r w:rsidR="00CE37F1" w:rsidRPr="008C76DA">
        <w:rPr>
          <w:rFonts w:ascii="Garamond" w:eastAsia="Calibri" w:hAnsi="Garamond"/>
          <w:sz w:val="24"/>
          <w:lang w:eastAsia="en-US"/>
        </w:rPr>
        <w:t xml:space="preserve">where </w:t>
      </w:r>
      <w:r w:rsidR="000D67FE" w:rsidRPr="008C76DA">
        <w:rPr>
          <w:rFonts w:ascii="Garamond" w:eastAsia="Calibri" w:hAnsi="Garamond"/>
          <w:sz w:val="24"/>
          <w:lang w:eastAsia="en-US"/>
        </w:rPr>
        <w:t xml:space="preserve">not </w:t>
      </w:r>
      <w:r w:rsidR="007B48F9" w:rsidRPr="008C76DA">
        <w:rPr>
          <w:rFonts w:ascii="Garamond" w:eastAsia="Calibri" w:hAnsi="Garamond"/>
          <w:sz w:val="24"/>
          <w:lang w:eastAsia="en-US"/>
        </w:rPr>
        <w:t>aligned</w:t>
      </w:r>
      <w:r w:rsidR="000D67FE" w:rsidRPr="008C76DA">
        <w:rPr>
          <w:rFonts w:ascii="Garamond" w:eastAsia="Calibri" w:hAnsi="Garamond"/>
          <w:sz w:val="24"/>
          <w:lang w:eastAsia="en-US"/>
        </w:rPr>
        <w:t xml:space="preserve"> with the </w:t>
      </w:r>
      <w:r w:rsidR="00F43042" w:rsidRPr="008C76DA">
        <w:rPr>
          <w:rFonts w:ascii="Garamond" w:eastAsia="Calibri" w:hAnsi="Garamond"/>
          <w:sz w:val="24"/>
          <w:lang w:eastAsia="en-US"/>
        </w:rPr>
        <w:t xml:space="preserve">SFDR </w:t>
      </w:r>
      <w:r w:rsidR="000D67FE" w:rsidRPr="008C76DA">
        <w:rPr>
          <w:rFonts w:ascii="Garamond" w:eastAsia="Calibri" w:hAnsi="Garamond"/>
          <w:sz w:val="24"/>
          <w:lang w:eastAsia="en-US"/>
        </w:rPr>
        <w:t>regulation, would make it even more complex first</w:t>
      </w:r>
      <w:r w:rsidR="007B48F9" w:rsidRPr="008C76DA">
        <w:rPr>
          <w:rFonts w:ascii="Garamond" w:eastAsia="Calibri" w:hAnsi="Garamond"/>
          <w:sz w:val="24"/>
          <w:lang w:eastAsia="en-US"/>
        </w:rPr>
        <w:t>ly</w:t>
      </w:r>
      <w:r w:rsidR="000D67FE" w:rsidRPr="008C76DA">
        <w:rPr>
          <w:rFonts w:ascii="Garamond" w:eastAsia="Calibri" w:hAnsi="Garamond"/>
          <w:sz w:val="24"/>
          <w:lang w:eastAsia="en-US"/>
        </w:rPr>
        <w:t xml:space="preserve"> for end investors, but also for </w:t>
      </w:r>
      <w:r w:rsidR="007B48F9" w:rsidRPr="008C76DA">
        <w:rPr>
          <w:rFonts w:ascii="Garamond" w:eastAsia="Calibri" w:hAnsi="Garamond"/>
          <w:sz w:val="24"/>
          <w:lang w:eastAsia="en-US"/>
        </w:rPr>
        <w:t>distribution n</w:t>
      </w:r>
      <w:r w:rsidR="000D67FE" w:rsidRPr="008C76DA">
        <w:rPr>
          <w:rFonts w:ascii="Garamond" w:eastAsia="Calibri" w:hAnsi="Garamond"/>
          <w:sz w:val="24"/>
          <w:lang w:eastAsia="en-US"/>
        </w:rPr>
        <w:t xml:space="preserve">etworks to distinguish one product from another. In fact, we </w:t>
      </w:r>
      <w:r w:rsidR="007B48F9" w:rsidRPr="008C76DA">
        <w:rPr>
          <w:rFonts w:ascii="Garamond" w:eastAsia="Calibri" w:hAnsi="Garamond"/>
          <w:sz w:val="24"/>
          <w:lang w:eastAsia="en-US"/>
        </w:rPr>
        <w:t xml:space="preserve">believe </w:t>
      </w:r>
      <w:r w:rsidR="000D67FE" w:rsidRPr="008C76DA">
        <w:rPr>
          <w:rFonts w:ascii="Garamond" w:eastAsia="Calibri" w:hAnsi="Garamond"/>
          <w:sz w:val="24"/>
          <w:lang w:eastAsia="en-US"/>
        </w:rPr>
        <w:t xml:space="preserve">that, paradoxically, such an accumulation </w:t>
      </w:r>
      <w:r w:rsidR="007B48F9" w:rsidRPr="008C76DA">
        <w:rPr>
          <w:rFonts w:ascii="Garamond" w:eastAsia="Calibri" w:hAnsi="Garamond"/>
          <w:sz w:val="24"/>
          <w:lang w:eastAsia="en-US"/>
        </w:rPr>
        <w:t>of rules and regulations may cont</w:t>
      </w:r>
      <w:r w:rsidR="000D67FE" w:rsidRPr="008C76DA">
        <w:rPr>
          <w:rFonts w:ascii="Garamond" w:eastAsia="Calibri" w:hAnsi="Garamond"/>
          <w:sz w:val="24"/>
          <w:lang w:eastAsia="en-US"/>
        </w:rPr>
        <w:t>ribute to confusion and therefore, albeit unintentionally, facilitate</w:t>
      </w:r>
      <w:r w:rsidR="00F43042" w:rsidRPr="008C76DA">
        <w:rPr>
          <w:rFonts w:ascii="Garamond" w:eastAsia="Calibri" w:hAnsi="Garamond"/>
          <w:sz w:val="24"/>
          <w:lang w:eastAsia="en-US"/>
        </w:rPr>
        <w:t xml:space="preserve"> greenwashing</w:t>
      </w:r>
      <w:r w:rsidR="000D67FE" w:rsidRPr="008C76DA">
        <w:rPr>
          <w:rFonts w:ascii="Garamond" w:eastAsia="Calibri" w:hAnsi="Garamond"/>
          <w:sz w:val="24"/>
          <w:lang w:eastAsia="en-US"/>
        </w:rPr>
        <w:t xml:space="preserve"> phenomena.</w:t>
      </w:r>
    </w:p>
    <w:p w14:paraId="62A170CB" w14:textId="43C7A094" w:rsidR="00D97861" w:rsidRDefault="000D67FE" w:rsidP="00F43042">
      <w:pPr>
        <w:numPr>
          <w:ilvl w:val="0"/>
          <w:numId w:val="41"/>
        </w:numPr>
        <w:ind w:right="851"/>
        <w:jc w:val="both"/>
        <w:rPr>
          <w:rFonts w:ascii="Garamond" w:eastAsia="Calibri" w:hAnsi="Garamond"/>
          <w:sz w:val="24"/>
          <w:lang w:eastAsia="en-US"/>
        </w:rPr>
      </w:pPr>
      <w:r w:rsidRPr="008C76DA">
        <w:rPr>
          <w:rFonts w:ascii="Garamond" w:eastAsia="Calibri" w:hAnsi="Garamond"/>
          <w:sz w:val="24"/>
          <w:lang w:eastAsia="en-US"/>
        </w:rPr>
        <w:t xml:space="preserve">Therefore, we </w:t>
      </w:r>
      <w:r w:rsidR="00446A3E" w:rsidRPr="008C76DA">
        <w:rPr>
          <w:rFonts w:ascii="Garamond" w:eastAsia="Calibri" w:hAnsi="Garamond"/>
          <w:sz w:val="24"/>
          <w:lang w:eastAsia="en-US"/>
        </w:rPr>
        <w:t>are of the view</w:t>
      </w:r>
      <w:r w:rsidR="000B36CA" w:rsidRPr="008C76DA">
        <w:rPr>
          <w:rFonts w:ascii="Garamond" w:eastAsia="Calibri" w:hAnsi="Garamond"/>
          <w:sz w:val="24"/>
          <w:lang w:eastAsia="en-US"/>
        </w:rPr>
        <w:t xml:space="preserve"> </w:t>
      </w:r>
      <w:r w:rsidRPr="008C76DA">
        <w:rPr>
          <w:rFonts w:ascii="Garamond" w:eastAsia="Calibri" w:hAnsi="Garamond"/>
          <w:sz w:val="24"/>
          <w:lang w:eastAsia="en-US"/>
        </w:rPr>
        <w:t xml:space="preserve">that </w:t>
      </w:r>
      <w:r w:rsidR="00CE37F1" w:rsidRPr="008C76DA">
        <w:rPr>
          <w:rFonts w:ascii="Garamond" w:eastAsia="Calibri" w:hAnsi="Garamond"/>
          <w:sz w:val="24"/>
          <w:lang w:eastAsia="en-US"/>
        </w:rPr>
        <w:t>such</w:t>
      </w:r>
      <w:r w:rsidRPr="008C76DA">
        <w:rPr>
          <w:rFonts w:ascii="Garamond" w:eastAsia="Calibri" w:hAnsi="Garamond"/>
          <w:sz w:val="24"/>
          <w:lang w:eastAsia="en-US"/>
        </w:rPr>
        <w:t xml:space="preserve"> minimum </w:t>
      </w:r>
      <w:r w:rsidR="009B78DC" w:rsidRPr="008C76DA">
        <w:rPr>
          <w:rFonts w:ascii="Garamond" w:eastAsia="Calibri" w:hAnsi="Garamond"/>
          <w:sz w:val="24"/>
          <w:lang w:eastAsia="en-US"/>
        </w:rPr>
        <w:t>proportion</w:t>
      </w:r>
      <w:r w:rsidRPr="008C76DA">
        <w:rPr>
          <w:rFonts w:ascii="Garamond" w:eastAsia="Calibri" w:hAnsi="Garamond"/>
          <w:sz w:val="24"/>
          <w:lang w:eastAsia="en-US"/>
        </w:rPr>
        <w:t>s shall be required not only for financial products having certain a</w:t>
      </w:r>
      <w:r w:rsidR="00D97861" w:rsidRPr="008C76DA">
        <w:rPr>
          <w:rFonts w:ascii="Garamond" w:eastAsia="Calibri" w:hAnsi="Garamond"/>
          <w:sz w:val="24"/>
          <w:lang w:eastAsia="en-US"/>
        </w:rPr>
        <w:t>cron</w:t>
      </w:r>
      <w:r w:rsidRPr="008C76DA">
        <w:rPr>
          <w:rFonts w:ascii="Garamond" w:eastAsia="Calibri" w:hAnsi="Garamond"/>
          <w:sz w:val="24"/>
          <w:lang w:eastAsia="en-US"/>
        </w:rPr>
        <w:t xml:space="preserve">yms in their names, but for all Article 8 financial products, as far as the suggested </w:t>
      </w:r>
      <w:r w:rsidR="007B48F9" w:rsidRPr="008C76DA">
        <w:rPr>
          <w:rFonts w:ascii="Garamond" w:eastAsia="Calibri" w:hAnsi="Garamond"/>
          <w:sz w:val="24"/>
          <w:lang w:eastAsia="en-US"/>
        </w:rPr>
        <w:t xml:space="preserve">80% proportion </w:t>
      </w:r>
      <w:r w:rsidRPr="008C76DA">
        <w:rPr>
          <w:rFonts w:ascii="Garamond" w:eastAsia="Calibri" w:hAnsi="Garamond"/>
          <w:sz w:val="24"/>
          <w:lang w:eastAsia="en-US"/>
        </w:rPr>
        <w:t xml:space="preserve">is concerned, and for all Article 8 plus financial products, as far as the </w:t>
      </w:r>
      <w:r w:rsidR="007B48F9" w:rsidRPr="008C76DA">
        <w:rPr>
          <w:rFonts w:ascii="Garamond" w:eastAsia="Calibri" w:hAnsi="Garamond"/>
          <w:sz w:val="24"/>
          <w:lang w:eastAsia="en-US"/>
        </w:rPr>
        <w:t xml:space="preserve">50% </w:t>
      </w:r>
      <w:r w:rsidR="009B78DC" w:rsidRPr="008C76DA">
        <w:rPr>
          <w:rFonts w:ascii="Garamond" w:eastAsia="Calibri" w:hAnsi="Garamond"/>
          <w:sz w:val="24"/>
          <w:lang w:eastAsia="en-US"/>
        </w:rPr>
        <w:t>proportion</w:t>
      </w:r>
      <w:r w:rsidRPr="008C76DA">
        <w:rPr>
          <w:rFonts w:ascii="Garamond" w:eastAsia="Calibri" w:hAnsi="Garamond"/>
          <w:sz w:val="24"/>
          <w:lang w:eastAsia="en-US"/>
        </w:rPr>
        <w:t xml:space="preserve"> of sustainable investments </w:t>
      </w:r>
      <w:r w:rsidR="007B48F9" w:rsidRPr="008C76DA">
        <w:rPr>
          <w:rFonts w:ascii="Garamond" w:eastAsia="Calibri" w:hAnsi="Garamond"/>
          <w:sz w:val="24"/>
          <w:lang w:eastAsia="en-US"/>
        </w:rPr>
        <w:t>as compared to</w:t>
      </w:r>
      <w:r w:rsidRPr="008C76DA">
        <w:rPr>
          <w:rFonts w:ascii="Garamond" w:eastAsia="Calibri" w:hAnsi="Garamond"/>
          <w:sz w:val="24"/>
          <w:lang w:eastAsia="en-US"/>
        </w:rPr>
        <w:t xml:space="preserve"> </w:t>
      </w:r>
      <w:r w:rsidR="00D97861" w:rsidRPr="008C76DA">
        <w:rPr>
          <w:rFonts w:ascii="Garamond" w:eastAsia="Calibri" w:hAnsi="Garamond"/>
          <w:sz w:val="24"/>
          <w:lang w:eastAsia="en-US"/>
        </w:rPr>
        <w:t xml:space="preserve">80% </w:t>
      </w:r>
      <w:r w:rsidR="00CE37F1" w:rsidRPr="008C76DA">
        <w:rPr>
          <w:rFonts w:ascii="Garamond" w:eastAsia="Calibri" w:hAnsi="Garamond"/>
          <w:sz w:val="24"/>
          <w:lang w:eastAsia="en-US"/>
        </w:rPr>
        <w:t xml:space="preserve">of investments promoting </w:t>
      </w:r>
      <w:r w:rsidRPr="008C76DA">
        <w:rPr>
          <w:rFonts w:ascii="Garamond" w:eastAsia="Calibri" w:hAnsi="Garamond"/>
          <w:sz w:val="24"/>
          <w:lang w:eastAsia="en-US"/>
        </w:rPr>
        <w:t>environmental and social characteristics</w:t>
      </w:r>
      <w:r w:rsidR="007B48F9" w:rsidRPr="008C76DA">
        <w:rPr>
          <w:rFonts w:ascii="Garamond" w:eastAsia="Calibri" w:hAnsi="Garamond"/>
          <w:sz w:val="24"/>
          <w:lang w:eastAsia="en-US"/>
        </w:rPr>
        <w:t xml:space="preserve"> is concerned.</w:t>
      </w:r>
      <w:r w:rsidRPr="008C76DA">
        <w:rPr>
          <w:rFonts w:ascii="Garamond" w:eastAsia="Calibri" w:hAnsi="Garamond"/>
          <w:sz w:val="24"/>
          <w:lang w:eastAsia="en-US"/>
        </w:rPr>
        <w:t xml:space="preserve"> </w:t>
      </w:r>
    </w:p>
    <w:p w14:paraId="5C6831F1" w14:textId="5B7796F7" w:rsidR="00E375BA" w:rsidRPr="005E683C" w:rsidRDefault="00AC71EB" w:rsidP="00F43042">
      <w:pPr>
        <w:numPr>
          <w:ilvl w:val="0"/>
          <w:numId w:val="41"/>
        </w:numPr>
        <w:ind w:right="851"/>
        <w:jc w:val="both"/>
        <w:rPr>
          <w:rFonts w:ascii="Garamond" w:eastAsia="Calibri" w:hAnsi="Garamond"/>
          <w:sz w:val="24"/>
          <w:lang w:eastAsia="en-US"/>
        </w:rPr>
      </w:pPr>
      <w:r w:rsidRPr="005E683C">
        <w:rPr>
          <w:rFonts w:ascii="Garamond" w:eastAsia="Calibri" w:hAnsi="Garamond"/>
          <w:sz w:val="24"/>
          <w:lang w:eastAsia="en-US"/>
        </w:rPr>
        <w:t>We also point out that these Guidelines do not consider Article 8 financial products that manage Principal Adverse Impact</w:t>
      </w:r>
      <w:r w:rsidR="005E4FB2" w:rsidRPr="005E683C">
        <w:rPr>
          <w:rFonts w:ascii="Garamond" w:eastAsia="Calibri" w:hAnsi="Garamond"/>
          <w:sz w:val="24"/>
          <w:lang w:eastAsia="en-US"/>
        </w:rPr>
        <w:t xml:space="preserve"> (“</w:t>
      </w:r>
      <w:r w:rsidR="005E4FB2" w:rsidRPr="005E683C">
        <w:rPr>
          <w:rFonts w:ascii="Garamond" w:eastAsia="Calibri" w:hAnsi="Garamond"/>
          <w:b/>
          <w:bCs/>
          <w:sz w:val="24"/>
          <w:lang w:eastAsia="en-US"/>
        </w:rPr>
        <w:t>PAI</w:t>
      </w:r>
      <w:r w:rsidR="005E4FB2" w:rsidRPr="005E683C">
        <w:rPr>
          <w:rFonts w:ascii="Garamond" w:eastAsia="Calibri" w:hAnsi="Garamond"/>
          <w:sz w:val="24"/>
          <w:lang w:eastAsia="en-US"/>
        </w:rPr>
        <w:t>”)</w:t>
      </w:r>
      <w:r w:rsidRPr="005E683C">
        <w:rPr>
          <w:rFonts w:ascii="Garamond" w:eastAsia="Calibri" w:hAnsi="Garamond"/>
          <w:sz w:val="24"/>
          <w:lang w:eastAsia="en-US"/>
        </w:rPr>
        <w:t xml:space="preserve"> and therefore do not have a minimum sustainable investment constrain</w:t>
      </w:r>
      <w:r w:rsidR="00E375BA" w:rsidRPr="005E683C">
        <w:rPr>
          <w:rFonts w:ascii="Garamond" w:eastAsia="Calibri" w:hAnsi="Garamond"/>
          <w:sz w:val="24"/>
          <w:lang w:eastAsia="en-US"/>
        </w:rPr>
        <w:t xml:space="preserve">; this exclusion would result in unequal treatment of these products because they would not be able to use the term ESG or sustainability-related in the name of the </w:t>
      </w:r>
      <w:r w:rsidRPr="005E683C">
        <w:rPr>
          <w:rFonts w:ascii="Garamond" w:eastAsia="Calibri" w:hAnsi="Garamond"/>
          <w:sz w:val="24"/>
          <w:lang w:eastAsia="en-US"/>
        </w:rPr>
        <w:t>f</w:t>
      </w:r>
      <w:r w:rsidR="00E375BA" w:rsidRPr="005E683C">
        <w:rPr>
          <w:rFonts w:ascii="Garamond" w:eastAsia="Calibri" w:hAnsi="Garamond"/>
          <w:sz w:val="24"/>
          <w:lang w:eastAsia="en-US"/>
        </w:rPr>
        <w:t>unds.</w:t>
      </w:r>
    </w:p>
    <w:p w14:paraId="043F3971" w14:textId="3C602B9C" w:rsidR="00B92885" w:rsidRPr="00412E59" w:rsidRDefault="00B92885" w:rsidP="005D6A2B">
      <w:pPr>
        <w:rPr>
          <w:lang w:val="en-US"/>
        </w:rPr>
      </w:pP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6518F13E" w14:textId="688A861E" w:rsidR="00464DD5" w:rsidRPr="005E683C" w:rsidRDefault="00D0147B" w:rsidP="00B412C1">
      <w:pPr>
        <w:pStyle w:val="Paragrafoelenco"/>
        <w:numPr>
          <w:ilvl w:val="0"/>
          <w:numId w:val="41"/>
        </w:numPr>
        <w:ind w:right="851"/>
        <w:jc w:val="both"/>
        <w:rPr>
          <w:rFonts w:ascii="Garamond" w:eastAsia="Calibri" w:hAnsi="Garamond"/>
          <w:sz w:val="24"/>
          <w:lang w:eastAsia="en-US"/>
        </w:rPr>
      </w:pPr>
      <w:permStart w:id="1305634831" w:edGrp="everyone"/>
      <w:r w:rsidRPr="008C76DA">
        <w:rPr>
          <w:rFonts w:ascii="Garamond" w:eastAsia="Calibri" w:hAnsi="Garamond"/>
          <w:sz w:val="24"/>
          <w:lang w:eastAsia="en-US"/>
        </w:rPr>
        <w:t>Although</w:t>
      </w:r>
      <w:r w:rsidR="009B78DC" w:rsidRPr="008C76DA">
        <w:rPr>
          <w:rFonts w:ascii="Garamond" w:eastAsia="Calibri" w:hAnsi="Garamond"/>
          <w:sz w:val="24"/>
          <w:lang w:eastAsia="en-US"/>
        </w:rPr>
        <w:t xml:space="preserve"> we understand the need to identify a minimum proportion </w:t>
      </w:r>
      <w:r w:rsidR="000B36CA" w:rsidRPr="008C76DA">
        <w:rPr>
          <w:rFonts w:ascii="Garamond" w:eastAsia="Calibri" w:hAnsi="Garamond"/>
          <w:sz w:val="24"/>
          <w:lang w:eastAsia="en-US"/>
        </w:rPr>
        <w:t xml:space="preserve">of </w:t>
      </w:r>
      <w:r w:rsidR="009B78DC" w:rsidRPr="008C76DA">
        <w:rPr>
          <w:rFonts w:ascii="Garamond" w:eastAsia="Calibri" w:hAnsi="Garamond"/>
          <w:sz w:val="24"/>
          <w:lang w:eastAsia="en-US"/>
        </w:rPr>
        <w:t>ESG investment</w:t>
      </w:r>
      <w:r w:rsidR="000B36CA" w:rsidRPr="008C76DA">
        <w:rPr>
          <w:rFonts w:ascii="Garamond" w:eastAsia="Calibri" w:hAnsi="Garamond"/>
          <w:sz w:val="24"/>
          <w:lang w:eastAsia="en-US"/>
        </w:rPr>
        <w:t>s in the</w:t>
      </w:r>
      <w:r w:rsidR="0012718B" w:rsidRPr="008C76DA">
        <w:rPr>
          <w:rFonts w:ascii="Garamond" w:eastAsia="Calibri" w:hAnsi="Garamond"/>
          <w:sz w:val="24"/>
          <w:lang w:eastAsia="en-US"/>
        </w:rPr>
        <w:t xml:space="preserve"> portfolio,</w:t>
      </w:r>
      <w:r w:rsidR="00446A3E" w:rsidRPr="008C76DA">
        <w:rPr>
          <w:rFonts w:ascii="Garamond" w:eastAsia="Calibri" w:hAnsi="Garamond"/>
          <w:sz w:val="24"/>
          <w:lang w:eastAsia="en-US"/>
        </w:rPr>
        <w:t xml:space="preserve"> and apart </w:t>
      </w:r>
      <w:r w:rsidR="009B78DC" w:rsidRPr="008C76DA">
        <w:rPr>
          <w:rFonts w:ascii="Garamond" w:eastAsia="Calibri" w:hAnsi="Garamond"/>
          <w:sz w:val="24"/>
          <w:lang w:eastAsia="en-US"/>
        </w:rPr>
        <w:t xml:space="preserve">from what has already been </w:t>
      </w:r>
      <w:r w:rsidR="0012718B" w:rsidRPr="008C76DA">
        <w:rPr>
          <w:rFonts w:ascii="Garamond" w:eastAsia="Calibri" w:hAnsi="Garamond"/>
          <w:sz w:val="24"/>
          <w:lang w:eastAsia="en-US"/>
        </w:rPr>
        <w:t>pointed out</w:t>
      </w:r>
      <w:r w:rsidR="009B78DC" w:rsidRPr="008C76DA">
        <w:rPr>
          <w:rFonts w:ascii="Garamond" w:eastAsia="Calibri" w:hAnsi="Garamond"/>
          <w:sz w:val="24"/>
          <w:lang w:eastAsia="en-US"/>
        </w:rPr>
        <w:t xml:space="preserve"> in our answer to </w:t>
      </w:r>
      <w:r w:rsidR="00AE601A" w:rsidRPr="008C76DA">
        <w:rPr>
          <w:rFonts w:ascii="Garamond" w:eastAsia="Calibri" w:hAnsi="Garamond"/>
          <w:sz w:val="24"/>
          <w:lang w:eastAsia="en-US"/>
        </w:rPr>
        <w:t>question no.</w:t>
      </w:r>
      <w:r w:rsidR="00446A3E" w:rsidRPr="008C76DA">
        <w:rPr>
          <w:rFonts w:ascii="Garamond" w:eastAsia="Calibri" w:hAnsi="Garamond"/>
          <w:sz w:val="24"/>
          <w:lang w:eastAsia="en-US"/>
        </w:rPr>
        <w:t> </w:t>
      </w:r>
      <w:r w:rsidR="009B78DC" w:rsidRPr="008C76DA">
        <w:rPr>
          <w:rFonts w:ascii="Garamond" w:eastAsia="Calibri" w:hAnsi="Garamond"/>
          <w:sz w:val="24"/>
          <w:lang w:eastAsia="en-US"/>
        </w:rPr>
        <w:t>1</w:t>
      </w:r>
      <w:r w:rsidR="00F43042" w:rsidRPr="008C76DA">
        <w:rPr>
          <w:rFonts w:ascii="Garamond" w:eastAsia="Calibri" w:hAnsi="Garamond"/>
          <w:sz w:val="24"/>
          <w:lang w:eastAsia="en-US"/>
        </w:rPr>
        <w:t xml:space="preserve">, </w:t>
      </w:r>
      <w:r w:rsidR="009B78DC" w:rsidRPr="008C76DA">
        <w:rPr>
          <w:rFonts w:ascii="Garamond" w:eastAsia="Calibri" w:hAnsi="Garamond"/>
          <w:sz w:val="24"/>
          <w:lang w:eastAsia="en-US"/>
        </w:rPr>
        <w:t xml:space="preserve">we </w:t>
      </w:r>
      <w:r w:rsidR="0012718B" w:rsidRPr="008C76DA">
        <w:rPr>
          <w:rFonts w:ascii="Garamond" w:eastAsia="Calibri" w:hAnsi="Garamond"/>
          <w:sz w:val="24"/>
          <w:lang w:eastAsia="en-US"/>
        </w:rPr>
        <w:t xml:space="preserve">believe </w:t>
      </w:r>
      <w:r w:rsidR="009B78DC" w:rsidRPr="008C76DA">
        <w:rPr>
          <w:rFonts w:ascii="Garamond" w:eastAsia="Calibri" w:hAnsi="Garamond"/>
          <w:sz w:val="24"/>
          <w:lang w:eastAsia="en-US"/>
        </w:rPr>
        <w:t xml:space="preserve">that this proportion is too high, also </w:t>
      </w:r>
      <w:r w:rsidR="009D3FED" w:rsidRPr="008C76DA">
        <w:rPr>
          <w:rFonts w:ascii="Garamond" w:eastAsia="Calibri" w:hAnsi="Garamond"/>
          <w:sz w:val="24"/>
          <w:lang w:eastAsia="en-US"/>
        </w:rPr>
        <w:t xml:space="preserve">considering </w:t>
      </w:r>
      <w:r w:rsidR="009B78DC" w:rsidRPr="008C76DA">
        <w:rPr>
          <w:rFonts w:ascii="Garamond" w:eastAsia="Calibri" w:hAnsi="Garamond"/>
          <w:sz w:val="24"/>
          <w:lang w:eastAsia="en-US"/>
        </w:rPr>
        <w:t>the already existing differentiation between Article 8 products and Article 9 products and the need for the former to be graded w</w:t>
      </w:r>
      <w:r w:rsidR="0012718B" w:rsidRPr="008C76DA">
        <w:rPr>
          <w:rFonts w:ascii="Garamond" w:eastAsia="Calibri" w:hAnsi="Garamond"/>
          <w:sz w:val="24"/>
          <w:lang w:eastAsia="en-US"/>
        </w:rPr>
        <w:t xml:space="preserve">ith respect </w:t>
      </w:r>
      <w:r w:rsidR="009B78DC" w:rsidRPr="008C76DA">
        <w:rPr>
          <w:rFonts w:ascii="Garamond" w:eastAsia="Calibri" w:hAnsi="Garamond"/>
          <w:sz w:val="24"/>
          <w:lang w:eastAsia="en-US"/>
        </w:rPr>
        <w:t>to Article</w:t>
      </w:r>
      <w:r w:rsidR="00F43042" w:rsidRPr="008C76DA">
        <w:rPr>
          <w:rFonts w:ascii="Garamond" w:eastAsia="Calibri" w:hAnsi="Garamond"/>
          <w:sz w:val="24"/>
          <w:lang w:eastAsia="en-US"/>
        </w:rPr>
        <w:t xml:space="preserve"> 9</w:t>
      </w:r>
      <w:r w:rsidR="009B78DC" w:rsidRPr="008C76DA">
        <w:rPr>
          <w:rFonts w:ascii="Garamond" w:eastAsia="Calibri" w:hAnsi="Garamond"/>
          <w:sz w:val="24"/>
          <w:lang w:eastAsia="en-US"/>
        </w:rPr>
        <w:t xml:space="preserve"> products</w:t>
      </w:r>
      <w:r w:rsidR="00970F63" w:rsidRPr="008C76DA">
        <w:rPr>
          <w:rFonts w:ascii="Garamond" w:eastAsia="Calibri" w:hAnsi="Garamond"/>
          <w:sz w:val="24"/>
          <w:lang w:eastAsia="en-US"/>
        </w:rPr>
        <w:t xml:space="preserve">. </w:t>
      </w:r>
      <w:r w:rsidR="000B36CA" w:rsidRPr="008C76DA">
        <w:rPr>
          <w:rFonts w:ascii="Garamond" w:eastAsia="Calibri" w:hAnsi="Garamond"/>
          <w:sz w:val="24"/>
          <w:lang w:eastAsia="en-US"/>
        </w:rPr>
        <w:t>Conversely</w:t>
      </w:r>
      <w:r w:rsidR="009B78DC" w:rsidRPr="008C76DA">
        <w:rPr>
          <w:rFonts w:ascii="Garamond" w:eastAsia="Calibri" w:hAnsi="Garamond"/>
          <w:sz w:val="24"/>
          <w:lang w:eastAsia="en-US"/>
        </w:rPr>
        <w:t>, a</w:t>
      </w:r>
      <w:r w:rsidR="0012718B" w:rsidRPr="008C76DA">
        <w:rPr>
          <w:rFonts w:ascii="Garamond" w:eastAsia="Calibri" w:hAnsi="Garamond"/>
          <w:sz w:val="24"/>
          <w:lang w:eastAsia="en-US"/>
        </w:rPr>
        <w:t>n 80%</w:t>
      </w:r>
      <w:r w:rsidR="009B78DC" w:rsidRPr="008C76DA">
        <w:rPr>
          <w:rFonts w:ascii="Garamond" w:eastAsia="Calibri" w:hAnsi="Garamond"/>
          <w:sz w:val="24"/>
          <w:lang w:eastAsia="en-US"/>
        </w:rPr>
        <w:t xml:space="preserve"> proportion seems to be more in line with an entirely sustainable, or Article 9</w:t>
      </w:r>
      <w:r w:rsidR="0012718B" w:rsidRPr="008C76DA">
        <w:rPr>
          <w:rFonts w:ascii="Garamond" w:eastAsia="Calibri" w:hAnsi="Garamond"/>
          <w:sz w:val="24"/>
          <w:lang w:eastAsia="en-US"/>
        </w:rPr>
        <w:t>,</w:t>
      </w:r>
      <w:r w:rsidR="009B78DC" w:rsidRPr="008C76DA">
        <w:rPr>
          <w:rFonts w:ascii="Garamond" w:eastAsia="Calibri" w:hAnsi="Garamond"/>
          <w:sz w:val="24"/>
          <w:lang w:eastAsia="en-US"/>
        </w:rPr>
        <w:t xml:space="preserve"> product. Therefore, we suggest </w:t>
      </w:r>
      <w:r w:rsidR="009D3FED" w:rsidRPr="008C76DA">
        <w:rPr>
          <w:rFonts w:ascii="Garamond" w:eastAsia="Calibri" w:hAnsi="Garamond"/>
          <w:sz w:val="24"/>
          <w:lang w:eastAsia="en-US"/>
        </w:rPr>
        <w:t xml:space="preserve">that </w:t>
      </w:r>
      <w:r w:rsidR="009B78DC" w:rsidRPr="008C76DA">
        <w:rPr>
          <w:rFonts w:ascii="Garamond" w:eastAsia="Calibri" w:hAnsi="Garamond"/>
          <w:sz w:val="24"/>
          <w:lang w:eastAsia="en-US"/>
        </w:rPr>
        <w:t xml:space="preserve">this </w:t>
      </w:r>
      <w:r w:rsidR="009B78DC" w:rsidRPr="008C76DA">
        <w:rPr>
          <w:rFonts w:ascii="Garamond" w:eastAsia="Calibri" w:hAnsi="Garamond"/>
          <w:sz w:val="24"/>
          <w:lang w:eastAsia="en-US"/>
        </w:rPr>
        <w:lastRenderedPageBreak/>
        <w:t xml:space="preserve">proportion </w:t>
      </w:r>
      <w:r w:rsidR="009D3FED" w:rsidRPr="008C76DA">
        <w:rPr>
          <w:rFonts w:ascii="Garamond" w:eastAsia="Calibri" w:hAnsi="Garamond"/>
          <w:sz w:val="24"/>
          <w:lang w:eastAsia="en-US"/>
        </w:rPr>
        <w:t>should be revised and set</w:t>
      </w:r>
      <w:r w:rsidR="009B78DC" w:rsidRPr="008C76DA">
        <w:rPr>
          <w:rFonts w:ascii="Garamond" w:eastAsia="Calibri" w:hAnsi="Garamond"/>
          <w:sz w:val="24"/>
          <w:lang w:eastAsia="en-US"/>
        </w:rPr>
        <w:t xml:space="preserve"> at </w:t>
      </w:r>
      <w:r w:rsidR="00E375BA" w:rsidRPr="005E683C">
        <w:rPr>
          <w:rFonts w:ascii="Garamond" w:eastAsia="Calibri" w:hAnsi="Garamond"/>
          <w:sz w:val="24"/>
          <w:lang w:eastAsia="en-US"/>
        </w:rPr>
        <w:t>6</w:t>
      </w:r>
      <w:r w:rsidR="00970F63" w:rsidRPr="008C76DA">
        <w:rPr>
          <w:rFonts w:ascii="Garamond" w:eastAsia="Calibri" w:hAnsi="Garamond"/>
          <w:sz w:val="24"/>
          <w:lang w:eastAsia="en-US"/>
        </w:rPr>
        <w:t xml:space="preserve">0% </w:t>
      </w:r>
      <w:r w:rsidR="009B78DC" w:rsidRPr="008C76DA">
        <w:rPr>
          <w:rFonts w:ascii="Garamond" w:eastAsia="Calibri" w:hAnsi="Garamond"/>
          <w:sz w:val="24"/>
          <w:lang w:eastAsia="en-US"/>
        </w:rPr>
        <w:t xml:space="preserve">of the </w:t>
      </w:r>
      <w:r w:rsidR="009B78DC" w:rsidRPr="005E683C">
        <w:rPr>
          <w:rFonts w:ascii="Garamond" w:eastAsia="Calibri" w:hAnsi="Garamond"/>
          <w:sz w:val="24"/>
          <w:lang w:eastAsia="en-US"/>
        </w:rPr>
        <w:t>portfolio.</w:t>
      </w:r>
      <w:r w:rsidR="00B412C1" w:rsidRPr="005E683C">
        <w:rPr>
          <w:rFonts w:ascii="Garamond" w:eastAsia="Calibri" w:hAnsi="Garamond"/>
          <w:sz w:val="24"/>
          <w:lang w:eastAsia="en-US"/>
        </w:rPr>
        <w:t xml:space="preserve"> </w:t>
      </w:r>
      <w:r w:rsidR="00464DD5" w:rsidRPr="005E683C">
        <w:rPr>
          <w:rFonts w:ascii="Garamond" w:eastAsia="Calibri" w:hAnsi="Garamond"/>
          <w:sz w:val="24"/>
          <w:lang w:eastAsia="en-US"/>
        </w:rPr>
        <w:t xml:space="preserve">Moreover, such a high investment constraint, set at 80% of the portfolio, would greatly limit the manager's discretion in selection of investments </w:t>
      </w:r>
      <w:r w:rsidR="005E4FB2" w:rsidRPr="005E683C">
        <w:rPr>
          <w:rFonts w:ascii="Garamond" w:eastAsia="Calibri" w:hAnsi="Garamond"/>
          <w:sz w:val="24"/>
          <w:lang w:eastAsia="en-US"/>
        </w:rPr>
        <w:t>to</w:t>
      </w:r>
      <w:r w:rsidR="00464DD5" w:rsidRPr="005E683C">
        <w:rPr>
          <w:rFonts w:ascii="Garamond" w:eastAsia="Calibri" w:hAnsi="Garamond"/>
          <w:sz w:val="24"/>
          <w:lang w:eastAsia="en-US"/>
        </w:rPr>
        <w:t xml:space="preserve"> reach the </w:t>
      </w:r>
      <w:r w:rsidR="002D45C4" w:rsidRPr="005E683C">
        <w:rPr>
          <w:rFonts w:ascii="Garamond" w:eastAsia="Calibri" w:hAnsi="Garamond"/>
          <w:sz w:val="24"/>
          <w:lang w:eastAsia="en-US"/>
        </w:rPr>
        <w:t>f</w:t>
      </w:r>
      <w:r w:rsidR="00464DD5" w:rsidRPr="005E683C">
        <w:rPr>
          <w:rFonts w:ascii="Garamond" w:eastAsia="Calibri" w:hAnsi="Garamond"/>
          <w:sz w:val="24"/>
          <w:lang w:eastAsia="en-US"/>
        </w:rPr>
        <w:t>und's potential performance.</w:t>
      </w:r>
    </w:p>
    <w:p w14:paraId="78EC615B" w14:textId="7885620A" w:rsidR="006966F3" w:rsidRPr="006966F3" w:rsidRDefault="006966F3" w:rsidP="006966F3">
      <w:pPr>
        <w:ind w:left="851" w:right="851"/>
        <w:jc w:val="both"/>
        <w:rPr>
          <w:rFonts w:ascii="Garamond" w:eastAsia="Calibri" w:hAnsi="Garamond"/>
          <w:sz w:val="24"/>
          <w:lang w:eastAsia="en-US"/>
        </w:rPr>
      </w:pPr>
    </w:p>
    <w:p w14:paraId="334D393B" w14:textId="77777777" w:rsidR="00F43042" w:rsidRPr="009B78DC" w:rsidRDefault="00F43042" w:rsidP="00B92885"/>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3F3E1763" w14:textId="2A60B9E2" w:rsidR="00B92885" w:rsidRPr="00412E59" w:rsidRDefault="009B78DC" w:rsidP="008C76DA">
      <w:pPr>
        <w:pStyle w:val="Paragrafoelenco"/>
        <w:numPr>
          <w:ilvl w:val="0"/>
          <w:numId w:val="41"/>
        </w:numPr>
        <w:ind w:right="851"/>
        <w:jc w:val="both"/>
        <w:rPr>
          <w:lang w:val="en-US"/>
        </w:rPr>
      </w:pPr>
      <w:permStart w:id="347949177" w:edGrp="everyone"/>
      <w:r w:rsidRPr="008C76DA">
        <w:rPr>
          <w:rFonts w:ascii="Garamond" w:eastAsia="Calibri" w:hAnsi="Garamond"/>
          <w:sz w:val="24"/>
          <w:lang w:eastAsia="en-US"/>
        </w:rPr>
        <w:t xml:space="preserve">If the proportion referred to in </w:t>
      </w:r>
      <w:r w:rsidR="00AE601A" w:rsidRPr="008C76DA">
        <w:rPr>
          <w:rFonts w:ascii="Garamond" w:eastAsia="Calibri" w:hAnsi="Garamond"/>
          <w:sz w:val="24"/>
          <w:lang w:eastAsia="en-US"/>
        </w:rPr>
        <w:t xml:space="preserve">question no. </w:t>
      </w:r>
      <w:r w:rsidRPr="008C76DA">
        <w:rPr>
          <w:rFonts w:ascii="Garamond" w:eastAsia="Calibri" w:hAnsi="Garamond"/>
          <w:sz w:val="24"/>
          <w:lang w:eastAsia="en-US"/>
        </w:rPr>
        <w:t xml:space="preserve">2 is revised, </w:t>
      </w:r>
      <w:r w:rsidR="001E48A7" w:rsidRPr="008C76DA">
        <w:rPr>
          <w:rFonts w:ascii="Garamond" w:eastAsia="Calibri" w:hAnsi="Garamond"/>
          <w:sz w:val="24"/>
          <w:lang w:eastAsia="en-US"/>
        </w:rPr>
        <w:t xml:space="preserve">it may potentially be considered reasonable to preserve </w:t>
      </w:r>
      <w:r w:rsidRPr="008C76DA">
        <w:rPr>
          <w:rFonts w:ascii="Garamond" w:eastAsia="Calibri" w:hAnsi="Garamond"/>
          <w:sz w:val="24"/>
          <w:lang w:eastAsia="en-US"/>
        </w:rPr>
        <w:t>this proportion</w:t>
      </w:r>
      <w:r w:rsidR="00970F63" w:rsidRPr="008C76DA">
        <w:rPr>
          <w:rFonts w:ascii="Garamond" w:eastAsia="Calibri" w:hAnsi="Garamond"/>
          <w:sz w:val="24"/>
          <w:lang w:eastAsia="en-US"/>
        </w:rPr>
        <w:t>.</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5DCA02E0" w14:textId="6A8166CA" w:rsidR="00B92885" w:rsidRPr="00412E59" w:rsidRDefault="00AE601A" w:rsidP="00B92885">
      <w:pPr>
        <w:rPr>
          <w:lang w:val="en-US"/>
        </w:rPr>
      </w:pPr>
      <w:permStart w:id="351877901" w:edGrp="everyone"/>
      <w:r w:rsidRPr="008C76DA">
        <w:rPr>
          <w:rFonts w:ascii="Garamond" w:eastAsia="Calibri" w:hAnsi="Garamond"/>
          <w:sz w:val="24"/>
          <w:lang w:eastAsia="en-US"/>
        </w:rPr>
        <w:t xml:space="preserve">Without prejudice to what was specified </w:t>
      </w:r>
      <w:r w:rsidR="00446A3E" w:rsidRPr="008C76DA">
        <w:rPr>
          <w:rFonts w:ascii="Garamond" w:eastAsia="Calibri" w:hAnsi="Garamond"/>
          <w:sz w:val="24"/>
          <w:lang w:eastAsia="en-US"/>
        </w:rPr>
        <w:t xml:space="preserve">under </w:t>
      </w:r>
      <w:r w:rsidRPr="008C76DA">
        <w:rPr>
          <w:rFonts w:ascii="Garamond" w:eastAsia="Calibri" w:hAnsi="Garamond"/>
          <w:sz w:val="24"/>
          <w:lang w:eastAsia="en-US"/>
        </w:rPr>
        <w:t xml:space="preserve">question no. 1, we believe </w:t>
      </w:r>
      <w:r w:rsidR="0012718B" w:rsidRPr="008C76DA">
        <w:rPr>
          <w:rFonts w:ascii="Garamond" w:eastAsia="Calibri" w:hAnsi="Garamond"/>
          <w:sz w:val="24"/>
          <w:lang w:eastAsia="en-US"/>
        </w:rPr>
        <w:t xml:space="preserve">we can agree with </w:t>
      </w:r>
      <w:r w:rsidRPr="008C76DA">
        <w:rPr>
          <w:rFonts w:ascii="Garamond" w:eastAsia="Calibri" w:hAnsi="Garamond"/>
          <w:sz w:val="24"/>
          <w:lang w:eastAsia="en-US"/>
        </w:rPr>
        <w:t xml:space="preserve">the proposed mechanism, provided that – let </w:t>
      </w:r>
      <w:r w:rsidR="001E48A7" w:rsidRPr="008C76DA">
        <w:rPr>
          <w:rFonts w:ascii="Garamond" w:eastAsia="Calibri" w:hAnsi="Garamond"/>
          <w:sz w:val="24"/>
          <w:lang w:eastAsia="en-US"/>
        </w:rPr>
        <w:t>it</w:t>
      </w:r>
      <w:r w:rsidRPr="008C76DA">
        <w:rPr>
          <w:rFonts w:ascii="Garamond" w:eastAsia="Calibri" w:hAnsi="Garamond"/>
          <w:sz w:val="24"/>
          <w:lang w:eastAsia="en-US"/>
        </w:rPr>
        <w:t xml:space="preserve"> be reiterated – it applie</w:t>
      </w:r>
      <w:r w:rsidR="001E48A7" w:rsidRPr="008C76DA">
        <w:rPr>
          <w:rFonts w:ascii="Garamond" w:eastAsia="Calibri" w:hAnsi="Garamond"/>
          <w:sz w:val="24"/>
          <w:lang w:eastAsia="en-US"/>
        </w:rPr>
        <w:t>s</w:t>
      </w:r>
      <w:r w:rsidRPr="008C76DA">
        <w:rPr>
          <w:rFonts w:ascii="Garamond" w:eastAsia="Calibri" w:hAnsi="Garamond"/>
          <w:sz w:val="24"/>
          <w:lang w:eastAsia="en-US"/>
        </w:rPr>
        <w:t xml:space="preserve"> not only to financial products having ESG-related </w:t>
      </w:r>
      <w:r w:rsidR="0012718B" w:rsidRPr="008C76DA">
        <w:rPr>
          <w:rFonts w:ascii="Garamond" w:eastAsia="Calibri" w:hAnsi="Garamond"/>
          <w:sz w:val="24"/>
          <w:lang w:eastAsia="en-US"/>
        </w:rPr>
        <w:t>terms</w:t>
      </w:r>
      <w:r w:rsidRPr="008C76DA">
        <w:rPr>
          <w:rFonts w:ascii="Garamond" w:eastAsia="Calibri" w:hAnsi="Garamond"/>
          <w:sz w:val="24"/>
          <w:lang w:eastAsia="en-US"/>
        </w:rPr>
        <w:t xml:space="preserve"> in their names, but to all Article 8 and </w:t>
      </w:r>
      <w:r w:rsidR="008C7ECA" w:rsidRPr="008C76DA">
        <w:rPr>
          <w:rFonts w:ascii="Garamond" w:eastAsia="Calibri" w:hAnsi="Garamond"/>
          <w:sz w:val="24"/>
          <w:lang w:eastAsia="en-US"/>
        </w:rPr>
        <w:t xml:space="preserve">Article </w:t>
      </w:r>
      <w:r w:rsidRPr="008C76DA">
        <w:rPr>
          <w:rFonts w:ascii="Garamond" w:eastAsia="Calibri" w:hAnsi="Garamond"/>
          <w:sz w:val="24"/>
          <w:lang w:eastAsia="en-US"/>
        </w:rPr>
        <w:t>8 p</w:t>
      </w:r>
      <w:r w:rsidR="0012718B" w:rsidRPr="008C76DA">
        <w:rPr>
          <w:rFonts w:ascii="Garamond" w:eastAsia="Calibri" w:hAnsi="Garamond"/>
          <w:sz w:val="24"/>
          <w:lang w:eastAsia="en-US"/>
        </w:rPr>
        <w:t>l</w:t>
      </w:r>
      <w:r w:rsidRPr="008C76DA">
        <w:rPr>
          <w:rFonts w:ascii="Garamond" w:eastAsia="Calibri" w:hAnsi="Garamond"/>
          <w:sz w:val="24"/>
          <w:lang w:eastAsia="en-US"/>
        </w:rPr>
        <w:t>us financial products</w:t>
      </w:r>
      <w:r>
        <w:t>.</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29ABEB43" w14:textId="4803A57D" w:rsidR="00B92885" w:rsidRPr="008C76DA" w:rsidRDefault="00C716F1" w:rsidP="00B92885">
      <w:pPr>
        <w:rPr>
          <w:rFonts w:ascii="Garamond" w:eastAsia="Calibri" w:hAnsi="Garamond"/>
          <w:sz w:val="24"/>
          <w:lang w:eastAsia="en-US"/>
        </w:rPr>
      </w:pPr>
      <w:permStart w:id="1539323392" w:edGrp="everyone"/>
      <w:r w:rsidRPr="008C76DA">
        <w:rPr>
          <w:rFonts w:ascii="Garamond" w:eastAsia="Calibri" w:hAnsi="Garamond"/>
          <w:sz w:val="24"/>
          <w:lang w:eastAsia="en-US"/>
        </w:rPr>
        <w:t>See answer to question no. 4.</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7C9157FD" w14:textId="59C0F51A" w:rsidR="00B92885" w:rsidRPr="008C76DA" w:rsidRDefault="00AE601A" w:rsidP="008C76DA">
      <w:pPr>
        <w:jc w:val="both"/>
        <w:rPr>
          <w:rFonts w:ascii="Garamond" w:eastAsia="Calibri" w:hAnsi="Garamond"/>
          <w:sz w:val="24"/>
          <w:lang w:eastAsia="en-US"/>
        </w:rPr>
      </w:pPr>
      <w:permStart w:id="175976681" w:edGrp="everyone"/>
      <w:r w:rsidRPr="008C76DA">
        <w:rPr>
          <w:rFonts w:ascii="Garamond" w:eastAsia="Calibri" w:hAnsi="Garamond"/>
          <w:sz w:val="24"/>
          <w:lang w:eastAsia="en-US"/>
        </w:rPr>
        <w:t xml:space="preserve">Yes, we agree that the total portfolio of an </w:t>
      </w:r>
      <w:proofErr w:type="gramStart"/>
      <w:r w:rsidRPr="008C76DA">
        <w:rPr>
          <w:rFonts w:ascii="Garamond" w:eastAsia="Calibri" w:hAnsi="Garamond"/>
          <w:sz w:val="24"/>
          <w:lang w:eastAsia="en-US"/>
        </w:rPr>
        <w:t>Article</w:t>
      </w:r>
      <w:proofErr w:type="gramEnd"/>
      <w:r w:rsidRPr="008C76DA">
        <w:rPr>
          <w:rFonts w:ascii="Garamond" w:eastAsia="Calibri" w:hAnsi="Garamond"/>
          <w:sz w:val="24"/>
          <w:lang w:eastAsia="en-US"/>
        </w:rPr>
        <w:t xml:space="preserve"> 8 financial product, e</w:t>
      </w:r>
      <w:r w:rsidR="000513BC" w:rsidRPr="008C76DA">
        <w:rPr>
          <w:rFonts w:ascii="Garamond" w:eastAsia="Calibri" w:hAnsi="Garamond"/>
          <w:sz w:val="24"/>
          <w:lang w:eastAsia="en-US"/>
        </w:rPr>
        <w:t>xcluding</w:t>
      </w:r>
      <w:r w:rsidRPr="008C76DA">
        <w:rPr>
          <w:rFonts w:ascii="Garamond" w:eastAsia="Calibri" w:hAnsi="Garamond"/>
          <w:sz w:val="24"/>
          <w:lang w:eastAsia="en-US"/>
        </w:rPr>
        <w:t xml:space="preserve"> </w:t>
      </w:r>
      <w:r w:rsidR="000513BC" w:rsidRPr="008C76DA">
        <w:rPr>
          <w:rFonts w:ascii="Garamond" w:eastAsia="Calibri" w:hAnsi="Garamond"/>
          <w:sz w:val="24"/>
          <w:lang w:eastAsia="en-US"/>
        </w:rPr>
        <w:t>liquidity an</w:t>
      </w:r>
      <w:r w:rsidRPr="008C76DA">
        <w:rPr>
          <w:rFonts w:ascii="Garamond" w:eastAsia="Calibri" w:hAnsi="Garamond"/>
          <w:sz w:val="24"/>
          <w:lang w:eastAsia="en-US"/>
        </w:rPr>
        <w:t>d hedging, must meet minimum ESG safeguards, such as being subject to negative screening, i.e., screening based on exclusion</w:t>
      </w:r>
      <w:r w:rsidR="003B6425" w:rsidRPr="008C76DA">
        <w:rPr>
          <w:rFonts w:ascii="Garamond" w:eastAsia="Calibri" w:hAnsi="Garamond"/>
          <w:sz w:val="24"/>
          <w:lang w:eastAsia="en-US"/>
        </w:rPr>
        <w:t xml:space="preserve"> criteria</w:t>
      </w:r>
      <w:r w:rsidRPr="008C76DA">
        <w:rPr>
          <w:rFonts w:ascii="Garamond" w:eastAsia="Calibri" w:hAnsi="Garamond"/>
          <w:sz w:val="24"/>
          <w:lang w:eastAsia="en-US"/>
        </w:rPr>
        <w:t xml:space="preserve">. However, </w:t>
      </w:r>
      <w:r w:rsidR="00547675" w:rsidRPr="005E683C">
        <w:rPr>
          <w:rFonts w:ascii="Garamond" w:eastAsia="Calibri" w:hAnsi="Garamond"/>
          <w:sz w:val="24"/>
          <w:lang w:eastAsia="en-US"/>
        </w:rPr>
        <w:t>while we regard such a reference to "</w:t>
      </w:r>
      <w:r w:rsidR="00547675" w:rsidRPr="005E683C">
        <w:rPr>
          <w:rFonts w:ascii="Garamond" w:eastAsia="Calibri" w:hAnsi="Garamond"/>
          <w:i/>
          <w:iCs/>
          <w:sz w:val="24"/>
          <w:lang w:eastAsia="en-US"/>
        </w:rPr>
        <w:t>Exclusions for benchmark indices</w:t>
      </w:r>
      <w:r w:rsidR="00547675" w:rsidRPr="005E683C">
        <w:rPr>
          <w:rFonts w:ascii="Garamond" w:eastAsia="Calibri" w:hAnsi="Garamond"/>
          <w:sz w:val="24"/>
          <w:lang w:eastAsia="en-US"/>
        </w:rPr>
        <w:t xml:space="preserve">" as more than reasonable, </w:t>
      </w:r>
      <w:r w:rsidRPr="005E683C">
        <w:rPr>
          <w:rFonts w:ascii="Garamond" w:eastAsia="Calibri" w:hAnsi="Garamond"/>
          <w:sz w:val="24"/>
          <w:lang w:eastAsia="en-US"/>
        </w:rPr>
        <w:t xml:space="preserve">we </w:t>
      </w:r>
      <w:r w:rsidR="000513BC" w:rsidRPr="005E683C">
        <w:rPr>
          <w:rFonts w:ascii="Garamond" w:eastAsia="Calibri" w:hAnsi="Garamond"/>
          <w:sz w:val="24"/>
          <w:lang w:eastAsia="en-US"/>
        </w:rPr>
        <w:t xml:space="preserve">believe </w:t>
      </w:r>
      <w:r w:rsidR="00115DAA" w:rsidRPr="005E683C">
        <w:rPr>
          <w:rFonts w:ascii="Garamond" w:eastAsia="Calibri" w:hAnsi="Garamond"/>
          <w:sz w:val="24"/>
          <w:lang w:eastAsia="en-US"/>
        </w:rPr>
        <w:t xml:space="preserve">preferable to leave discretion to the intermediaries in identifying the </w:t>
      </w:r>
      <w:r w:rsidR="00115DAA" w:rsidRPr="005E683C">
        <w:rPr>
          <w:rFonts w:ascii="Garamond" w:eastAsia="Calibri" w:hAnsi="Garamond"/>
          <w:i/>
          <w:iCs/>
          <w:sz w:val="24"/>
          <w:lang w:eastAsia="en-US"/>
        </w:rPr>
        <w:t>good governance</w:t>
      </w:r>
      <w:r w:rsidR="00115DAA" w:rsidRPr="005E683C">
        <w:rPr>
          <w:rFonts w:ascii="Garamond" w:eastAsia="Calibri" w:hAnsi="Garamond"/>
          <w:sz w:val="24"/>
          <w:lang w:eastAsia="en-US"/>
        </w:rPr>
        <w:t xml:space="preserve"> practices deemed relevant, notwithstanding however that ancillary liquidity and the use of hedging instruments should be excluded from the minimum ESG safeguard perimeter.</w:t>
      </w:r>
    </w:p>
    <w:permEnd w:id="175976681"/>
    <w:p w14:paraId="6EE97467" w14:textId="77777777"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lastRenderedPageBreak/>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33D374FB" w14:textId="024466BF" w:rsidR="00B92885" w:rsidRPr="008C76DA" w:rsidRDefault="00AE601A" w:rsidP="008C76DA">
      <w:pPr>
        <w:jc w:val="both"/>
        <w:rPr>
          <w:rFonts w:ascii="Garamond" w:eastAsia="Calibri" w:hAnsi="Garamond"/>
          <w:sz w:val="24"/>
          <w:lang w:eastAsia="en-US"/>
        </w:rPr>
      </w:pPr>
      <w:permStart w:id="576722602" w:edGrp="everyone"/>
      <w:r w:rsidRPr="008C76DA">
        <w:rPr>
          <w:rFonts w:ascii="Garamond" w:eastAsia="Calibri" w:hAnsi="Garamond"/>
          <w:sz w:val="24"/>
          <w:lang w:eastAsia="en-US"/>
        </w:rPr>
        <w:t xml:space="preserve">In our </w:t>
      </w:r>
      <w:r w:rsidR="00D97861" w:rsidRPr="008C76DA">
        <w:rPr>
          <w:rFonts w:ascii="Garamond" w:eastAsia="Calibri" w:hAnsi="Garamond"/>
          <w:sz w:val="24"/>
          <w:lang w:eastAsia="en-US"/>
        </w:rPr>
        <w:t>opinion</w:t>
      </w:r>
      <w:r w:rsidRPr="008C76DA">
        <w:rPr>
          <w:rFonts w:ascii="Garamond" w:eastAsia="Calibri" w:hAnsi="Garamond"/>
          <w:sz w:val="24"/>
          <w:lang w:eastAsia="en-US"/>
        </w:rPr>
        <w:t xml:space="preserve">, if they are </w:t>
      </w:r>
      <w:r w:rsidR="003B6425" w:rsidRPr="008C76DA">
        <w:rPr>
          <w:rFonts w:ascii="Garamond" w:eastAsia="Calibri" w:hAnsi="Garamond"/>
          <w:sz w:val="24"/>
          <w:lang w:eastAsia="en-US"/>
        </w:rPr>
        <w:t xml:space="preserve">used </w:t>
      </w:r>
      <w:r w:rsidRPr="008C76DA">
        <w:rPr>
          <w:rFonts w:ascii="Garamond" w:eastAsia="Calibri" w:hAnsi="Garamond"/>
          <w:sz w:val="24"/>
          <w:lang w:eastAsia="en-US"/>
        </w:rPr>
        <w:t>for hedging purposes</w:t>
      </w:r>
      <w:r w:rsidR="000513BC" w:rsidRPr="008C76DA">
        <w:rPr>
          <w:rFonts w:ascii="Garamond" w:eastAsia="Calibri" w:hAnsi="Garamond"/>
          <w:sz w:val="24"/>
          <w:lang w:eastAsia="en-US"/>
        </w:rPr>
        <w:t>,</w:t>
      </w:r>
      <w:r w:rsidRPr="008C76DA">
        <w:rPr>
          <w:rFonts w:ascii="Garamond" w:eastAsia="Calibri" w:hAnsi="Garamond"/>
          <w:sz w:val="24"/>
          <w:lang w:eastAsia="en-US"/>
        </w:rPr>
        <w:t xml:space="preserve"> they should be excluded from the </w:t>
      </w:r>
      <w:r w:rsidR="008C76DA">
        <w:rPr>
          <w:rFonts w:ascii="Garamond" w:eastAsia="Calibri" w:hAnsi="Garamond"/>
          <w:sz w:val="24"/>
          <w:lang w:eastAsia="en-US"/>
        </w:rPr>
        <w:t>ESG AUM</w:t>
      </w:r>
      <w:r w:rsidRPr="008C76DA">
        <w:rPr>
          <w:rFonts w:ascii="Garamond" w:eastAsia="Calibri" w:hAnsi="Garamond"/>
          <w:sz w:val="24"/>
          <w:lang w:eastAsia="en-US"/>
        </w:rPr>
        <w:t xml:space="preserve"> </w:t>
      </w:r>
      <w:r w:rsidR="003B6425" w:rsidRPr="008C76DA">
        <w:rPr>
          <w:rFonts w:ascii="Garamond" w:eastAsia="Calibri" w:hAnsi="Garamond"/>
          <w:sz w:val="24"/>
          <w:lang w:eastAsia="en-US"/>
        </w:rPr>
        <w:t>with a view to c</w:t>
      </w:r>
      <w:r w:rsidRPr="008C76DA">
        <w:rPr>
          <w:rFonts w:ascii="Garamond" w:eastAsia="Calibri" w:hAnsi="Garamond"/>
          <w:sz w:val="24"/>
          <w:lang w:eastAsia="en-US"/>
        </w:rPr>
        <w:t xml:space="preserve">ompliance with proportions for </w:t>
      </w:r>
      <w:r w:rsidR="00D97861" w:rsidRPr="008C76DA">
        <w:rPr>
          <w:rFonts w:ascii="Garamond" w:eastAsia="Calibri" w:hAnsi="Garamond"/>
          <w:sz w:val="24"/>
          <w:lang w:eastAsia="en-US"/>
        </w:rPr>
        <w:t>ESG</w:t>
      </w:r>
      <w:r w:rsidRPr="008C76DA">
        <w:rPr>
          <w:rFonts w:ascii="Garamond" w:eastAsia="Calibri" w:hAnsi="Garamond"/>
          <w:sz w:val="24"/>
          <w:lang w:eastAsia="en-US"/>
        </w:rPr>
        <w:t xml:space="preserve"> purposes</w:t>
      </w:r>
      <w:r w:rsidR="00D97861" w:rsidRPr="008C76DA">
        <w:rPr>
          <w:rFonts w:ascii="Garamond" w:eastAsia="Calibri" w:hAnsi="Garamond"/>
          <w:sz w:val="24"/>
          <w:lang w:eastAsia="en-US"/>
        </w:rPr>
        <w:t>.</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77777777" w:rsidR="00B92885" w:rsidRDefault="00B92885" w:rsidP="00B92885">
      <w:permStart w:id="1071974531" w:edGrp="everyone"/>
      <w:r>
        <w:t>TYPE YOUR TEXT HERE</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77777777" w:rsidR="00B92885" w:rsidRDefault="00B92885" w:rsidP="00B92885">
      <w:permStart w:id="1162834929" w:edGrp="everyone"/>
      <w:r>
        <w:t>TYPE YOUR TEXT HERE</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2BABA8E0" w14:textId="384EE41B" w:rsidR="00B92885" w:rsidRPr="008C76DA" w:rsidRDefault="005626E7" w:rsidP="008C76DA">
      <w:pPr>
        <w:jc w:val="both"/>
        <w:rPr>
          <w:rFonts w:ascii="Garamond" w:eastAsia="Calibri" w:hAnsi="Garamond"/>
          <w:sz w:val="24"/>
          <w:lang w:eastAsia="en-US"/>
        </w:rPr>
      </w:pPr>
      <w:permStart w:id="650455330" w:edGrp="everyone"/>
      <w:r w:rsidRPr="008C76DA">
        <w:rPr>
          <w:rFonts w:ascii="Garamond" w:eastAsia="Calibri" w:hAnsi="Garamond"/>
          <w:sz w:val="24"/>
          <w:lang w:eastAsia="en-US"/>
        </w:rPr>
        <w:t xml:space="preserve">We agree </w:t>
      </w:r>
      <w:r w:rsidR="009E78B3" w:rsidRPr="008C76DA">
        <w:rPr>
          <w:rFonts w:ascii="Garamond" w:eastAsia="Calibri" w:hAnsi="Garamond"/>
          <w:sz w:val="24"/>
          <w:lang w:eastAsia="en-US"/>
        </w:rPr>
        <w:t>that</w:t>
      </w:r>
      <w:r w:rsidRPr="008C76DA">
        <w:rPr>
          <w:rFonts w:ascii="Garamond" w:eastAsia="Calibri" w:hAnsi="Garamond"/>
          <w:sz w:val="24"/>
          <w:lang w:eastAsia="en-US"/>
        </w:rPr>
        <w:t xml:space="preserve">, for the purposes </w:t>
      </w:r>
      <w:r w:rsidR="002776F4" w:rsidRPr="008C76DA">
        <w:rPr>
          <w:rFonts w:ascii="Garamond" w:eastAsia="Calibri" w:hAnsi="Garamond"/>
          <w:sz w:val="24"/>
          <w:lang w:eastAsia="en-US"/>
        </w:rPr>
        <w:t>underlined</w:t>
      </w:r>
      <w:r w:rsidRPr="008C76DA">
        <w:rPr>
          <w:rFonts w:ascii="Garamond" w:eastAsia="Calibri" w:hAnsi="Garamond"/>
          <w:sz w:val="24"/>
          <w:lang w:eastAsia="en-US"/>
        </w:rPr>
        <w:t xml:space="preserve"> in </w:t>
      </w:r>
      <w:r w:rsidR="002776F4" w:rsidRPr="008C76DA">
        <w:rPr>
          <w:rFonts w:ascii="Garamond" w:eastAsia="Calibri" w:hAnsi="Garamond"/>
          <w:sz w:val="24"/>
          <w:lang w:eastAsia="en-US"/>
        </w:rPr>
        <w:t xml:space="preserve">our introductory </w:t>
      </w:r>
      <w:r w:rsidR="009E78B3" w:rsidRPr="008C76DA">
        <w:rPr>
          <w:rFonts w:ascii="Garamond" w:eastAsia="Calibri" w:hAnsi="Garamond"/>
          <w:sz w:val="24"/>
          <w:lang w:eastAsia="en-US"/>
        </w:rPr>
        <w:t>comments</w:t>
      </w:r>
      <w:r w:rsidRPr="008C76DA">
        <w:rPr>
          <w:rFonts w:ascii="Garamond" w:eastAsia="Calibri" w:hAnsi="Garamond"/>
          <w:sz w:val="24"/>
          <w:lang w:eastAsia="en-US"/>
        </w:rPr>
        <w:t>, i.e., the need to avoid further categori</w:t>
      </w:r>
      <w:r w:rsidR="002776F4" w:rsidRPr="008C76DA">
        <w:rPr>
          <w:rFonts w:ascii="Garamond" w:eastAsia="Calibri" w:hAnsi="Garamond"/>
          <w:sz w:val="24"/>
          <w:lang w:eastAsia="en-US"/>
        </w:rPr>
        <w:t>s</w:t>
      </w:r>
      <w:r w:rsidRPr="008C76DA">
        <w:rPr>
          <w:rFonts w:ascii="Garamond" w:eastAsia="Calibri" w:hAnsi="Garamond"/>
          <w:sz w:val="24"/>
          <w:lang w:eastAsia="en-US"/>
        </w:rPr>
        <w:t xml:space="preserve">ations and complexity in the already complex landscape of </w:t>
      </w:r>
      <w:r w:rsidR="00D97861" w:rsidRPr="008C76DA">
        <w:rPr>
          <w:rFonts w:ascii="Garamond" w:eastAsia="Calibri" w:hAnsi="Garamond"/>
          <w:sz w:val="24"/>
          <w:lang w:eastAsia="en-US"/>
        </w:rPr>
        <w:t>ESG</w:t>
      </w:r>
      <w:r w:rsidRPr="008C76DA">
        <w:rPr>
          <w:rFonts w:ascii="Garamond" w:eastAsia="Calibri" w:hAnsi="Garamond"/>
          <w:sz w:val="24"/>
          <w:lang w:eastAsia="en-US"/>
        </w:rPr>
        <w:t xml:space="preserve"> rules</w:t>
      </w:r>
      <w:r w:rsidR="008919FF" w:rsidRPr="008C76DA">
        <w:rPr>
          <w:rFonts w:ascii="Garamond" w:eastAsia="Calibri" w:hAnsi="Garamond"/>
          <w:sz w:val="24"/>
          <w:lang w:eastAsia="en-US"/>
        </w:rPr>
        <w:t>, the same approach should be maintained also for funds using a reference index as benchmark</w:t>
      </w:r>
      <w:r w:rsidR="00D97861" w:rsidRPr="008C76DA">
        <w:rPr>
          <w:rFonts w:ascii="Garamond" w:eastAsia="Calibri" w:hAnsi="Garamond"/>
          <w:sz w:val="24"/>
          <w:lang w:eastAsia="en-US"/>
        </w:rPr>
        <w:t>.</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08901A8C" w14:textId="77777777" w:rsidR="00B92885" w:rsidRDefault="00B92885" w:rsidP="00B92885">
      <w:permStart w:id="1876589445" w:edGrp="everyone"/>
      <w:r>
        <w:t>TYPE YOUR TEXT HERE</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09441A21" w14:textId="48EE3056" w:rsidR="00B92885" w:rsidRPr="00412E59" w:rsidRDefault="00D97861" w:rsidP="00B92885">
      <w:pPr>
        <w:rPr>
          <w:lang w:val="en-US"/>
        </w:rPr>
      </w:pPr>
      <w:permStart w:id="1992309739" w:edGrp="everyone"/>
      <w:r w:rsidRPr="008C76DA">
        <w:rPr>
          <w:rFonts w:ascii="Garamond" w:eastAsia="Calibri" w:hAnsi="Garamond"/>
          <w:sz w:val="24"/>
          <w:lang w:eastAsia="en-US"/>
        </w:rPr>
        <w:t xml:space="preserve">No, </w:t>
      </w:r>
      <w:r w:rsidR="005626E7" w:rsidRPr="008C76DA">
        <w:rPr>
          <w:rFonts w:ascii="Garamond" w:eastAsia="Calibri" w:hAnsi="Garamond"/>
          <w:sz w:val="24"/>
          <w:lang w:eastAsia="en-US"/>
        </w:rPr>
        <w:t>as already mentioned</w:t>
      </w:r>
      <w:r w:rsidR="008919FF" w:rsidRPr="008C76DA">
        <w:rPr>
          <w:rFonts w:ascii="Garamond" w:eastAsia="Calibri" w:hAnsi="Garamond"/>
          <w:sz w:val="24"/>
          <w:lang w:eastAsia="en-US"/>
        </w:rPr>
        <w:t>,</w:t>
      </w:r>
      <w:r w:rsidR="005626E7" w:rsidRPr="008C76DA">
        <w:rPr>
          <w:rFonts w:ascii="Garamond" w:eastAsia="Calibri" w:hAnsi="Garamond"/>
          <w:sz w:val="24"/>
          <w:lang w:eastAsia="en-US"/>
        </w:rPr>
        <w:t xml:space="preserve"> we </w:t>
      </w:r>
      <w:r w:rsidR="002776F4" w:rsidRPr="008C76DA">
        <w:rPr>
          <w:rFonts w:ascii="Garamond" w:eastAsia="Calibri" w:hAnsi="Garamond"/>
          <w:sz w:val="24"/>
          <w:lang w:eastAsia="en-US"/>
        </w:rPr>
        <w:t xml:space="preserve">believe </w:t>
      </w:r>
      <w:r w:rsidR="005626E7" w:rsidRPr="008C76DA">
        <w:rPr>
          <w:rFonts w:ascii="Garamond" w:eastAsia="Calibri" w:hAnsi="Garamond"/>
          <w:sz w:val="24"/>
          <w:lang w:eastAsia="en-US"/>
        </w:rPr>
        <w:t xml:space="preserve">that the minimum proportions that you intend to introduce should be linked directly to the notion of Article 8 and Article </w:t>
      </w:r>
      <w:r w:rsidRPr="008C76DA">
        <w:rPr>
          <w:rFonts w:ascii="Garamond" w:eastAsia="Calibri" w:hAnsi="Garamond"/>
          <w:sz w:val="24"/>
          <w:lang w:eastAsia="en-US"/>
        </w:rPr>
        <w:t>8 plus</w:t>
      </w:r>
      <w:r w:rsidR="005626E7" w:rsidRPr="008C76DA">
        <w:rPr>
          <w:rFonts w:ascii="Garamond" w:eastAsia="Calibri" w:hAnsi="Garamond"/>
          <w:sz w:val="24"/>
          <w:lang w:eastAsia="en-US"/>
        </w:rPr>
        <w:t xml:space="preserve"> financial products</w:t>
      </w:r>
      <w:r w:rsidRPr="008C76DA">
        <w:rPr>
          <w:rFonts w:ascii="Garamond" w:eastAsia="Calibri" w:hAnsi="Garamond"/>
          <w:sz w:val="24"/>
          <w:lang w:eastAsia="en-US"/>
        </w:rPr>
        <w:t xml:space="preserve">. </w:t>
      </w:r>
      <w:r w:rsidR="005626E7" w:rsidRPr="008C76DA">
        <w:rPr>
          <w:rFonts w:ascii="Garamond" w:eastAsia="Calibri" w:hAnsi="Garamond"/>
          <w:sz w:val="24"/>
          <w:lang w:eastAsia="en-US"/>
        </w:rPr>
        <w:t xml:space="preserve">For the reasons set forth above, we </w:t>
      </w:r>
      <w:r w:rsidR="00C27B72" w:rsidRPr="008C76DA">
        <w:rPr>
          <w:rFonts w:ascii="Garamond" w:eastAsia="Calibri" w:hAnsi="Garamond"/>
          <w:sz w:val="24"/>
          <w:lang w:eastAsia="en-US"/>
        </w:rPr>
        <w:t xml:space="preserve">do not recommend </w:t>
      </w:r>
      <w:r w:rsidR="005626E7" w:rsidRPr="008C76DA">
        <w:rPr>
          <w:rFonts w:ascii="Garamond" w:eastAsia="Calibri" w:hAnsi="Garamond"/>
          <w:sz w:val="24"/>
          <w:lang w:eastAsia="en-US"/>
        </w:rPr>
        <w:t>introducing further categorisations</w:t>
      </w:r>
      <w:r w:rsidRPr="00412E59">
        <w:rPr>
          <w:lang w:val="en-US"/>
        </w:rPr>
        <w:t>.</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61188F70" w14:textId="372F54E7" w:rsidR="00B92885" w:rsidRPr="008C76DA" w:rsidRDefault="005626E7" w:rsidP="00B92885">
      <w:pPr>
        <w:rPr>
          <w:rFonts w:ascii="Garamond" w:eastAsia="Calibri" w:hAnsi="Garamond"/>
          <w:sz w:val="24"/>
          <w:lang w:eastAsia="en-US"/>
        </w:rPr>
      </w:pPr>
      <w:permStart w:id="1423966990" w:edGrp="everyone"/>
      <w:r w:rsidRPr="008C76DA">
        <w:rPr>
          <w:rFonts w:ascii="Garamond" w:eastAsia="Calibri" w:hAnsi="Garamond"/>
          <w:sz w:val="24"/>
          <w:lang w:eastAsia="en-US"/>
        </w:rPr>
        <w:lastRenderedPageBreak/>
        <w:t xml:space="preserve">As already clarified in other answers, we suggest </w:t>
      </w:r>
      <w:r w:rsidR="00C27B72" w:rsidRPr="008C76DA">
        <w:rPr>
          <w:rFonts w:ascii="Garamond" w:eastAsia="Calibri" w:hAnsi="Garamond"/>
          <w:sz w:val="24"/>
          <w:lang w:eastAsia="en-US"/>
        </w:rPr>
        <w:t xml:space="preserve">that </w:t>
      </w:r>
      <w:r w:rsidRPr="008C76DA">
        <w:rPr>
          <w:rFonts w:ascii="Garamond" w:eastAsia="Calibri" w:hAnsi="Garamond"/>
          <w:sz w:val="24"/>
          <w:lang w:eastAsia="en-US"/>
        </w:rPr>
        <w:t>minimum proportion</w:t>
      </w:r>
      <w:r w:rsidR="00C92A0F" w:rsidRPr="008C76DA">
        <w:rPr>
          <w:rFonts w:ascii="Garamond" w:eastAsia="Calibri" w:hAnsi="Garamond"/>
          <w:sz w:val="24"/>
          <w:lang w:eastAsia="en-US"/>
        </w:rPr>
        <w:t>s</w:t>
      </w:r>
      <w:r w:rsidRPr="008C76DA">
        <w:rPr>
          <w:rFonts w:ascii="Garamond" w:eastAsia="Calibri" w:hAnsi="Garamond"/>
          <w:sz w:val="24"/>
          <w:lang w:eastAsia="en-US"/>
        </w:rPr>
        <w:t xml:space="preserve"> </w:t>
      </w:r>
      <w:r w:rsidR="00C27B72" w:rsidRPr="008C76DA">
        <w:rPr>
          <w:rFonts w:ascii="Garamond" w:eastAsia="Calibri" w:hAnsi="Garamond"/>
          <w:sz w:val="24"/>
          <w:lang w:eastAsia="en-US"/>
        </w:rPr>
        <w:t>should not be linked</w:t>
      </w:r>
      <w:r w:rsidRPr="008C76DA">
        <w:rPr>
          <w:rFonts w:ascii="Garamond" w:eastAsia="Calibri" w:hAnsi="Garamond"/>
          <w:sz w:val="24"/>
          <w:lang w:eastAsia="en-US"/>
        </w:rPr>
        <w:t xml:space="preserve"> to </w:t>
      </w:r>
      <w:r w:rsidR="008919FF" w:rsidRPr="008C76DA">
        <w:rPr>
          <w:rFonts w:ascii="Garamond" w:eastAsia="Calibri" w:hAnsi="Garamond"/>
          <w:sz w:val="24"/>
          <w:lang w:eastAsia="en-US"/>
        </w:rPr>
        <w:t xml:space="preserve">terms used in </w:t>
      </w:r>
      <w:r w:rsidRPr="008C76DA">
        <w:rPr>
          <w:rFonts w:ascii="Garamond" w:eastAsia="Calibri" w:hAnsi="Garamond"/>
          <w:sz w:val="24"/>
          <w:lang w:eastAsia="en-US"/>
        </w:rPr>
        <w:t>the names, but directly to all products qualified as Article 8 or Article 9 products</w:t>
      </w:r>
      <w:r w:rsidR="00C27B72" w:rsidRPr="008C76DA">
        <w:rPr>
          <w:rFonts w:ascii="Garamond" w:eastAsia="Calibri" w:hAnsi="Garamond"/>
          <w:sz w:val="24"/>
          <w:lang w:eastAsia="en-US"/>
        </w:rPr>
        <w:t>,</w:t>
      </w:r>
      <w:r w:rsidRPr="008C76DA">
        <w:rPr>
          <w:rFonts w:ascii="Garamond" w:eastAsia="Calibri" w:hAnsi="Garamond"/>
          <w:sz w:val="24"/>
          <w:lang w:eastAsia="en-US"/>
        </w:rPr>
        <w:t xml:space="preserve"> for the reasons </w:t>
      </w:r>
      <w:r w:rsidR="002776F4" w:rsidRPr="008C76DA">
        <w:rPr>
          <w:rFonts w:ascii="Garamond" w:eastAsia="Calibri" w:hAnsi="Garamond"/>
          <w:sz w:val="24"/>
          <w:lang w:eastAsia="en-US"/>
        </w:rPr>
        <w:t xml:space="preserve">pointed out </w:t>
      </w:r>
      <w:r w:rsidRPr="008C76DA">
        <w:rPr>
          <w:rFonts w:ascii="Garamond" w:eastAsia="Calibri" w:hAnsi="Garamond"/>
          <w:sz w:val="24"/>
          <w:lang w:eastAsia="en-US"/>
        </w:rPr>
        <w:t>abov</w:t>
      </w:r>
      <w:r w:rsidR="00D97861" w:rsidRPr="008C76DA">
        <w:rPr>
          <w:rFonts w:ascii="Garamond" w:eastAsia="Calibri" w:hAnsi="Garamond"/>
          <w:sz w:val="24"/>
          <w:lang w:eastAsia="en-US"/>
        </w:rPr>
        <w:t>e.</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54FC5FAA" w14:textId="24D9FEF4" w:rsidR="00B92885" w:rsidRPr="008C76DA" w:rsidRDefault="005626E7" w:rsidP="008C76DA">
      <w:pPr>
        <w:jc w:val="both"/>
        <w:rPr>
          <w:rFonts w:ascii="Garamond" w:eastAsia="Calibri" w:hAnsi="Garamond"/>
          <w:sz w:val="24"/>
          <w:lang w:eastAsia="en-US"/>
        </w:rPr>
      </w:pPr>
      <w:permStart w:id="1434478937" w:edGrp="everyone"/>
      <w:r w:rsidRPr="008C76DA">
        <w:rPr>
          <w:rFonts w:ascii="Garamond" w:eastAsia="Calibri" w:hAnsi="Garamond"/>
          <w:sz w:val="24"/>
          <w:lang w:eastAsia="en-US"/>
        </w:rPr>
        <w:t xml:space="preserve">As already mentioned, we </w:t>
      </w:r>
      <w:r w:rsidR="002776F4" w:rsidRPr="008C76DA">
        <w:rPr>
          <w:rFonts w:ascii="Garamond" w:eastAsia="Calibri" w:hAnsi="Garamond"/>
          <w:sz w:val="24"/>
          <w:lang w:eastAsia="en-US"/>
        </w:rPr>
        <w:t xml:space="preserve">believe </w:t>
      </w:r>
      <w:r w:rsidRPr="008C76DA">
        <w:rPr>
          <w:rFonts w:ascii="Garamond" w:eastAsia="Calibri" w:hAnsi="Garamond"/>
          <w:sz w:val="24"/>
          <w:lang w:eastAsia="en-US"/>
        </w:rPr>
        <w:t xml:space="preserve">that these minimum proportions should apply to all Article 8 financial products under the </w:t>
      </w:r>
      <w:r w:rsidR="00D97861" w:rsidRPr="008C76DA">
        <w:rPr>
          <w:rFonts w:ascii="Garamond" w:eastAsia="Calibri" w:hAnsi="Garamond"/>
          <w:sz w:val="24"/>
          <w:lang w:eastAsia="en-US"/>
        </w:rPr>
        <w:t xml:space="preserve">SFDR </w:t>
      </w:r>
      <w:r w:rsidRPr="008C76DA">
        <w:rPr>
          <w:rFonts w:ascii="Garamond" w:eastAsia="Calibri" w:hAnsi="Garamond"/>
          <w:sz w:val="24"/>
          <w:lang w:eastAsia="en-US"/>
        </w:rPr>
        <w:t xml:space="preserve">and not only to </w:t>
      </w:r>
      <w:r w:rsidR="00412E59" w:rsidRPr="008C76DA">
        <w:rPr>
          <w:rFonts w:ascii="Garamond" w:eastAsia="Calibri" w:hAnsi="Garamond"/>
          <w:sz w:val="24"/>
          <w:lang w:eastAsia="en-US"/>
        </w:rPr>
        <w:t xml:space="preserve">investment </w:t>
      </w:r>
      <w:r w:rsidRPr="008C76DA">
        <w:rPr>
          <w:rFonts w:ascii="Garamond" w:eastAsia="Calibri" w:hAnsi="Garamond"/>
          <w:sz w:val="24"/>
          <w:lang w:eastAsia="en-US"/>
        </w:rPr>
        <w:t>funds</w:t>
      </w:r>
      <w:r w:rsidR="00D97861" w:rsidRPr="008C76DA">
        <w:rPr>
          <w:rFonts w:ascii="Garamond" w:eastAsia="Calibri" w:hAnsi="Garamond"/>
          <w:sz w:val="24"/>
          <w:lang w:eastAsia="en-US"/>
        </w:rPr>
        <w:t>.</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68ED52F5" w14:textId="59DC5F9F" w:rsidR="00B92885" w:rsidRPr="008C76DA" w:rsidRDefault="005626E7" w:rsidP="008C76DA">
      <w:pPr>
        <w:jc w:val="both"/>
        <w:rPr>
          <w:rFonts w:ascii="Garamond" w:eastAsia="Calibri" w:hAnsi="Garamond"/>
          <w:sz w:val="24"/>
          <w:lang w:eastAsia="en-US"/>
        </w:rPr>
      </w:pPr>
      <w:permStart w:id="489244833" w:edGrp="everyone"/>
      <w:r w:rsidRPr="008C76DA">
        <w:rPr>
          <w:rFonts w:ascii="Garamond" w:eastAsia="Calibri" w:hAnsi="Garamond"/>
          <w:sz w:val="24"/>
          <w:lang w:eastAsia="en-US"/>
        </w:rPr>
        <w:t>Yes, we do</w:t>
      </w:r>
      <w:r w:rsidR="00204C50" w:rsidRPr="008C76DA">
        <w:rPr>
          <w:rFonts w:ascii="Garamond" w:eastAsia="Calibri" w:hAnsi="Garamond"/>
          <w:sz w:val="24"/>
          <w:lang w:eastAsia="en-US"/>
        </w:rPr>
        <w:t>.</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23752B71" w14:textId="516B3982" w:rsidR="00B92885" w:rsidRPr="008C76DA" w:rsidRDefault="00204C50" w:rsidP="008C76DA">
      <w:pPr>
        <w:jc w:val="both"/>
        <w:rPr>
          <w:rFonts w:ascii="Garamond" w:eastAsia="Calibri" w:hAnsi="Garamond"/>
          <w:sz w:val="24"/>
          <w:lang w:eastAsia="en-US"/>
        </w:rPr>
      </w:pPr>
      <w:permStart w:id="1766353355" w:edGrp="everyone"/>
      <w:r w:rsidRPr="008C76DA">
        <w:rPr>
          <w:rFonts w:ascii="Garamond" w:eastAsia="Calibri" w:hAnsi="Garamond"/>
          <w:sz w:val="24"/>
          <w:lang w:eastAsia="en-US"/>
        </w:rPr>
        <w:t>No</w:t>
      </w:r>
      <w:r w:rsidR="005626E7" w:rsidRPr="008C76DA">
        <w:rPr>
          <w:rFonts w:ascii="Garamond" w:eastAsia="Calibri" w:hAnsi="Garamond"/>
          <w:sz w:val="24"/>
          <w:lang w:eastAsia="en-US"/>
        </w:rPr>
        <w:t>, because in that case</w:t>
      </w:r>
      <w:r w:rsidR="00C92A0F" w:rsidRPr="008C76DA">
        <w:rPr>
          <w:rFonts w:ascii="Garamond" w:eastAsia="Calibri" w:hAnsi="Garamond"/>
          <w:sz w:val="24"/>
          <w:lang w:eastAsia="en-US"/>
        </w:rPr>
        <w:t xml:space="preserve"> the su</w:t>
      </w:r>
      <w:r w:rsidR="0005071D" w:rsidRPr="008C76DA">
        <w:rPr>
          <w:rFonts w:ascii="Garamond" w:eastAsia="Calibri" w:hAnsi="Garamond"/>
          <w:sz w:val="24"/>
          <w:lang w:eastAsia="en-US"/>
        </w:rPr>
        <w:t>bscription</w:t>
      </w:r>
      <w:r w:rsidR="005626E7" w:rsidRPr="008C76DA">
        <w:rPr>
          <w:rFonts w:ascii="Garamond" w:eastAsia="Calibri" w:hAnsi="Garamond"/>
          <w:sz w:val="24"/>
          <w:lang w:eastAsia="en-US"/>
        </w:rPr>
        <w:t xml:space="preserve"> </w:t>
      </w:r>
      <w:r w:rsidR="00C92A0F" w:rsidRPr="008C76DA">
        <w:rPr>
          <w:rFonts w:ascii="Garamond" w:eastAsia="Calibri" w:hAnsi="Garamond"/>
          <w:sz w:val="24"/>
          <w:lang w:eastAsia="en-US"/>
        </w:rPr>
        <w:t xml:space="preserve">period has </w:t>
      </w:r>
      <w:r w:rsidR="005626E7" w:rsidRPr="008C76DA">
        <w:rPr>
          <w:rFonts w:ascii="Garamond" w:eastAsia="Calibri" w:hAnsi="Garamond"/>
          <w:sz w:val="24"/>
          <w:lang w:eastAsia="en-US"/>
        </w:rPr>
        <w:t xml:space="preserve">already </w:t>
      </w:r>
      <w:r w:rsidR="002776F4" w:rsidRPr="008C76DA">
        <w:rPr>
          <w:rFonts w:ascii="Garamond" w:eastAsia="Calibri" w:hAnsi="Garamond"/>
          <w:sz w:val="24"/>
          <w:lang w:eastAsia="en-US"/>
        </w:rPr>
        <w:t>terminated</w:t>
      </w:r>
      <w:r w:rsidR="005626E7" w:rsidRPr="008C76DA">
        <w:rPr>
          <w:rFonts w:ascii="Garamond" w:eastAsia="Calibri" w:hAnsi="Garamond"/>
          <w:sz w:val="24"/>
          <w:lang w:eastAsia="en-US"/>
        </w:rPr>
        <w:t xml:space="preserve">, so it seems impossible to </w:t>
      </w:r>
      <w:r w:rsidR="002776F4" w:rsidRPr="008C76DA">
        <w:rPr>
          <w:rFonts w:ascii="Garamond" w:eastAsia="Calibri" w:hAnsi="Garamond"/>
          <w:sz w:val="24"/>
          <w:lang w:eastAsia="en-US"/>
        </w:rPr>
        <w:t xml:space="preserve">consider </w:t>
      </w:r>
      <w:r w:rsidR="005626E7" w:rsidRPr="008C76DA">
        <w:rPr>
          <w:rFonts w:ascii="Garamond" w:eastAsia="Calibri" w:hAnsi="Garamond"/>
          <w:sz w:val="24"/>
          <w:lang w:eastAsia="en-US"/>
        </w:rPr>
        <w:t xml:space="preserve">revising </w:t>
      </w:r>
      <w:r w:rsidR="002776F4" w:rsidRPr="008C76DA">
        <w:rPr>
          <w:rFonts w:ascii="Garamond" w:eastAsia="Calibri" w:hAnsi="Garamond"/>
          <w:sz w:val="24"/>
          <w:lang w:eastAsia="en-US"/>
        </w:rPr>
        <w:t xml:space="preserve">the </w:t>
      </w:r>
      <w:r w:rsidR="005626E7" w:rsidRPr="008C76DA">
        <w:rPr>
          <w:rFonts w:ascii="Garamond" w:eastAsia="Calibri" w:hAnsi="Garamond"/>
          <w:sz w:val="24"/>
          <w:lang w:eastAsia="en-US"/>
        </w:rPr>
        <w:t xml:space="preserve">investment policies and strategies </w:t>
      </w:r>
      <w:r w:rsidR="002776F4" w:rsidRPr="008C76DA">
        <w:rPr>
          <w:rFonts w:ascii="Garamond" w:eastAsia="Calibri" w:hAnsi="Garamond"/>
          <w:sz w:val="24"/>
          <w:lang w:eastAsia="en-US"/>
        </w:rPr>
        <w:t xml:space="preserve">of </w:t>
      </w:r>
      <w:r w:rsidR="005626E7" w:rsidRPr="008C76DA">
        <w:rPr>
          <w:rFonts w:ascii="Garamond" w:eastAsia="Calibri" w:hAnsi="Garamond"/>
          <w:sz w:val="24"/>
          <w:lang w:eastAsia="en-US"/>
        </w:rPr>
        <w:t xml:space="preserve">a given financial product after investors have already </w:t>
      </w:r>
      <w:r w:rsidR="00C92A0F" w:rsidRPr="008C76DA">
        <w:rPr>
          <w:rFonts w:ascii="Garamond" w:eastAsia="Calibri" w:hAnsi="Garamond"/>
          <w:sz w:val="24"/>
          <w:lang w:eastAsia="en-US"/>
        </w:rPr>
        <w:t xml:space="preserve">accepted </w:t>
      </w:r>
      <w:r w:rsidR="005626E7" w:rsidRPr="008C76DA">
        <w:rPr>
          <w:rFonts w:ascii="Garamond" w:eastAsia="Calibri" w:hAnsi="Garamond"/>
          <w:sz w:val="24"/>
          <w:lang w:eastAsia="en-US"/>
        </w:rPr>
        <w:t xml:space="preserve">certain </w:t>
      </w:r>
      <w:r w:rsidR="0005071D" w:rsidRPr="008C76DA">
        <w:rPr>
          <w:rFonts w:ascii="Garamond" w:eastAsia="Calibri" w:hAnsi="Garamond"/>
          <w:sz w:val="24"/>
          <w:lang w:eastAsia="en-US"/>
        </w:rPr>
        <w:t xml:space="preserve">fund rules </w:t>
      </w:r>
      <w:r w:rsidR="005626E7" w:rsidRPr="008C76DA">
        <w:rPr>
          <w:rFonts w:ascii="Garamond" w:eastAsia="Calibri" w:hAnsi="Garamond"/>
          <w:sz w:val="24"/>
          <w:lang w:eastAsia="en-US"/>
        </w:rPr>
        <w:t xml:space="preserve">with certain characteristics. In addition, it seems persecutory to focus on </w:t>
      </w:r>
      <w:r w:rsidR="008C76DA">
        <w:rPr>
          <w:rFonts w:ascii="Garamond" w:eastAsia="Calibri" w:hAnsi="Garamond"/>
          <w:sz w:val="24"/>
          <w:lang w:eastAsia="en-US"/>
        </w:rPr>
        <w:t>products</w:t>
      </w:r>
      <w:r w:rsidR="00E66BAB" w:rsidRPr="008C76DA">
        <w:rPr>
          <w:rFonts w:ascii="Garamond" w:eastAsia="Calibri" w:hAnsi="Garamond"/>
          <w:sz w:val="24"/>
          <w:lang w:eastAsia="en-US"/>
        </w:rPr>
        <w:t xml:space="preserve"> </w:t>
      </w:r>
      <w:r w:rsidR="00EA5374" w:rsidRPr="008C76DA">
        <w:rPr>
          <w:rFonts w:ascii="Garamond" w:eastAsia="Calibri" w:hAnsi="Garamond"/>
          <w:sz w:val="24"/>
          <w:lang w:eastAsia="en-US"/>
        </w:rPr>
        <w:t xml:space="preserve">for which the </w:t>
      </w:r>
      <w:r w:rsidR="0005071D" w:rsidRPr="008C76DA">
        <w:rPr>
          <w:rFonts w:ascii="Garamond" w:eastAsia="Calibri" w:hAnsi="Garamond"/>
          <w:sz w:val="24"/>
          <w:lang w:eastAsia="en-US"/>
        </w:rPr>
        <w:t xml:space="preserve">subscription </w:t>
      </w:r>
      <w:r w:rsidR="00E66BAB" w:rsidRPr="008C76DA">
        <w:rPr>
          <w:rFonts w:ascii="Garamond" w:eastAsia="Calibri" w:hAnsi="Garamond"/>
          <w:sz w:val="24"/>
          <w:lang w:eastAsia="en-US"/>
        </w:rPr>
        <w:t xml:space="preserve">procedure has already </w:t>
      </w:r>
      <w:r w:rsidR="00EA5374" w:rsidRPr="008C76DA">
        <w:rPr>
          <w:rFonts w:ascii="Garamond" w:eastAsia="Calibri" w:hAnsi="Garamond"/>
          <w:sz w:val="24"/>
          <w:lang w:eastAsia="en-US"/>
        </w:rPr>
        <w:t>ended</w:t>
      </w:r>
      <w:r w:rsidRPr="008C76DA">
        <w:rPr>
          <w:rFonts w:ascii="Garamond" w:eastAsia="Calibri" w:hAnsi="Garamond"/>
          <w:sz w:val="24"/>
          <w:lang w:eastAsia="en-US"/>
        </w:rPr>
        <w:t>.</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6F6494D0" w14:textId="42AA1AAC" w:rsidR="00B92885" w:rsidRPr="00E66BAB" w:rsidRDefault="00E66BAB" w:rsidP="008C76DA">
      <w:pPr>
        <w:jc w:val="both"/>
      </w:pPr>
      <w:permStart w:id="929254269" w:edGrp="everyone"/>
      <w:r w:rsidRPr="008C76DA">
        <w:rPr>
          <w:rFonts w:ascii="Garamond" w:eastAsia="Calibri" w:hAnsi="Garamond"/>
          <w:sz w:val="24"/>
          <w:lang w:eastAsia="en-US"/>
        </w:rPr>
        <w:t xml:space="preserve">The new provisions will have a profound impact on the industry in any case, because they will </w:t>
      </w:r>
      <w:r w:rsidR="00177C15" w:rsidRPr="008C76DA">
        <w:rPr>
          <w:rFonts w:ascii="Garamond" w:eastAsia="Calibri" w:hAnsi="Garamond"/>
          <w:sz w:val="24"/>
          <w:lang w:eastAsia="en-US"/>
        </w:rPr>
        <w:t xml:space="preserve">require </w:t>
      </w:r>
      <w:r w:rsidRPr="008C76DA">
        <w:rPr>
          <w:rFonts w:ascii="Garamond" w:eastAsia="Calibri" w:hAnsi="Garamond"/>
          <w:sz w:val="24"/>
          <w:lang w:eastAsia="en-US"/>
        </w:rPr>
        <w:t xml:space="preserve">managers to revise their ESG policies to identify the minimum requirements </w:t>
      </w:r>
      <w:r w:rsidR="0005071D" w:rsidRPr="008C76DA">
        <w:rPr>
          <w:rFonts w:ascii="Garamond" w:eastAsia="Calibri" w:hAnsi="Garamond"/>
          <w:sz w:val="24"/>
          <w:lang w:eastAsia="en-US"/>
        </w:rPr>
        <w:t xml:space="preserve">in order </w:t>
      </w:r>
      <w:r w:rsidRPr="008C76DA">
        <w:rPr>
          <w:rFonts w:ascii="Garamond" w:eastAsia="Calibri" w:hAnsi="Garamond"/>
          <w:sz w:val="24"/>
          <w:lang w:eastAsia="en-US"/>
        </w:rPr>
        <w:t xml:space="preserve">for a fund to be identified as </w:t>
      </w:r>
      <w:r w:rsidR="00177C15" w:rsidRPr="008C76DA">
        <w:rPr>
          <w:rFonts w:ascii="Garamond" w:eastAsia="Calibri" w:hAnsi="Garamond"/>
          <w:sz w:val="24"/>
          <w:lang w:eastAsia="en-US"/>
        </w:rPr>
        <w:t xml:space="preserve">an </w:t>
      </w:r>
      <w:proofErr w:type="gramStart"/>
      <w:r w:rsidRPr="008C76DA">
        <w:rPr>
          <w:rFonts w:ascii="Garamond" w:eastAsia="Calibri" w:hAnsi="Garamond"/>
          <w:sz w:val="24"/>
          <w:lang w:eastAsia="en-US"/>
        </w:rPr>
        <w:t>Article</w:t>
      </w:r>
      <w:proofErr w:type="gramEnd"/>
      <w:r w:rsidR="00204C50" w:rsidRPr="008C76DA">
        <w:rPr>
          <w:rFonts w:ascii="Garamond" w:eastAsia="Calibri" w:hAnsi="Garamond"/>
          <w:sz w:val="24"/>
          <w:lang w:eastAsia="en-US"/>
        </w:rPr>
        <w:t xml:space="preserve"> 8</w:t>
      </w:r>
      <w:r w:rsidR="00177C15" w:rsidRPr="008C76DA">
        <w:rPr>
          <w:rFonts w:ascii="Garamond" w:eastAsia="Calibri" w:hAnsi="Garamond"/>
          <w:sz w:val="24"/>
          <w:lang w:eastAsia="en-US"/>
        </w:rPr>
        <w:t xml:space="preserve"> fund</w:t>
      </w:r>
      <w:r w:rsidR="00204C50" w:rsidRPr="00E66BAB">
        <w:t>.</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0866A6F6" w14:textId="67AE2504" w:rsidR="00B92885" w:rsidRPr="008C76DA" w:rsidRDefault="00E66BAB" w:rsidP="008C76DA">
      <w:pPr>
        <w:jc w:val="both"/>
        <w:rPr>
          <w:rFonts w:ascii="Garamond" w:eastAsia="Calibri" w:hAnsi="Garamond"/>
          <w:sz w:val="24"/>
          <w:lang w:eastAsia="en-US"/>
        </w:rPr>
      </w:pPr>
      <w:permStart w:id="878708964" w:edGrp="everyone"/>
      <w:r w:rsidRPr="008C76DA">
        <w:rPr>
          <w:rFonts w:ascii="Garamond" w:eastAsia="Calibri" w:hAnsi="Garamond"/>
          <w:sz w:val="24"/>
          <w:lang w:eastAsia="en-US"/>
        </w:rPr>
        <w:t xml:space="preserve">We </w:t>
      </w:r>
      <w:r w:rsidR="0005071D" w:rsidRPr="008C76DA">
        <w:rPr>
          <w:rFonts w:ascii="Garamond" w:eastAsia="Calibri" w:hAnsi="Garamond"/>
          <w:sz w:val="24"/>
          <w:lang w:eastAsia="en-US"/>
        </w:rPr>
        <w:t xml:space="preserve">believe </w:t>
      </w:r>
      <w:r w:rsidRPr="008C76DA">
        <w:rPr>
          <w:rFonts w:ascii="Garamond" w:eastAsia="Calibri" w:hAnsi="Garamond"/>
          <w:sz w:val="24"/>
          <w:lang w:eastAsia="en-US"/>
        </w:rPr>
        <w:t>that, from a qualitative viewpoint, there can be benefits only if these minimum proportions are introduced for all Article 8 and Article 8 plus financial products</w:t>
      </w:r>
      <w:r w:rsidR="00204C50" w:rsidRPr="008C76DA">
        <w:rPr>
          <w:rFonts w:ascii="Garamond" w:eastAsia="Calibri" w:hAnsi="Garamond"/>
          <w:sz w:val="24"/>
          <w:lang w:eastAsia="en-US"/>
        </w:rPr>
        <w:t xml:space="preserve">. </w:t>
      </w:r>
      <w:r w:rsidRPr="008C76DA">
        <w:rPr>
          <w:rFonts w:ascii="Garamond" w:eastAsia="Calibri" w:hAnsi="Garamond"/>
          <w:sz w:val="24"/>
          <w:lang w:eastAsia="en-US"/>
        </w:rPr>
        <w:t>Otherwise, fragmentation will increase and only additional costs and no benefits</w:t>
      </w:r>
      <w:r w:rsidR="00467F27" w:rsidRPr="008C76DA">
        <w:rPr>
          <w:rFonts w:ascii="Garamond" w:eastAsia="Calibri" w:hAnsi="Garamond"/>
          <w:sz w:val="24"/>
          <w:lang w:eastAsia="en-US"/>
        </w:rPr>
        <w:t xml:space="preserve"> can be envisaged</w:t>
      </w:r>
      <w:r w:rsidRPr="008C76DA">
        <w:rPr>
          <w:rFonts w:ascii="Garamond" w:eastAsia="Calibri" w:hAnsi="Garamond"/>
          <w:sz w:val="24"/>
          <w:lang w:eastAsia="en-US"/>
        </w:rPr>
        <w:t xml:space="preserve">, </w:t>
      </w:r>
      <w:r w:rsidR="00467F27" w:rsidRPr="008C76DA">
        <w:rPr>
          <w:rFonts w:ascii="Garamond" w:eastAsia="Calibri" w:hAnsi="Garamond"/>
          <w:sz w:val="24"/>
          <w:lang w:eastAsia="en-US"/>
        </w:rPr>
        <w:t xml:space="preserve">either </w:t>
      </w:r>
      <w:r w:rsidRPr="008C76DA">
        <w:rPr>
          <w:rFonts w:ascii="Garamond" w:eastAsia="Calibri" w:hAnsi="Garamond"/>
          <w:sz w:val="24"/>
          <w:lang w:eastAsia="en-US"/>
        </w:rPr>
        <w:t xml:space="preserve">for manufacturers or distributors or especially investors, who will likely not be able to distinguish the different types of </w:t>
      </w:r>
      <w:r w:rsidRPr="008C76DA">
        <w:rPr>
          <w:rFonts w:ascii="Garamond" w:eastAsia="Calibri" w:hAnsi="Garamond"/>
          <w:sz w:val="24"/>
          <w:lang w:eastAsia="en-US"/>
        </w:rPr>
        <w:lastRenderedPageBreak/>
        <w:t xml:space="preserve">products and will </w:t>
      </w:r>
      <w:r w:rsidR="0005071D" w:rsidRPr="008C76DA">
        <w:rPr>
          <w:rFonts w:ascii="Garamond" w:eastAsia="Calibri" w:hAnsi="Garamond"/>
          <w:sz w:val="24"/>
          <w:lang w:eastAsia="en-US"/>
        </w:rPr>
        <w:t xml:space="preserve">mix up </w:t>
      </w:r>
      <w:r w:rsidRPr="008C76DA">
        <w:rPr>
          <w:rFonts w:ascii="Garamond" w:eastAsia="Calibri" w:hAnsi="Garamond"/>
          <w:sz w:val="24"/>
          <w:lang w:eastAsia="en-US"/>
        </w:rPr>
        <w:t>the</w:t>
      </w:r>
      <w:r w:rsidR="00467F27" w:rsidRPr="008C76DA">
        <w:rPr>
          <w:rFonts w:ascii="Garamond" w:eastAsia="Calibri" w:hAnsi="Garamond"/>
          <w:sz w:val="24"/>
          <w:lang w:eastAsia="en-US"/>
        </w:rPr>
        <w:t xml:space="preserve"> </w:t>
      </w:r>
      <w:r w:rsidRPr="008C76DA">
        <w:rPr>
          <w:rFonts w:ascii="Garamond" w:eastAsia="Calibri" w:hAnsi="Garamond"/>
          <w:sz w:val="24"/>
          <w:lang w:eastAsia="en-US"/>
        </w:rPr>
        <w:t xml:space="preserve">– </w:t>
      </w:r>
      <w:r w:rsidR="00467F27" w:rsidRPr="008C76DA">
        <w:rPr>
          <w:rFonts w:ascii="Garamond" w:eastAsia="Calibri" w:hAnsi="Garamond"/>
          <w:sz w:val="24"/>
          <w:lang w:eastAsia="en-US"/>
        </w:rPr>
        <w:t xml:space="preserve">hardly </w:t>
      </w:r>
      <w:r w:rsidR="0005071D" w:rsidRPr="008C76DA">
        <w:rPr>
          <w:rFonts w:ascii="Garamond" w:eastAsia="Calibri" w:hAnsi="Garamond"/>
          <w:sz w:val="24"/>
          <w:lang w:eastAsia="en-US"/>
        </w:rPr>
        <w:t xml:space="preserve">digested </w:t>
      </w:r>
      <w:r w:rsidRPr="008C76DA">
        <w:rPr>
          <w:rFonts w:ascii="Garamond" w:eastAsia="Calibri" w:hAnsi="Garamond"/>
          <w:sz w:val="24"/>
          <w:lang w:eastAsia="en-US"/>
        </w:rPr>
        <w:t>and understood</w:t>
      </w:r>
      <w:r w:rsidR="00467F27" w:rsidRPr="008C76DA">
        <w:rPr>
          <w:rFonts w:ascii="Garamond" w:eastAsia="Calibri" w:hAnsi="Garamond"/>
          <w:sz w:val="24"/>
          <w:lang w:eastAsia="en-US"/>
        </w:rPr>
        <w:t xml:space="preserve"> </w:t>
      </w:r>
      <w:r w:rsidRPr="008C76DA">
        <w:rPr>
          <w:rFonts w:ascii="Garamond" w:eastAsia="Calibri" w:hAnsi="Garamond"/>
          <w:sz w:val="24"/>
          <w:lang w:eastAsia="en-US"/>
        </w:rPr>
        <w:t xml:space="preserve">– </w:t>
      </w:r>
      <w:r w:rsidR="00467F27" w:rsidRPr="008C76DA">
        <w:rPr>
          <w:rFonts w:ascii="Garamond" w:eastAsia="Calibri" w:hAnsi="Garamond"/>
          <w:sz w:val="24"/>
          <w:lang w:eastAsia="en-US"/>
        </w:rPr>
        <w:t xml:space="preserve">nomenclature </w:t>
      </w:r>
      <w:r w:rsidRPr="008C76DA">
        <w:rPr>
          <w:rFonts w:ascii="Garamond" w:eastAsia="Calibri" w:hAnsi="Garamond"/>
          <w:sz w:val="24"/>
          <w:lang w:eastAsia="en-US"/>
        </w:rPr>
        <w:t xml:space="preserve">contained in the SFDR templates introduced by Regulation </w:t>
      </w:r>
      <w:r w:rsidR="00204C50" w:rsidRPr="008C76DA">
        <w:rPr>
          <w:rFonts w:ascii="Garamond" w:eastAsia="Calibri" w:hAnsi="Garamond"/>
          <w:sz w:val="24"/>
          <w:lang w:eastAsia="en-US"/>
        </w:rPr>
        <w:t>1288</w:t>
      </w:r>
      <w:r w:rsidRPr="008C76DA">
        <w:rPr>
          <w:rFonts w:ascii="Garamond" w:eastAsia="Calibri" w:hAnsi="Garamond"/>
          <w:sz w:val="24"/>
          <w:lang w:eastAsia="en-US"/>
        </w:rPr>
        <w:t>, because they will then have to distinguish between other ca</w:t>
      </w:r>
      <w:r w:rsidR="00204C50" w:rsidRPr="008C76DA">
        <w:rPr>
          <w:rFonts w:ascii="Garamond" w:eastAsia="Calibri" w:hAnsi="Garamond"/>
          <w:sz w:val="24"/>
          <w:lang w:eastAsia="en-US"/>
        </w:rPr>
        <w:t>tegorie</w:t>
      </w:r>
      <w:r w:rsidRPr="008C76DA">
        <w:rPr>
          <w:rFonts w:ascii="Garamond" w:eastAsia="Calibri" w:hAnsi="Garamond"/>
          <w:sz w:val="24"/>
          <w:lang w:eastAsia="en-US"/>
        </w:rPr>
        <w:t xml:space="preserve">s, i.e. those of </w:t>
      </w:r>
      <w:r w:rsidR="00412E59" w:rsidRPr="008C76DA">
        <w:rPr>
          <w:rFonts w:ascii="Garamond" w:eastAsia="Calibri" w:hAnsi="Garamond"/>
          <w:sz w:val="24"/>
          <w:lang w:eastAsia="en-US"/>
        </w:rPr>
        <w:t>investment</w:t>
      </w:r>
      <w:r w:rsidR="00D51A93" w:rsidRPr="008C76DA">
        <w:rPr>
          <w:rFonts w:ascii="Garamond" w:eastAsia="Calibri" w:hAnsi="Garamond"/>
          <w:sz w:val="24"/>
          <w:lang w:eastAsia="en-US"/>
        </w:rPr>
        <w:t xml:space="preserve"> </w:t>
      </w:r>
      <w:r w:rsidRPr="008C76DA">
        <w:rPr>
          <w:rFonts w:ascii="Garamond" w:eastAsia="Calibri" w:hAnsi="Garamond"/>
          <w:sz w:val="24"/>
          <w:lang w:eastAsia="en-US"/>
        </w:rPr>
        <w:t xml:space="preserve">funds having </w:t>
      </w:r>
      <w:r w:rsidR="00D51A93" w:rsidRPr="008C76DA">
        <w:rPr>
          <w:rFonts w:ascii="Garamond" w:eastAsia="Calibri" w:hAnsi="Garamond"/>
          <w:sz w:val="24"/>
          <w:lang w:eastAsia="en-US"/>
        </w:rPr>
        <w:t xml:space="preserve">the </w:t>
      </w:r>
      <w:r w:rsidRPr="008C76DA">
        <w:rPr>
          <w:rFonts w:ascii="Garamond" w:eastAsia="Calibri" w:hAnsi="Garamond"/>
          <w:sz w:val="24"/>
          <w:lang w:eastAsia="en-US"/>
        </w:rPr>
        <w:t>ESG</w:t>
      </w:r>
      <w:r w:rsidR="00D51A93" w:rsidRPr="008C76DA">
        <w:rPr>
          <w:rFonts w:ascii="Garamond" w:eastAsia="Calibri" w:hAnsi="Garamond"/>
          <w:sz w:val="24"/>
          <w:lang w:eastAsia="en-US"/>
        </w:rPr>
        <w:t xml:space="preserve"> acronym </w:t>
      </w:r>
      <w:r w:rsidRPr="008C76DA">
        <w:rPr>
          <w:rFonts w:ascii="Garamond" w:eastAsia="Calibri" w:hAnsi="Garamond"/>
          <w:sz w:val="24"/>
          <w:lang w:eastAsia="en-US"/>
        </w:rPr>
        <w:t xml:space="preserve">or impact-related </w:t>
      </w:r>
      <w:r w:rsidR="00D51A93" w:rsidRPr="008C76DA">
        <w:rPr>
          <w:rFonts w:ascii="Garamond" w:eastAsia="Calibri" w:hAnsi="Garamond"/>
          <w:sz w:val="24"/>
          <w:lang w:eastAsia="en-US"/>
        </w:rPr>
        <w:t>terms</w:t>
      </w:r>
      <w:r w:rsidRPr="008C76DA">
        <w:rPr>
          <w:rFonts w:ascii="Garamond" w:eastAsia="Calibri" w:hAnsi="Garamond"/>
          <w:sz w:val="24"/>
          <w:lang w:eastAsia="en-US"/>
        </w:rPr>
        <w:t xml:space="preserve"> in their names</w:t>
      </w:r>
      <w:r w:rsidR="00204C50" w:rsidRPr="008C76DA">
        <w:rPr>
          <w:rFonts w:ascii="Garamond" w:eastAsia="Calibri" w:hAnsi="Garamond"/>
          <w:sz w:val="24"/>
          <w:lang w:eastAsia="en-US"/>
        </w:rPr>
        <w:t>.</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1F88" w14:textId="77777777" w:rsidR="001D1EBA" w:rsidRDefault="001D1EBA">
      <w:r>
        <w:separator/>
      </w:r>
    </w:p>
    <w:p w14:paraId="02898AD6" w14:textId="77777777" w:rsidR="001D1EBA" w:rsidRDefault="001D1EBA"/>
  </w:endnote>
  <w:endnote w:type="continuationSeparator" w:id="0">
    <w:p w14:paraId="2033ACFA" w14:textId="77777777" w:rsidR="001D1EBA" w:rsidRDefault="001D1EBA">
      <w:r>
        <w:continuationSeparator/>
      </w:r>
    </w:p>
    <w:p w14:paraId="797FA3E5" w14:textId="77777777" w:rsidR="001D1EBA" w:rsidRDefault="001D1EBA"/>
  </w:endnote>
  <w:endnote w:type="continuationNotice" w:id="1">
    <w:p w14:paraId="3EBAFE32" w14:textId="77777777" w:rsidR="001D1EBA" w:rsidRDefault="001D1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Pidipagina"/>
      <w:tabs>
        <w:tab w:val="clear" w:pos="4536"/>
        <w:tab w:val="clear" w:pos="9072"/>
        <w:tab w:val="left" w:pos="8227"/>
        <w:tab w:val="right" w:pos="9412"/>
      </w:tabs>
    </w:pPr>
    <w:r>
      <w:tab/>
    </w:r>
    <w:r w:rsidR="00B92885">
      <w:tab/>
    </w:r>
  </w:p>
  <w:p w14:paraId="3A793707" w14:textId="084F8123" w:rsidR="00B92885" w:rsidRDefault="00B92885" w:rsidP="00B92885">
    <w:pPr>
      <w:pStyle w:val="Pidipagina"/>
      <w:tabs>
        <w:tab w:val="clear" w:pos="4536"/>
        <w:tab w:val="clear" w:pos="9072"/>
        <w:tab w:val="left" w:pos="8227"/>
        <w:tab w:val="right" w:pos="9412"/>
      </w:tabs>
    </w:pPr>
    <w:r>
      <w:tab/>
    </w:r>
    <w:r>
      <w:tab/>
    </w:r>
    <w:r>
      <w:tab/>
    </w:r>
  </w:p>
  <w:p w14:paraId="6D19C66C" w14:textId="10DE0B9B" w:rsidR="00B92885" w:rsidRDefault="00B92885" w:rsidP="00B92885">
    <w:pPr>
      <w:pStyle w:val="Pidipagina"/>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D3327" w14:textId="77777777" w:rsidR="001D1EBA" w:rsidRDefault="001D1EBA">
      <w:r>
        <w:separator/>
      </w:r>
    </w:p>
    <w:p w14:paraId="0E606033" w14:textId="77777777" w:rsidR="001D1EBA" w:rsidRDefault="001D1EBA"/>
  </w:footnote>
  <w:footnote w:type="continuationSeparator" w:id="0">
    <w:p w14:paraId="05D5DE02" w14:textId="77777777" w:rsidR="001D1EBA" w:rsidRDefault="001D1EBA">
      <w:r>
        <w:continuationSeparator/>
      </w:r>
    </w:p>
    <w:p w14:paraId="78B29677" w14:textId="77777777" w:rsidR="001D1EBA" w:rsidRDefault="001D1EBA"/>
  </w:footnote>
  <w:footnote w:type="continuationNotice" w:id="1">
    <w:p w14:paraId="0DD692AB" w14:textId="77777777" w:rsidR="001D1EBA" w:rsidRDefault="001D1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Intestazione"/>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6462B"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Intestazione"/>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Intestazione"/>
      <w:rPr>
        <w:lang w:val="fr-FR"/>
      </w:rPr>
    </w:pPr>
  </w:p>
  <w:p w14:paraId="3F30C70B" w14:textId="77777777" w:rsidR="00267551" w:rsidRPr="002F4496" w:rsidRDefault="00267551" w:rsidP="000C06C9">
    <w:pPr>
      <w:pStyle w:val="Intestazione"/>
      <w:tabs>
        <w:tab w:val="clear" w:pos="4536"/>
        <w:tab w:val="clear" w:pos="9072"/>
        <w:tab w:val="left" w:pos="8227"/>
      </w:tabs>
      <w:rPr>
        <w:lang w:val="fr-FR"/>
      </w:rPr>
    </w:pPr>
  </w:p>
  <w:p w14:paraId="4D50BC39" w14:textId="77777777" w:rsidR="00267551" w:rsidRPr="002F4496" w:rsidRDefault="00267551" w:rsidP="00583885">
    <w:pPr>
      <w:pStyle w:val="Intestazione"/>
      <w:jc w:val="right"/>
      <w:rPr>
        <w:lang w:val="fr-FR"/>
      </w:rPr>
    </w:pPr>
  </w:p>
  <w:p w14:paraId="2D51BEA2" w14:textId="77777777" w:rsidR="00267551" w:rsidRPr="002F4496" w:rsidRDefault="00267551">
    <w:pPr>
      <w:pStyle w:val="Intestazione"/>
      <w:rPr>
        <w:lang w:val="fr-FR"/>
      </w:rPr>
    </w:pPr>
  </w:p>
  <w:p w14:paraId="340B2438" w14:textId="77777777" w:rsidR="00267551" w:rsidRPr="002F4496" w:rsidRDefault="00267551">
    <w:pPr>
      <w:pStyle w:val="Intestazione"/>
      <w:rPr>
        <w:lang w:val="fr-FR"/>
      </w:rPr>
    </w:pPr>
  </w:p>
  <w:p w14:paraId="2A794A3E" w14:textId="77777777" w:rsidR="00267551" w:rsidRPr="002F4496" w:rsidRDefault="00267551">
    <w:pPr>
      <w:pStyle w:val="Intestazione"/>
      <w:rPr>
        <w:lang w:val="fr-FR"/>
      </w:rPr>
    </w:pPr>
  </w:p>
  <w:p w14:paraId="0A21F475" w14:textId="77777777" w:rsidR="00267551" w:rsidRPr="002F4496" w:rsidRDefault="00267551">
    <w:pPr>
      <w:pStyle w:val="Intestazione"/>
      <w:rPr>
        <w:highlight w:val="yellow"/>
        <w:lang w:val="fr-FR"/>
      </w:rPr>
    </w:pPr>
  </w:p>
  <w:p w14:paraId="53ABEE5D" w14:textId="77777777" w:rsidR="00267551" w:rsidRDefault="00267551">
    <w:pPr>
      <w:pStyle w:val="Intestazione"/>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5EE4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390037"/>
    <w:multiLevelType w:val="hybridMultilevel"/>
    <w:tmpl w:val="67CC6D2C"/>
    <w:lvl w:ilvl="0" w:tplc="CEFC54B8">
      <w:start w:val="5"/>
      <w:numFmt w:val="bullet"/>
      <w:lvlText w:val="-"/>
      <w:lvlJc w:val="left"/>
      <w:pPr>
        <w:ind w:left="1211" w:hanging="360"/>
      </w:pPr>
      <w:rPr>
        <w:rFonts w:ascii="Garamond" w:eastAsia="Calibri" w:hAnsi="Garamond"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2061828117">
    <w:abstractNumId w:val="16"/>
  </w:num>
  <w:num w:numId="2" w16cid:durableId="645935109">
    <w:abstractNumId w:val="18"/>
  </w:num>
  <w:num w:numId="3" w16cid:durableId="9257990">
    <w:abstractNumId w:val="11"/>
  </w:num>
  <w:num w:numId="4" w16cid:durableId="702360892">
    <w:abstractNumId w:val="24"/>
  </w:num>
  <w:num w:numId="5" w16cid:durableId="90123537">
    <w:abstractNumId w:val="26"/>
  </w:num>
  <w:num w:numId="6" w16cid:durableId="1131318">
    <w:abstractNumId w:val="0"/>
  </w:num>
  <w:num w:numId="7" w16cid:durableId="1869562863">
    <w:abstractNumId w:val="3"/>
  </w:num>
  <w:num w:numId="8" w16cid:durableId="15096408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3681858">
    <w:abstractNumId w:val="32"/>
  </w:num>
  <w:num w:numId="10" w16cid:durableId="19373995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51303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8723443">
    <w:abstractNumId w:val="28"/>
  </w:num>
  <w:num w:numId="13" w16cid:durableId="1222324213">
    <w:abstractNumId w:val="31"/>
  </w:num>
  <w:num w:numId="14" w16cid:durableId="1045956468">
    <w:abstractNumId w:val="23"/>
  </w:num>
  <w:num w:numId="15" w16cid:durableId="1376352312">
    <w:abstractNumId w:val="10"/>
  </w:num>
  <w:num w:numId="16" w16cid:durableId="325060983">
    <w:abstractNumId w:val="1"/>
  </w:num>
  <w:num w:numId="17" w16cid:durableId="1103299925">
    <w:abstractNumId w:val="14"/>
  </w:num>
  <w:num w:numId="18" w16cid:durableId="326516626">
    <w:abstractNumId w:val="15"/>
  </w:num>
  <w:num w:numId="19" w16cid:durableId="1353874036">
    <w:abstractNumId w:val="17"/>
  </w:num>
  <w:num w:numId="20" w16cid:durableId="1407533145">
    <w:abstractNumId w:val="27"/>
  </w:num>
  <w:num w:numId="21" w16cid:durableId="1199275290">
    <w:abstractNumId w:val="37"/>
  </w:num>
  <w:num w:numId="22" w16cid:durableId="990594404">
    <w:abstractNumId w:val="25"/>
  </w:num>
  <w:num w:numId="23" w16cid:durableId="2129425988">
    <w:abstractNumId w:val="9"/>
  </w:num>
  <w:num w:numId="24" w16cid:durableId="1540699241">
    <w:abstractNumId w:val="30"/>
  </w:num>
  <w:num w:numId="25" w16cid:durableId="1522628870">
    <w:abstractNumId w:val="29"/>
  </w:num>
  <w:num w:numId="26" w16cid:durableId="356196897">
    <w:abstractNumId w:val="20"/>
  </w:num>
  <w:num w:numId="27" w16cid:durableId="276723131">
    <w:abstractNumId w:val="33"/>
  </w:num>
  <w:num w:numId="28" w16cid:durableId="1095322046">
    <w:abstractNumId w:val="39"/>
  </w:num>
  <w:num w:numId="29" w16cid:durableId="2038965848">
    <w:abstractNumId w:val="7"/>
  </w:num>
  <w:num w:numId="30" w16cid:durableId="647979433">
    <w:abstractNumId w:val="2"/>
  </w:num>
  <w:num w:numId="31" w16cid:durableId="39867848">
    <w:abstractNumId w:val="22"/>
  </w:num>
  <w:num w:numId="32" w16cid:durableId="2096899248">
    <w:abstractNumId w:val="21"/>
  </w:num>
  <w:num w:numId="33" w16cid:durableId="393085530">
    <w:abstractNumId w:val="35"/>
  </w:num>
  <w:num w:numId="34" w16cid:durableId="1303382912">
    <w:abstractNumId w:val="34"/>
  </w:num>
  <w:num w:numId="35" w16cid:durableId="114033429">
    <w:abstractNumId w:val="4"/>
  </w:num>
  <w:num w:numId="36" w16cid:durableId="1985309126">
    <w:abstractNumId w:val="36"/>
  </w:num>
  <w:num w:numId="37" w16cid:durableId="675766206">
    <w:abstractNumId w:val="21"/>
    <w:lvlOverride w:ilvl="0">
      <w:startOverride w:val="1"/>
    </w:lvlOverride>
  </w:num>
  <w:num w:numId="38" w16cid:durableId="1137603155">
    <w:abstractNumId w:val="21"/>
  </w:num>
  <w:num w:numId="39" w16cid:durableId="1367752261">
    <w:abstractNumId w:val="12"/>
  </w:num>
  <w:num w:numId="40" w16cid:durableId="1861427661">
    <w:abstractNumId w:val="5"/>
  </w:num>
  <w:num w:numId="41" w16cid:durableId="1898972700">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083"/>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0685"/>
    <w:rsid w:val="0005071D"/>
    <w:rsid w:val="0005126D"/>
    <w:rsid w:val="000513BC"/>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11E"/>
    <w:rsid w:val="00071EAD"/>
    <w:rsid w:val="00071F4E"/>
    <w:rsid w:val="00072271"/>
    <w:rsid w:val="00072B54"/>
    <w:rsid w:val="0007463D"/>
    <w:rsid w:val="00074979"/>
    <w:rsid w:val="000749F0"/>
    <w:rsid w:val="0007609D"/>
    <w:rsid w:val="00077C67"/>
    <w:rsid w:val="00080976"/>
    <w:rsid w:val="00080AD2"/>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36CA"/>
    <w:rsid w:val="000B3C0B"/>
    <w:rsid w:val="000B55C0"/>
    <w:rsid w:val="000B5DF2"/>
    <w:rsid w:val="000C06C9"/>
    <w:rsid w:val="000C1DCC"/>
    <w:rsid w:val="000C1FBC"/>
    <w:rsid w:val="000C2054"/>
    <w:rsid w:val="000C2B6A"/>
    <w:rsid w:val="000C2F88"/>
    <w:rsid w:val="000C4DC3"/>
    <w:rsid w:val="000C55C8"/>
    <w:rsid w:val="000C57C4"/>
    <w:rsid w:val="000C5FD3"/>
    <w:rsid w:val="000C701D"/>
    <w:rsid w:val="000C7C4A"/>
    <w:rsid w:val="000D17AA"/>
    <w:rsid w:val="000D2D0B"/>
    <w:rsid w:val="000D4660"/>
    <w:rsid w:val="000D67FE"/>
    <w:rsid w:val="000D705D"/>
    <w:rsid w:val="000D71F1"/>
    <w:rsid w:val="000D7EB9"/>
    <w:rsid w:val="000E0223"/>
    <w:rsid w:val="000E0CF3"/>
    <w:rsid w:val="000E18A8"/>
    <w:rsid w:val="000E1AEC"/>
    <w:rsid w:val="000E2ECD"/>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5DAA"/>
    <w:rsid w:val="001168B2"/>
    <w:rsid w:val="00117C20"/>
    <w:rsid w:val="00120F0E"/>
    <w:rsid w:val="00121A5D"/>
    <w:rsid w:val="00121BED"/>
    <w:rsid w:val="00123D39"/>
    <w:rsid w:val="001244CD"/>
    <w:rsid w:val="0012566F"/>
    <w:rsid w:val="001262B1"/>
    <w:rsid w:val="0012718B"/>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D45"/>
    <w:rsid w:val="00164F15"/>
    <w:rsid w:val="001651A4"/>
    <w:rsid w:val="0016552B"/>
    <w:rsid w:val="00166B04"/>
    <w:rsid w:val="001670A6"/>
    <w:rsid w:val="001701FA"/>
    <w:rsid w:val="00171183"/>
    <w:rsid w:val="001725A5"/>
    <w:rsid w:val="00172681"/>
    <w:rsid w:val="00173AC7"/>
    <w:rsid w:val="001745D7"/>
    <w:rsid w:val="00174C32"/>
    <w:rsid w:val="00175754"/>
    <w:rsid w:val="00176982"/>
    <w:rsid w:val="0017701C"/>
    <w:rsid w:val="00177C15"/>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364F"/>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1EBA"/>
    <w:rsid w:val="001D2205"/>
    <w:rsid w:val="001D3A1F"/>
    <w:rsid w:val="001D3FB6"/>
    <w:rsid w:val="001D4550"/>
    <w:rsid w:val="001D5498"/>
    <w:rsid w:val="001D5BAF"/>
    <w:rsid w:val="001D6401"/>
    <w:rsid w:val="001D66C9"/>
    <w:rsid w:val="001D722A"/>
    <w:rsid w:val="001E04FC"/>
    <w:rsid w:val="001E407D"/>
    <w:rsid w:val="001E40FB"/>
    <w:rsid w:val="001E48A7"/>
    <w:rsid w:val="001E66EC"/>
    <w:rsid w:val="001E68C5"/>
    <w:rsid w:val="001F0F63"/>
    <w:rsid w:val="001F3996"/>
    <w:rsid w:val="001F44A4"/>
    <w:rsid w:val="001F579D"/>
    <w:rsid w:val="001F65EF"/>
    <w:rsid w:val="001F697B"/>
    <w:rsid w:val="002005A6"/>
    <w:rsid w:val="00200609"/>
    <w:rsid w:val="00204C50"/>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1680"/>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1FFC"/>
    <w:rsid w:val="00273633"/>
    <w:rsid w:val="00273681"/>
    <w:rsid w:val="002754B5"/>
    <w:rsid w:val="002764C5"/>
    <w:rsid w:val="00276A5A"/>
    <w:rsid w:val="002772AE"/>
    <w:rsid w:val="002776F4"/>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65D5"/>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5C4"/>
    <w:rsid w:val="002D4FEF"/>
    <w:rsid w:val="002D502D"/>
    <w:rsid w:val="002D63F5"/>
    <w:rsid w:val="002D647D"/>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6425"/>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7EDE"/>
    <w:rsid w:val="00410240"/>
    <w:rsid w:val="00410760"/>
    <w:rsid w:val="00412253"/>
    <w:rsid w:val="00412E59"/>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6A3E"/>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2C35"/>
    <w:rsid w:val="004634A7"/>
    <w:rsid w:val="00463787"/>
    <w:rsid w:val="00464DD5"/>
    <w:rsid w:val="00466926"/>
    <w:rsid w:val="00466FDA"/>
    <w:rsid w:val="004671D0"/>
    <w:rsid w:val="004674D1"/>
    <w:rsid w:val="00467F27"/>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919"/>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306D"/>
    <w:rsid w:val="004F5D19"/>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0E3B"/>
    <w:rsid w:val="0052183D"/>
    <w:rsid w:val="00522B01"/>
    <w:rsid w:val="00522F44"/>
    <w:rsid w:val="0052360A"/>
    <w:rsid w:val="005242BA"/>
    <w:rsid w:val="005243B8"/>
    <w:rsid w:val="005252DD"/>
    <w:rsid w:val="00530A8D"/>
    <w:rsid w:val="00531C6D"/>
    <w:rsid w:val="00532EF4"/>
    <w:rsid w:val="005347CE"/>
    <w:rsid w:val="00535477"/>
    <w:rsid w:val="00535DEA"/>
    <w:rsid w:val="00536876"/>
    <w:rsid w:val="0053723A"/>
    <w:rsid w:val="00537636"/>
    <w:rsid w:val="00537B1D"/>
    <w:rsid w:val="00540191"/>
    <w:rsid w:val="00540A2A"/>
    <w:rsid w:val="00541F27"/>
    <w:rsid w:val="00542297"/>
    <w:rsid w:val="005424BC"/>
    <w:rsid w:val="00542A28"/>
    <w:rsid w:val="005441D4"/>
    <w:rsid w:val="0054672D"/>
    <w:rsid w:val="00547675"/>
    <w:rsid w:val="00550F4E"/>
    <w:rsid w:val="00551E98"/>
    <w:rsid w:val="005532B5"/>
    <w:rsid w:val="00554A05"/>
    <w:rsid w:val="00555849"/>
    <w:rsid w:val="005559A8"/>
    <w:rsid w:val="00557048"/>
    <w:rsid w:val="00557FB5"/>
    <w:rsid w:val="00561AED"/>
    <w:rsid w:val="005626E7"/>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3205"/>
    <w:rsid w:val="0059575D"/>
    <w:rsid w:val="00596825"/>
    <w:rsid w:val="005A06A0"/>
    <w:rsid w:val="005A150A"/>
    <w:rsid w:val="005A2B3E"/>
    <w:rsid w:val="005A3644"/>
    <w:rsid w:val="005A4087"/>
    <w:rsid w:val="005A4B18"/>
    <w:rsid w:val="005A537E"/>
    <w:rsid w:val="005A5D07"/>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D6A2B"/>
    <w:rsid w:val="005E0481"/>
    <w:rsid w:val="005E10BF"/>
    <w:rsid w:val="005E1834"/>
    <w:rsid w:val="005E49E5"/>
    <w:rsid w:val="005E4FB2"/>
    <w:rsid w:val="005E5481"/>
    <w:rsid w:val="005E55E4"/>
    <w:rsid w:val="005E683C"/>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6F3"/>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846"/>
    <w:rsid w:val="006D399F"/>
    <w:rsid w:val="006D4F0C"/>
    <w:rsid w:val="006D5645"/>
    <w:rsid w:val="006E042E"/>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3BC"/>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B78"/>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48F9"/>
    <w:rsid w:val="007B502C"/>
    <w:rsid w:val="007B5F3B"/>
    <w:rsid w:val="007C02B0"/>
    <w:rsid w:val="007C063E"/>
    <w:rsid w:val="007C1901"/>
    <w:rsid w:val="007C49C0"/>
    <w:rsid w:val="007C55C1"/>
    <w:rsid w:val="007C5738"/>
    <w:rsid w:val="007C5772"/>
    <w:rsid w:val="007C5AC3"/>
    <w:rsid w:val="007C6C20"/>
    <w:rsid w:val="007C7233"/>
    <w:rsid w:val="007D10EE"/>
    <w:rsid w:val="007D1193"/>
    <w:rsid w:val="007D21D5"/>
    <w:rsid w:val="007D3E8D"/>
    <w:rsid w:val="007D5915"/>
    <w:rsid w:val="007D5B4F"/>
    <w:rsid w:val="007D5C30"/>
    <w:rsid w:val="007D6F8B"/>
    <w:rsid w:val="007E0660"/>
    <w:rsid w:val="007E1411"/>
    <w:rsid w:val="007E1882"/>
    <w:rsid w:val="007E1BB4"/>
    <w:rsid w:val="007E2077"/>
    <w:rsid w:val="007E3514"/>
    <w:rsid w:val="007E4AAA"/>
    <w:rsid w:val="007E4BD2"/>
    <w:rsid w:val="007E4C29"/>
    <w:rsid w:val="007E5E44"/>
    <w:rsid w:val="007F0369"/>
    <w:rsid w:val="007F0DDA"/>
    <w:rsid w:val="007F1939"/>
    <w:rsid w:val="007F365C"/>
    <w:rsid w:val="007F5066"/>
    <w:rsid w:val="007F621C"/>
    <w:rsid w:val="007F7155"/>
    <w:rsid w:val="00800C28"/>
    <w:rsid w:val="0080245E"/>
    <w:rsid w:val="00802E10"/>
    <w:rsid w:val="00803480"/>
    <w:rsid w:val="0080359C"/>
    <w:rsid w:val="008037AE"/>
    <w:rsid w:val="008043F4"/>
    <w:rsid w:val="00804460"/>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9FF"/>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C76DA"/>
    <w:rsid w:val="008C7ECA"/>
    <w:rsid w:val="008D0B90"/>
    <w:rsid w:val="008D2DB5"/>
    <w:rsid w:val="008D37D4"/>
    <w:rsid w:val="008D3F10"/>
    <w:rsid w:val="008D611D"/>
    <w:rsid w:val="008D6A7E"/>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1AC1"/>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0F63"/>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B1F"/>
    <w:rsid w:val="009A4D4F"/>
    <w:rsid w:val="009A53D8"/>
    <w:rsid w:val="009A597F"/>
    <w:rsid w:val="009A7B72"/>
    <w:rsid w:val="009A7D6F"/>
    <w:rsid w:val="009A7F49"/>
    <w:rsid w:val="009B03C4"/>
    <w:rsid w:val="009B0AA2"/>
    <w:rsid w:val="009B1D02"/>
    <w:rsid w:val="009B7133"/>
    <w:rsid w:val="009B7658"/>
    <w:rsid w:val="009B78DC"/>
    <w:rsid w:val="009B7CD1"/>
    <w:rsid w:val="009B7E22"/>
    <w:rsid w:val="009B7E78"/>
    <w:rsid w:val="009C10FE"/>
    <w:rsid w:val="009C13BC"/>
    <w:rsid w:val="009C1CA4"/>
    <w:rsid w:val="009C252E"/>
    <w:rsid w:val="009C2532"/>
    <w:rsid w:val="009C2BA4"/>
    <w:rsid w:val="009C6091"/>
    <w:rsid w:val="009C634F"/>
    <w:rsid w:val="009D0219"/>
    <w:rsid w:val="009D0D55"/>
    <w:rsid w:val="009D2295"/>
    <w:rsid w:val="009D2511"/>
    <w:rsid w:val="009D3E7C"/>
    <w:rsid w:val="009D3FED"/>
    <w:rsid w:val="009D55CA"/>
    <w:rsid w:val="009D5DD1"/>
    <w:rsid w:val="009D5EF0"/>
    <w:rsid w:val="009D6401"/>
    <w:rsid w:val="009D6B1F"/>
    <w:rsid w:val="009E0711"/>
    <w:rsid w:val="009E1917"/>
    <w:rsid w:val="009E3594"/>
    <w:rsid w:val="009E6B77"/>
    <w:rsid w:val="009E7724"/>
    <w:rsid w:val="009E78B3"/>
    <w:rsid w:val="009E7D1F"/>
    <w:rsid w:val="009F1D82"/>
    <w:rsid w:val="009F37AA"/>
    <w:rsid w:val="009F544C"/>
    <w:rsid w:val="009F5731"/>
    <w:rsid w:val="009F6321"/>
    <w:rsid w:val="009F6378"/>
    <w:rsid w:val="009F64B2"/>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354"/>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43"/>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1F78"/>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B78C9"/>
    <w:rsid w:val="00AC047F"/>
    <w:rsid w:val="00AC3934"/>
    <w:rsid w:val="00AC4B91"/>
    <w:rsid w:val="00AC50C8"/>
    <w:rsid w:val="00AC5132"/>
    <w:rsid w:val="00AC5581"/>
    <w:rsid w:val="00AC56AD"/>
    <w:rsid w:val="00AC61BE"/>
    <w:rsid w:val="00AC71EB"/>
    <w:rsid w:val="00AD07E2"/>
    <w:rsid w:val="00AD0C8A"/>
    <w:rsid w:val="00AD0CB4"/>
    <w:rsid w:val="00AD1FF2"/>
    <w:rsid w:val="00AD2A21"/>
    <w:rsid w:val="00AD3B43"/>
    <w:rsid w:val="00AD4FF2"/>
    <w:rsid w:val="00AD506C"/>
    <w:rsid w:val="00AD6BE5"/>
    <w:rsid w:val="00AD783E"/>
    <w:rsid w:val="00AE1393"/>
    <w:rsid w:val="00AE3BC6"/>
    <w:rsid w:val="00AE4D4F"/>
    <w:rsid w:val="00AE601A"/>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7E1"/>
    <w:rsid w:val="00B37C73"/>
    <w:rsid w:val="00B4009B"/>
    <w:rsid w:val="00B400A1"/>
    <w:rsid w:val="00B40A2B"/>
    <w:rsid w:val="00B412C1"/>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4E8F"/>
    <w:rsid w:val="00BC5622"/>
    <w:rsid w:val="00BC6060"/>
    <w:rsid w:val="00BC6A9F"/>
    <w:rsid w:val="00BC7897"/>
    <w:rsid w:val="00BD06D7"/>
    <w:rsid w:val="00BD0F35"/>
    <w:rsid w:val="00BD1967"/>
    <w:rsid w:val="00BD45A4"/>
    <w:rsid w:val="00BD4A5F"/>
    <w:rsid w:val="00BD4D2D"/>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27B72"/>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16F1"/>
    <w:rsid w:val="00C729C7"/>
    <w:rsid w:val="00C777AD"/>
    <w:rsid w:val="00C80C53"/>
    <w:rsid w:val="00C81195"/>
    <w:rsid w:val="00C81798"/>
    <w:rsid w:val="00C85387"/>
    <w:rsid w:val="00C85E52"/>
    <w:rsid w:val="00C86471"/>
    <w:rsid w:val="00C8677B"/>
    <w:rsid w:val="00C86F96"/>
    <w:rsid w:val="00C909C6"/>
    <w:rsid w:val="00C923B7"/>
    <w:rsid w:val="00C92A0F"/>
    <w:rsid w:val="00C94D4C"/>
    <w:rsid w:val="00C96C1E"/>
    <w:rsid w:val="00C96CA4"/>
    <w:rsid w:val="00CA012C"/>
    <w:rsid w:val="00CA0AA6"/>
    <w:rsid w:val="00CA13B6"/>
    <w:rsid w:val="00CA2897"/>
    <w:rsid w:val="00CA44F3"/>
    <w:rsid w:val="00CA582C"/>
    <w:rsid w:val="00CA6077"/>
    <w:rsid w:val="00CA69F5"/>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7F0"/>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37F1"/>
    <w:rsid w:val="00CE6FC6"/>
    <w:rsid w:val="00CF2056"/>
    <w:rsid w:val="00CF4471"/>
    <w:rsid w:val="00CF51C0"/>
    <w:rsid w:val="00CF5B2A"/>
    <w:rsid w:val="00CF5F57"/>
    <w:rsid w:val="00CF64A7"/>
    <w:rsid w:val="00CF6730"/>
    <w:rsid w:val="00CF70E5"/>
    <w:rsid w:val="00CF7CEC"/>
    <w:rsid w:val="00D00B0F"/>
    <w:rsid w:val="00D0147B"/>
    <w:rsid w:val="00D01BF4"/>
    <w:rsid w:val="00D0272C"/>
    <w:rsid w:val="00D0283B"/>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0243"/>
    <w:rsid w:val="00D416A8"/>
    <w:rsid w:val="00D4217D"/>
    <w:rsid w:val="00D4257C"/>
    <w:rsid w:val="00D425AC"/>
    <w:rsid w:val="00D42823"/>
    <w:rsid w:val="00D42D5E"/>
    <w:rsid w:val="00D43F14"/>
    <w:rsid w:val="00D44009"/>
    <w:rsid w:val="00D44C18"/>
    <w:rsid w:val="00D4556D"/>
    <w:rsid w:val="00D511C6"/>
    <w:rsid w:val="00D5121D"/>
    <w:rsid w:val="00D516AC"/>
    <w:rsid w:val="00D51A93"/>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7861"/>
    <w:rsid w:val="00DA0FA7"/>
    <w:rsid w:val="00DA12B0"/>
    <w:rsid w:val="00DA2587"/>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B2"/>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375BA"/>
    <w:rsid w:val="00E40974"/>
    <w:rsid w:val="00E40AAB"/>
    <w:rsid w:val="00E41205"/>
    <w:rsid w:val="00E41F32"/>
    <w:rsid w:val="00E42608"/>
    <w:rsid w:val="00E43536"/>
    <w:rsid w:val="00E43DA3"/>
    <w:rsid w:val="00E44B80"/>
    <w:rsid w:val="00E45938"/>
    <w:rsid w:val="00E469B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6BAB"/>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87FC8"/>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374"/>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0ED"/>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EF7CA7"/>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42"/>
    <w:rsid w:val="00F4308D"/>
    <w:rsid w:val="00F44012"/>
    <w:rsid w:val="00F44947"/>
    <w:rsid w:val="00F458EF"/>
    <w:rsid w:val="00F462AC"/>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e">
    <w:name w:val="Normal"/>
    <w:qFormat/>
    <w:rsid w:val="005D6A2B"/>
    <w:rPr>
      <w:rFonts w:ascii="Arial" w:hAnsi="Arial"/>
      <w:szCs w:val="24"/>
      <w:lang w:eastAsia="de-DE"/>
    </w:rPr>
  </w:style>
  <w:style w:type="paragraph" w:styleId="Titolo1">
    <w:name w:val="heading 1"/>
    <w:basedOn w:val="Normale"/>
    <w:next w:val="Normale"/>
    <w:link w:val="Titolo1Carattere"/>
    <w:qFormat/>
    <w:locked/>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locked/>
    <w:rsid w:val="00886A60"/>
    <w:pPr>
      <w:keepNext/>
      <w:keepLines/>
      <w:spacing w:before="200" w:after="120"/>
      <w:outlineLvl w:val="1"/>
    </w:pPr>
    <w:rPr>
      <w:b/>
      <w:bCs/>
      <w:szCs w:val="26"/>
    </w:rPr>
  </w:style>
  <w:style w:type="paragraph" w:styleId="Titolo3">
    <w:name w:val="heading 3"/>
    <w:basedOn w:val="Normale"/>
    <w:next w:val="Normale"/>
    <w:link w:val="Titolo3Carattere"/>
    <w:qFormat/>
    <w:locked/>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uiPriority w:val="9"/>
    <w:qFormat/>
    <w:locked/>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locked/>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locked/>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locked/>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locked/>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locked/>
    <w:rsid w:val="005B64CB"/>
    <w:pPr>
      <w:tabs>
        <w:tab w:val="center" w:pos="4536"/>
        <w:tab w:val="right" w:pos="9072"/>
      </w:tabs>
    </w:pPr>
  </w:style>
  <w:style w:type="paragraph" w:styleId="Pidipagina">
    <w:name w:val="footer"/>
    <w:basedOn w:val="Normale"/>
    <w:link w:val="PidipaginaCarattere"/>
    <w:uiPriority w:val="99"/>
    <w:locked/>
    <w:rsid w:val="005B64CB"/>
    <w:pPr>
      <w:tabs>
        <w:tab w:val="center" w:pos="4536"/>
        <w:tab w:val="right" w:pos="9072"/>
      </w:tabs>
    </w:pPr>
  </w:style>
  <w:style w:type="table" w:styleId="Grigliatabella">
    <w:name w:val="Table Grid"/>
    <w:basedOn w:val="Tabellanorma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locked/>
    <w:rsid w:val="003E3ACA"/>
    <w:pPr>
      <w:spacing w:line="200" w:lineRule="exact"/>
    </w:pPr>
    <w:rPr>
      <w:color w:val="2D4190"/>
      <w:sz w:val="16"/>
    </w:rPr>
  </w:style>
  <w:style w:type="paragraph" w:customStyle="1" w:styleId="05aTitle">
    <w:name w:val="05a_Title"/>
    <w:basedOn w:val="Normale"/>
    <w:locked/>
    <w:rsid w:val="00791EB4"/>
    <w:pPr>
      <w:spacing w:line="340" w:lineRule="exact"/>
    </w:pPr>
    <w:rPr>
      <w:b/>
      <w:color w:val="000000"/>
      <w:sz w:val="28"/>
    </w:rPr>
  </w:style>
  <w:style w:type="paragraph" w:customStyle="1" w:styleId="02Date">
    <w:name w:val="02_Date"/>
    <w:basedOn w:val="Normale"/>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e"/>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opagina">
    <w:name w:val="page number"/>
    <w:basedOn w:val="Carpredefinitoparagrafo"/>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Collegamentoipertestual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locked/>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ommario2">
    <w:name w:val="toc 2"/>
    <w:basedOn w:val="Normale"/>
    <w:next w:val="Normale"/>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e"/>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imandocommento">
    <w:name w:val="annotation reference"/>
    <w:uiPriority w:val="99"/>
    <w:locked/>
    <w:rsid w:val="004B1E61"/>
    <w:rPr>
      <w:sz w:val="16"/>
      <w:szCs w:val="16"/>
    </w:rPr>
  </w:style>
  <w:style w:type="paragraph" w:styleId="Testocommento">
    <w:name w:val="annotation text"/>
    <w:basedOn w:val="Normale"/>
    <w:link w:val="TestocommentoCarattere"/>
    <w:locked/>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locked/>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locked/>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Paragraphe de liste"/>
    <w:basedOn w:val="Normale"/>
    <w:link w:val="ParagrafoelencoCarattere"/>
    <w:uiPriority w:val="34"/>
    <w:qFormat/>
    <w:locked/>
    <w:rsid w:val="002A0C82"/>
    <w:pPr>
      <w:ind w:left="720"/>
      <w:contextualSpacing/>
    </w:pPr>
  </w:style>
  <w:style w:type="paragraph" w:styleId="Titolosommario">
    <w:name w:val="TOC Heading"/>
    <w:basedOn w:val="Titolo1"/>
    <w:next w:val="Normale"/>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locked/>
    <w:rsid w:val="008E1B6A"/>
  </w:style>
  <w:style w:type="paragraph" w:customStyle="1" w:styleId="ManualNumPar1">
    <w:name w:val="Manual NumPar 1"/>
    <w:basedOn w:val="Normale"/>
    <w:next w:val="Normale"/>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nfasicorsivo">
    <w:name w:val="Emphasis"/>
    <w:uiPriority w:val="20"/>
    <w:qFormat/>
    <w:locked/>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e"/>
    <w:next w:val="Normale"/>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locked/>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lock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lock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lock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lock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lock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idascalia">
    <w:name w:val="caption"/>
    <w:basedOn w:val="Normale"/>
    <w:next w:val="Normale"/>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padocumento">
    <w:name w:val="Document Map"/>
    <w:basedOn w:val="Normale"/>
    <w:link w:val="MappadocumentoCarattere"/>
    <w:locked/>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lock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lock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Enfasigrassetto">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e"/>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locked/>
    <w:rsid w:val="002D6E1A"/>
  </w:style>
  <w:style w:type="character" w:styleId="Collegamentovisitato">
    <w:name w:val="FollowedHyperlink"/>
    <w:unhideWhenUsed/>
    <w:lock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lock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Paragraphe de liste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locked/>
    <w:rsid w:val="002D6E1A"/>
    <w:pPr>
      <w:ind w:left="708"/>
      <w:contextualSpacing w:val="0"/>
      <w:jc w:val="both"/>
    </w:pPr>
    <w:rPr>
      <w:b/>
      <w:szCs w:val="20"/>
      <w:u w:val="single"/>
    </w:rPr>
  </w:style>
  <w:style w:type="paragraph" w:customStyle="1" w:styleId="Bullet">
    <w:name w:val="Bullet"/>
    <w:basedOn w:val="Normale"/>
    <w:locked/>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locked/>
    <w:rsid w:val="002D6E1A"/>
    <w:rPr>
      <w:vertAlign w:val="superscript"/>
    </w:rPr>
  </w:style>
  <w:style w:type="character" w:styleId="Testosegnaposto">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lanorma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locked/>
    <w:rsid w:val="00952F2C"/>
  </w:style>
  <w:style w:type="paragraph" w:customStyle="1" w:styleId="aStyle">
    <w:name w:val="a) Style"/>
    <w:basedOn w:val="Normale"/>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olo5Carattere">
    <w:name w:val="Titolo 5 Carattere"/>
    <w:aliases w:val="Questions Carattere"/>
    <w:link w:val="Titolo5"/>
    <w:uiPriority w:val="9"/>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e"/>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ol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olo1"/>
    <w:next w:val="Normale"/>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e"/>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e"/>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e"/>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e"/>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e"/>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e"/>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e"/>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locked/>
    <w:rsid w:val="000D2D0B"/>
    <w:pPr>
      <w:spacing w:after="240"/>
    </w:pPr>
    <w:rPr>
      <w:rFonts w:ascii="Times New Roman" w:hAnsi="Times New Roman"/>
      <w:sz w:val="24"/>
      <w:lang w:eastAsia="en-US"/>
    </w:rPr>
  </w:style>
  <w:style w:type="paragraph" w:customStyle="1" w:styleId="Datedadoption">
    <w:name w:val="Date d'adoption"/>
    <w:basedOn w:val="Normale"/>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locked/>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locked/>
    <w:rsid w:val="000D2D0B"/>
    <w:rPr>
      <w:rFonts w:cs="Arial"/>
      <w:sz w:val="24"/>
      <w:lang w:eastAsia="en-US"/>
    </w:rPr>
  </w:style>
  <w:style w:type="paragraph" w:customStyle="1" w:styleId="Rfrenceinstitutionnelle">
    <w:name w:val="Référence institutionnelle"/>
    <w:basedOn w:val="Normale"/>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locked/>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e"/>
    <w:locked/>
    <w:rsid w:val="000D2D0B"/>
    <w:pPr>
      <w:jc w:val="center"/>
    </w:pPr>
    <w:rPr>
      <w:rFonts w:ascii="Times New Roman" w:hAnsi="Times New Roman"/>
      <w:b/>
      <w:sz w:val="24"/>
      <w:lang w:eastAsia="en-US"/>
    </w:rPr>
  </w:style>
  <w:style w:type="paragraph" w:customStyle="1" w:styleId="Statut">
    <w:name w:val="Statut"/>
    <w:basedOn w:val="Normale"/>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e"/>
    <w:next w:val="Normale"/>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locked/>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e"/>
    <w:locked/>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e"/>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locked/>
    <w:rsid w:val="000D2D0B"/>
    <w:pPr>
      <w:spacing w:after="240"/>
    </w:pPr>
  </w:style>
  <w:style w:type="paragraph" w:customStyle="1" w:styleId="Accompagnant">
    <w:name w:val="Accompagnant"/>
    <w:basedOn w:val="Normale"/>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e"/>
    <w:next w:val="Normale"/>
    <w:locked/>
    <w:rsid w:val="000D2D0B"/>
    <w:pPr>
      <w:spacing w:before="360"/>
      <w:jc w:val="center"/>
    </w:pPr>
    <w:rPr>
      <w:rFonts w:ascii="Times New Roman" w:hAnsi="Times New Roman"/>
      <w:sz w:val="24"/>
      <w:lang w:eastAsia="en-US"/>
    </w:rPr>
  </w:style>
  <w:style w:type="paragraph" w:styleId="Numeroelenco2">
    <w:name w:val="List Number 2"/>
    <w:basedOn w:val="Normale"/>
    <w:locked/>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locked/>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locked/>
    <w:rsid w:val="000D2D0B"/>
    <w:pPr>
      <w:ind w:left="720"/>
      <w:contextualSpacing/>
    </w:pPr>
    <w:rPr>
      <w:rFonts w:ascii="Cambria" w:hAnsi="Cambria"/>
      <w:sz w:val="24"/>
      <w:lang w:val="en-US" w:eastAsia="en-US"/>
    </w:rPr>
  </w:style>
  <w:style w:type="paragraph" w:customStyle="1" w:styleId="Listeavsnitt1">
    <w:name w:val="Listeavsnitt1"/>
    <w:basedOn w:val="Normale"/>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e"/>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e"/>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e"/>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e"/>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locked/>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locked/>
    <w:rsid w:val="003A6E9A"/>
    <w:rPr>
      <w:b/>
      <w:i w:val="0"/>
      <w:iCs/>
      <w:sz w:val="20"/>
    </w:rPr>
  </w:style>
  <w:style w:type="paragraph" w:customStyle="1" w:styleId="NEW-Paragraph-Level1">
    <w:name w:val="NEW-Paragraph-Level1"/>
    <w:basedOn w:val="Normale"/>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e"/>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locked/>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Carpredefinitoparagrafo"/>
    <w:link w:val="Questionstyle"/>
    <w:locked/>
    <w:rsid w:val="000A609F"/>
    <w:rPr>
      <w:rFonts w:ascii="Arial" w:eastAsiaTheme="minorEastAsia" w:hAnsi="Arial" w:cs="Arial"/>
      <w:b/>
      <w:lang w:val="en-US"/>
    </w:rPr>
  </w:style>
  <w:style w:type="paragraph" w:customStyle="1" w:styleId="Questionstyle">
    <w:name w:val="Question style"/>
    <w:basedOn w:val="Normale"/>
    <w:next w:val="Normale"/>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6ee345-342a-4c34-b515-0e829f4e4b2c">
      <Value>15</Value>
      <Value>46</Value>
      <Value>385</Value>
      <Value>194</Value>
      <Value>379</Value>
      <Value>38</Value>
    </TaxCatchAll>
    <lcf76f155ced4ddcb4097134ff3c332f xmlns="9ed13683-f1d9-4a90-a0df-21ce48bd627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B670C10F08F6E0438E33B9A979BB980E" ma:contentTypeVersion="18" ma:contentTypeDescription="Creare un nuovo documento." ma:contentTypeScope="" ma:versionID="02302c9f606c017e4e6eef7d4cb4f874">
  <xsd:schema xmlns:xsd="http://www.w3.org/2001/XMLSchema" xmlns:xs="http://www.w3.org/2001/XMLSchema" xmlns:p="http://schemas.microsoft.com/office/2006/metadata/properties" xmlns:ns2="9ed13683-f1d9-4a90-a0df-21ce48bd6272" xmlns:ns3="ba6ee345-342a-4c34-b515-0e829f4e4b2c" targetNamespace="http://schemas.microsoft.com/office/2006/metadata/properties" ma:root="true" ma:fieldsID="e1876af05d3c8058716c30c05b65be86" ns2:_="" ns3:_="">
    <xsd:import namespace="9ed13683-f1d9-4a90-a0df-21ce48bd6272"/>
    <xsd:import namespace="ba6ee345-342a-4c34-b515-0e829f4e4b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13683-f1d9-4a90-a0df-21ce48bd6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eb2841a0-3597-4ffb-8ae2-682e5bae0f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6ee345-342a-4c34-b515-0e829f4e4b2c"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d7de5074-66fe-4e6c-81c6-467ad33c5b85}" ma:internalName="TaxCatchAll" ma:showField="CatchAllData" ma:web="ba6ee345-342a-4c34-b515-0e829f4e4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ba6ee345-342a-4c34-b515-0e829f4e4b2c"/>
    <ds:schemaRef ds:uri="9ed13683-f1d9-4a90-a0df-21ce48bd6272"/>
  </ds:schemaRefs>
</ds:datastoreItem>
</file>

<file path=customXml/itemProps2.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3.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4.xml><?xml version="1.0" encoding="utf-8"?>
<ds:datastoreItem xmlns:ds="http://schemas.openxmlformats.org/officeDocument/2006/customXml" ds:itemID="{53FC39D6-57B3-439D-B082-AAB424B11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13683-f1d9-4a90-a0df-21ce48bd6272"/>
    <ds:schemaRef ds:uri="ba6ee345-342a-4c34-b515-0e829f4e4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2644</Words>
  <Characters>15077</Characters>
  <Application>Microsoft Office Word</Application>
  <DocSecurity>8</DocSecurity>
  <Lines>125</Lines>
  <Paragraphs>35</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 CP on Guidelines on funds’ names using ESG or sustainability-related terms</vt:lpstr>
      <vt:lpstr>Reply form for the MiFID II/MiFIR Consultation Paper</vt:lpstr>
      <vt:lpstr>20110000</vt:lpstr>
      <vt:lpstr>20110000</vt:lpstr>
      <vt:lpstr>20110000</vt:lpstr>
    </vt:vector>
  </TitlesOfParts>
  <Company>ESMA</Company>
  <LinksUpToDate>false</LinksUpToDate>
  <CharactersWithSpaces>17686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Alberto Cavo</cp:lastModifiedBy>
  <cp:revision>5</cp:revision>
  <cp:lastPrinted>2023-02-15T09:34:00Z</cp:lastPrinted>
  <dcterms:created xsi:type="dcterms:W3CDTF">2023-02-15T13:34:00Z</dcterms:created>
  <dcterms:modified xsi:type="dcterms:W3CDTF">2023-02-20T08:36:00Z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0x010100B670C10F08F6E0438E33B9A979BB980E</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