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uzeil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lastRenderedPageBreak/>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7A68491E" w14:textId="5E27B6CA" w:rsidR="00C2682A" w:rsidRPr="00AB6D88" w:rsidRDefault="00950C94" w:rsidP="00950C94">
                <w:pPr>
                  <w:rPr>
                    <w:rStyle w:val="Platzhaltertext"/>
                    <w:rFonts w:cs="Arial"/>
                  </w:rPr>
                </w:pPr>
                <w:r>
                  <w:rPr>
                    <w:rStyle w:val="Platzhaltertext"/>
                    <w:rFonts w:cs="Arial"/>
                  </w:rPr>
                  <w:t>Environment Agency Austria</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2D2A62E" w:rsidR="00C2682A" w:rsidRPr="00AB6D88" w:rsidRDefault="00576BE4"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447CE">
                  <w:rPr>
                    <w:rFonts w:cs="Arial"/>
                  </w:rPr>
                  <w:t>Non-financial counterparty</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BA03808" w:rsidR="00C2682A" w:rsidRPr="00AB6D88" w:rsidRDefault="00E61F4E" w:rsidP="00FA5524">
                <w:pPr>
                  <w:rPr>
                    <w:rFonts w:cs="Arial"/>
                  </w:rPr>
                </w:pPr>
                <w:r>
                  <w:rPr>
                    <w:rFonts w:cs="Arial"/>
                  </w:rPr>
                  <w:t>Austria</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77777777" w:rsidR="00B92885" w:rsidRPr="00B92885" w:rsidRDefault="00B92885" w:rsidP="00B92885">
      <w:pPr>
        <w:spacing w:after="160" w:line="259" w:lineRule="auto"/>
        <w:rPr>
          <w:rFonts w:ascii="Calibri" w:eastAsia="Calibri" w:hAnsi="Calibri"/>
          <w:sz w:val="22"/>
          <w:szCs w:val="22"/>
          <w:lang w:eastAsia="en-US"/>
        </w:rPr>
      </w:pPr>
      <w:permStart w:id="1100430741" w:edGrp="everyone"/>
      <w:r w:rsidRPr="00B92885">
        <w:rPr>
          <w:rFonts w:ascii="Calibri" w:eastAsia="Calibri" w:hAnsi="Calibri"/>
          <w:sz w:val="22"/>
          <w:szCs w:val="22"/>
          <w:lang w:eastAsia="en-US"/>
        </w:rPr>
        <w:t>TYPE YOUR TEXT HERE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522DBFEA" w14:textId="2E9495C8" w:rsidR="00537688" w:rsidRDefault="00537688" w:rsidP="00537688">
      <w:pPr>
        <w:pStyle w:val="Default"/>
        <w:spacing w:after="175"/>
        <w:rPr>
          <w:rFonts w:ascii="Arial" w:hAnsi="Arial"/>
          <w:i/>
          <w:iCs/>
          <w:color w:val="00B050"/>
          <w:sz w:val="22"/>
          <w:szCs w:val="22"/>
          <w:lang w:val="en-US" w:eastAsia="en-US"/>
        </w:rPr>
      </w:pPr>
      <w:permStart w:id="1596738700" w:edGrp="everyone"/>
      <w:r>
        <w:rPr>
          <w:b/>
          <w:bCs/>
          <w:i/>
          <w:iCs/>
          <w:color w:val="00B050"/>
          <w:sz w:val="22"/>
          <w:szCs w:val="22"/>
          <w:lang w:val="en-US"/>
        </w:rPr>
        <w:t xml:space="preserve">Yes, we do agree with the necessity to introduce minimum </w:t>
      </w:r>
      <w:r w:rsidR="00452419">
        <w:rPr>
          <w:b/>
          <w:bCs/>
          <w:i/>
          <w:iCs/>
          <w:color w:val="00B050"/>
          <w:sz w:val="22"/>
          <w:szCs w:val="22"/>
          <w:lang w:val="en-US"/>
        </w:rPr>
        <w:t xml:space="preserve">quantitative </w:t>
      </w:r>
      <w:r>
        <w:rPr>
          <w:b/>
          <w:bCs/>
          <w:i/>
          <w:iCs/>
          <w:color w:val="00B050"/>
          <w:sz w:val="22"/>
          <w:szCs w:val="22"/>
          <w:lang w:val="en-US"/>
        </w:rPr>
        <w:t>thresholds.</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7D38B6DF" w14:textId="77777777" w:rsidR="00287E13" w:rsidRDefault="00287E13" w:rsidP="00287E13">
      <w:pPr>
        <w:pStyle w:val="Default"/>
        <w:spacing w:after="175"/>
        <w:rPr>
          <w:rFonts w:ascii="Arial" w:hAnsi="Arial"/>
          <w:i/>
          <w:iCs/>
          <w:color w:val="00B050"/>
          <w:sz w:val="22"/>
          <w:szCs w:val="22"/>
          <w:lang w:val="en-US" w:eastAsia="en-US"/>
        </w:rPr>
      </w:pPr>
      <w:permStart w:id="1305634831" w:edGrp="everyone"/>
      <w:r>
        <w:rPr>
          <w:b/>
          <w:bCs/>
          <w:i/>
          <w:iCs/>
          <w:color w:val="00B050"/>
          <w:sz w:val="22"/>
          <w:szCs w:val="22"/>
          <w:lang w:val="en-US"/>
        </w:rPr>
        <w:t xml:space="preserve">Despite other possibilities for deriving a sound threshold (e.g. by relating the threshold only to asset class types which can already be managed in a “ESG”-manner), we support the proposed methodology since it is the most clear and transparent approach. </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0353C7C8" w14:textId="74928350" w:rsidR="00287E13" w:rsidRDefault="00287E13" w:rsidP="00287E13">
      <w:pPr>
        <w:pStyle w:val="Default"/>
        <w:spacing w:after="175"/>
        <w:rPr>
          <w:rFonts w:ascii="Arial" w:hAnsi="Arial"/>
          <w:b/>
          <w:bCs/>
          <w:i/>
          <w:iCs/>
          <w:color w:val="00B050"/>
          <w:sz w:val="22"/>
          <w:szCs w:val="22"/>
          <w:lang w:val="en-US" w:eastAsia="en-US"/>
        </w:rPr>
      </w:pPr>
      <w:permStart w:id="347949177" w:edGrp="everyone"/>
      <w:r>
        <w:rPr>
          <w:b/>
          <w:bCs/>
          <w:i/>
          <w:iCs/>
          <w:color w:val="00B050"/>
          <w:sz w:val="22"/>
          <w:szCs w:val="22"/>
          <w:lang w:val="en-US"/>
        </w:rPr>
        <w:t>We support to relate the word “sustainable” to a minimum threshold of Art.9 SFDR-</w:t>
      </w:r>
      <w:r w:rsidR="0015602C" w:rsidRPr="0015602C">
        <w:rPr>
          <w:b/>
          <w:bCs/>
          <w:i/>
          <w:iCs/>
          <w:color w:val="00B050"/>
          <w:sz w:val="22"/>
          <w:szCs w:val="22"/>
          <w:lang w:val="en-US"/>
        </w:rPr>
        <w:t xml:space="preserve">classified </w:t>
      </w:r>
      <w:r>
        <w:rPr>
          <w:b/>
          <w:bCs/>
          <w:i/>
          <w:iCs/>
          <w:color w:val="00B050"/>
          <w:sz w:val="22"/>
          <w:szCs w:val="22"/>
          <w:lang w:val="en-US"/>
        </w:rPr>
        <w:t>investments. Not introducing this linkage bears high risk of misinterpretation by investors since the fund’s wording would then falsely imply a strong investment focus on Art. 9 SFDR-</w:t>
      </w:r>
      <w:r w:rsidR="00576BE4">
        <w:rPr>
          <w:b/>
          <w:bCs/>
          <w:i/>
          <w:iCs/>
          <w:color w:val="00B050"/>
          <w:sz w:val="22"/>
          <w:szCs w:val="22"/>
          <w:lang w:val="en-US"/>
        </w:rPr>
        <w:t>like</w:t>
      </w:r>
      <w:r>
        <w:rPr>
          <w:b/>
          <w:bCs/>
          <w:i/>
          <w:iCs/>
          <w:color w:val="00B050"/>
          <w:sz w:val="22"/>
          <w:szCs w:val="22"/>
          <w:lang w:val="en-US"/>
        </w:rPr>
        <w:t xml:space="preserve"> investment activities.</w:t>
      </w:r>
    </w:p>
    <w:p w14:paraId="5D78E59E" w14:textId="074DD3DF" w:rsidR="00854A2F" w:rsidRDefault="00287E13" w:rsidP="00287E13">
      <w:pPr>
        <w:pStyle w:val="Default"/>
        <w:spacing w:after="175"/>
        <w:rPr>
          <w:b/>
          <w:bCs/>
          <w:i/>
          <w:iCs/>
          <w:color w:val="00B050"/>
          <w:sz w:val="22"/>
          <w:szCs w:val="22"/>
          <w:lang w:val="en-US"/>
        </w:rPr>
      </w:pPr>
      <w:r>
        <w:rPr>
          <w:b/>
          <w:bCs/>
          <w:i/>
          <w:iCs/>
          <w:color w:val="00B050"/>
          <w:sz w:val="22"/>
          <w:szCs w:val="22"/>
          <w:lang w:val="en-US"/>
        </w:rPr>
        <w:t>As regards the threshold, we do support keeping at least a minimum level of 50</w:t>
      </w:r>
      <w:r w:rsidR="00A447CE">
        <w:rPr>
          <w:b/>
          <w:bCs/>
          <w:i/>
          <w:iCs/>
          <w:color w:val="00B050"/>
          <w:sz w:val="22"/>
          <w:szCs w:val="22"/>
          <w:lang w:val="en-US"/>
        </w:rPr>
        <w:t xml:space="preserve"> </w:t>
      </w:r>
      <w:r>
        <w:rPr>
          <w:b/>
          <w:bCs/>
          <w:i/>
          <w:iCs/>
          <w:color w:val="00B050"/>
          <w:sz w:val="22"/>
          <w:szCs w:val="22"/>
          <w:lang w:val="en-US"/>
        </w:rPr>
        <w:t>%</w:t>
      </w:r>
      <w:r w:rsidR="00284996">
        <w:rPr>
          <w:b/>
          <w:bCs/>
          <w:i/>
          <w:iCs/>
          <w:color w:val="00B050"/>
          <w:sz w:val="22"/>
          <w:szCs w:val="22"/>
          <w:lang w:val="en-US"/>
        </w:rPr>
        <w:t>. However, opposed to point 15 (b) on the accompanying ‘Consultation Paper’, we suggest relating the threshold to the</w:t>
      </w:r>
      <w:r w:rsidR="00B347C6" w:rsidRPr="00284996">
        <w:rPr>
          <w:b/>
          <w:bCs/>
          <w:i/>
          <w:iCs/>
          <w:color w:val="00B050"/>
          <w:sz w:val="22"/>
          <w:szCs w:val="22"/>
          <w:lang w:val="en-US"/>
        </w:rPr>
        <w:t xml:space="preserve"> entire investment</w:t>
      </w:r>
      <w:r w:rsidR="00284996" w:rsidRPr="00284996">
        <w:rPr>
          <w:b/>
          <w:bCs/>
          <w:i/>
          <w:iCs/>
          <w:color w:val="00B050"/>
          <w:sz w:val="22"/>
          <w:szCs w:val="22"/>
          <w:lang w:val="en-US"/>
        </w:rPr>
        <w:t>s and not the 80 % of the minimum proportion of investments using ESG or impact-related words</w:t>
      </w:r>
      <w:r>
        <w:rPr>
          <w:b/>
          <w:bCs/>
          <w:i/>
          <w:iCs/>
          <w:color w:val="00B050"/>
          <w:sz w:val="22"/>
          <w:szCs w:val="22"/>
          <w:lang w:val="en-US"/>
        </w:rPr>
        <w:t xml:space="preserve"> since </w:t>
      </w:r>
      <w:r w:rsidR="00B347C6" w:rsidRPr="00284996">
        <w:rPr>
          <w:b/>
          <w:bCs/>
          <w:i/>
          <w:iCs/>
          <w:color w:val="00B050"/>
          <w:sz w:val="22"/>
          <w:szCs w:val="22"/>
          <w:lang w:val="en-US"/>
        </w:rPr>
        <w:t>the</w:t>
      </w:r>
      <w:r w:rsidR="00B347C6" w:rsidRPr="00B347C6">
        <w:rPr>
          <w:b/>
          <w:bCs/>
          <w:i/>
          <w:iCs/>
          <w:color w:val="00B0F0"/>
          <w:sz w:val="22"/>
          <w:szCs w:val="22"/>
          <w:lang w:val="en-US"/>
        </w:rPr>
        <w:t xml:space="preserve"> </w:t>
      </w:r>
      <w:r>
        <w:rPr>
          <w:b/>
          <w:bCs/>
          <w:i/>
          <w:iCs/>
          <w:color w:val="00B050"/>
          <w:sz w:val="22"/>
          <w:szCs w:val="22"/>
          <w:lang w:val="en-US"/>
        </w:rPr>
        <w:t>majority of the investment volume should be Art.9 SFDR-</w:t>
      </w:r>
      <w:r w:rsidR="00576BE4">
        <w:rPr>
          <w:b/>
          <w:bCs/>
          <w:i/>
          <w:iCs/>
          <w:color w:val="00B050"/>
          <w:sz w:val="22"/>
          <w:szCs w:val="22"/>
          <w:lang w:val="en-US"/>
        </w:rPr>
        <w:t>aligned</w:t>
      </w:r>
      <w:r>
        <w:rPr>
          <w:b/>
          <w:bCs/>
          <w:i/>
          <w:iCs/>
          <w:color w:val="00B050"/>
          <w:sz w:val="22"/>
          <w:szCs w:val="22"/>
          <w:lang w:val="en-US"/>
        </w:rPr>
        <w:t xml:space="preserve"> to justify a naming accordingly.</w:t>
      </w:r>
    </w:p>
    <w:p w14:paraId="06A83F36" w14:textId="0F519C26" w:rsidR="00842742" w:rsidRPr="00854A2F" w:rsidRDefault="00842742" w:rsidP="00287E13">
      <w:pPr>
        <w:pStyle w:val="Default"/>
        <w:spacing w:after="175"/>
        <w:rPr>
          <w:b/>
          <w:bCs/>
          <w:i/>
          <w:iCs/>
          <w:color w:val="00B050"/>
          <w:sz w:val="22"/>
          <w:szCs w:val="22"/>
          <w:lang w:val="en-US"/>
        </w:rPr>
      </w:pPr>
      <w:r>
        <w:rPr>
          <w:b/>
          <w:bCs/>
          <w:i/>
          <w:iCs/>
          <w:color w:val="00B050"/>
          <w:sz w:val="22"/>
          <w:szCs w:val="22"/>
          <w:lang w:val="en-US"/>
        </w:rPr>
        <w:t>Additionally it is worth thinking about the inclusion of a minimum threshold of EU-taxonomy-aligned investments for funds with “sustainable” in their name. This approach could be phased-in in a stepwise fashion.</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lastRenderedPageBreak/>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68EE0A0A" w14:textId="39886BB5" w:rsidR="005B6B54" w:rsidRPr="005B6B54" w:rsidRDefault="00287E13" w:rsidP="00287E13">
      <w:pPr>
        <w:pStyle w:val="Default"/>
        <w:spacing w:after="175"/>
        <w:rPr>
          <w:b/>
          <w:bCs/>
          <w:i/>
          <w:iCs/>
          <w:color w:val="00B050"/>
          <w:sz w:val="22"/>
          <w:szCs w:val="22"/>
          <w:lang w:val="en-US"/>
        </w:rPr>
      </w:pPr>
      <w:permStart w:id="351877901" w:edGrp="everyone"/>
      <w:r>
        <w:rPr>
          <w:b/>
          <w:bCs/>
          <w:i/>
          <w:iCs/>
          <w:color w:val="00B050"/>
          <w:sz w:val="22"/>
          <w:szCs w:val="22"/>
          <w:lang w:val="en-US"/>
        </w:rPr>
        <w:t xml:space="preserve">No, we don’t see any </w:t>
      </w:r>
      <w:r w:rsidR="00B347C6">
        <w:rPr>
          <w:b/>
          <w:bCs/>
          <w:i/>
          <w:iCs/>
          <w:color w:val="00B050"/>
          <w:sz w:val="22"/>
          <w:szCs w:val="22"/>
          <w:lang w:val="en-US"/>
        </w:rPr>
        <w:t xml:space="preserve">other </w:t>
      </w:r>
      <w:r>
        <w:rPr>
          <w:b/>
          <w:bCs/>
          <w:i/>
          <w:iCs/>
          <w:color w:val="00B050"/>
          <w:sz w:val="22"/>
          <w:szCs w:val="22"/>
          <w:lang w:val="en-US"/>
        </w:rPr>
        <w:t>reasonable, fair and clear mechanisms.</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4974CDF" w14:textId="5A9676BA" w:rsidR="005B6B54" w:rsidRDefault="005B6B54" w:rsidP="005B6B54">
      <w:pPr>
        <w:pStyle w:val="Default"/>
        <w:spacing w:after="175"/>
        <w:rPr>
          <w:b/>
          <w:bCs/>
          <w:i/>
          <w:iCs/>
          <w:color w:val="00B050"/>
          <w:sz w:val="22"/>
          <w:szCs w:val="22"/>
          <w:lang w:val="en-US"/>
        </w:rPr>
      </w:pPr>
      <w:permStart w:id="1539323392" w:edGrp="everyone"/>
      <w:r>
        <w:rPr>
          <w:b/>
          <w:bCs/>
          <w:i/>
          <w:iCs/>
          <w:color w:val="00B050"/>
          <w:sz w:val="22"/>
          <w:szCs w:val="22"/>
          <w:lang w:val="en-US"/>
        </w:rPr>
        <w:t>We support quantitative thresholds since they 1. tackle greenwashing risks best 2. enable better comparability between ESG/sustainability-related funds and 3. give investment managers clear guidance for funds’ naming’s.</w:t>
      </w:r>
    </w:p>
    <w:p w14:paraId="5955A80B" w14:textId="2295218E" w:rsidR="005B6B54" w:rsidRPr="005B6B54" w:rsidRDefault="00C543AA" w:rsidP="005B6B54">
      <w:pPr>
        <w:pStyle w:val="Default"/>
        <w:spacing w:after="175"/>
        <w:rPr>
          <w:rFonts w:ascii="Arial" w:hAnsi="Arial"/>
          <w:b/>
          <w:bCs/>
          <w:i/>
          <w:iCs/>
          <w:color w:val="FFC000"/>
          <w:sz w:val="22"/>
          <w:szCs w:val="22"/>
          <w:lang w:val="en-US" w:eastAsia="en-US"/>
        </w:rPr>
      </w:pPr>
      <w:r w:rsidRPr="00C543AA">
        <w:rPr>
          <w:b/>
          <w:bCs/>
          <w:i/>
          <w:iCs/>
          <w:color w:val="00B050"/>
          <w:sz w:val="22"/>
          <w:szCs w:val="22"/>
          <w:lang w:val="en-US"/>
        </w:rPr>
        <w:t xml:space="preserve">A standardized EU </w:t>
      </w:r>
      <w:r w:rsidR="005B6B54" w:rsidRPr="00C543AA">
        <w:rPr>
          <w:b/>
          <w:bCs/>
          <w:i/>
          <w:iCs/>
          <w:color w:val="00B050"/>
          <w:sz w:val="22"/>
          <w:szCs w:val="22"/>
          <w:lang w:val="en-US"/>
        </w:rPr>
        <w:t>Ecolabe</w:t>
      </w:r>
      <w:r w:rsidR="0015602C">
        <w:rPr>
          <w:b/>
          <w:bCs/>
          <w:i/>
          <w:iCs/>
          <w:color w:val="00B050"/>
          <w:sz w:val="22"/>
          <w:szCs w:val="22"/>
          <w:lang w:val="en-US"/>
        </w:rPr>
        <w:t>l</w:t>
      </w:r>
      <w:r w:rsidR="005B6B54" w:rsidRPr="00C543AA">
        <w:rPr>
          <w:b/>
          <w:bCs/>
          <w:i/>
          <w:iCs/>
          <w:color w:val="00B050"/>
          <w:sz w:val="22"/>
          <w:szCs w:val="22"/>
          <w:lang w:val="en-US"/>
        </w:rPr>
        <w:t xml:space="preserve"> for funds could </w:t>
      </w:r>
      <w:r w:rsidR="00576BE4">
        <w:rPr>
          <w:b/>
          <w:bCs/>
          <w:i/>
          <w:iCs/>
          <w:color w:val="00B050"/>
          <w:sz w:val="22"/>
          <w:szCs w:val="22"/>
          <w:lang w:val="en-US"/>
        </w:rPr>
        <w:t xml:space="preserve">further </w:t>
      </w:r>
      <w:bookmarkStart w:id="4" w:name="_GoBack"/>
      <w:bookmarkEnd w:id="4"/>
      <w:r w:rsidR="005B6B54" w:rsidRPr="00C543AA">
        <w:rPr>
          <w:b/>
          <w:bCs/>
          <w:i/>
          <w:iCs/>
          <w:color w:val="00B050"/>
          <w:sz w:val="22"/>
          <w:szCs w:val="22"/>
          <w:lang w:val="en-US"/>
        </w:rPr>
        <w:t>support the achievement of the supervisory aim.</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48DD823A" w14:textId="34C803AB" w:rsidR="005B6B54" w:rsidRDefault="005B6B54">
      <w:pPr>
        <w:pStyle w:val="Default"/>
        <w:spacing w:after="175"/>
        <w:divId w:val="155271613"/>
        <w:rPr>
          <w:rFonts w:ascii="Arial" w:hAnsi="Arial"/>
          <w:b/>
          <w:bCs/>
          <w:i/>
          <w:iCs/>
          <w:color w:val="00B050"/>
          <w:sz w:val="22"/>
          <w:szCs w:val="22"/>
          <w:lang w:val="en-US" w:eastAsia="en-US"/>
        </w:rPr>
      </w:pPr>
      <w:permStart w:id="175976681" w:edGrp="everyone"/>
      <w:r>
        <w:rPr>
          <w:b/>
          <w:bCs/>
          <w:i/>
          <w:iCs/>
          <w:color w:val="00B050"/>
          <w:sz w:val="22"/>
          <w:szCs w:val="22"/>
          <w:lang w:val="en-US"/>
        </w:rPr>
        <w:t>We do support introducing minimum safeguards. However, relating them to Commission Delegated Regulation (EU) 2020/1818 Article 12(1)d-g would drastically limit transition investments</w:t>
      </w:r>
      <w:r w:rsidR="00DB76E3">
        <w:rPr>
          <w:b/>
          <w:bCs/>
          <w:i/>
          <w:iCs/>
          <w:color w:val="00B050"/>
          <w:sz w:val="22"/>
          <w:szCs w:val="22"/>
          <w:lang w:val="en-US"/>
        </w:rPr>
        <w:t>. In Article 12(1)</w:t>
      </w:r>
      <w:r>
        <w:rPr>
          <w:b/>
          <w:bCs/>
          <w:i/>
          <w:iCs/>
          <w:color w:val="00B050"/>
          <w:sz w:val="22"/>
          <w:szCs w:val="22"/>
          <w:lang w:val="en-US"/>
        </w:rPr>
        <w:t xml:space="preserve"> d-g various revenue-based thresholds for the classification of fossil fuel companies are listed. However, these thresholds do not differentiate between fossil fuel companies willing and effectively implementing a decarbonisation/Paris-aligned pathway and others which are not. Since decarbonizing the fossil fuel industry is key for our common climate ambitions it is necessary to incentivize such companies to start decarbonizing</w:t>
      </w:r>
      <w:r w:rsidR="006B68D7" w:rsidRPr="006B68D7">
        <w:rPr>
          <w:b/>
          <w:bCs/>
          <w:i/>
          <w:iCs/>
          <w:color w:val="00B050"/>
          <w:sz w:val="22"/>
          <w:szCs w:val="22"/>
          <w:lang w:val="en-US"/>
        </w:rPr>
        <w:t xml:space="preserve"> </w:t>
      </w:r>
      <w:r w:rsidR="006B68D7">
        <w:rPr>
          <w:b/>
          <w:bCs/>
          <w:i/>
          <w:iCs/>
          <w:color w:val="00B050"/>
          <w:sz w:val="22"/>
          <w:szCs w:val="22"/>
          <w:lang w:val="en-US"/>
        </w:rPr>
        <w:t>immediately</w:t>
      </w:r>
      <w:r>
        <w:rPr>
          <w:b/>
          <w:bCs/>
          <w:i/>
          <w:iCs/>
          <w:color w:val="00B050"/>
          <w:sz w:val="22"/>
          <w:szCs w:val="22"/>
          <w:lang w:val="en-US"/>
        </w:rPr>
        <w:t xml:space="preserve">. By including decarbonizing fossil fuel companies in the investment universe of ESG-named funds, we would additionally incentivize fossil </w:t>
      </w:r>
      <w:r>
        <w:rPr>
          <w:b/>
          <w:bCs/>
          <w:i/>
          <w:iCs/>
          <w:color w:val="00B050"/>
          <w:sz w:val="22"/>
          <w:szCs w:val="22"/>
          <w:lang w:val="en-US"/>
        </w:rPr>
        <w:lastRenderedPageBreak/>
        <w:t>fuel companies with less climate ambitions to re-orient their business model.</w:t>
      </w:r>
    </w:p>
    <w:p w14:paraId="6EE97467" w14:textId="0E871CE4" w:rsidR="00B92885" w:rsidRDefault="005B6B54" w:rsidP="00B92885">
      <w:r w:rsidRPr="00DB76E3">
        <w:rPr>
          <w:rFonts w:ascii="Georgia" w:hAnsi="Georgia" w:cs="Georgia"/>
          <w:b/>
          <w:bCs/>
          <w:i/>
          <w:iCs/>
          <w:color w:val="00B050"/>
          <w:sz w:val="22"/>
          <w:szCs w:val="22"/>
          <w:lang w:val="en-US" w:eastAsia="en-GB"/>
        </w:rPr>
        <w:t xml:space="preserve">In order to mirror transition finance in the minimum safeguards the reference to Article 12(1) d-g could be complemented by </w:t>
      </w:r>
      <w:r w:rsidR="0015602C">
        <w:rPr>
          <w:rFonts w:ascii="Georgia" w:hAnsi="Georgia" w:cs="Georgia"/>
          <w:b/>
          <w:bCs/>
          <w:i/>
          <w:iCs/>
          <w:color w:val="00B050"/>
          <w:sz w:val="22"/>
          <w:szCs w:val="22"/>
          <w:lang w:val="en-US" w:eastAsia="en-GB"/>
        </w:rPr>
        <w:t xml:space="preserve">only </w:t>
      </w:r>
      <w:r w:rsidRPr="00DB76E3">
        <w:rPr>
          <w:rFonts w:ascii="Georgia" w:hAnsi="Georgia" w:cs="Georgia"/>
          <w:b/>
          <w:bCs/>
          <w:i/>
          <w:iCs/>
          <w:color w:val="00B050"/>
          <w:sz w:val="22"/>
          <w:szCs w:val="22"/>
          <w:lang w:val="en-US" w:eastAsia="en-GB"/>
        </w:rPr>
        <w:t xml:space="preserve">referring </w:t>
      </w:r>
      <w:r w:rsidR="0015602C">
        <w:rPr>
          <w:rFonts w:ascii="Georgia" w:hAnsi="Georgia" w:cs="Georgia"/>
          <w:b/>
          <w:bCs/>
          <w:i/>
          <w:iCs/>
          <w:color w:val="00B050"/>
          <w:sz w:val="22"/>
          <w:szCs w:val="22"/>
          <w:lang w:val="en-US" w:eastAsia="en-GB"/>
        </w:rPr>
        <w:t xml:space="preserve">to the exclusion </w:t>
      </w:r>
      <w:r w:rsidRPr="00DB76E3">
        <w:rPr>
          <w:rFonts w:ascii="Georgia" w:hAnsi="Georgia" w:cs="Georgia"/>
          <w:b/>
          <w:bCs/>
          <w:i/>
          <w:iCs/>
          <w:color w:val="00B050"/>
          <w:sz w:val="22"/>
          <w:szCs w:val="22"/>
          <w:lang w:val="en-US" w:eastAsia="en-GB"/>
        </w:rPr>
        <w:t>o</w:t>
      </w:r>
      <w:r w:rsidR="0015602C">
        <w:rPr>
          <w:rFonts w:ascii="Georgia" w:hAnsi="Georgia" w:cs="Georgia"/>
          <w:b/>
          <w:bCs/>
          <w:i/>
          <w:iCs/>
          <w:color w:val="00B050"/>
          <w:sz w:val="22"/>
          <w:szCs w:val="22"/>
          <w:lang w:val="en-US" w:eastAsia="en-GB"/>
        </w:rPr>
        <w:t>f</w:t>
      </w:r>
      <w:r w:rsidRPr="00DB76E3">
        <w:rPr>
          <w:rFonts w:ascii="Georgia" w:hAnsi="Georgia" w:cs="Georgia"/>
          <w:b/>
          <w:bCs/>
          <w:i/>
          <w:iCs/>
          <w:color w:val="00B050"/>
          <w:sz w:val="22"/>
          <w:szCs w:val="22"/>
          <w:lang w:val="en-US" w:eastAsia="en-GB"/>
        </w:rPr>
        <w:t xml:space="preserve"> fossil fuel companies expanding their fossil fuel infrastructure</w:t>
      </w:r>
      <w:r w:rsidR="0015602C">
        <w:rPr>
          <w:rFonts w:ascii="Georgia" w:hAnsi="Georgia" w:cs="Georgia"/>
          <w:b/>
          <w:bCs/>
          <w:i/>
          <w:iCs/>
          <w:color w:val="00B050"/>
          <w:sz w:val="22"/>
          <w:szCs w:val="22"/>
          <w:lang w:val="en-US" w:eastAsia="en-GB"/>
        </w:rPr>
        <w:t xml:space="preserve"> </w:t>
      </w:r>
      <w:r w:rsidR="0015602C" w:rsidRPr="0015602C">
        <w:t xml:space="preserve"> </w:t>
      </w:r>
      <w:r w:rsidR="0015602C" w:rsidRPr="0015602C">
        <w:rPr>
          <w:rFonts w:ascii="Georgia" w:hAnsi="Georgia" w:cs="Georgia"/>
          <w:b/>
          <w:bCs/>
          <w:i/>
          <w:iCs/>
          <w:color w:val="00B050"/>
          <w:sz w:val="22"/>
          <w:szCs w:val="22"/>
          <w:lang w:val="en-US" w:eastAsia="en-GB"/>
        </w:rPr>
        <w:t>and to those fossil fuel companies which don’t have 1.5°C aligned transition plans with 5 yr interim targets</w:t>
      </w:r>
      <w:r w:rsidRPr="00DB76E3">
        <w:rPr>
          <w:rFonts w:ascii="Georgia" w:hAnsi="Georgia" w:cs="Georgia"/>
          <w:b/>
          <w:bCs/>
          <w:i/>
          <w:iCs/>
          <w:color w:val="00B050"/>
          <w:sz w:val="22"/>
          <w:szCs w:val="22"/>
          <w:lang w:val="en-US" w:eastAsia="en-GB"/>
        </w:rPr>
        <w:t>.</w:t>
      </w:r>
      <w:r>
        <w:t xml:space="preserve"> </w:t>
      </w:r>
      <w:permEnd w:id="175976681"/>
      <w:r w:rsidR="00B92885">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77777777" w:rsidR="00B92885" w:rsidRDefault="00B92885" w:rsidP="00B92885">
      <w:permStart w:id="576722602" w:edGrp="everyone"/>
      <w:r>
        <w:t>TYPE YOUR TEXT HERE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30D774AE" w14:textId="53BE6974" w:rsidR="00DB76E3" w:rsidRPr="00EA0D34" w:rsidRDefault="00DB76E3" w:rsidP="00DB76E3">
      <w:pPr>
        <w:pStyle w:val="Default"/>
        <w:spacing w:after="175"/>
        <w:rPr>
          <w:rFonts w:ascii="Arial" w:hAnsi="Arial"/>
          <w:i/>
          <w:iCs/>
          <w:color w:val="FFC000"/>
          <w:sz w:val="22"/>
          <w:szCs w:val="22"/>
          <w:lang w:val="en-US" w:eastAsia="en-US"/>
        </w:rPr>
      </w:pPr>
      <w:permStart w:id="650455330" w:edGrp="everyone"/>
      <w:r w:rsidRPr="00C543AA">
        <w:rPr>
          <w:b/>
          <w:bCs/>
          <w:i/>
          <w:iCs/>
          <w:color w:val="00B050"/>
          <w:sz w:val="22"/>
          <w:szCs w:val="22"/>
          <w:lang w:val="en-US"/>
        </w:rPr>
        <w:t>Yes, we agree that funds designatin</w:t>
      </w:r>
      <w:r w:rsidR="00C543AA">
        <w:rPr>
          <w:b/>
          <w:bCs/>
          <w:i/>
          <w:iCs/>
          <w:color w:val="00B050"/>
          <w:sz w:val="22"/>
          <w:szCs w:val="22"/>
          <w:lang w:val="en-US"/>
        </w:rPr>
        <w:t>g an index as a reference shall</w:t>
      </w:r>
      <w:r w:rsidRPr="00C543AA">
        <w:rPr>
          <w:b/>
          <w:bCs/>
          <w:i/>
          <w:iCs/>
          <w:color w:val="00B050"/>
          <w:sz w:val="22"/>
          <w:szCs w:val="22"/>
          <w:lang w:val="en-US"/>
        </w:rPr>
        <w:t xml:space="preserve"> consider the same requirements</w:t>
      </w:r>
      <w:r w:rsidR="006B68D7" w:rsidRPr="00C543AA">
        <w:rPr>
          <w:b/>
          <w:bCs/>
          <w:i/>
          <w:iCs/>
          <w:color w:val="00B050"/>
          <w:sz w:val="22"/>
          <w:szCs w:val="22"/>
          <w:lang w:val="en-US"/>
        </w:rPr>
        <w:t xml:space="preserve"> to ensure comparability</w:t>
      </w:r>
      <w:r w:rsidRPr="00C543AA">
        <w:rPr>
          <w:b/>
          <w:bCs/>
          <w:i/>
          <w:iCs/>
          <w:color w:val="00B050"/>
          <w:sz w:val="22"/>
          <w:szCs w:val="22"/>
          <w:lang w:val="en-US"/>
        </w:rPr>
        <w:t>.</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lastRenderedPageBreak/>
        <w:t>&lt;ESMA_QUESTION_FUNA_9&gt;</w:t>
      </w:r>
    </w:p>
    <w:p w14:paraId="08901A8C" w14:textId="77777777" w:rsidR="00B92885" w:rsidRDefault="00B92885" w:rsidP="00B92885">
      <w:permStart w:id="1876589445" w:edGrp="everyone"/>
      <w:r>
        <w:t>TYPE YOUR TEXT HERE</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43D08C6" w14:textId="5F2327A4" w:rsidR="004A68F9" w:rsidRPr="00095931" w:rsidRDefault="00DB76E3" w:rsidP="00DB76E3">
      <w:pPr>
        <w:pStyle w:val="Default"/>
        <w:spacing w:after="175"/>
        <w:rPr>
          <w:b/>
          <w:bCs/>
          <w:i/>
          <w:iCs/>
          <w:color w:val="00B050"/>
          <w:sz w:val="22"/>
          <w:szCs w:val="22"/>
          <w:lang w:val="en-US"/>
        </w:rPr>
      </w:pPr>
      <w:permStart w:id="1992309739" w:edGrp="everyone"/>
      <w:r>
        <w:rPr>
          <w:b/>
          <w:bCs/>
          <w:i/>
          <w:iCs/>
          <w:color w:val="00B050"/>
          <w:sz w:val="22"/>
          <w:szCs w:val="22"/>
          <w:lang w:val="en-US"/>
        </w:rPr>
        <w:t xml:space="preserve">No, an additional provision would make it more complicated </w:t>
      </w:r>
      <w:r w:rsidR="00A447CE">
        <w:rPr>
          <w:b/>
          <w:bCs/>
          <w:i/>
          <w:iCs/>
          <w:color w:val="00B050"/>
          <w:sz w:val="22"/>
          <w:szCs w:val="22"/>
          <w:lang w:val="en-US"/>
        </w:rPr>
        <w:t xml:space="preserve">for users </w:t>
      </w:r>
      <w:r>
        <w:rPr>
          <w:b/>
          <w:bCs/>
          <w:i/>
          <w:iCs/>
          <w:color w:val="00B050"/>
          <w:sz w:val="22"/>
          <w:szCs w:val="22"/>
          <w:lang w:val="en-US"/>
        </w:rPr>
        <w:t xml:space="preserve">without real added value. </w:t>
      </w:r>
      <w:r w:rsidR="00A447CE">
        <w:rPr>
          <w:b/>
          <w:bCs/>
          <w:i/>
          <w:iCs/>
          <w:color w:val="00B050"/>
          <w:sz w:val="22"/>
          <w:szCs w:val="22"/>
          <w:lang w:val="en-US"/>
        </w:rPr>
        <w:t>The term “i</w:t>
      </w:r>
      <w:r>
        <w:rPr>
          <w:b/>
          <w:bCs/>
          <w:i/>
          <w:iCs/>
          <w:color w:val="00B050"/>
          <w:sz w:val="22"/>
          <w:szCs w:val="22"/>
          <w:lang w:val="en-US"/>
        </w:rPr>
        <w:t>mpact” or impact-related should have the same provisions as sustainability-related terms.</w:t>
      </w:r>
      <w:r w:rsidR="00095931">
        <w:rPr>
          <w:b/>
          <w:bCs/>
          <w:i/>
          <w:iCs/>
          <w:color w:val="00B050"/>
          <w:sz w:val="22"/>
          <w:szCs w:val="22"/>
          <w:lang w:val="en-US"/>
        </w:rPr>
        <w:t xml:space="preserve"> </w:t>
      </w:r>
      <w:r w:rsidR="00867921">
        <w:rPr>
          <w:b/>
          <w:bCs/>
          <w:i/>
          <w:iCs/>
          <w:color w:val="00B050"/>
          <w:sz w:val="22"/>
          <w:szCs w:val="22"/>
          <w:lang w:val="en-US"/>
        </w:rPr>
        <w:t xml:space="preserve">The term “impact” should be explicitly mentioned in the guideline alongside “sustainable”. </w:t>
      </w:r>
      <w:r w:rsidR="00A447CE">
        <w:rPr>
          <w:b/>
          <w:bCs/>
          <w:i/>
          <w:iCs/>
          <w:color w:val="00B050"/>
          <w:sz w:val="22"/>
          <w:szCs w:val="22"/>
          <w:lang w:val="en-US"/>
        </w:rPr>
        <w:t>W</w:t>
      </w:r>
      <w:r w:rsidR="00095931">
        <w:rPr>
          <w:b/>
          <w:bCs/>
          <w:i/>
          <w:iCs/>
          <w:color w:val="00B050"/>
          <w:sz w:val="22"/>
          <w:szCs w:val="22"/>
          <w:lang w:val="en-US"/>
        </w:rPr>
        <w:t xml:space="preserve">e do not see the provisions for ESG-related </w:t>
      </w:r>
      <w:r w:rsidR="00A447CE">
        <w:rPr>
          <w:b/>
          <w:bCs/>
          <w:i/>
          <w:iCs/>
          <w:color w:val="00B050"/>
          <w:sz w:val="22"/>
          <w:szCs w:val="22"/>
          <w:lang w:val="en-US"/>
        </w:rPr>
        <w:t>funds names</w:t>
      </w:r>
      <w:r w:rsidR="00095931">
        <w:rPr>
          <w:b/>
          <w:bCs/>
          <w:i/>
          <w:iCs/>
          <w:color w:val="00B050"/>
          <w:sz w:val="22"/>
          <w:szCs w:val="22"/>
          <w:lang w:val="en-US"/>
        </w:rPr>
        <w:t xml:space="preserve"> sufficient for impact-related </w:t>
      </w:r>
      <w:r w:rsidR="00A447CE">
        <w:rPr>
          <w:b/>
          <w:bCs/>
          <w:i/>
          <w:iCs/>
          <w:color w:val="00B050"/>
          <w:sz w:val="22"/>
          <w:szCs w:val="22"/>
          <w:lang w:val="en-US"/>
        </w:rPr>
        <w:t>ones</w:t>
      </w:r>
      <w:r w:rsidR="00095931">
        <w:rPr>
          <w:b/>
          <w:bCs/>
          <w:i/>
          <w:iCs/>
          <w:color w:val="00B050"/>
          <w:sz w:val="22"/>
          <w:szCs w:val="22"/>
          <w:lang w:val="en-US"/>
        </w:rPr>
        <w:t>.</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0BCF7143" w14:textId="6846136C" w:rsidR="00DB76E3" w:rsidRDefault="00DB76E3" w:rsidP="00DB76E3">
      <w:pPr>
        <w:pStyle w:val="Default"/>
        <w:rPr>
          <w:rFonts w:ascii="Arial" w:hAnsi="Arial"/>
          <w:b/>
          <w:bCs/>
          <w:i/>
          <w:iCs/>
          <w:color w:val="auto"/>
          <w:lang w:val="en-US" w:eastAsia="en-US"/>
        </w:rPr>
      </w:pPr>
      <w:permStart w:id="1423966990" w:edGrp="everyone"/>
      <w:r>
        <w:rPr>
          <w:b/>
          <w:bCs/>
          <w:i/>
          <w:iCs/>
          <w:color w:val="00B050"/>
          <w:lang w:val="en-US"/>
        </w:rPr>
        <w:t>No, transition finance is an important element of investments with ESG-characteristics and therefore should be integr</w:t>
      </w:r>
      <w:r w:rsidR="00842742">
        <w:rPr>
          <w:b/>
          <w:bCs/>
          <w:i/>
          <w:iCs/>
          <w:color w:val="00B050"/>
          <w:lang w:val="en-US"/>
        </w:rPr>
        <w:t>ated within the respective cate</w:t>
      </w:r>
      <w:r>
        <w:rPr>
          <w:b/>
          <w:bCs/>
          <w:i/>
          <w:iCs/>
          <w:color w:val="00B050"/>
          <w:lang w:val="en-US"/>
        </w:rPr>
        <w:t>gory.</w:t>
      </w:r>
      <w:r w:rsidR="00867921">
        <w:rPr>
          <w:b/>
          <w:bCs/>
          <w:i/>
          <w:iCs/>
          <w:color w:val="00B050"/>
          <w:lang w:val="en-US"/>
        </w:rPr>
        <w:t xml:space="preserve"> The word “transition” should be explicitly mentioned in the guideline alongside “ESG”. </w:t>
      </w:r>
      <w:r>
        <w:rPr>
          <w:b/>
          <w:bCs/>
          <w:i/>
          <w:iCs/>
          <w:color w:val="00B050"/>
          <w:lang w:val="en-US"/>
        </w:rPr>
        <w:t xml:space="preserve"> </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02E58FF1" w14:textId="77777777" w:rsidR="00DB76E3" w:rsidRDefault="00DB76E3" w:rsidP="00DB76E3">
      <w:pPr>
        <w:pStyle w:val="Default"/>
        <w:spacing w:after="173"/>
        <w:rPr>
          <w:rFonts w:ascii="Arial" w:hAnsi="Arial"/>
          <w:b/>
          <w:bCs/>
          <w:i/>
          <w:iCs/>
          <w:color w:val="00B050"/>
          <w:sz w:val="22"/>
          <w:szCs w:val="22"/>
          <w:lang w:val="en-US" w:eastAsia="en-US"/>
        </w:rPr>
      </w:pPr>
      <w:permStart w:id="1434478937" w:edGrp="everyone"/>
      <w:r>
        <w:rPr>
          <w:b/>
          <w:bCs/>
          <w:i/>
          <w:iCs/>
          <w:color w:val="00B050"/>
          <w:sz w:val="22"/>
          <w:szCs w:val="22"/>
          <w:lang w:val="en-US"/>
        </w:rPr>
        <w:t>Yes, since the proposed logic on naming thresholds for investment funds is directly related to the SFDR, the scope of the guideline should cover a similar sectoral scope.   </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lastRenderedPageBreak/>
        <w:t>&lt;ESMA_QUESTION_FUNA_13&gt;</w:t>
      </w:r>
    </w:p>
    <w:p w14:paraId="739467F4" w14:textId="0E2723E6" w:rsidR="00B92885" w:rsidRDefault="00DB76E3" w:rsidP="00B92885">
      <w:permStart w:id="489244833" w:edGrp="everyone"/>
      <w:r>
        <w:rPr>
          <w:b/>
          <w:bCs/>
          <w:i/>
          <w:iCs/>
          <w:color w:val="00B050"/>
          <w:lang w:val="en-US"/>
        </w:rPr>
        <w:t xml:space="preserve">Yes, we agree to have a transitional period of maximum 6 months. However, the transition period should not be longer to limit investors’ confusion between investment funds with already aligned names and the ones still in the process of adaptation. </w:t>
      </w:r>
      <w:permEnd w:id="489244833"/>
      <w:r w:rsidR="00B92885">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679E7942" w:rsidR="00B92885" w:rsidRPr="004B0C2E" w:rsidRDefault="0015602C" w:rsidP="00B92885">
      <w:pPr>
        <w:rPr>
          <w:b/>
          <w:bCs/>
          <w:i/>
          <w:iCs/>
          <w:color w:val="00B050"/>
          <w:lang w:val="en-US"/>
        </w:rPr>
      </w:pPr>
      <w:permStart w:id="1766353355" w:edGrp="everyone"/>
      <w:r>
        <w:rPr>
          <w:b/>
          <w:bCs/>
          <w:i/>
          <w:iCs/>
          <w:color w:val="00B050"/>
          <w:lang w:val="en-US"/>
        </w:rPr>
        <w:t>Y</w:t>
      </w:r>
      <w:r w:rsidR="004B0C2E" w:rsidRPr="004B0C2E">
        <w:rPr>
          <w:b/>
          <w:bCs/>
          <w:i/>
          <w:iCs/>
          <w:color w:val="00B050"/>
          <w:lang w:val="en-US"/>
        </w:rPr>
        <w:t>es</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30A99477" w14:textId="77777777" w:rsidR="00DB76E3" w:rsidRDefault="00DB76E3" w:rsidP="00DB76E3">
      <w:pPr>
        <w:pStyle w:val="Default"/>
        <w:spacing w:after="173"/>
        <w:rPr>
          <w:rFonts w:ascii="Arial" w:hAnsi="Arial"/>
          <w:b/>
          <w:bCs/>
          <w:i/>
          <w:iCs/>
          <w:color w:val="00B050"/>
          <w:sz w:val="22"/>
          <w:szCs w:val="22"/>
          <w:lang w:val="en-US" w:eastAsia="en-US"/>
        </w:rPr>
      </w:pPr>
      <w:permStart w:id="929254269" w:edGrp="everyone"/>
      <w:r>
        <w:rPr>
          <w:b/>
          <w:bCs/>
          <w:i/>
          <w:iCs/>
          <w:color w:val="00B050"/>
          <w:sz w:val="22"/>
          <w:szCs w:val="22"/>
          <w:lang w:val="en-US"/>
        </w:rPr>
        <w:t>There are significant positive impacts we expect from such introduction:</w:t>
      </w:r>
    </w:p>
    <w:p w14:paraId="74B1631B" w14:textId="77777777" w:rsidR="00DB76E3" w:rsidRDefault="00DB76E3" w:rsidP="00DB76E3">
      <w:pPr>
        <w:pStyle w:val="Default"/>
        <w:numPr>
          <w:ilvl w:val="0"/>
          <w:numId w:val="41"/>
        </w:numPr>
        <w:adjustRightInd/>
        <w:spacing w:after="173"/>
        <w:rPr>
          <w:b/>
          <w:bCs/>
          <w:i/>
          <w:iCs/>
          <w:color w:val="00B050"/>
          <w:sz w:val="22"/>
          <w:szCs w:val="22"/>
          <w:lang w:val="en-US"/>
        </w:rPr>
      </w:pPr>
      <w:r>
        <w:rPr>
          <w:b/>
          <w:bCs/>
          <w:i/>
          <w:iCs/>
          <w:color w:val="00B050"/>
          <w:sz w:val="22"/>
          <w:szCs w:val="22"/>
          <w:lang w:val="en-US"/>
        </w:rPr>
        <w:t>More transparency and confidence for investors</w:t>
      </w:r>
    </w:p>
    <w:p w14:paraId="543406C2" w14:textId="71E8DEC1" w:rsidR="00DB76E3" w:rsidRDefault="00DB76E3" w:rsidP="00DB76E3">
      <w:pPr>
        <w:pStyle w:val="Default"/>
        <w:numPr>
          <w:ilvl w:val="0"/>
          <w:numId w:val="41"/>
        </w:numPr>
        <w:adjustRightInd/>
        <w:spacing w:after="173"/>
        <w:rPr>
          <w:b/>
          <w:bCs/>
          <w:i/>
          <w:iCs/>
          <w:color w:val="00B050"/>
          <w:sz w:val="22"/>
          <w:szCs w:val="22"/>
          <w:lang w:val="en-US"/>
        </w:rPr>
      </w:pPr>
      <w:r>
        <w:rPr>
          <w:b/>
          <w:bCs/>
          <w:i/>
          <w:iCs/>
          <w:color w:val="00B050"/>
          <w:sz w:val="22"/>
          <w:szCs w:val="22"/>
          <w:lang w:val="en-US"/>
        </w:rPr>
        <w:t xml:space="preserve">More (legal and compliance-related) clarity on funds’ naming and </w:t>
      </w:r>
      <w:r w:rsidR="0015602C">
        <w:rPr>
          <w:b/>
          <w:bCs/>
          <w:i/>
          <w:iCs/>
          <w:color w:val="00B050"/>
          <w:sz w:val="22"/>
          <w:szCs w:val="22"/>
          <w:lang w:val="en-US"/>
        </w:rPr>
        <w:t xml:space="preserve">prevention of </w:t>
      </w:r>
      <w:r>
        <w:rPr>
          <w:b/>
          <w:bCs/>
          <w:i/>
          <w:iCs/>
          <w:color w:val="00B050"/>
          <w:sz w:val="22"/>
          <w:szCs w:val="22"/>
          <w:lang w:val="en-US"/>
        </w:rPr>
        <w:t>greenwashing risks</w:t>
      </w:r>
    </w:p>
    <w:p w14:paraId="6AF4155E" w14:textId="2AE5D097" w:rsidR="00DB76E3" w:rsidRDefault="00DB76E3" w:rsidP="00DB76E3">
      <w:pPr>
        <w:pStyle w:val="Default"/>
        <w:numPr>
          <w:ilvl w:val="0"/>
          <w:numId w:val="41"/>
        </w:numPr>
        <w:adjustRightInd/>
        <w:spacing w:after="173"/>
        <w:rPr>
          <w:b/>
          <w:bCs/>
          <w:i/>
          <w:iCs/>
          <w:color w:val="00B050"/>
          <w:sz w:val="22"/>
          <w:szCs w:val="22"/>
          <w:lang w:val="en-US"/>
        </w:rPr>
      </w:pPr>
      <w:r>
        <w:rPr>
          <w:b/>
          <w:bCs/>
          <w:i/>
          <w:iCs/>
          <w:color w:val="00B050"/>
          <w:sz w:val="22"/>
          <w:szCs w:val="22"/>
          <w:lang w:val="en-US"/>
        </w:rPr>
        <w:t>More comparability between investment funds using specific wordings</w:t>
      </w:r>
    </w:p>
    <w:p w14:paraId="4D800154" w14:textId="79DFAC01" w:rsidR="0015602C" w:rsidRDefault="0015602C" w:rsidP="0015602C">
      <w:pPr>
        <w:pStyle w:val="Default"/>
        <w:numPr>
          <w:ilvl w:val="0"/>
          <w:numId w:val="41"/>
        </w:numPr>
        <w:adjustRightInd/>
        <w:spacing w:after="173"/>
        <w:rPr>
          <w:b/>
          <w:bCs/>
          <w:i/>
          <w:iCs/>
          <w:color w:val="00B050"/>
          <w:sz w:val="22"/>
          <w:szCs w:val="22"/>
          <w:lang w:val="en-US"/>
        </w:rPr>
      </w:pPr>
      <w:r>
        <w:rPr>
          <w:b/>
          <w:bCs/>
          <w:i/>
          <w:iCs/>
          <w:color w:val="00B050"/>
          <w:sz w:val="22"/>
          <w:szCs w:val="22"/>
          <w:lang w:val="en-US"/>
        </w:rPr>
        <w:t>M</w:t>
      </w:r>
      <w:r w:rsidRPr="0015602C">
        <w:rPr>
          <w:b/>
          <w:bCs/>
          <w:i/>
          <w:iCs/>
          <w:color w:val="00B050"/>
          <w:sz w:val="22"/>
          <w:szCs w:val="22"/>
          <w:lang w:val="en-US"/>
        </w:rPr>
        <w:t>ore effective steering of financial flows towards sustainable economic activities and thus more money for financing the climate/biodiversity/environmental targets of the European Green Deal and its related strategies and legislation</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7777777" w:rsidR="00B92885" w:rsidRDefault="00B92885" w:rsidP="00B92885">
      <w:permStart w:id="878708964" w:edGrp="everyone"/>
      <w:r>
        <w:t>TYPE YOUR TEXT HERE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5C38C50C"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76BE4">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4CF051A6" w:rsidR="00267551" w:rsidRDefault="00267551" w:rsidP="00B92885">
    <w:pPr>
      <w:pStyle w:val="Fuzeile"/>
      <w:tabs>
        <w:tab w:val="clear" w:pos="4536"/>
        <w:tab w:val="clear" w:pos="9072"/>
        <w:tab w:val="left" w:pos="8227"/>
        <w:tab w:val="right" w:pos="9412"/>
      </w:tabs>
    </w:pPr>
    <w:r>
      <w:tab/>
    </w:r>
    <w:r w:rsidR="00B92885">
      <w:tab/>
    </w:r>
  </w:p>
  <w:p w14:paraId="3A793707" w14:textId="084F8123" w:rsidR="00B92885" w:rsidRDefault="00B92885" w:rsidP="00B92885">
    <w:pPr>
      <w:pStyle w:val="Fuzeile"/>
      <w:tabs>
        <w:tab w:val="clear" w:pos="4536"/>
        <w:tab w:val="clear" w:pos="9072"/>
        <w:tab w:val="left" w:pos="8227"/>
        <w:tab w:val="right" w:pos="9412"/>
      </w:tabs>
    </w:pPr>
    <w:r>
      <w:tab/>
    </w:r>
    <w:r>
      <w:tab/>
    </w:r>
    <w:r>
      <w:tab/>
    </w:r>
  </w:p>
  <w:p w14:paraId="6D19C66C" w14:textId="10DE0B9B" w:rsidR="00B92885" w:rsidRDefault="00B92885" w:rsidP="00B92885">
    <w:pPr>
      <w:pStyle w:val="Fuzeil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267551" w:rsidRDefault="002675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267551" w:rsidRDefault="00267551">
    <w:pPr>
      <w:pStyle w:val="Kopfzeile"/>
    </w:pPr>
    <w:r>
      <w:rPr>
        <w:noProof/>
        <w:lang w:val="de-AT" w:eastAsia="de-AT"/>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267551" w:rsidRDefault="00267551" w:rsidP="00013CCE">
    <w:pPr>
      <w:pStyle w:val="Kopfzeile"/>
      <w:jc w:val="right"/>
    </w:pPr>
    <w:r>
      <w:rPr>
        <w:noProof/>
        <w:lang w:val="de-AT" w:eastAsia="de-AT"/>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Kopfzeile"/>
      <w:rPr>
        <w:lang w:val="fr-FR"/>
      </w:rPr>
    </w:pPr>
  </w:p>
  <w:p w14:paraId="3F30C70B" w14:textId="77777777" w:rsidR="00267551" w:rsidRPr="002F4496" w:rsidRDefault="00267551" w:rsidP="000C06C9">
    <w:pPr>
      <w:pStyle w:val="Kopfzeile"/>
      <w:tabs>
        <w:tab w:val="clear" w:pos="4536"/>
        <w:tab w:val="clear" w:pos="9072"/>
        <w:tab w:val="left" w:pos="8227"/>
      </w:tabs>
      <w:rPr>
        <w:lang w:val="fr-FR"/>
      </w:rPr>
    </w:pPr>
  </w:p>
  <w:p w14:paraId="4D50BC39" w14:textId="77777777" w:rsidR="00267551" w:rsidRPr="002F4496" w:rsidRDefault="00267551" w:rsidP="00583885">
    <w:pPr>
      <w:pStyle w:val="Kopfzeile"/>
      <w:jc w:val="right"/>
      <w:rPr>
        <w:lang w:val="fr-FR"/>
      </w:rPr>
    </w:pPr>
  </w:p>
  <w:p w14:paraId="2D51BEA2" w14:textId="77777777" w:rsidR="00267551" w:rsidRPr="002F4496" w:rsidRDefault="00267551">
    <w:pPr>
      <w:pStyle w:val="Kopfzeile"/>
      <w:rPr>
        <w:lang w:val="fr-FR"/>
      </w:rPr>
    </w:pPr>
  </w:p>
  <w:p w14:paraId="340B2438" w14:textId="77777777" w:rsidR="00267551" w:rsidRPr="002F4496" w:rsidRDefault="00267551">
    <w:pPr>
      <w:pStyle w:val="Kopfzeile"/>
      <w:rPr>
        <w:lang w:val="fr-FR"/>
      </w:rPr>
    </w:pPr>
  </w:p>
  <w:p w14:paraId="2A794A3E" w14:textId="77777777" w:rsidR="00267551" w:rsidRPr="002F4496" w:rsidRDefault="00267551">
    <w:pPr>
      <w:pStyle w:val="Kopfzeile"/>
      <w:rPr>
        <w:lang w:val="fr-FR"/>
      </w:rPr>
    </w:pPr>
  </w:p>
  <w:p w14:paraId="0A21F475" w14:textId="77777777" w:rsidR="00267551" w:rsidRPr="002F4496" w:rsidRDefault="00267551">
    <w:pPr>
      <w:pStyle w:val="Kopfzeile"/>
      <w:rPr>
        <w:highlight w:val="yellow"/>
        <w:lang w:val="fr-FR"/>
      </w:rPr>
    </w:pPr>
  </w:p>
  <w:p w14:paraId="53ABEE5D" w14:textId="77777777" w:rsidR="00267551" w:rsidRDefault="00267551">
    <w:pPr>
      <w:pStyle w:val="Kopfzeile"/>
    </w:pPr>
    <w:r>
      <w:rPr>
        <w:noProof/>
        <w:lang w:val="de-AT" w:eastAsia="de-AT"/>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val="de-AT" w:eastAsia="de-AT"/>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7ED183D"/>
    <w:multiLevelType w:val="hybridMultilevel"/>
    <w:tmpl w:val="0E5A11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9"/>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 w:numId="41">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5931"/>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02C"/>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4996"/>
    <w:rsid w:val="00286064"/>
    <w:rsid w:val="002867B1"/>
    <w:rsid w:val="002868FC"/>
    <w:rsid w:val="00287BBB"/>
    <w:rsid w:val="00287E13"/>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2419"/>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68F9"/>
    <w:rsid w:val="004B0335"/>
    <w:rsid w:val="004B0C2E"/>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688"/>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6BE4"/>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6B54"/>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8D7"/>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6053"/>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2742"/>
    <w:rsid w:val="00844515"/>
    <w:rsid w:val="0084465A"/>
    <w:rsid w:val="00844DFF"/>
    <w:rsid w:val="00845D87"/>
    <w:rsid w:val="00846C3A"/>
    <w:rsid w:val="008477BF"/>
    <w:rsid w:val="008503DA"/>
    <w:rsid w:val="00850B68"/>
    <w:rsid w:val="00850E82"/>
    <w:rsid w:val="0085122D"/>
    <w:rsid w:val="008519E8"/>
    <w:rsid w:val="008525FF"/>
    <w:rsid w:val="00852C03"/>
    <w:rsid w:val="00854A2F"/>
    <w:rsid w:val="0085590C"/>
    <w:rsid w:val="008575EB"/>
    <w:rsid w:val="00862DDD"/>
    <w:rsid w:val="0086326D"/>
    <w:rsid w:val="00863CC1"/>
    <w:rsid w:val="00865B01"/>
    <w:rsid w:val="00866D7A"/>
    <w:rsid w:val="00866EE3"/>
    <w:rsid w:val="00867921"/>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C94"/>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47C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25A"/>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7C6"/>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3AA"/>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0DAE"/>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CFD"/>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B76E3"/>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1F4E"/>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0D34"/>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E9A"/>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21D"/>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37D68"/>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46D"/>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6A0"/>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sid w:val="000A609F"/>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40830470">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5271613">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1714550">
      <w:bodyDiv w:val="1"/>
      <w:marLeft w:val="0"/>
      <w:marRight w:val="0"/>
      <w:marTop w:val="0"/>
      <w:marBottom w:val="0"/>
      <w:divBdr>
        <w:top w:val="none" w:sz="0" w:space="0" w:color="auto"/>
        <w:left w:val="none" w:sz="0" w:space="0" w:color="auto"/>
        <w:bottom w:val="none" w:sz="0" w:space="0" w:color="auto"/>
        <w:right w:val="none" w:sz="0" w:space="0" w:color="auto"/>
      </w:divBdr>
    </w:div>
    <w:div w:id="296760294">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09747063">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70233293">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27001410">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1281903">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89505536">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7777772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029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35c8e399-07b8-49e4-91bf-01a20105d4df"/>
    <ds:schemaRef ds:uri="http://www.w3.org/XML/1998/namespace"/>
    <ds:schemaRef ds:uri="http://purl.org/dc/dcmityp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F5179-084A-461A-99E6-6F4CEBCA798C}">
  <ds:schemaRefs>
    <ds:schemaRef ds:uri="http://schemas.openxmlformats.org/officeDocument/2006/bibliography"/>
  </ds:schemaRefs>
</ds:datastoreItem>
</file>

<file path=customXml/itemProps6.xml><?xml version="1.0" encoding="utf-8"?>
<ds:datastoreItem xmlns:ds="http://schemas.openxmlformats.org/officeDocument/2006/customXml" ds:itemID="{F61D32EE-BA34-4C14-BB46-61F6CBF6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1706</Words>
  <Characters>10210</Characters>
  <Application>Microsoft Office Word</Application>
  <DocSecurity>8</DocSecurity>
  <Lines>85</Lines>
  <Paragraphs>23</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11893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Frischer Christoph</cp:lastModifiedBy>
  <cp:revision>3</cp:revision>
  <cp:lastPrinted>2015-02-18T11:01:00Z</cp:lastPrinted>
  <dcterms:created xsi:type="dcterms:W3CDTF">2023-02-16T07:59:00Z</dcterms:created>
  <dcterms:modified xsi:type="dcterms:W3CDTF">2023-02-16T08:07:00Z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