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ooter"/>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2D7BA868" w:rsidR="00C2682A" w:rsidRPr="00AB6D88" w:rsidRDefault="00D92260" w:rsidP="00FA5524">
                <w:pPr>
                  <w:rPr>
                    <w:rStyle w:val="PlaceholderText"/>
                    <w:rFonts w:cs="Arial"/>
                  </w:rPr>
                </w:pPr>
                <w:r>
                  <w:rPr>
                    <w:rStyle w:val="PlaceholderText"/>
                    <w:rFonts w:cs="Arial"/>
                  </w:rPr>
                  <w:t>Capital Group</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057FDFB8" w:rsidR="00C2682A" w:rsidRPr="00AB6D88" w:rsidRDefault="00596156"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12A3A">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24E1A2FA" w:rsidR="00C2682A" w:rsidRPr="00AB6D88" w:rsidRDefault="00D92260"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33AE1608" w:rsidR="00C2682A" w:rsidRPr="00AB6D88" w:rsidRDefault="00D92260" w:rsidP="00FA5524">
                <w:pPr>
                  <w:rPr>
                    <w:rFonts w:cs="Arial"/>
                  </w:rPr>
                </w:pPr>
                <w:r>
                  <w:rPr>
                    <w:rFonts w:cs="Arial"/>
                  </w:rPr>
                  <w:t>Europe</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1B1C2D31" w14:textId="77777777" w:rsidR="00E80797" w:rsidRDefault="00E80797" w:rsidP="00E80797">
      <w:pPr>
        <w:rPr>
          <w:rFonts w:ascii="Calibri" w:eastAsia="Calibri" w:hAnsi="Calibri"/>
        </w:rPr>
      </w:pPr>
      <w:permStart w:id="1100430741" w:edGrp="everyone"/>
      <w:r>
        <w:rPr>
          <w:rFonts w:ascii="Calibri" w:eastAsia="Calibri" w:hAnsi="Calibri"/>
        </w:rPr>
        <w:t xml:space="preserve">Capital Group (“CG”) welcomes </w:t>
      </w:r>
      <w:r w:rsidRPr="00A12A3A">
        <w:rPr>
          <w:rFonts w:ascii="Calibri" w:eastAsia="Calibri" w:hAnsi="Calibri"/>
        </w:rPr>
        <w:t xml:space="preserve">the opportunity to provide feedback </w:t>
      </w:r>
      <w:r>
        <w:rPr>
          <w:rFonts w:ascii="Calibri" w:eastAsia="Calibri" w:hAnsi="Calibri"/>
        </w:rPr>
        <w:t>to</w:t>
      </w:r>
      <w:r w:rsidRPr="00A12A3A">
        <w:rPr>
          <w:rFonts w:ascii="Calibri" w:eastAsia="Calibri" w:hAnsi="Calibri"/>
        </w:rPr>
        <w:t xml:space="preserve"> the European Securities and Markets Authority (ESMA)</w:t>
      </w:r>
      <w:r>
        <w:rPr>
          <w:rFonts w:ascii="Calibri" w:eastAsia="Calibri" w:hAnsi="Calibri"/>
        </w:rPr>
        <w:t xml:space="preserve"> on the</w:t>
      </w:r>
      <w:r w:rsidRPr="00A12A3A">
        <w:rPr>
          <w:rFonts w:ascii="Calibri" w:eastAsia="Calibri" w:hAnsi="Calibri"/>
        </w:rPr>
        <w:t xml:space="preserve"> Consultation Paper on guidelines on funds’ names using ESG or sustainability-related terms (“Consultation”). </w:t>
      </w:r>
    </w:p>
    <w:p w14:paraId="22FE62EE" w14:textId="77777777" w:rsidR="00E80797" w:rsidRDefault="00E80797" w:rsidP="00E80797">
      <w:pPr>
        <w:rPr>
          <w:rFonts w:ascii="Calibri" w:eastAsia="Calibri" w:hAnsi="Calibri"/>
        </w:rPr>
      </w:pPr>
      <w:r w:rsidRPr="00A12A3A">
        <w:rPr>
          <w:rFonts w:ascii="Calibri" w:eastAsia="Calibri" w:hAnsi="Calibri"/>
        </w:rPr>
        <w:t>As one of the largest and most experienced investment management companies in the world</w:t>
      </w:r>
      <w:r>
        <w:rPr>
          <w:rFonts w:ascii="Calibri" w:eastAsia="Calibri" w:hAnsi="Calibri"/>
        </w:rPr>
        <w:t xml:space="preserve"> our </w:t>
      </w:r>
      <w:r w:rsidRPr="004A7406">
        <w:rPr>
          <w:rFonts w:ascii="Calibri" w:eastAsia="Calibri" w:hAnsi="Calibri"/>
        </w:rPr>
        <w:t>mission is to improve people’s lives through successful investing</w:t>
      </w:r>
      <w:r>
        <w:rPr>
          <w:rFonts w:ascii="Calibri" w:eastAsia="Calibri" w:hAnsi="Calibri"/>
        </w:rPr>
        <w:t xml:space="preserve">. CG achieves that by combining </w:t>
      </w:r>
      <w:r w:rsidRPr="00A12A3A">
        <w:rPr>
          <w:rFonts w:ascii="Calibri" w:eastAsia="Calibri" w:hAnsi="Calibri"/>
        </w:rPr>
        <w:t xml:space="preserve">a rich heritage of asset management expertise with fundamental research </w:t>
      </w:r>
      <w:r>
        <w:rPr>
          <w:rFonts w:ascii="Calibri" w:eastAsia="Calibri" w:hAnsi="Calibri"/>
        </w:rPr>
        <w:t>to deliver long-term results</w:t>
      </w:r>
      <w:r w:rsidRPr="00CE7E99">
        <w:rPr>
          <w:rFonts w:ascii="Calibri" w:eastAsia="Calibri" w:hAnsi="Calibri"/>
        </w:rPr>
        <w:t>.</w:t>
      </w:r>
      <w:r>
        <w:rPr>
          <w:rFonts w:ascii="Calibri" w:eastAsia="Calibri" w:hAnsi="Calibri"/>
        </w:rPr>
        <w:t xml:space="preserve"> </w:t>
      </w:r>
      <w:r w:rsidRPr="00CE7E99">
        <w:rPr>
          <w:rFonts w:ascii="Calibri" w:eastAsia="Calibri" w:hAnsi="Calibri"/>
        </w:rPr>
        <w:t xml:space="preserve">We believe </w:t>
      </w:r>
      <w:r>
        <w:rPr>
          <w:rFonts w:ascii="Calibri" w:eastAsia="Calibri" w:hAnsi="Calibri"/>
        </w:rPr>
        <w:t xml:space="preserve">integrating the consideration of material </w:t>
      </w:r>
      <w:r w:rsidRPr="00CE7E99">
        <w:rPr>
          <w:rFonts w:ascii="Calibri" w:eastAsia="Calibri" w:hAnsi="Calibri"/>
        </w:rPr>
        <w:t xml:space="preserve">Environmental, Social, and Governance (ESG) risks and opportunities </w:t>
      </w:r>
      <w:r>
        <w:rPr>
          <w:rFonts w:ascii="Calibri" w:eastAsia="Calibri" w:hAnsi="Calibri"/>
        </w:rPr>
        <w:t>into our investment process helps us</w:t>
      </w:r>
      <w:r w:rsidRPr="00CE7E99">
        <w:rPr>
          <w:rFonts w:ascii="Calibri" w:eastAsia="Calibri" w:hAnsi="Calibri"/>
        </w:rPr>
        <w:t xml:space="preserve"> in achieving superior long-term outcomes for our clients</w:t>
      </w:r>
      <w:r>
        <w:rPr>
          <w:rFonts w:ascii="Calibri" w:eastAsia="Calibri" w:hAnsi="Calibri"/>
        </w:rPr>
        <w:t xml:space="preserve"> </w:t>
      </w:r>
    </w:p>
    <w:p w14:paraId="14260BCC" w14:textId="77777777" w:rsidR="00E80797" w:rsidRDefault="00E80797" w:rsidP="00E80797">
      <w:pPr>
        <w:rPr>
          <w:rFonts w:ascii="Calibri" w:eastAsia="Calibri" w:hAnsi="Calibri"/>
        </w:rPr>
      </w:pPr>
      <w:r>
        <w:rPr>
          <w:rFonts w:ascii="Calibri" w:eastAsia="Calibri" w:hAnsi="Calibri"/>
        </w:rPr>
        <w:t xml:space="preserve">In this respect, the comments we provide to this Consultation derive from our </w:t>
      </w:r>
      <w:r w:rsidRPr="00DC7D66">
        <w:rPr>
          <w:rFonts w:ascii="Calibri" w:eastAsia="Calibri" w:hAnsi="Calibri"/>
        </w:rPr>
        <w:t>role of a diligent steward of our clients’ assets and an investor engaging with companies to mitigate ESG risks and ensure long-term investment results</w:t>
      </w:r>
      <w:r>
        <w:rPr>
          <w:rFonts w:ascii="Calibri" w:eastAsia="Calibri" w:hAnsi="Calibri"/>
        </w:rPr>
        <w:t>.</w:t>
      </w:r>
    </w:p>
    <w:p w14:paraId="129F4197" w14:textId="77777777" w:rsidR="00E80797" w:rsidRDefault="00E80797" w:rsidP="00E80797">
      <w:pPr>
        <w:rPr>
          <w:rFonts w:ascii="Calibri" w:eastAsia="Calibri" w:hAnsi="Calibri"/>
        </w:rPr>
      </w:pPr>
      <w:r w:rsidRPr="004A7406">
        <w:rPr>
          <w:rFonts w:ascii="Calibri" w:eastAsia="Calibri" w:hAnsi="Calibri"/>
        </w:rPr>
        <w:t xml:space="preserve">CG </w:t>
      </w:r>
      <w:r>
        <w:rPr>
          <w:rFonts w:ascii="Calibri" w:eastAsia="Calibri" w:hAnsi="Calibri"/>
        </w:rPr>
        <w:t>supports the aim of the Consultation to address greenwashing risks and enhance clarity for investors. We believe that setting common criteria for the EU market of investment funds with ESG claims, including in cases where these funds use ESG or sustainability-related terms in their names, enhances comparability and consistency.  This in turn supports investors reaching informed decisions on their</w:t>
      </w:r>
      <w:r w:rsidRPr="00AC1CB2">
        <w:rPr>
          <w:rFonts w:ascii="Calibri" w:eastAsia="Calibri" w:hAnsi="Calibri"/>
        </w:rPr>
        <w:t xml:space="preserve"> investment and sustainability goals</w:t>
      </w:r>
      <w:r>
        <w:rPr>
          <w:rFonts w:ascii="Calibri" w:eastAsia="Calibri" w:hAnsi="Calibri"/>
        </w:rPr>
        <w:t xml:space="preserve">, establishes a robust and viable market landscape and contributes to the EU policy goals of sustainable finance. </w:t>
      </w:r>
    </w:p>
    <w:p w14:paraId="02A40557" w14:textId="77777777" w:rsidR="00E80797" w:rsidRDefault="00E80797" w:rsidP="00E80797">
      <w:pPr>
        <w:rPr>
          <w:rFonts w:ascii="Calibri" w:eastAsia="Calibri" w:hAnsi="Calibri"/>
        </w:rPr>
      </w:pPr>
      <w:r>
        <w:rPr>
          <w:rFonts w:ascii="Calibri" w:eastAsia="Calibri" w:hAnsi="Calibri"/>
        </w:rPr>
        <w:t>Such common criteria for ESG-related fund names should focus on the way ESG considerations are integrated in the fund’s investment process. This is best way to demonstrate the fund’s commitments and objectives and ensure flexibility to evolve as our understanding of what constitutes a positive social and environmental impact.   We believe that this focus should also apply to SFDR as the main way to demonstrate a fund’s commitment to ESG characteristics or objectives.</w:t>
      </w:r>
    </w:p>
    <w:p w14:paraId="696D9905" w14:textId="77777777" w:rsidR="00E80797" w:rsidRDefault="00E80797" w:rsidP="00E80797">
      <w:pPr>
        <w:rPr>
          <w:rFonts w:ascii="Calibri" w:eastAsia="Calibri" w:hAnsi="Calibri"/>
        </w:rPr>
      </w:pPr>
      <w:r>
        <w:rPr>
          <w:rFonts w:ascii="Calibri" w:eastAsia="Calibri" w:hAnsi="Calibri"/>
        </w:rPr>
        <w:t xml:space="preserve">We don’t see how a focus solely on outcomes of the investment process (i.e., holdings) or pre-defined proportions of such outcomes/holdings can be a sufficient proxy for demonstrating the rigour of the investment process and ensure on their own that investors aren’t misled as to how investment results and social and environmental impact is generated. This would constitute a deviation from SFDR’s main principle of clearly demonstrating the way outcomes occur rather than solely disclosing outcomes. </w:t>
      </w:r>
    </w:p>
    <w:p w14:paraId="2C943A6C" w14:textId="77777777" w:rsidR="00E80797" w:rsidRDefault="00E80797" w:rsidP="00E80797">
      <w:pPr>
        <w:rPr>
          <w:rFonts w:ascii="Calibri" w:eastAsia="Calibri" w:hAnsi="Calibri"/>
        </w:rPr>
      </w:pPr>
      <w:r>
        <w:rPr>
          <w:rFonts w:ascii="Calibri" w:eastAsia="Calibri" w:hAnsi="Calibri"/>
        </w:rPr>
        <w:t xml:space="preserve">We, therefore, disagree with the suggestion in the consultation to set the common criteria for funds with ESG or sustainability-related terms in their names on the basis of minimum proportion of holdings. </w:t>
      </w:r>
    </w:p>
    <w:p w14:paraId="4D921767" w14:textId="21196D8C" w:rsidR="00E80797" w:rsidRDefault="00E80797" w:rsidP="00E80797">
      <w:pPr>
        <w:rPr>
          <w:rFonts w:ascii="Calibri" w:eastAsia="Calibri" w:hAnsi="Calibri"/>
        </w:rPr>
      </w:pPr>
      <w:r>
        <w:rPr>
          <w:rFonts w:ascii="Calibri" w:eastAsia="Calibri" w:hAnsi="Calibri"/>
        </w:rPr>
        <w:t xml:space="preserve">In addition to this in principle objection, we also highlight that setting a minimum threshold of holdings would need to be based on a legally clear and market-wide consistent definition. However, we note that the minimum thresholds in the consultation are based on a. </w:t>
      </w:r>
      <w:r w:rsidRPr="00EA24E2">
        <w:rPr>
          <w:rFonts w:ascii="Calibri" w:eastAsia="Calibri" w:hAnsi="Calibri"/>
        </w:rPr>
        <w:t xml:space="preserve">the proportion of investments used to meet the environmental or social characteristics or sustainable investment objectives </w:t>
      </w:r>
      <w:r>
        <w:rPr>
          <w:rFonts w:ascii="Calibri" w:eastAsia="Calibri" w:hAnsi="Calibri"/>
        </w:rPr>
        <w:t>and b.</w:t>
      </w:r>
      <w:r w:rsidRPr="00EA24E2">
        <w:t xml:space="preserve"> </w:t>
      </w:r>
      <w:r w:rsidRPr="00EA24E2">
        <w:rPr>
          <w:rFonts w:ascii="Calibri" w:eastAsia="Calibri" w:hAnsi="Calibri"/>
        </w:rPr>
        <w:t>the proportion of sustainable investments as defined by Article 2(17) of SFDR</w:t>
      </w:r>
      <w:r>
        <w:rPr>
          <w:rFonts w:ascii="Calibri" w:eastAsia="Calibri" w:hAnsi="Calibri"/>
        </w:rPr>
        <w:t xml:space="preserve">. For both metrics there remains unclarity in the current regulatory landscape. For the first one, the ways to consider ESG characteristics and thus the link of assets to such considerations varies among market participants and is not further specified under SFDR. Same applies for the definition of “sustainable investments”, which remains unclear, and we know that the European Commission is considering further specifying via dedicated Q&amp;A.  There have also been discussions for a review of SFDR among others to address the lack of clarity in relation to this term.  This ambiguity means that there would not be enough clarity or comparability on </w:t>
      </w:r>
      <w:r w:rsidR="00142690">
        <w:rPr>
          <w:rFonts w:ascii="Calibri" w:eastAsia="Calibri" w:hAnsi="Calibri"/>
        </w:rPr>
        <w:t xml:space="preserve">these </w:t>
      </w:r>
      <w:r>
        <w:rPr>
          <w:rFonts w:ascii="Calibri" w:eastAsia="Calibri" w:hAnsi="Calibri"/>
        </w:rPr>
        <w:t>thresholds for fund to be entitled to bear ESG- or sustainability related terms in its name.</w:t>
      </w:r>
    </w:p>
    <w:p w14:paraId="78989FE8" w14:textId="77777777" w:rsidR="00E80797" w:rsidRDefault="00E80797" w:rsidP="00E80797">
      <w:pPr>
        <w:rPr>
          <w:rFonts w:ascii="Calibri" w:eastAsia="Calibri" w:hAnsi="Calibri"/>
        </w:rPr>
      </w:pPr>
      <w:r>
        <w:rPr>
          <w:rFonts w:ascii="Calibri" w:eastAsia="Calibri" w:hAnsi="Calibri"/>
        </w:rPr>
        <w:lastRenderedPageBreak/>
        <w:t>Finally, w</w:t>
      </w:r>
      <w:r w:rsidRPr="00AB313D">
        <w:rPr>
          <w:rFonts w:ascii="Calibri" w:eastAsia="Calibri" w:hAnsi="Calibri"/>
        </w:rPr>
        <w:t xml:space="preserve">e note that </w:t>
      </w:r>
      <w:r>
        <w:rPr>
          <w:rFonts w:ascii="Calibri" w:eastAsia="Calibri" w:hAnsi="Calibri"/>
        </w:rPr>
        <w:t>if thresholds were to apply there are remaining open questions on the application for specific asset classes, i.e., derivatives, cash/cash equivalents and sovereign bonds. Given this ongoing ambiguity and lack of industry-wide best practice or common approach on ways to include such assets in an ESG-related methodology, we would question the feasibility of their inclusion in a way that can ensure market-wide consistency and comparability of the end results.</w:t>
      </w:r>
    </w:p>
    <w:p w14:paraId="09E7F03E" w14:textId="77777777" w:rsidR="00142690" w:rsidRDefault="00142690" w:rsidP="00E80797">
      <w:pPr>
        <w:rPr>
          <w:rFonts w:ascii="Calibri" w:eastAsia="Calibri" w:hAnsi="Calibri"/>
          <w:b/>
          <w:bCs/>
        </w:rPr>
      </w:pPr>
    </w:p>
    <w:p w14:paraId="123B9127" w14:textId="06DDE6B2" w:rsidR="00E80797" w:rsidRPr="00A615AB" w:rsidRDefault="00142690" w:rsidP="00E80797">
      <w:pPr>
        <w:rPr>
          <w:rFonts w:ascii="Calibri" w:eastAsia="Calibri" w:hAnsi="Calibri"/>
          <w:b/>
          <w:bCs/>
        </w:rPr>
      </w:pPr>
      <w:r>
        <w:rPr>
          <w:rFonts w:ascii="Calibri" w:eastAsia="Calibri" w:hAnsi="Calibri"/>
          <w:b/>
          <w:bCs/>
        </w:rPr>
        <w:t>W</w:t>
      </w:r>
      <w:r w:rsidR="00E80797" w:rsidRPr="00BB0D6B">
        <w:rPr>
          <w:rFonts w:ascii="Calibri" w:eastAsia="Calibri" w:hAnsi="Calibri"/>
          <w:b/>
          <w:bCs/>
        </w:rPr>
        <w:t xml:space="preserve">e counter-suggest </w:t>
      </w:r>
      <w:r w:rsidR="00E80797">
        <w:rPr>
          <w:rFonts w:ascii="Calibri" w:eastAsia="Calibri" w:hAnsi="Calibri"/>
          <w:b/>
          <w:bCs/>
        </w:rPr>
        <w:t xml:space="preserve">that </w:t>
      </w:r>
      <w:r w:rsidR="00E80797" w:rsidRPr="00BB0D6B">
        <w:rPr>
          <w:rFonts w:ascii="Calibri" w:eastAsia="Calibri" w:hAnsi="Calibri"/>
          <w:b/>
          <w:bCs/>
        </w:rPr>
        <w:t>in line with the SFDR rules</w:t>
      </w:r>
      <w:r w:rsidR="00E80797">
        <w:rPr>
          <w:rFonts w:ascii="Calibri" w:eastAsia="Calibri" w:hAnsi="Calibri"/>
          <w:b/>
          <w:bCs/>
        </w:rPr>
        <w:t xml:space="preserve"> the key criterion</w:t>
      </w:r>
      <w:r w:rsidR="00E80797" w:rsidRPr="00BB0D6B">
        <w:rPr>
          <w:rFonts w:ascii="Calibri" w:eastAsia="Calibri" w:hAnsi="Calibri"/>
          <w:b/>
          <w:bCs/>
        </w:rPr>
        <w:t xml:space="preserve"> should be the requirement to demonstrate the binding elements in the ESG integration strategy and internal investment process</w:t>
      </w:r>
      <w:r w:rsidR="00E80797">
        <w:rPr>
          <w:rFonts w:ascii="Calibri" w:eastAsia="Calibri" w:hAnsi="Calibri"/>
          <w:b/>
          <w:bCs/>
        </w:rPr>
        <w:t xml:space="preserve">, </w:t>
      </w:r>
      <w:r w:rsidR="00E80797" w:rsidRPr="00BB0D6B">
        <w:rPr>
          <w:rFonts w:ascii="Calibri" w:eastAsia="Calibri" w:hAnsi="Calibri"/>
          <w:b/>
          <w:bCs/>
        </w:rPr>
        <w:t xml:space="preserve">linked </w:t>
      </w:r>
      <w:r w:rsidR="00E80797">
        <w:rPr>
          <w:rFonts w:ascii="Calibri" w:eastAsia="Calibri" w:hAnsi="Calibri"/>
          <w:b/>
          <w:bCs/>
        </w:rPr>
        <w:t xml:space="preserve">also </w:t>
      </w:r>
      <w:r w:rsidR="00E80797" w:rsidRPr="00BB0D6B">
        <w:rPr>
          <w:rFonts w:ascii="Calibri" w:eastAsia="Calibri" w:hAnsi="Calibri"/>
          <w:b/>
          <w:bCs/>
        </w:rPr>
        <w:t>to the ESG claims in the fund’s name.</w:t>
      </w:r>
      <w:r w:rsidR="00E80797" w:rsidRPr="00A615AB">
        <w:t xml:space="preserve"> </w:t>
      </w:r>
      <w:r w:rsidR="00E80797">
        <w:rPr>
          <w:rFonts w:ascii="Calibri" w:eastAsia="Calibri" w:hAnsi="Calibri"/>
          <w:b/>
          <w:bCs/>
        </w:rPr>
        <w:t>An integral part of this demonstration should be an explanation of</w:t>
      </w:r>
      <w:r w:rsidR="00E80797" w:rsidRPr="00A615AB">
        <w:rPr>
          <w:rFonts w:ascii="Calibri" w:eastAsia="Calibri" w:hAnsi="Calibri"/>
          <w:b/>
          <w:bCs/>
        </w:rPr>
        <w:t xml:space="preserve"> how ESG and sustainable considerations are defined</w:t>
      </w:r>
      <w:r w:rsidR="00E80797">
        <w:rPr>
          <w:rFonts w:ascii="Calibri" w:eastAsia="Calibri" w:hAnsi="Calibri"/>
          <w:b/>
          <w:bCs/>
        </w:rPr>
        <w:t xml:space="preserve"> at the level of the product</w:t>
      </w:r>
      <w:r w:rsidR="00E80797" w:rsidRPr="00A615AB">
        <w:rPr>
          <w:rFonts w:ascii="Calibri" w:eastAsia="Calibri" w:hAnsi="Calibri"/>
          <w:b/>
          <w:bCs/>
        </w:rPr>
        <w:t>.</w:t>
      </w:r>
    </w:p>
    <w:p w14:paraId="484EB014" w14:textId="77777777" w:rsidR="00142690" w:rsidRDefault="00142690" w:rsidP="00E80797">
      <w:pPr>
        <w:rPr>
          <w:rFonts w:ascii="Calibri" w:eastAsia="Calibri" w:hAnsi="Calibri"/>
          <w:b/>
          <w:bCs/>
        </w:rPr>
      </w:pPr>
    </w:p>
    <w:p w14:paraId="08C6541E" w14:textId="21F82922" w:rsidR="00B92885" w:rsidRPr="00E80797" w:rsidRDefault="00E80797" w:rsidP="00E80797">
      <w:pPr>
        <w:rPr>
          <w:rFonts w:ascii="Calibri" w:eastAsia="Calibri" w:hAnsi="Calibri"/>
          <w:b/>
          <w:bCs/>
        </w:rPr>
      </w:pPr>
      <w:r w:rsidRPr="00A615AB">
        <w:rPr>
          <w:rFonts w:ascii="Calibri" w:eastAsia="Calibri" w:hAnsi="Calibri"/>
          <w:b/>
          <w:bCs/>
        </w:rPr>
        <w:t xml:space="preserve">We also suggest as a general approach to apply rules on fund names only for investments in </w:t>
      </w:r>
      <w:r>
        <w:rPr>
          <w:rFonts w:ascii="Calibri" w:eastAsia="Calibri" w:hAnsi="Calibri"/>
          <w:b/>
          <w:bCs/>
        </w:rPr>
        <w:t xml:space="preserve">asset classes that are </w:t>
      </w:r>
      <w:r w:rsidRPr="00A615AB">
        <w:rPr>
          <w:rFonts w:ascii="Calibri" w:eastAsia="Calibri" w:hAnsi="Calibri"/>
          <w:b/>
          <w:bCs/>
        </w:rPr>
        <w:t>transferrable securities</w:t>
      </w:r>
      <w:bookmarkStart w:id="3" w:name="_Hlk127768629"/>
      <w:r w:rsidRPr="00A615AB">
        <w:rPr>
          <w:rFonts w:ascii="Calibri" w:eastAsia="Calibri" w:hAnsi="Calibri"/>
          <w:b/>
          <w:bCs/>
        </w:rPr>
        <w:t>,</w:t>
      </w:r>
      <w:r>
        <w:rPr>
          <w:rFonts w:ascii="Calibri" w:eastAsia="Calibri" w:hAnsi="Calibri"/>
          <w:b/>
          <w:bCs/>
        </w:rPr>
        <w:t xml:space="preserve"> and a clear view is in place on how to take them into consideration for ESG considerations</w:t>
      </w:r>
      <w:r w:rsidRPr="00A615AB">
        <w:rPr>
          <w:rFonts w:ascii="Calibri" w:eastAsia="Calibri" w:hAnsi="Calibri"/>
          <w:b/>
          <w:bCs/>
        </w:rPr>
        <w:t>.</w:t>
      </w:r>
      <w:bookmarkEnd w:id="3"/>
      <w:r w:rsidRPr="00A615AB">
        <w:rPr>
          <w:rFonts w:ascii="Calibri" w:eastAsia="Calibri" w:hAnsi="Calibri"/>
          <w:b/>
          <w:bCs/>
        </w:rPr>
        <w:t xml:space="preserve"> For other assets such as derivatives, sovereign bonds, cash/cash equivalents given lack of clarity as to their treatment we suggest not including them in the method/calculation for the purpose of these Guidelines.</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5AEA010F" w14:textId="77777777" w:rsidR="00E80797" w:rsidRDefault="00E80797" w:rsidP="00E80797">
      <w:permStart w:id="1596738700" w:edGrp="everyone"/>
      <w:r>
        <w:t xml:space="preserve">As mentioned in our introductory remarks CG doesn’t agree with using quantitative thresholds based on holdings to assess and allow ESG or sustainability-related terms in a fund’s name. We are not convinced that the suggested approach that links ESG-related names to specific minimum thresholds on the fund’s holdings is appropriate in ensuring the robustness and credibility of the fund’s ESG commitments as appearing in its name. </w:t>
      </w:r>
    </w:p>
    <w:p w14:paraId="5E379515" w14:textId="77777777" w:rsidR="00E80797" w:rsidRDefault="00E80797" w:rsidP="00E80797">
      <w:r>
        <w:t>There are several reasons we remain sceptical as regards this approach:</w:t>
      </w:r>
    </w:p>
    <w:p w14:paraId="155F3168" w14:textId="77777777" w:rsidR="00E80797" w:rsidRDefault="00E80797" w:rsidP="00E80797">
      <w:r>
        <w:t xml:space="preserve">- Firstly, there is continuing lack of clarity on what constitutes “sustainable investment”, how to measure different characteristics (incl. PAIs and DNSH), what is the weighting of different types of assets in relation to taxonomy-alignment etc. This is also underlined by the fact that both the EC is still in the process of publishing Q&amp;As and ESAs will further publish guidance to clarify metrics and application in relation to the SFDR. </w:t>
      </w:r>
    </w:p>
    <w:p w14:paraId="7FF71009" w14:textId="77777777" w:rsidR="00E80797" w:rsidRDefault="00E80797" w:rsidP="00E80797">
      <w:r>
        <w:t>- Attributing a percentage of holdings to ESG objectives and/or characteristics in the current context will result in different, non-comparable assessments and arbitrary decisions on how/which assets are allocated to ESG commitments. This is far from reducing greenwashing risks and enhancing clear understanding on what a fund with an ESG-related name does.</w:t>
      </w:r>
    </w:p>
    <w:p w14:paraId="442F1E62" w14:textId="77777777" w:rsidR="00E80797" w:rsidRDefault="00E80797" w:rsidP="00E80797">
      <w:r>
        <w:t>- In addition, requirements set on such thresholds would only increase reliance on third party data at a time when there is increased concern among regulators about the lack of transparency regarding their methodology and underlying criteria.</w:t>
      </w:r>
    </w:p>
    <w:p w14:paraId="5EAD6BD8" w14:textId="2FF25DB3" w:rsidR="00E80797" w:rsidRDefault="00142690" w:rsidP="00E80797">
      <w:r>
        <w:t xml:space="preserve">- </w:t>
      </w:r>
      <w:r w:rsidR="00E80797">
        <w:t xml:space="preserve">The criteria may be slow moving and not reflect the best scientific or other evidence of what is sustainable.  </w:t>
      </w:r>
    </w:p>
    <w:p w14:paraId="3E0F19EE" w14:textId="77777777" w:rsidR="00E80797" w:rsidRDefault="00E80797" w:rsidP="00E80797">
      <w:r>
        <w:t xml:space="preserve">- On a more general note, a calculation solely on the base of holdings doesn’t allow a comprehensive look on whether/how the investment process reflects what is marketed under the fund’s name. Going directly to outcomes of an investment process will not ensure that these are the result of a robust commitment and investment process and not just a selection of assets that under current reading can fit specific thresholds. </w:t>
      </w:r>
    </w:p>
    <w:p w14:paraId="64629ED8" w14:textId="77777777" w:rsidR="00E80797" w:rsidRDefault="00E80797" w:rsidP="00E80797">
      <w:r>
        <w:t xml:space="preserve">- The later can be misleading if not linked to robust binding process. What remains key is ensuring transparency around methodology and process along with clarity on the definition the fund manager is using for key pieces (for example regarding sustainable investments). </w:t>
      </w:r>
    </w:p>
    <w:p w14:paraId="3674A713" w14:textId="77777777" w:rsidR="00E80797" w:rsidRDefault="00E80797" w:rsidP="00E80797">
      <w:r>
        <w:t>- We also note that there is important regulatory unclarity for how specific assets such as derivatives and sovereign bonds can be treated for calculation models under SFDR and Taxonomy. Given the ongoing ambiguity as to what applies we would not see fit to include in such calculations related to the name of the fund these assets.</w:t>
      </w:r>
    </w:p>
    <w:p w14:paraId="343A5F3E" w14:textId="77777777" w:rsidR="00E80797" w:rsidRDefault="00E80797" w:rsidP="00E80797">
      <w:r>
        <w:t>- Finally, such thresholds may contradict existing regulatory limits set as to the assets held by a fund. We note as an example CSSF’s FAQ - Law of 17 December 2010 justifying investment funds to hold liquid assets beyond 20% because of exceptionally un-favourable market conditions, having regard to the interests of the investors (for instance in highly serious circumstances such as the September 11 attacks or the bankruptcy of Lehman Brothers in 2008 – see Question 14 of the CSSF’s FAQ).</w:t>
      </w:r>
    </w:p>
    <w:p w14:paraId="51982864" w14:textId="77777777" w:rsidR="00142690" w:rsidRDefault="00142690" w:rsidP="00E80797"/>
    <w:p w14:paraId="3E64911C" w14:textId="36395C72" w:rsidR="00E80797" w:rsidRDefault="00E80797" w:rsidP="00E80797">
      <w:r>
        <w:t>For these reasons, CG considers more appropriate to apply a process-based (instead of an outcome-based) approach</w:t>
      </w:r>
      <w:r w:rsidR="00142690">
        <w:t>, i.e.,</w:t>
      </w:r>
      <w:r>
        <w:t xml:space="preserve"> instead of attributing holdings under set thresholds we suggest:</w:t>
      </w:r>
    </w:p>
    <w:p w14:paraId="331FB2DE" w14:textId="77777777" w:rsidR="00E80797" w:rsidRDefault="00E80797" w:rsidP="00E80797">
      <w:r>
        <w:t>-</w:t>
      </w:r>
      <w:r>
        <w:tab/>
        <w:t>Demonstrating in a clear way the ESG integration strategy via specific binding elements of the investment process and how these apply on asset allocation.</w:t>
      </w:r>
    </w:p>
    <w:p w14:paraId="621DC45D" w14:textId="77777777" w:rsidR="00E80797" w:rsidRDefault="00E80797" w:rsidP="00E80797">
      <w:r>
        <w:t>-</w:t>
      </w:r>
      <w:r>
        <w:tab/>
        <w:t>Explaining how ESG and sustainable considerations are defined.</w:t>
      </w:r>
    </w:p>
    <w:p w14:paraId="2B031C32" w14:textId="77777777" w:rsidR="00E80797" w:rsidRDefault="00E80797" w:rsidP="00E80797">
      <w:r>
        <w:t>-</w:t>
      </w:r>
      <w:r>
        <w:tab/>
        <w:t>Reporting on outcomes should also occur, but in a complementary way not as the key criterion to be fulfilled against specific percentages.</w:t>
      </w:r>
    </w:p>
    <w:p w14:paraId="72356E85" w14:textId="77777777" w:rsidR="00142690" w:rsidRDefault="00142690" w:rsidP="00B92885"/>
    <w:p w14:paraId="043F3971" w14:textId="61679A73" w:rsidR="00B92885" w:rsidRDefault="00E80797" w:rsidP="00B92885">
      <w:r>
        <w:t>We also suggest as a general approach to apply rules on fund names only for investments in transferrable securities</w:t>
      </w:r>
      <w:r w:rsidR="00142690" w:rsidRPr="00142690">
        <w:t>, and a clear view is in place on how to take them into consideration for ESG considerations.</w:t>
      </w:r>
      <w:r>
        <w:t>. For other assets such as derivatives, sovereign bonds, cash/cash equivalents and given lack of clarity as to their treatment we suggest not including them in the method/calculation for the purpose of these Guidelines.</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lastRenderedPageBreak/>
        <w:t xml:space="preserve">: </w:t>
      </w:r>
      <w:bookmarkStart w:id="4"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4"/>
    <w:p w14:paraId="4F9400BD" w14:textId="77777777" w:rsidR="00B92885" w:rsidRDefault="00B92885" w:rsidP="00B92885">
      <w:r>
        <w:t>&lt;ESMA_QUESTION_FUNA_2&gt;</w:t>
      </w:r>
    </w:p>
    <w:p w14:paraId="7BED3590" w14:textId="40952757" w:rsidR="00B92885" w:rsidRDefault="00F624AC" w:rsidP="00B92885">
      <w:permStart w:id="1305634831" w:edGrp="everyone"/>
      <w:r>
        <w:t>We don’t agree with the proposed threshold, see our response to the previous question.</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3F3E1763" w14:textId="73B4C89B" w:rsidR="00B92885" w:rsidRDefault="00E80797" w:rsidP="00B92885">
      <w:permStart w:id="347949177" w:edGrp="everyone"/>
      <w:r>
        <w:t>We don’t see merits with including an additional threshold related to minimum proportion of sustainable investments. The sustainable investments under article 2(17) of SFDR require further regulatory clarity prior to becoming a standard that can apply consistently across all market participants and generate comparable results. See also our response to Question 1.</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5C3CB846" w14:textId="77777777" w:rsidR="00E80797" w:rsidRDefault="00E80797" w:rsidP="00E80797">
      <w:permStart w:id="351877901" w:edGrp="everyone"/>
      <w:r>
        <w:t xml:space="preserve">We don’t believe a threshold mechanism and an outcomes-based approach is an appropriate way to set common rules for funds with ESG or sustainability-related terms in their names. </w:t>
      </w:r>
    </w:p>
    <w:p w14:paraId="20763364" w14:textId="77777777" w:rsidR="00E80797" w:rsidRDefault="00E80797" w:rsidP="00E80797">
      <w:r>
        <w:t>CG considers it more appropriate to apply a process-based approach that will:</w:t>
      </w:r>
    </w:p>
    <w:p w14:paraId="719E549F" w14:textId="77777777" w:rsidR="00E80797" w:rsidRDefault="00E80797" w:rsidP="00E80797">
      <w:r>
        <w:t>-</w:t>
      </w:r>
      <w:r>
        <w:tab/>
        <w:t>Demonstrate in a clear way the ESG integration strategy via specific binding elements of the investment process and how these apply on asset allocation.</w:t>
      </w:r>
    </w:p>
    <w:p w14:paraId="62215B09" w14:textId="77777777" w:rsidR="00E80797" w:rsidRDefault="00E80797" w:rsidP="00E80797">
      <w:r>
        <w:t>-</w:t>
      </w:r>
      <w:r>
        <w:tab/>
        <w:t>Explain how ESG and sustainable considerations are defined.</w:t>
      </w:r>
    </w:p>
    <w:p w14:paraId="5DCA02E0" w14:textId="163315B4" w:rsidR="00B92885" w:rsidRDefault="00E80797" w:rsidP="00E80797">
      <w:r>
        <w:t>See also our response to Question 1.</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9ABEB43" w14:textId="1DAD113D" w:rsidR="00B92885" w:rsidRDefault="00E80797" w:rsidP="00B92885">
      <w:permStart w:id="1539323392" w:edGrp="everyone"/>
      <w:r>
        <w:t>Yes, we believe an approach based on the investment process and its binding elements is a more appropriate approach compared to the one suggested in the Consultation that is based on outcomes. See also our introductory remarks and our response to Question 1.</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06619A49" w14:textId="77777777" w:rsidR="00E80797" w:rsidRDefault="00E80797" w:rsidP="00E80797">
      <w:permStart w:id="175976681" w:edGrp="everyone"/>
      <w:r>
        <w:lastRenderedPageBreak/>
        <w:t xml:space="preserve">For SFDR article 8 and article 9 funds that have Sustainable Investments there is a DNSH test in place applying across the whole portfolio, and good governance to some other assets. This key requirement ensures minimum consistency for all assets of a fund (both those related to Sustainable Investments and other assets). </w:t>
      </w:r>
    </w:p>
    <w:p w14:paraId="7C9157FD" w14:textId="338D1757" w:rsidR="00B92885" w:rsidRDefault="00E80797" w:rsidP="00E80797">
      <w:r>
        <w:t>We acknowledge DNSH is a process that is still to be further specified. On the other hand, this allows adjustments and takes into consideration the characteristics of different strategies and underlying assets. The selection of specific exclusion criteria to apply on every portfolio (including the exclusion criteria of Paris-aligned Benchmarks) would end up with criteria non-properly calibrated to different fund strategies and is a less comprehensive approach compared to DNSH that applies to all assets.</w:t>
      </w: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33D374FB" w14:textId="6D489EC1" w:rsidR="00B92885" w:rsidRDefault="00E80797" w:rsidP="00B92885">
      <w:permStart w:id="576722602" w:edGrp="everyone"/>
      <w:r>
        <w:t>No, we believe that for derivatives along with other asset classes, such as sovereign bonds and cash/cash equivalents it still isn’t clear what the expectations are from current regulatory guidance. Moreover, given lack of market-wide best practice or common agreement on the way to include them in such calculations we consider it is best to not include them for now in the scope of these Guidelines.</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7777777" w:rsidR="00B92885" w:rsidRDefault="00B92885" w:rsidP="00B92885">
      <w:permStart w:id="1071974531" w:edGrp="everyone"/>
      <w:r>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2BABA8E0" w14:textId="77777777" w:rsidR="00B92885" w:rsidRDefault="00B92885" w:rsidP="00B92885">
      <w:permStart w:id="650455330" w:edGrp="everyone"/>
      <w:r>
        <w:t>TYPE YOUR TEXT HERE</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08901A8C" w14:textId="77777777" w:rsidR="00B92885" w:rsidRDefault="00B92885" w:rsidP="00B92885">
      <w:permStart w:id="1876589445" w:edGrp="everyone"/>
      <w:r>
        <w:t>TYPE YOUR TEXT HERE</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09441A21" w14:textId="77777777" w:rsidR="00B92885" w:rsidRDefault="00B92885" w:rsidP="00B92885">
      <w:permStart w:id="1992309739" w:edGrp="everyone"/>
      <w:r>
        <w:lastRenderedPageBreak/>
        <w:t>TYPE YOUR TEXT HERE</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61188F70" w14:textId="107E4EBF" w:rsidR="00B92885" w:rsidRDefault="00274FAD" w:rsidP="00B92885">
      <w:permStart w:id="1423966990" w:edGrp="everyone"/>
      <w:r w:rsidRPr="005743A6">
        <w:t xml:space="preserve">Defining terms such as “transition”, “transitioner”, “improvers” remains difficult at the current stage </w:t>
      </w:r>
      <w:r>
        <w:t xml:space="preserve">of a constantly evolving regulatory and market </w:t>
      </w:r>
      <w:r w:rsidRPr="005743A6">
        <w:t xml:space="preserve">landscape. Should such terms appear in a fund’s name there needs to be a clear demonstration on </w:t>
      </w:r>
      <w:r>
        <w:t>the definition that is used</w:t>
      </w:r>
      <w:r w:rsidRPr="005743A6">
        <w:t xml:space="preserve"> and how it is integrated in the investment strategy.</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4FC5FAA" w14:textId="77777777" w:rsidR="00B92885" w:rsidRDefault="00B92885" w:rsidP="00B92885">
      <w:permStart w:id="1434478937" w:edGrp="everyone"/>
      <w:r>
        <w:t>TYPE YOUR TEXT HERE</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2BFE5E31" w14:textId="08ACFB41" w:rsidR="00B444E6" w:rsidRDefault="00B444E6" w:rsidP="00B444E6">
      <w:permStart w:id="489244833" w:edGrp="everyone"/>
      <w:r>
        <w:t>Changes that will apply for existing funds with ESG-related names include updates in Prospectus/marketing materials that will also involve lengthy regulatory processes and lead potentially</w:t>
      </w:r>
      <w:r w:rsidR="00700D80">
        <w:t xml:space="preserve"> to</w:t>
      </w:r>
      <w:r>
        <w:t xml:space="preserve"> re-submissions. It would be best to allow sufficient and longer transition period of 1</w:t>
      </w:r>
      <w:r w:rsidR="00596156">
        <w:t>8 months</w:t>
      </w:r>
      <w:r>
        <w:t>.</w:t>
      </w:r>
    </w:p>
    <w:p w14:paraId="68ED52F5" w14:textId="748DE8C4" w:rsidR="00B92885" w:rsidRDefault="00B444E6" w:rsidP="00274FAD">
      <w:r>
        <w:t>This is also recommended as clients will need to get familiar with the new rules and understand how existing funds would need to apply new criteria. To note that the industry distribution standard template (EET) which is a useful tool for market participants, may also need to be updated to reflect these changes.</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77777777" w:rsidR="00B92885" w:rsidRDefault="00B92885" w:rsidP="00B92885">
      <w:permStart w:id="1766353355" w:edGrp="everyone"/>
      <w:r>
        <w:t>TYPE YOUR TEXT HERE</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6F6494D0" w14:textId="77777777" w:rsidR="00B92885" w:rsidRDefault="00B92885" w:rsidP="00B92885">
      <w:permStart w:id="929254269" w:edGrp="everyone"/>
      <w:r>
        <w:t>TYPE YOUR TEXT HERE</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lastRenderedPageBreak/>
        <w:t>&lt;ESMA_QUESTION_FUNA_16&gt;</w:t>
      </w:r>
    </w:p>
    <w:p w14:paraId="0866A6F6" w14:textId="77777777" w:rsidR="00B92885" w:rsidRDefault="00B92885" w:rsidP="00B92885">
      <w:permStart w:id="878708964" w:edGrp="everyone"/>
      <w:r>
        <w:t>TYPE YOUR TEXT HERE</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CC69" w14:textId="77777777" w:rsidR="00027EEB" w:rsidRDefault="00027EEB">
      <w:r>
        <w:separator/>
      </w:r>
    </w:p>
    <w:p w14:paraId="5DDDA9E4" w14:textId="77777777" w:rsidR="00027EEB" w:rsidRDefault="00027EEB"/>
  </w:endnote>
  <w:endnote w:type="continuationSeparator" w:id="0">
    <w:p w14:paraId="669BAB8A" w14:textId="77777777" w:rsidR="00027EEB" w:rsidRDefault="00027EEB">
      <w:r>
        <w:continuationSeparator/>
      </w:r>
    </w:p>
    <w:p w14:paraId="7D10BF9F" w14:textId="77777777" w:rsidR="00027EEB" w:rsidRDefault="00027EEB"/>
  </w:endnote>
  <w:endnote w:type="continuationNotice" w:id="1">
    <w:p w14:paraId="7C72917A" w14:textId="77777777" w:rsidR="00027EEB" w:rsidRDefault="0002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Footer"/>
      <w:tabs>
        <w:tab w:val="clear" w:pos="4536"/>
        <w:tab w:val="clear" w:pos="9072"/>
        <w:tab w:val="left" w:pos="8227"/>
        <w:tab w:val="right" w:pos="9412"/>
      </w:tabs>
    </w:pPr>
    <w:r>
      <w:tab/>
    </w:r>
    <w:r w:rsidR="00B92885">
      <w:tab/>
    </w:r>
  </w:p>
  <w:p w14:paraId="3A793707" w14:textId="084F8123" w:rsidR="00B92885" w:rsidRDefault="00B92885" w:rsidP="00B92885">
    <w:pPr>
      <w:pStyle w:val="Footer"/>
      <w:tabs>
        <w:tab w:val="clear" w:pos="4536"/>
        <w:tab w:val="clear" w:pos="9072"/>
        <w:tab w:val="left" w:pos="8227"/>
        <w:tab w:val="right" w:pos="9412"/>
      </w:tabs>
    </w:pPr>
    <w:r>
      <w:tab/>
    </w:r>
    <w:r>
      <w:tab/>
    </w:r>
    <w:r>
      <w:tab/>
    </w:r>
  </w:p>
  <w:p w14:paraId="6D19C66C" w14:textId="10DE0B9B" w:rsidR="00B92885" w:rsidRDefault="00B92885" w:rsidP="00B92885">
    <w:pPr>
      <w:pStyle w:val="Footer"/>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4D776" w14:textId="77777777" w:rsidR="00027EEB" w:rsidRDefault="00027EEB">
      <w:r>
        <w:separator/>
      </w:r>
    </w:p>
    <w:p w14:paraId="4E8AA966" w14:textId="77777777" w:rsidR="00027EEB" w:rsidRDefault="00027EEB"/>
  </w:footnote>
  <w:footnote w:type="continuationSeparator" w:id="0">
    <w:p w14:paraId="457E26AD" w14:textId="77777777" w:rsidR="00027EEB" w:rsidRDefault="00027EEB">
      <w:r>
        <w:continuationSeparator/>
      </w:r>
    </w:p>
    <w:p w14:paraId="139EA58C" w14:textId="77777777" w:rsidR="00027EEB" w:rsidRDefault="00027EEB"/>
  </w:footnote>
  <w:footnote w:type="continuationNotice" w:id="1">
    <w:p w14:paraId="1C504C77" w14:textId="77777777" w:rsidR="00027EEB" w:rsidRDefault="00027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Header"/>
    </w:pPr>
    <w:r>
      <w:rPr>
        <w:noProof/>
        <w:lang w:eastAsia="en-GB"/>
      </w:rPr>
      <w:drawing>
        <wp:anchor distT="0" distB="0" distL="114300" distR="114300" simplePos="0" relativeHeight="25166336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7216"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AC8A8" id="Line 16" o:spid="_x0000_s1026" style="position:absolute;z-index:251657216;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Header"/>
      <w:jc w:val="right"/>
    </w:pPr>
    <w:r>
      <w:rPr>
        <w:noProof/>
        <w:lang w:eastAsia="en-GB"/>
      </w:rPr>
      <w:drawing>
        <wp:anchor distT="0" distB="0" distL="114300" distR="114300" simplePos="0" relativeHeight="251660288"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Header"/>
      <w:rPr>
        <w:lang w:val="fr-FR"/>
      </w:rPr>
    </w:pPr>
  </w:p>
  <w:p w14:paraId="3F30C70B" w14:textId="77777777" w:rsidR="00267551" w:rsidRPr="002F4496" w:rsidRDefault="00267551" w:rsidP="000C06C9">
    <w:pPr>
      <w:pStyle w:val="Header"/>
      <w:tabs>
        <w:tab w:val="clear" w:pos="4536"/>
        <w:tab w:val="clear" w:pos="9072"/>
        <w:tab w:val="left" w:pos="8227"/>
      </w:tabs>
      <w:rPr>
        <w:lang w:val="fr-FR"/>
      </w:rPr>
    </w:pPr>
  </w:p>
  <w:p w14:paraId="4D50BC39" w14:textId="77777777" w:rsidR="00267551" w:rsidRPr="002F4496" w:rsidRDefault="00267551" w:rsidP="00583885">
    <w:pPr>
      <w:pStyle w:val="Header"/>
      <w:jc w:val="right"/>
      <w:rPr>
        <w:lang w:val="fr-FR"/>
      </w:rPr>
    </w:pPr>
  </w:p>
  <w:p w14:paraId="2D51BEA2" w14:textId="77777777" w:rsidR="00267551" w:rsidRPr="002F4496" w:rsidRDefault="00267551">
    <w:pPr>
      <w:pStyle w:val="Header"/>
      <w:rPr>
        <w:lang w:val="fr-FR"/>
      </w:rPr>
    </w:pPr>
  </w:p>
  <w:p w14:paraId="340B2438" w14:textId="77777777" w:rsidR="00267551" w:rsidRPr="002F4496" w:rsidRDefault="00267551">
    <w:pPr>
      <w:pStyle w:val="Header"/>
      <w:rPr>
        <w:lang w:val="fr-FR"/>
      </w:rPr>
    </w:pPr>
  </w:p>
  <w:p w14:paraId="2A794A3E" w14:textId="77777777" w:rsidR="00267551" w:rsidRPr="002F4496" w:rsidRDefault="00267551">
    <w:pPr>
      <w:pStyle w:val="Header"/>
      <w:rPr>
        <w:lang w:val="fr-FR"/>
      </w:rPr>
    </w:pPr>
  </w:p>
  <w:p w14:paraId="0A21F475" w14:textId="77777777" w:rsidR="00267551" w:rsidRPr="002F4496" w:rsidRDefault="00267551">
    <w:pPr>
      <w:pStyle w:val="Header"/>
      <w:rPr>
        <w:highlight w:val="yellow"/>
        <w:lang w:val="fr-FR"/>
      </w:rPr>
    </w:pPr>
  </w:p>
  <w:p w14:paraId="53ABEE5D" w14:textId="77777777" w:rsidR="00267551" w:rsidRDefault="00267551">
    <w:pPr>
      <w:pStyle w:val="Header"/>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0D22D"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8"/>
  </w:num>
  <w:num w:numId="29">
    <w:abstractNumId w:val="7"/>
  </w:num>
  <w:num w:numId="30">
    <w:abstractNumId w:val="2"/>
  </w:num>
  <w:num w:numId="31">
    <w:abstractNumId w:val="21"/>
  </w:num>
  <w:num w:numId="32">
    <w:abstractNumId w:val="20"/>
  </w:num>
  <w:num w:numId="33">
    <w:abstractNumId w:val="34"/>
  </w:num>
  <w:num w:numId="34">
    <w:abstractNumId w:val="33"/>
  </w:num>
  <w:num w:numId="35">
    <w:abstractNumId w:val="4"/>
  </w:num>
  <w:num w:numId="36">
    <w:abstractNumId w:val="35"/>
  </w:num>
  <w:num w:numId="37">
    <w:abstractNumId w:val="20"/>
    <w:lvlOverride w:ilvl="0">
      <w:startOverride w:val="1"/>
    </w:lvlOverride>
  </w:num>
  <w:num w:numId="38">
    <w:abstractNumId w:val="20"/>
  </w:num>
  <w:num w:numId="39">
    <w:abstractNumId w:val="12"/>
  </w:num>
  <w:num w:numId="40">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4E4"/>
    <w:rsid w:val="00121A5D"/>
    <w:rsid w:val="00121BED"/>
    <w:rsid w:val="00123D39"/>
    <w:rsid w:val="001244CD"/>
    <w:rsid w:val="0012566F"/>
    <w:rsid w:val="001262B1"/>
    <w:rsid w:val="00130F41"/>
    <w:rsid w:val="00130FAF"/>
    <w:rsid w:val="00135F2B"/>
    <w:rsid w:val="001372DD"/>
    <w:rsid w:val="00137AD4"/>
    <w:rsid w:val="001405BA"/>
    <w:rsid w:val="00141497"/>
    <w:rsid w:val="0014253A"/>
    <w:rsid w:val="001425C8"/>
    <w:rsid w:val="00142690"/>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22D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17D"/>
    <w:rsid w:val="00256DFE"/>
    <w:rsid w:val="00260921"/>
    <w:rsid w:val="00261D56"/>
    <w:rsid w:val="00261FD3"/>
    <w:rsid w:val="00263505"/>
    <w:rsid w:val="00264077"/>
    <w:rsid w:val="00266AF0"/>
    <w:rsid w:val="00266B9A"/>
    <w:rsid w:val="00267551"/>
    <w:rsid w:val="00270E54"/>
    <w:rsid w:val="00273633"/>
    <w:rsid w:val="00273681"/>
    <w:rsid w:val="00274FAD"/>
    <w:rsid w:val="002754B5"/>
    <w:rsid w:val="002764C5"/>
    <w:rsid w:val="00276A5A"/>
    <w:rsid w:val="002772AE"/>
    <w:rsid w:val="00277943"/>
    <w:rsid w:val="00280613"/>
    <w:rsid w:val="002814D9"/>
    <w:rsid w:val="002819C4"/>
    <w:rsid w:val="0028274D"/>
    <w:rsid w:val="00282B96"/>
    <w:rsid w:val="002833D6"/>
    <w:rsid w:val="00283F51"/>
    <w:rsid w:val="00285126"/>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0926"/>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1394"/>
    <w:rsid w:val="003B2567"/>
    <w:rsid w:val="003B381A"/>
    <w:rsid w:val="003B4976"/>
    <w:rsid w:val="003B4B3F"/>
    <w:rsid w:val="003B6258"/>
    <w:rsid w:val="003B66EA"/>
    <w:rsid w:val="003B7A99"/>
    <w:rsid w:val="003C0343"/>
    <w:rsid w:val="003C1C32"/>
    <w:rsid w:val="003C2760"/>
    <w:rsid w:val="003C40DA"/>
    <w:rsid w:val="003C42BA"/>
    <w:rsid w:val="003C462F"/>
    <w:rsid w:val="003C4A02"/>
    <w:rsid w:val="003C4F05"/>
    <w:rsid w:val="003C6191"/>
    <w:rsid w:val="003C6E49"/>
    <w:rsid w:val="003D0CBF"/>
    <w:rsid w:val="003D0DD6"/>
    <w:rsid w:val="003D3972"/>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1C38"/>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6BAD"/>
    <w:rsid w:val="00447C72"/>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01C"/>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7406"/>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5462"/>
    <w:rsid w:val="00505CCF"/>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3F04"/>
    <w:rsid w:val="005648A8"/>
    <w:rsid w:val="00564DE3"/>
    <w:rsid w:val="00564E44"/>
    <w:rsid w:val="00566C6A"/>
    <w:rsid w:val="00566CE5"/>
    <w:rsid w:val="00566D36"/>
    <w:rsid w:val="00573569"/>
    <w:rsid w:val="00573871"/>
    <w:rsid w:val="0057389E"/>
    <w:rsid w:val="005743A6"/>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156"/>
    <w:rsid w:val="00596825"/>
    <w:rsid w:val="005A06A0"/>
    <w:rsid w:val="005A150A"/>
    <w:rsid w:val="005A2B3E"/>
    <w:rsid w:val="005A3644"/>
    <w:rsid w:val="005A4087"/>
    <w:rsid w:val="005A4B18"/>
    <w:rsid w:val="005A537E"/>
    <w:rsid w:val="005A6F43"/>
    <w:rsid w:val="005A767D"/>
    <w:rsid w:val="005B00F1"/>
    <w:rsid w:val="005B0CE7"/>
    <w:rsid w:val="005B10E2"/>
    <w:rsid w:val="005B1389"/>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0BAF"/>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5F6892"/>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4F26"/>
    <w:rsid w:val="0067555E"/>
    <w:rsid w:val="00677FAD"/>
    <w:rsid w:val="006802DE"/>
    <w:rsid w:val="0068032D"/>
    <w:rsid w:val="0068068C"/>
    <w:rsid w:val="00681115"/>
    <w:rsid w:val="00683920"/>
    <w:rsid w:val="00685147"/>
    <w:rsid w:val="00685653"/>
    <w:rsid w:val="0068590D"/>
    <w:rsid w:val="00685A89"/>
    <w:rsid w:val="006861B3"/>
    <w:rsid w:val="0068651B"/>
    <w:rsid w:val="00686FA2"/>
    <w:rsid w:val="006870C5"/>
    <w:rsid w:val="00690F0E"/>
    <w:rsid w:val="006911C0"/>
    <w:rsid w:val="00691B7C"/>
    <w:rsid w:val="006941DB"/>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6EF"/>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0D80"/>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87A"/>
    <w:rsid w:val="00763F36"/>
    <w:rsid w:val="007648A0"/>
    <w:rsid w:val="00766B72"/>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C7CE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657C"/>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4094"/>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6039"/>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6C5"/>
    <w:rsid w:val="00A0083C"/>
    <w:rsid w:val="00A01A90"/>
    <w:rsid w:val="00A02370"/>
    <w:rsid w:val="00A04685"/>
    <w:rsid w:val="00A04C57"/>
    <w:rsid w:val="00A06340"/>
    <w:rsid w:val="00A0684F"/>
    <w:rsid w:val="00A06867"/>
    <w:rsid w:val="00A10148"/>
    <w:rsid w:val="00A113FD"/>
    <w:rsid w:val="00A11DDE"/>
    <w:rsid w:val="00A127A7"/>
    <w:rsid w:val="00A129F4"/>
    <w:rsid w:val="00A12A3A"/>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5AB"/>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4A6C"/>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13D"/>
    <w:rsid w:val="00AB3D9A"/>
    <w:rsid w:val="00AB4824"/>
    <w:rsid w:val="00AB4B1D"/>
    <w:rsid w:val="00AB4C16"/>
    <w:rsid w:val="00AB60CE"/>
    <w:rsid w:val="00AB6B5E"/>
    <w:rsid w:val="00AC047F"/>
    <w:rsid w:val="00AC1CB2"/>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4E6"/>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82C"/>
    <w:rsid w:val="00B91B86"/>
    <w:rsid w:val="00B927CA"/>
    <w:rsid w:val="00B92885"/>
    <w:rsid w:val="00B928AE"/>
    <w:rsid w:val="00B93CDA"/>
    <w:rsid w:val="00B942E9"/>
    <w:rsid w:val="00B9433A"/>
    <w:rsid w:val="00B948EE"/>
    <w:rsid w:val="00B94BF3"/>
    <w:rsid w:val="00B94F90"/>
    <w:rsid w:val="00B94FAE"/>
    <w:rsid w:val="00B95DC5"/>
    <w:rsid w:val="00B96E28"/>
    <w:rsid w:val="00B96EC3"/>
    <w:rsid w:val="00B97E34"/>
    <w:rsid w:val="00B97FEF"/>
    <w:rsid w:val="00BA1354"/>
    <w:rsid w:val="00BA24F8"/>
    <w:rsid w:val="00BA31AA"/>
    <w:rsid w:val="00BA45D8"/>
    <w:rsid w:val="00BA5828"/>
    <w:rsid w:val="00BA64B3"/>
    <w:rsid w:val="00BA754A"/>
    <w:rsid w:val="00BA7820"/>
    <w:rsid w:val="00BA794C"/>
    <w:rsid w:val="00BB09FB"/>
    <w:rsid w:val="00BB0D6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2C73"/>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278E1"/>
    <w:rsid w:val="00C30A54"/>
    <w:rsid w:val="00C316F7"/>
    <w:rsid w:val="00C31DF0"/>
    <w:rsid w:val="00C336D6"/>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E7E99"/>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67940"/>
    <w:rsid w:val="00D71B45"/>
    <w:rsid w:val="00D71F8A"/>
    <w:rsid w:val="00D75603"/>
    <w:rsid w:val="00D75FEE"/>
    <w:rsid w:val="00D76933"/>
    <w:rsid w:val="00D76D88"/>
    <w:rsid w:val="00D77CC9"/>
    <w:rsid w:val="00D83D4B"/>
    <w:rsid w:val="00D871C6"/>
    <w:rsid w:val="00D91010"/>
    <w:rsid w:val="00D9143D"/>
    <w:rsid w:val="00D920D1"/>
    <w:rsid w:val="00D92260"/>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75B"/>
    <w:rsid w:val="00DB6C46"/>
    <w:rsid w:val="00DB72B8"/>
    <w:rsid w:val="00DC16AF"/>
    <w:rsid w:val="00DC2A9A"/>
    <w:rsid w:val="00DC2E2E"/>
    <w:rsid w:val="00DC4D68"/>
    <w:rsid w:val="00DC6463"/>
    <w:rsid w:val="00DC7822"/>
    <w:rsid w:val="00DC7AF1"/>
    <w:rsid w:val="00DC7D66"/>
    <w:rsid w:val="00DD2CDA"/>
    <w:rsid w:val="00DD2D92"/>
    <w:rsid w:val="00DD3026"/>
    <w:rsid w:val="00DD33DC"/>
    <w:rsid w:val="00DD3BB0"/>
    <w:rsid w:val="00DD61F5"/>
    <w:rsid w:val="00DD7418"/>
    <w:rsid w:val="00DE614F"/>
    <w:rsid w:val="00DE64A6"/>
    <w:rsid w:val="00DE66EB"/>
    <w:rsid w:val="00DE7035"/>
    <w:rsid w:val="00DF12E3"/>
    <w:rsid w:val="00DF2A20"/>
    <w:rsid w:val="00DF3F1D"/>
    <w:rsid w:val="00DF595C"/>
    <w:rsid w:val="00DF6A87"/>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797"/>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4E2"/>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24AC"/>
    <w:rsid w:val="00F64C45"/>
    <w:rsid w:val="00F6502B"/>
    <w:rsid w:val="00F6612A"/>
    <w:rsid w:val="00F66724"/>
    <w:rsid w:val="00F67F04"/>
    <w:rsid w:val="00F70207"/>
    <w:rsid w:val="00F702CB"/>
    <w:rsid w:val="00F71AC2"/>
    <w:rsid w:val="00F7257B"/>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35c8e399-07b8-49e4-91bf-01a20105d4df"/>
    <ds:schemaRef ds:uri="http://purl.org/dc/elements/1.1/"/>
  </ds:schemaRefs>
</ds:datastoreItem>
</file>

<file path=customXml/itemProps4.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5.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6.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3054</Words>
  <Characters>17177</Characters>
  <Application>Microsoft Office Word</Application>
  <DocSecurity>8</DocSecurity>
  <Lines>143</Lines>
  <Paragraphs>40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 CP on Guidelines on funds’ names using ESG or sustainability-related terms</vt:lpstr>
      <vt:lpstr>20110000</vt:lpstr>
      <vt:lpstr>20110000</vt:lpstr>
      <vt:lpstr>20110000</vt:lpstr>
      <vt:lpstr>20110000</vt:lpstr>
    </vt:vector>
  </TitlesOfParts>
  <Company>ESMA</Company>
  <LinksUpToDate>false</LinksUpToDate>
  <CharactersWithSpaces>20191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Agathi Pafili (AGAP)</cp:lastModifiedBy>
  <cp:revision>9</cp:revision>
  <cp:lastPrinted>2015-02-18T11:01:00Z</cp:lastPrinted>
  <dcterms:created xsi:type="dcterms:W3CDTF">2023-02-15T20:55:00Z</dcterms:created>
  <dcterms:modified xsi:type="dcterms:W3CDTF">2023-02-20T05:59:00Z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