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Piedepgina"/>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w:t>
            </w:r>
            <w:r w:rsidR="001B73D3" w:rsidRPr="001B73D3">
              <w:rPr>
                <w:rFonts w:cs="Arial"/>
                <w:bCs/>
              </w:rPr>
              <w:t>e</w:t>
            </w:r>
            <w:r w:rsidR="001B73D3" w:rsidRPr="001B73D3">
              <w:rPr>
                <w:rFonts w:cs="Arial"/>
                <w:bCs/>
              </w:rPr>
              <w:t>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t>
      </w:r>
      <w:r w:rsidRPr="00EF0769">
        <w:rPr>
          <w:rFonts w:cs="Arial"/>
        </w:rPr>
        <w:t>w</w:t>
      </w:r>
      <w:r w:rsidRPr="00EF0769">
        <w:rPr>
          <w:rFonts w:cs="Arial"/>
        </w:rPr>
        <w:t>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proofErr w:type="gramStart"/>
      <w:r w:rsidRPr="005B6B12">
        <w:rPr>
          <w:rStyle w:val="Hipervnculo"/>
        </w:rPr>
        <w:t>www.esma.europa.eu</w:t>
      </w:r>
      <w:r w:rsidR="0066246A">
        <w:rPr>
          <w:rStyle w:val="Hipervnculo"/>
        </w:rPr>
        <w:fldChar w:fldCharType="end"/>
      </w:r>
      <w:permEnd w:id="82257371"/>
      <w:r w:rsidRPr="005B6B12">
        <w:t xml:space="preserve"> under the heading ‘Your input - Consultations’.</w:t>
      </w:r>
      <w:proofErr w:type="gramEnd"/>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odelmarcadordeposicin"/>
              <w:rFonts w:cs="Arial"/>
            </w:rPr>
            <w:id w:val="651570699"/>
            <w:text/>
          </w:sdtPr>
          <w:sdtEndPr>
            <w:rPr>
              <w:rStyle w:val="Textodelmarcadordeposicin"/>
            </w:rPr>
          </w:sdtEndPr>
          <w:sdtContent>
            <w:tc>
              <w:tcPr>
                <w:tcW w:w="5595" w:type="dxa"/>
                <w:shd w:val="clear" w:color="auto" w:fill="auto"/>
              </w:tcPr>
              <w:p w14:paraId="7A68491E" w14:textId="1ECDD4E0" w:rsidR="00C2682A" w:rsidRPr="00AB6D88" w:rsidRDefault="00B570B5" w:rsidP="00FA5524">
                <w:pPr>
                  <w:rPr>
                    <w:rStyle w:val="Textodelmarcadordeposicin"/>
                    <w:rFonts w:cs="Arial"/>
                  </w:rPr>
                </w:pPr>
                <w:r>
                  <w:rPr>
                    <w:rStyle w:val="Textodelmarcadordeposicin"/>
                    <w:rFonts w:cs="Arial"/>
                  </w:rPr>
                  <w:t>ADICAE</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2722AD5" w:rsidR="00C2682A" w:rsidRPr="00AB6D88" w:rsidRDefault="00DE53FA" w:rsidP="00FA5524">
            <w:pPr>
              <w:rPr>
                <w:rFonts w:cs="Arial"/>
              </w:rPr>
            </w:pPr>
            <w:sdt>
              <w:sdtPr>
                <w:rPr>
                  <w:rFonts w:cs="Arial"/>
                </w:rPr>
                <w:alias w:val="Activity"/>
                <w:tag w:val="Activity"/>
                <w:id w:val="-1255357665"/>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570B5">
                  <w:rPr>
                    <w:rFonts w:cs="Arial"/>
                  </w:rPr>
                  <w:t xml:space="preserve">     </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5DC4B927" w:rsidR="00C2682A" w:rsidRPr="00AB6D88" w:rsidRDefault="00B570B5"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6484C1C6" w:rsidR="00C2682A" w:rsidRPr="00AB6D88" w:rsidRDefault="00B570B5" w:rsidP="00FA5524">
                <w:pPr>
                  <w:rPr>
                    <w:rFonts w:cs="Arial"/>
                  </w:rPr>
                </w:pPr>
                <w:r>
                  <w:rPr>
                    <w:rFonts w:cs="Arial"/>
                  </w:rPr>
                  <w:t>Spain</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tulo1"/>
        <w:numPr>
          <w:ilvl w:val="0"/>
          <w:numId w:val="0"/>
        </w:numPr>
        <w:ind w:left="431" w:hanging="431"/>
      </w:pPr>
      <w:r>
        <w:t>Introduction</w:t>
      </w:r>
    </w:p>
    <w:p w14:paraId="0A354328" w14:textId="77777777" w:rsidR="00F87897" w:rsidRPr="001D47A5" w:rsidRDefault="00F87897" w:rsidP="00F87897">
      <w:pPr>
        <w:rPr>
          <w:rStyle w:val="nfasisintenso"/>
        </w:rPr>
      </w:pPr>
      <w:r w:rsidRPr="001D47A5">
        <w:rPr>
          <w:rStyle w:val="nfasisintenso"/>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606AF8B8" w14:textId="77777777" w:rsidR="00B570B5" w:rsidRPr="00B570B5" w:rsidRDefault="00B570B5" w:rsidP="00B570B5">
      <w:pPr>
        <w:autoSpaceDE w:val="0"/>
        <w:autoSpaceDN w:val="0"/>
        <w:adjustRightInd w:val="0"/>
        <w:rPr>
          <w:rFonts w:cs="Arial"/>
          <w:color w:val="000000"/>
          <w:szCs w:val="20"/>
          <w:lang w:val="es-ES" w:eastAsia="en-GB"/>
        </w:rPr>
      </w:pPr>
      <w:permStart w:id="1100430741" w:edGrp="everyone"/>
      <w:r w:rsidRPr="00B570B5">
        <w:rPr>
          <w:rFonts w:cs="Arial"/>
          <w:color w:val="000000"/>
          <w:szCs w:val="20"/>
          <w:lang w:val="es-ES" w:eastAsia="en-GB"/>
        </w:rPr>
        <w:t>Every year, the number of consumers interested in sustainable investments grows significantly. Inves</w:t>
      </w:r>
      <w:r w:rsidRPr="00B570B5">
        <w:rPr>
          <w:rFonts w:cs="Arial"/>
          <w:color w:val="000000"/>
          <w:szCs w:val="20"/>
          <w:lang w:val="es-ES" w:eastAsia="en-GB"/>
        </w:rPr>
        <w:t>t</w:t>
      </w:r>
      <w:r w:rsidRPr="00B570B5">
        <w:rPr>
          <w:rFonts w:cs="Arial"/>
          <w:color w:val="000000"/>
          <w:szCs w:val="20"/>
          <w:lang w:val="es-ES" w:eastAsia="en-GB"/>
        </w:rPr>
        <w:t xml:space="preserve">ment service providers are aware of this reality and will use all sorts of tricks to whitewash their image and gain market share. These practices include references to certain keywords in the name of the product. </w:t>
      </w:r>
    </w:p>
    <w:p w14:paraId="02D48EBA" w14:textId="77777777" w:rsidR="00B570B5" w:rsidRP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 xml:space="preserve">Apart from the obvious environmental problems that lie beneath the practice, the main problem is the mis-trust and disaffection it generates among consumers towards green and sustainable products as a whole. </w:t>
      </w:r>
    </w:p>
    <w:p w14:paraId="2A7529A0" w14:textId="6BCAB2F8" w:rsidR="006D540A"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When a company or entity is punished for such a practice, it casts doubt on the entire industry and ultim</w:t>
      </w:r>
      <w:r w:rsidRPr="00B570B5">
        <w:rPr>
          <w:rFonts w:cs="Arial"/>
          <w:color w:val="000000"/>
          <w:szCs w:val="20"/>
          <w:lang w:val="es-ES" w:eastAsia="en-GB"/>
        </w:rPr>
        <w:t>a</w:t>
      </w:r>
      <w:r w:rsidRPr="00B570B5">
        <w:rPr>
          <w:rFonts w:cs="Arial"/>
          <w:color w:val="000000"/>
          <w:szCs w:val="20"/>
          <w:lang w:val="es-ES" w:eastAsia="en-GB"/>
        </w:rPr>
        <w:t xml:space="preserve">tely discourages consumers from making further economically sustainable investments. </w:t>
      </w:r>
    </w:p>
    <w:p w14:paraId="5A40B7BF" w14:textId="77777777" w:rsidR="006D540A" w:rsidRPr="00B570B5" w:rsidRDefault="006D540A" w:rsidP="00B570B5">
      <w:pPr>
        <w:autoSpaceDE w:val="0"/>
        <w:autoSpaceDN w:val="0"/>
        <w:adjustRightInd w:val="0"/>
        <w:rPr>
          <w:rFonts w:cs="Arial"/>
          <w:color w:val="000000"/>
          <w:szCs w:val="20"/>
          <w:lang w:val="es-ES" w:eastAsia="en-GB"/>
        </w:rPr>
      </w:pPr>
    </w:p>
    <w:p w14:paraId="17125AA1" w14:textId="77777777"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This negative effect of greenwashing has to be compensated in other ways through positive reinforc</w:t>
      </w:r>
      <w:r w:rsidRPr="00B570B5">
        <w:rPr>
          <w:rFonts w:cs="Arial"/>
          <w:color w:val="000000"/>
          <w:szCs w:val="20"/>
          <w:lang w:val="es-ES" w:eastAsia="en-GB"/>
        </w:rPr>
        <w:t>e</w:t>
      </w:r>
      <w:r w:rsidRPr="00B570B5">
        <w:rPr>
          <w:rFonts w:cs="Arial"/>
          <w:color w:val="000000"/>
          <w:szCs w:val="20"/>
          <w:lang w:val="es-ES" w:eastAsia="en-GB"/>
        </w:rPr>
        <w:t xml:space="preserve">ment. It is not only about punishing those entities that have lied to consumers, but also about rewarding those that are truly taking steps towards a sustainable economy. </w:t>
      </w:r>
    </w:p>
    <w:p w14:paraId="7FD60AB3" w14:textId="77777777" w:rsidR="006D540A" w:rsidRPr="00B570B5" w:rsidRDefault="006D540A" w:rsidP="00B570B5">
      <w:pPr>
        <w:autoSpaceDE w:val="0"/>
        <w:autoSpaceDN w:val="0"/>
        <w:adjustRightInd w:val="0"/>
        <w:rPr>
          <w:rFonts w:cs="Arial"/>
          <w:color w:val="000000"/>
          <w:szCs w:val="20"/>
          <w:lang w:val="es-ES" w:eastAsia="en-GB"/>
        </w:rPr>
      </w:pPr>
    </w:p>
    <w:p w14:paraId="362B9D31" w14:textId="02CED088"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ADICAE considers the guidelines that aim to establish a minimum threshold for investment to be consid</w:t>
      </w:r>
      <w:r w:rsidRPr="00B570B5">
        <w:rPr>
          <w:rFonts w:cs="Arial"/>
          <w:color w:val="000000"/>
          <w:szCs w:val="20"/>
          <w:lang w:val="es-ES" w:eastAsia="en-GB"/>
        </w:rPr>
        <w:t>e</w:t>
      </w:r>
      <w:r w:rsidRPr="00B570B5">
        <w:rPr>
          <w:rFonts w:cs="Arial"/>
          <w:color w:val="000000"/>
          <w:szCs w:val="20"/>
          <w:lang w:val="es-ES" w:eastAsia="en-GB"/>
        </w:rPr>
        <w:t>red sustainable and the proposed changes to the commercial names of funds</w:t>
      </w:r>
      <w:r w:rsidR="00D262C4">
        <w:rPr>
          <w:rFonts w:cs="Arial"/>
          <w:color w:val="000000"/>
          <w:szCs w:val="20"/>
          <w:lang w:val="es-ES" w:eastAsia="en-GB"/>
        </w:rPr>
        <w:t xml:space="preserve"> to be positive, however, we be</w:t>
      </w:r>
      <w:r w:rsidRPr="00B570B5">
        <w:rPr>
          <w:rFonts w:cs="Arial"/>
          <w:color w:val="000000"/>
          <w:szCs w:val="20"/>
          <w:lang w:val="es-ES" w:eastAsia="en-GB"/>
        </w:rPr>
        <w:t xml:space="preserve">lieve that some points could be better clarified for the benefit of consumers and small investors, such as the types of labelling or the laxity with some particularly polluting companies. </w:t>
      </w:r>
    </w:p>
    <w:p w14:paraId="51657FF2" w14:textId="77777777" w:rsidR="006D540A" w:rsidRPr="00B570B5" w:rsidRDefault="006D540A" w:rsidP="00B570B5">
      <w:pPr>
        <w:autoSpaceDE w:val="0"/>
        <w:autoSpaceDN w:val="0"/>
        <w:adjustRightInd w:val="0"/>
        <w:rPr>
          <w:rFonts w:cs="Arial"/>
          <w:color w:val="000000"/>
          <w:szCs w:val="20"/>
          <w:lang w:val="es-ES" w:eastAsia="en-GB"/>
        </w:rPr>
      </w:pPr>
    </w:p>
    <w:p w14:paraId="16856D62" w14:textId="77777777" w:rsidR="00D262C4" w:rsidRDefault="00B570B5" w:rsidP="00B92885">
      <w:pPr>
        <w:spacing w:after="160" w:line="259" w:lineRule="auto"/>
        <w:rPr>
          <w:rFonts w:cs="Arial"/>
          <w:color w:val="000000"/>
          <w:szCs w:val="20"/>
          <w:lang w:val="es-ES" w:eastAsia="en-GB"/>
        </w:rPr>
      </w:pPr>
      <w:r w:rsidRPr="00B570B5">
        <w:rPr>
          <w:rFonts w:cs="Arial"/>
          <w:color w:val="000000"/>
          <w:szCs w:val="20"/>
          <w:lang w:val="es-ES" w:eastAsia="en-GB"/>
        </w:rPr>
        <w:t xml:space="preserve">On the other hand, the emergence of the digital Euro and smart finance may radically change the scenario in the medium term. The "tokenisation" of finance will revolutionise the sector and allow the creation of smart money that can only be invested under the premises determined by its holder, a fact that could lead to the disappearance of unfair practices such as greenwashing. </w:t>
      </w:r>
    </w:p>
    <w:permEnd w:id="1100430741"/>
    <w:p w14:paraId="3B95B420" w14:textId="17C202D3"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47946241" w14:textId="708E922F" w:rsidR="00B570B5" w:rsidRDefault="00B570B5" w:rsidP="00B570B5">
      <w:pPr>
        <w:autoSpaceDE w:val="0"/>
        <w:autoSpaceDN w:val="0"/>
        <w:adjustRightInd w:val="0"/>
        <w:rPr>
          <w:rFonts w:cs="Arial"/>
          <w:color w:val="000000"/>
          <w:szCs w:val="20"/>
          <w:lang w:val="es-ES" w:eastAsia="en-GB"/>
        </w:rPr>
      </w:pPr>
      <w:permStart w:id="1596738700" w:edGrp="everyone"/>
      <w:r w:rsidRPr="00B570B5">
        <w:rPr>
          <w:rFonts w:cs="Arial"/>
          <w:color w:val="000000"/>
          <w:szCs w:val="20"/>
          <w:lang w:val="es-ES" w:eastAsia="en-GB"/>
        </w:rPr>
        <w:t>Many investors, regardless of their financial capacity, are incorporating susta</w:t>
      </w:r>
      <w:r w:rsidR="00D262C4">
        <w:rPr>
          <w:rFonts w:cs="Arial"/>
          <w:color w:val="000000"/>
          <w:szCs w:val="20"/>
          <w:lang w:val="es-ES" w:eastAsia="en-GB"/>
        </w:rPr>
        <w:t>inable products into their port</w:t>
      </w:r>
      <w:r w:rsidRPr="00B570B5">
        <w:rPr>
          <w:rFonts w:cs="Arial"/>
          <w:color w:val="000000"/>
          <w:szCs w:val="20"/>
          <w:lang w:val="es-ES" w:eastAsia="en-GB"/>
        </w:rPr>
        <w:t>folios. It is a fact that many financial institutions and investment services companies, among others, may use confusing or unclear terminology about their investment policy or use sus</w:t>
      </w:r>
      <w:r w:rsidR="00D262C4">
        <w:rPr>
          <w:rFonts w:cs="Arial"/>
          <w:color w:val="000000"/>
          <w:szCs w:val="20"/>
          <w:lang w:val="es-ES" w:eastAsia="en-GB"/>
        </w:rPr>
        <w:t>tainability-related terms direc</w:t>
      </w:r>
      <w:r w:rsidRPr="00B570B5">
        <w:rPr>
          <w:rFonts w:cs="Arial"/>
          <w:color w:val="000000"/>
          <w:szCs w:val="20"/>
          <w:lang w:val="es-ES" w:eastAsia="en-GB"/>
        </w:rPr>
        <w:t xml:space="preserve">tly to broaden the attractiveness of the investment. </w:t>
      </w:r>
    </w:p>
    <w:p w14:paraId="0E904C1C" w14:textId="77777777" w:rsidR="00B570B5" w:rsidRPr="00B570B5" w:rsidRDefault="00B570B5" w:rsidP="00B570B5">
      <w:pPr>
        <w:autoSpaceDE w:val="0"/>
        <w:autoSpaceDN w:val="0"/>
        <w:adjustRightInd w:val="0"/>
        <w:rPr>
          <w:rFonts w:cs="Arial"/>
          <w:color w:val="000000"/>
          <w:szCs w:val="20"/>
          <w:lang w:val="es-ES" w:eastAsia="en-GB"/>
        </w:rPr>
      </w:pPr>
    </w:p>
    <w:p w14:paraId="228A2877" w14:textId="50C47DE7"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 xml:space="preserve">That said, the proposal to introduce quantitative thresholds for assessing the terminology of funds seems appropriate. However, at country level, controls on sustainable investments should be strengthened to en-sure their proper functioning. </w:t>
      </w:r>
    </w:p>
    <w:p w14:paraId="1D1ED572" w14:textId="77777777" w:rsidR="00B570B5" w:rsidRPr="00B570B5" w:rsidRDefault="00B570B5" w:rsidP="00B570B5">
      <w:pPr>
        <w:autoSpaceDE w:val="0"/>
        <w:autoSpaceDN w:val="0"/>
        <w:adjustRightInd w:val="0"/>
        <w:rPr>
          <w:rFonts w:cs="Arial"/>
          <w:color w:val="000000"/>
          <w:szCs w:val="20"/>
          <w:lang w:val="es-ES" w:eastAsia="en-GB"/>
        </w:rPr>
      </w:pPr>
    </w:p>
    <w:p w14:paraId="47D21251" w14:textId="77777777" w:rsidR="006D540A" w:rsidRDefault="00B570B5" w:rsidP="00B92885">
      <w:pPr>
        <w:rPr>
          <w:rFonts w:cs="Arial"/>
          <w:color w:val="000000"/>
          <w:szCs w:val="20"/>
          <w:lang w:val="es-ES" w:eastAsia="en-GB"/>
        </w:rPr>
      </w:pPr>
      <w:r w:rsidRPr="00B570B5">
        <w:rPr>
          <w:rFonts w:cs="Arial"/>
          <w:color w:val="000000"/>
          <w:szCs w:val="20"/>
          <w:lang w:val="es-ES" w:eastAsia="en-GB"/>
        </w:rPr>
        <w:t>The prospectus with investor information may comply with the requirements or thresholds set by European legislation, but national supervisors must be provided with the necessary means to enable them to assess, in a material way, that the investment policies indicated in the prospectus are being complied with.</w:t>
      </w:r>
    </w:p>
    <w:p w14:paraId="121E2B70" w14:textId="77777777" w:rsidR="006D540A" w:rsidRDefault="006D540A" w:rsidP="00B92885">
      <w:pPr>
        <w:rPr>
          <w:rFonts w:cs="Arial"/>
          <w:color w:val="000000"/>
          <w:szCs w:val="20"/>
          <w:lang w:val="es-ES" w:eastAsia="en-GB"/>
        </w:rPr>
      </w:pPr>
    </w:p>
    <w:p w14:paraId="088B5A4D" w14:textId="61158863" w:rsidR="00B92885" w:rsidRDefault="00B570B5" w:rsidP="00B92885">
      <w:r w:rsidRPr="00B570B5">
        <w:rPr>
          <w:rFonts w:cs="Arial"/>
          <w:color w:val="000000"/>
          <w:szCs w:val="20"/>
          <w:lang w:val="es-ES" w:eastAsia="en-GB"/>
        </w:rPr>
        <w:t xml:space="preserve"> </w:t>
      </w:r>
      <w:permEnd w:id="1596738700"/>
      <w:r w:rsidR="00B92885">
        <w:t>&lt;E</w:t>
      </w:r>
      <w:r w:rsidR="00B92885">
        <w:t>S</w:t>
      </w:r>
      <w:r w:rsidR="00B92885">
        <w:t>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w:t>
      </w:r>
      <w:r w:rsidRPr="00AA6F4F">
        <w:t>t</w:t>
      </w:r>
      <w:r w:rsidRPr="00AA6F4F">
        <w: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78001AF6" w14:textId="42EF37AD" w:rsidR="00B570B5" w:rsidRDefault="00B570B5" w:rsidP="00B570B5">
      <w:pPr>
        <w:autoSpaceDE w:val="0"/>
        <w:autoSpaceDN w:val="0"/>
        <w:adjustRightInd w:val="0"/>
        <w:rPr>
          <w:rFonts w:cs="Arial"/>
          <w:color w:val="000000"/>
          <w:szCs w:val="20"/>
          <w:lang w:val="es-ES" w:eastAsia="en-GB"/>
        </w:rPr>
      </w:pPr>
      <w:permStart w:id="1305634831" w:edGrp="everyone"/>
      <w:r w:rsidRPr="00B570B5">
        <w:rPr>
          <w:rFonts w:cs="Arial"/>
          <w:color w:val="000000"/>
          <w:szCs w:val="20"/>
          <w:lang w:val="es-ES" w:eastAsia="en-GB"/>
        </w:rPr>
        <w:t xml:space="preserve">The proposed threshold may be high enough as long as certain exclusions apply to the destination of the remaining 20% of the fund's investment. For example, it does not seem very reasonable to set up a fund under the label "sustainable" that meets the proposed threshold and yet allocates up to 20% of its invest-ments to fossil energy related industries. </w:t>
      </w:r>
    </w:p>
    <w:p w14:paraId="6E37C9B4" w14:textId="77777777" w:rsidR="00B570B5" w:rsidRPr="00B570B5" w:rsidRDefault="00B570B5" w:rsidP="00B570B5">
      <w:pPr>
        <w:autoSpaceDE w:val="0"/>
        <w:autoSpaceDN w:val="0"/>
        <w:adjustRightInd w:val="0"/>
        <w:rPr>
          <w:rFonts w:cs="Arial"/>
          <w:color w:val="000000"/>
          <w:szCs w:val="20"/>
          <w:lang w:val="es-ES" w:eastAsia="en-GB"/>
        </w:rPr>
      </w:pPr>
    </w:p>
    <w:p w14:paraId="371735F2" w14:textId="3DEA37C3"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In our view, funds that allocate 100% of their investments to sustainability-related issues are only those that could use sustainability-related nomenclature or ESG-related wording and should be subject to sp</w:t>
      </w:r>
      <w:r w:rsidRPr="00B570B5">
        <w:rPr>
          <w:rFonts w:cs="Arial"/>
          <w:color w:val="000000"/>
          <w:szCs w:val="20"/>
          <w:lang w:val="es-ES" w:eastAsia="en-GB"/>
        </w:rPr>
        <w:t>e</w:t>
      </w:r>
      <w:r w:rsidRPr="00B570B5">
        <w:rPr>
          <w:rFonts w:cs="Arial"/>
          <w:color w:val="000000"/>
          <w:szCs w:val="20"/>
          <w:lang w:val="es-ES" w:eastAsia="en-GB"/>
        </w:rPr>
        <w:t>cial labelling that identifies them as such. Those that meet the proposed threshold and the rest of their investments are consistent with the fund's objective could use the nomenclature, but under a label def</w:t>
      </w:r>
      <w:r w:rsidRPr="00B570B5">
        <w:rPr>
          <w:rFonts w:cs="Arial"/>
          <w:color w:val="000000"/>
          <w:szCs w:val="20"/>
          <w:lang w:val="es-ES" w:eastAsia="en-GB"/>
        </w:rPr>
        <w:t>e</w:t>
      </w:r>
      <w:r w:rsidRPr="00B570B5">
        <w:rPr>
          <w:rFonts w:cs="Arial"/>
          <w:color w:val="000000"/>
          <w:szCs w:val="20"/>
          <w:lang w:val="es-ES" w:eastAsia="en-GB"/>
        </w:rPr>
        <w:t xml:space="preserve">rential to 100% sustainable investments. </w:t>
      </w:r>
    </w:p>
    <w:p w14:paraId="1358D271" w14:textId="77777777" w:rsidR="00B570B5" w:rsidRPr="00B570B5" w:rsidRDefault="00B570B5" w:rsidP="00B570B5">
      <w:pPr>
        <w:autoSpaceDE w:val="0"/>
        <w:autoSpaceDN w:val="0"/>
        <w:adjustRightInd w:val="0"/>
        <w:rPr>
          <w:rFonts w:cs="Arial"/>
          <w:color w:val="000000"/>
          <w:szCs w:val="20"/>
          <w:lang w:val="es-ES" w:eastAsia="en-GB"/>
        </w:rPr>
      </w:pPr>
    </w:p>
    <w:p w14:paraId="380AF0E9" w14:textId="77777777" w:rsidR="00B570B5" w:rsidRDefault="00B570B5" w:rsidP="00B92885">
      <w:pPr>
        <w:rPr>
          <w:rFonts w:cs="Arial"/>
          <w:color w:val="000000"/>
          <w:szCs w:val="20"/>
          <w:lang w:val="es-ES" w:eastAsia="en-GB"/>
        </w:rPr>
      </w:pPr>
      <w:r w:rsidRPr="00B570B5">
        <w:rPr>
          <w:rFonts w:cs="Arial"/>
          <w:color w:val="000000"/>
          <w:szCs w:val="20"/>
          <w:lang w:val="es-ES" w:eastAsia="en-GB"/>
        </w:rPr>
        <w:t>Funds with sustainable investments at a threshold of less than 80% should not use this nomenclature or, if it is used, the percentage of sustainable investments should be clearly stated in the name of the fund. In such cases, the use of sustainable investments may simply be due to a broad diversification of the portf</w:t>
      </w:r>
      <w:r w:rsidRPr="00B570B5">
        <w:rPr>
          <w:rFonts w:cs="Arial"/>
          <w:color w:val="000000"/>
          <w:szCs w:val="20"/>
          <w:lang w:val="es-ES" w:eastAsia="en-GB"/>
        </w:rPr>
        <w:t>o</w:t>
      </w:r>
      <w:r w:rsidRPr="00B570B5">
        <w:rPr>
          <w:rFonts w:cs="Arial"/>
          <w:color w:val="000000"/>
          <w:szCs w:val="20"/>
          <w:lang w:val="es-ES" w:eastAsia="en-GB"/>
        </w:rPr>
        <w:t xml:space="preserve">lio or the fund managers may seek to benefit from being able to include certain words in the name of the fund to attract potential investors. </w:t>
      </w:r>
    </w:p>
    <w:permEnd w:id="1305634831"/>
    <w:p w14:paraId="562CCC86" w14:textId="236014CE"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14F5E4DB" w14:textId="518DE9AE" w:rsidR="00B570B5" w:rsidRDefault="00B570B5" w:rsidP="00B570B5">
      <w:pPr>
        <w:autoSpaceDE w:val="0"/>
        <w:autoSpaceDN w:val="0"/>
        <w:adjustRightInd w:val="0"/>
        <w:rPr>
          <w:rFonts w:cs="Arial"/>
          <w:color w:val="000000"/>
          <w:szCs w:val="20"/>
          <w:lang w:val="es-ES" w:eastAsia="en-GB"/>
        </w:rPr>
      </w:pPr>
      <w:permStart w:id="347949177" w:edGrp="everyone"/>
      <w:r w:rsidRPr="00B570B5">
        <w:rPr>
          <w:rFonts w:cs="Arial"/>
          <w:color w:val="000000"/>
          <w:szCs w:val="20"/>
          <w:lang w:val="es-ES" w:eastAsia="en-GB"/>
        </w:rPr>
        <w:t xml:space="preserve">In line with the previous question, it does not seem reasonable to us that a fund that does not allocate up to 80% of its investments to sustainable purposes can make use of the word "sustainable" or other words that may be related to ESG criteria. </w:t>
      </w:r>
    </w:p>
    <w:p w14:paraId="4C4A8DA1" w14:textId="77777777" w:rsidR="00B570B5" w:rsidRPr="00B570B5" w:rsidRDefault="00B570B5" w:rsidP="00B570B5">
      <w:pPr>
        <w:autoSpaceDE w:val="0"/>
        <w:autoSpaceDN w:val="0"/>
        <w:adjustRightInd w:val="0"/>
        <w:rPr>
          <w:rFonts w:cs="Arial"/>
          <w:color w:val="000000"/>
          <w:szCs w:val="20"/>
          <w:lang w:val="es-ES" w:eastAsia="en-GB"/>
        </w:rPr>
      </w:pPr>
    </w:p>
    <w:p w14:paraId="38596CE4" w14:textId="7ED9EE43" w:rsidR="00B570B5" w:rsidRP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If a fund that allocates 80% of its investments to sustainable purposes may have conflicts of interest depending on the use of the 20%, one that contains "at least 50%" may give rise to a wide range of i</w:t>
      </w:r>
      <w:r w:rsidRPr="00B570B5">
        <w:rPr>
          <w:rFonts w:cs="Arial"/>
          <w:color w:val="000000"/>
          <w:szCs w:val="20"/>
          <w:lang w:val="es-ES" w:eastAsia="en-GB"/>
        </w:rPr>
        <w:t>n</w:t>
      </w:r>
      <w:r w:rsidRPr="00B570B5">
        <w:rPr>
          <w:rFonts w:cs="Arial"/>
          <w:color w:val="000000"/>
          <w:szCs w:val="20"/>
          <w:lang w:val="es-ES" w:eastAsia="en-GB"/>
        </w:rPr>
        <w:t>vestments that have nothing to do with sustainability and its purposes. The use of this terminology will particularly affect consumers or small investors who do not have adequate knowledge to discern the destination of the rest of their investment or who will not go beyond the name of the fund itself.</w:t>
      </w:r>
    </w:p>
    <w:p w14:paraId="2D6F7DFB" w14:textId="77777777" w:rsidR="00B570B5" w:rsidRDefault="00B570B5" w:rsidP="00B92885">
      <w:pPr>
        <w:rPr>
          <w:rFonts w:cs="Arial"/>
          <w:szCs w:val="20"/>
          <w:lang w:val="es-ES" w:eastAsia="en-GB"/>
        </w:rPr>
      </w:pPr>
      <w:r w:rsidRPr="00B570B5">
        <w:rPr>
          <w:rFonts w:cs="Arial"/>
          <w:szCs w:val="20"/>
          <w:lang w:val="es-ES" w:eastAsia="en-GB"/>
        </w:rPr>
        <w:lastRenderedPageBreak/>
        <w:t xml:space="preserve">In a less restrictive scenario, it is proposed that such funds should clearly and concisely state in the fund nomination the percentage earmarked for sustainable investments. </w:t>
      </w:r>
    </w:p>
    <w:permEnd w:id="347949177"/>
    <w:p w14:paraId="4C140ACE" w14:textId="54431AFF"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28428916" w14:textId="77777777" w:rsidR="00B570B5" w:rsidRDefault="00B570B5" w:rsidP="00B92885">
      <w:pPr>
        <w:rPr>
          <w:szCs w:val="20"/>
        </w:rPr>
      </w:pPr>
      <w:permStart w:id="351877901" w:edGrp="everyone"/>
      <w:r>
        <w:rPr>
          <w:szCs w:val="20"/>
        </w:rPr>
        <w:t xml:space="preserve">The proper functioning of the proposed thresholds will depend on the control that national supervisors apply to this type of products. With regard to their construction, the proposed thresholds are adequate, however, in our view and as has already been reflected, it is advisable to implement improvements in labelling that allow differentiation of investments even among those funds that comply with the most demanding threshold. </w:t>
      </w:r>
    </w:p>
    <w:permEnd w:id="351877901"/>
    <w:p w14:paraId="29DD3DB8" w14:textId="0291A3B8"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w:t>
      </w:r>
      <w:r w:rsidRPr="000B78F5">
        <w:t>u</w:t>
      </w:r>
      <w:r w:rsidRPr="000B78F5">
        <w:t>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3D376655" w14:textId="36199933" w:rsidR="00B570B5" w:rsidRDefault="00B570B5" w:rsidP="00B570B5">
      <w:pPr>
        <w:autoSpaceDE w:val="0"/>
        <w:autoSpaceDN w:val="0"/>
        <w:adjustRightInd w:val="0"/>
        <w:rPr>
          <w:rFonts w:cs="Arial"/>
          <w:color w:val="000000"/>
          <w:szCs w:val="20"/>
          <w:lang w:val="es-ES" w:eastAsia="en-GB"/>
        </w:rPr>
      </w:pPr>
      <w:permStart w:id="1539323392" w:edGrp="everyone"/>
      <w:r w:rsidRPr="00B570B5">
        <w:rPr>
          <w:rFonts w:cs="Arial"/>
          <w:color w:val="000000"/>
          <w:szCs w:val="20"/>
          <w:lang w:val="es-ES" w:eastAsia="en-GB"/>
        </w:rPr>
        <w:t>Europe can and must set clear rules in order to drive the economy towards sustainability. Once the limits have been set, as ESMA intends, it is up to the supervisory task to ensure that the market functions pr</w:t>
      </w:r>
      <w:r w:rsidRPr="00B570B5">
        <w:rPr>
          <w:rFonts w:cs="Arial"/>
          <w:color w:val="000000"/>
          <w:szCs w:val="20"/>
          <w:lang w:val="es-ES" w:eastAsia="en-GB"/>
        </w:rPr>
        <w:t>o</w:t>
      </w:r>
      <w:r w:rsidRPr="00B570B5">
        <w:rPr>
          <w:rFonts w:cs="Arial"/>
          <w:color w:val="000000"/>
          <w:szCs w:val="20"/>
          <w:lang w:val="es-ES" w:eastAsia="en-GB"/>
        </w:rPr>
        <w:t>perly. The risk, moreover, is high. If consumers or small investors start to detect greenwashing practices in this type of investments, it can lead to a loss of confidence and disaffection towards sustainable inves</w:t>
      </w:r>
      <w:r w:rsidRPr="00B570B5">
        <w:rPr>
          <w:rFonts w:cs="Arial"/>
          <w:color w:val="000000"/>
          <w:szCs w:val="20"/>
          <w:lang w:val="es-ES" w:eastAsia="en-GB"/>
        </w:rPr>
        <w:t>t</w:t>
      </w:r>
      <w:r w:rsidRPr="00B570B5">
        <w:rPr>
          <w:rFonts w:cs="Arial"/>
          <w:color w:val="000000"/>
          <w:szCs w:val="20"/>
          <w:lang w:val="es-ES" w:eastAsia="en-GB"/>
        </w:rPr>
        <w:t xml:space="preserve">ments. </w:t>
      </w:r>
    </w:p>
    <w:p w14:paraId="0F171A57" w14:textId="77777777" w:rsidR="00B570B5" w:rsidRPr="00B570B5" w:rsidRDefault="00B570B5" w:rsidP="00B570B5">
      <w:pPr>
        <w:autoSpaceDE w:val="0"/>
        <w:autoSpaceDN w:val="0"/>
        <w:adjustRightInd w:val="0"/>
        <w:rPr>
          <w:rFonts w:cs="Arial"/>
          <w:color w:val="000000"/>
          <w:szCs w:val="20"/>
          <w:lang w:val="es-ES" w:eastAsia="en-GB"/>
        </w:rPr>
      </w:pPr>
    </w:p>
    <w:p w14:paraId="2759AB9E" w14:textId="02B2130C" w:rsidR="00B570B5" w:rsidRDefault="00B570B5" w:rsidP="00B92885">
      <w:pPr>
        <w:rPr>
          <w:rFonts w:cs="Arial"/>
          <w:color w:val="000000"/>
          <w:szCs w:val="20"/>
          <w:lang w:val="es-ES" w:eastAsia="en-GB"/>
        </w:rPr>
      </w:pPr>
      <w:r w:rsidRPr="00B570B5">
        <w:rPr>
          <w:rFonts w:cs="Arial"/>
          <w:color w:val="000000"/>
          <w:szCs w:val="20"/>
          <w:lang w:val="es-ES" w:eastAsia="en-GB"/>
        </w:rPr>
        <w:t>On the other hand, the digital Euro and the digitisation of finance may offer solutions in the medium term. If investors, in the medium term, start to be able to "programme or tokenise" the money destined for an investment so that it meets a series of requirements, such as being invested in companies or products related to sustainability, this would eliminate all or a large part of the problems that arise and reduce greenwashing practices to a minimum. This "smart" money can only be used for those purposes pre-pr</w:t>
      </w:r>
      <w:r w:rsidRPr="00B570B5">
        <w:rPr>
          <w:rFonts w:cs="Arial"/>
          <w:color w:val="000000"/>
          <w:szCs w:val="20"/>
          <w:lang w:val="es-ES" w:eastAsia="en-GB"/>
        </w:rPr>
        <w:t>o</w:t>
      </w:r>
      <w:r w:rsidRPr="00B570B5">
        <w:rPr>
          <w:rFonts w:cs="Arial"/>
          <w:color w:val="000000"/>
          <w:szCs w:val="20"/>
          <w:lang w:val="es-ES" w:eastAsia="en-GB"/>
        </w:rPr>
        <w:t xml:space="preserve">grammed by the investor. </w:t>
      </w:r>
    </w:p>
    <w:permEnd w:id="1539323392"/>
    <w:p w14:paraId="436D4354" w14:textId="6292732F"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w:t>
      </w:r>
      <w:r w:rsidRPr="000B78F5">
        <w:t>u</w:t>
      </w:r>
      <w:r w:rsidRPr="000B78F5">
        <w:t>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4AA89638" w14:textId="0491744A" w:rsidR="00B570B5" w:rsidRDefault="00B570B5" w:rsidP="00B570B5">
      <w:pPr>
        <w:autoSpaceDE w:val="0"/>
        <w:autoSpaceDN w:val="0"/>
        <w:adjustRightInd w:val="0"/>
        <w:rPr>
          <w:rFonts w:cs="Arial"/>
          <w:color w:val="000000"/>
          <w:szCs w:val="20"/>
          <w:lang w:val="es-ES" w:eastAsia="en-GB"/>
        </w:rPr>
      </w:pPr>
      <w:permStart w:id="175976681" w:edGrp="everyone"/>
      <w:r w:rsidRPr="00B570B5">
        <w:rPr>
          <w:rFonts w:cs="Arial"/>
          <w:color w:val="000000"/>
          <w:szCs w:val="20"/>
          <w:lang w:val="es-ES" w:eastAsia="en-GB"/>
        </w:rPr>
        <w:t xml:space="preserve">Article 12(1) and (2) of the Commission Delegated Regulation (EU) 2020/1818 can serve as a starting point, however, it shows a certain laxity towards certain types of companies that have nothing to do with sustainable purposes. </w:t>
      </w:r>
    </w:p>
    <w:p w14:paraId="13F609B9" w14:textId="77777777" w:rsidR="00B570B5" w:rsidRPr="00B570B5" w:rsidRDefault="00B570B5" w:rsidP="00B570B5">
      <w:pPr>
        <w:autoSpaceDE w:val="0"/>
        <w:autoSpaceDN w:val="0"/>
        <w:adjustRightInd w:val="0"/>
        <w:rPr>
          <w:rFonts w:cs="Arial"/>
          <w:color w:val="000000"/>
          <w:szCs w:val="20"/>
          <w:lang w:val="es-ES" w:eastAsia="en-GB"/>
        </w:rPr>
      </w:pPr>
    </w:p>
    <w:p w14:paraId="4097C64C" w14:textId="60DFC623"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 xml:space="preserve">Within paragraph 1, the following is quoted verbatim: </w:t>
      </w:r>
    </w:p>
    <w:p w14:paraId="03C114F2" w14:textId="77777777" w:rsidR="00B570B5" w:rsidRPr="00B570B5" w:rsidRDefault="00B570B5" w:rsidP="00B570B5">
      <w:pPr>
        <w:autoSpaceDE w:val="0"/>
        <w:autoSpaceDN w:val="0"/>
        <w:adjustRightInd w:val="0"/>
        <w:rPr>
          <w:rFonts w:cs="Arial"/>
          <w:color w:val="000000"/>
          <w:szCs w:val="20"/>
          <w:lang w:val="es-ES" w:eastAsia="en-GB"/>
        </w:rPr>
      </w:pPr>
    </w:p>
    <w:p w14:paraId="199F374A" w14:textId="77777777" w:rsidR="00B570B5" w:rsidRPr="00B570B5" w:rsidRDefault="00B570B5" w:rsidP="00B570B5">
      <w:pPr>
        <w:autoSpaceDE w:val="0"/>
        <w:autoSpaceDN w:val="0"/>
        <w:adjustRightInd w:val="0"/>
        <w:rPr>
          <w:rFonts w:cs="Arial"/>
          <w:color w:val="000000"/>
          <w:szCs w:val="20"/>
          <w:lang w:val="es-ES" w:eastAsia="en-GB"/>
        </w:rPr>
      </w:pPr>
      <w:r w:rsidRPr="00B570B5">
        <w:rPr>
          <w:rFonts w:cs="Arial"/>
          <w:i/>
          <w:iCs/>
          <w:color w:val="000000"/>
          <w:szCs w:val="20"/>
          <w:lang w:val="es-ES" w:eastAsia="en-GB"/>
        </w:rPr>
        <w:t xml:space="preserve">1. Administrators of EU benchmarks harmonised with the Paris Agreement should exclude the follo-wing companies from these benchmarks: </w:t>
      </w:r>
    </w:p>
    <w:p w14:paraId="3023EBE5" w14:textId="7EEE67A6" w:rsidR="00B570B5" w:rsidRPr="00B570B5" w:rsidRDefault="00B570B5" w:rsidP="00B570B5">
      <w:pPr>
        <w:autoSpaceDE w:val="0"/>
        <w:autoSpaceDN w:val="0"/>
        <w:adjustRightInd w:val="0"/>
        <w:rPr>
          <w:rFonts w:cs="Arial"/>
          <w:color w:val="000000"/>
          <w:szCs w:val="20"/>
          <w:lang w:val="es-ES" w:eastAsia="en-GB"/>
        </w:rPr>
      </w:pPr>
    </w:p>
    <w:p w14:paraId="6D1D6CE2" w14:textId="77777777" w:rsidR="00B570B5" w:rsidRPr="00B570B5" w:rsidRDefault="00B570B5" w:rsidP="00B570B5">
      <w:pPr>
        <w:autoSpaceDE w:val="0"/>
        <w:autoSpaceDN w:val="0"/>
        <w:adjustRightInd w:val="0"/>
        <w:rPr>
          <w:rFonts w:cs="Arial"/>
          <w:color w:val="000000"/>
          <w:szCs w:val="20"/>
          <w:lang w:val="es-ES" w:eastAsia="en-GB"/>
        </w:rPr>
      </w:pPr>
      <w:r w:rsidRPr="00B570B5">
        <w:rPr>
          <w:rFonts w:cs="Arial"/>
          <w:i/>
          <w:iCs/>
          <w:color w:val="000000"/>
          <w:szCs w:val="20"/>
          <w:lang w:val="es-ES" w:eastAsia="en-GB"/>
        </w:rPr>
        <w:t xml:space="preserve">(d) undertakings deriving 1 % or more of their revenues from prospecting, mining, extraction, distribution or refining of anthracite, hard coal and lignite; </w:t>
      </w:r>
    </w:p>
    <w:p w14:paraId="1CE6F8E3" w14:textId="77777777" w:rsidR="00B570B5" w:rsidRPr="00B570B5" w:rsidRDefault="00B570B5" w:rsidP="00B570B5">
      <w:pPr>
        <w:autoSpaceDE w:val="0"/>
        <w:autoSpaceDN w:val="0"/>
        <w:adjustRightInd w:val="0"/>
        <w:rPr>
          <w:rFonts w:cs="Arial"/>
          <w:color w:val="000000"/>
          <w:szCs w:val="20"/>
          <w:lang w:val="es-ES" w:eastAsia="en-GB"/>
        </w:rPr>
      </w:pPr>
      <w:r w:rsidRPr="00B570B5">
        <w:rPr>
          <w:rFonts w:cs="Arial"/>
          <w:i/>
          <w:iCs/>
          <w:color w:val="000000"/>
          <w:szCs w:val="20"/>
          <w:lang w:val="es-ES" w:eastAsia="en-GB"/>
        </w:rPr>
        <w:t xml:space="preserve">(e) undertakings deriving 10 % or more of their revenues from the exploration for, extraction, distribution or refining of liquid fuels; </w:t>
      </w:r>
    </w:p>
    <w:p w14:paraId="28FAF360" w14:textId="0BB64D6D" w:rsidR="00B570B5" w:rsidRDefault="00B570B5" w:rsidP="00B92885">
      <w:pPr>
        <w:rPr>
          <w:rFonts w:cs="Arial"/>
          <w:i/>
          <w:iCs/>
          <w:color w:val="000000"/>
          <w:szCs w:val="20"/>
          <w:lang w:val="es-ES" w:eastAsia="en-GB"/>
        </w:rPr>
      </w:pPr>
      <w:r w:rsidRPr="00B570B5">
        <w:rPr>
          <w:rFonts w:cs="Arial"/>
          <w:i/>
          <w:iCs/>
          <w:color w:val="000000"/>
          <w:szCs w:val="20"/>
          <w:lang w:val="es-ES" w:eastAsia="en-GB"/>
        </w:rPr>
        <w:t xml:space="preserve">(f) undertakings deriving 50 % or more of their revenues from the exploration for, extraction, production or distribution of gaseous fuels; </w:t>
      </w:r>
    </w:p>
    <w:p w14:paraId="7D49E18C" w14:textId="6BC505AB" w:rsidR="00B570B5" w:rsidRDefault="00B570B5" w:rsidP="00B570B5">
      <w:pPr>
        <w:autoSpaceDE w:val="0"/>
        <w:autoSpaceDN w:val="0"/>
        <w:adjustRightInd w:val="0"/>
        <w:rPr>
          <w:rFonts w:cs="Arial"/>
          <w:i/>
          <w:iCs/>
          <w:color w:val="000000"/>
          <w:szCs w:val="20"/>
          <w:lang w:val="es-ES" w:eastAsia="en-GB"/>
        </w:rPr>
      </w:pPr>
      <w:r w:rsidRPr="00B570B5">
        <w:rPr>
          <w:rFonts w:cs="Arial"/>
          <w:i/>
          <w:iCs/>
          <w:color w:val="000000"/>
          <w:szCs w:val="20"/>
          <w:lang w:val="es-ES" w:eastAsia="en-GB"/>
        </w:rPr>
        <w:lastRenderedPageBreak/>
        <w:t xml:space="preserve">(g) undertakings deriving 50 % or more of their revenues from electricity generation with a GHG intensity exceeding 100 g CO2 e/kWh. </w:t>
      </w:r>
    </w:p>
    <w:p w14:paraId="00775E5F" w14:textId="77777777" w:rsidR="00B570B5" w:rsidRPr="00B570B5" w:rsidRDefault="00B570B5" w:rsidP="00B570B5">
      <w:pPr>
        <w:autoSpaceDE w:val="0"/>
        <w:autoSpaceDN w:val="0"/>
        <w:adjustRightInd w:val="0"/>
        <w:rPr>
          <w:rFonts w:cs="Arial"/>
          <w:color w:val="000000"/>
          <w:szCs w:val="20"/>
          <w:lang w:val="es-ES" w:eastAsia="en-GB"/>
        </w:rPr>
      </w:pPr>
    </w:p>
    <w:p w14:paraId="165EB152" w14:textId="7E6C0FB1"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 xml:space="preserve">It does not seem appropriate to us that a company that derives up to 10% or 50% of its profits from the exploration, extraction, production or distribution of fossil fuels or the generation of electricity by highly po-lluting means can be labelled as sustainable. </w:t>
      </w:r>
    </w:p>
    <w:p w14:paraId="12A2E773" w14:textId="77777777" w:rsidR="00B570B5" w:rsidRPr="00B570B5" w:rsidRDefault="00B570B5" w:rsidP="00B570B5">
      <w:pPr>
        <w:autoSpaceDE w:val="0"/>
        <w:autoSpaceDN w:val="0"/>
        <w:adjustRightInd w:val="0"/>
        <w:rPr>
          <w:rFonts w:cs="Arial"/>
          <w:color w:val="000000"/>
          <w:szCs w:val="20"/>
          <w:lang w:val="es-ES" w:eastAsia="en-GB"/>
        </w:rPr>
      </w:pPr>
    </w:p>
    <w:p w14:paraId="0A8D3A4B" w14:textId="548CCE25" w:rsidR="00B570B5" w:rsidRDefault="00B570B5" w:rsidP="00B570B5">
      <w:pPr>
        <w:rPr>
          <w:rFonts w:cs="Arial"/>
          <w:i/>
          <w:iCs/>
          <w:color w:val="000000"/>
          <w:szCs w:val="20"/>
          <w:lang w:val="es-ES" w:eastAsia="en-GB"/>
        </w:rPr>
      </w:pPr>
      <w:r w:rsidRPr="00B570B5">
        <w:rPr>
          <w:rFonts w:cs="Arial"/>
          <w:color w:val="000000"/>
          <w:szCs w:val="20"/>
          <w:lang w:val="es-ES" w:eastAsia="en-GB"/>
        </w:rPr>
        <w:t>These scales established in RD 2020/1818 constitute in themselves a</w:t>
      </w:r>
      <w:r w:rsidR="00755346">
        <w:rPr>
          <w:rFonts w:cs="Arial"/>
          <w:color w:val="000000"/>
          <w:szCs w:val="20"/>
          <w:lang w:val="es-ES" w:eastAsia="en-GB"/>
        </w:rPr>
        <w:t xml:space="preserve"> greenwash for this type of co</w:t>
      </w:r>
      <w:r w:rsidR="00755346">
        <w:rPr>
          <w:rFonts w:cs="Arial"/>
          <w:color w:val="000000"/>
          <w:szCs w:val="20"/>
          <w:lang w:val="es-ES" w:eastAsia="en-GB"/>
        </w:rPr>
        <w:t>m</w:t>
      </w:r>
      <w:r w:rsidR="00755346">
        <w:rPr>
          <w:rFonts w:cs="Arial"/>
          <w:color w:val="000000"/>
          <w:szCs w:val="20"/>
          <w:lang w:val="es-ES" w:eastAsia="en-GB"/>
        </w:rPr>
        <w:t>p</w:t>
      </w:r>
      <w:r w:rsidRPr="00B570B5">
        <w:rPr>
          <w:rFonts w:cs="Arial"/>
          <w:color w:val="000000"/>
          <w:szCs w:val="20"/>
          <w:lang w:val="es-ES" w:eastAsia="en-GB"/>
        </w:rPr>
        <w:t>any, as the investments are diluted and laundered through the indexes referenced. These points should be reviewed to make them more consistent with the sustainability criteria that the European Commission itself transmits or, failing that, new complementary criteria should be established that do not allow this type of company access to products that can be considered sustainable.</w:t>
      </w:r>
    </w:p>
    <w:permEnd w:id="175976681"/>
    <w:p w14:paraId="6EE97467" w14:textId="1B0B3DB9"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523B84EB" w14:textId="27AEAC98" w:rsidR="00B92885" w:rsidRDefault="00B570B5" w:rsidP="00B92885">
      <w:permStart w:id="576722602" w:edGrp="everyone"/>
      <w:r>
        <w:rPr>
          <w:szCs w:val="20"/>
        </w:rPr>
        <w:t>Financial derivatives are particularly complex products, based on leverage, and are usually quite out of the hands of consumers or small investors. That said, we do not believe it is appropriate that such a complex product should benefit from the possibility of including nomenclature or wording linked to sustainability or ESG criteria. With regard to the guidelines on % investment, we consider it appropriate that, if derivatives contracts linked to the performance of sustainable commodities or products are formulated, these can be differentiated through the labelling described above and that this will be sufficient for professional inve</w:t>
      </w:r>
      <w:r>
        <w:rPr>
          <w:szCs w:val="20"/>
        </w:rPr>
        <w:t>s</w:t>
      </w:r>
      <w:r>
        <w:rPr>
          <w:szCs w:val="20"/>
        </w:rPr>
        <w:t xml:space="preserve">tors, the target audience for this type of product, to clearly identify the sustainability of the product. </w:t>
      </w:r>
      <w:permEnd w:id="576722602"/>
      <w:r w:rsidR="00B92885">
        <w:t>&lt;E</w:t>
      </w:r>
      <w:r w:rsidR="00B92885">
        <w:t>S</w:t>
      </w:r>
      <w:r w:rsidR="00B92885">
        <w:t>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785D4E2F" w14:textId="7B1BDD5A" w:rsidR="00B570B5" w:rsidRDefault="00B570B5" w:rsidP="00B92885">
      <w:pPr>
        <w:rPr>
          <w:szCs w:val="20"/>
        </w:rPr>
      </w:pPr>
      <w:permStart w:id="1071974531" w:edGrp="everyone"/>
      <w:r>
        <w:rPr>
          <w:szCs w:val="20"/>
        </w:rPr>
        <w:t>The notional value will allow a clear determination of whether the investment meets the thresholds defined at the time of the transaction. The market value may vary significantly over the life of the investment and may therefore imply losing or gaining sustainability status. To avoid this possibility, we consider that the risk assumed in the formalisation of the financial derivative is sufficient to determ</w:t>
      </w:r>
      <w:r w:rsidR="00982539">
        <w:rPr>
          <w:szCs w:val="20"/>
        </w:rPr>
        <w:t>ine the character of the invest</w:t>
      </w:r>
      <w:r>
        <w:rPr>
          <w:szCs w:val="20"/>
        </w:rPr>
        <w:t xml:space="preserve">ment irrespective of the performance of the investment. </w:t>
      </w:r>
    </w:p>
    <w:permEnd w:id="1071974531"/>
    <w:p w14:paraId="3A9FC829" w14:textId="33E87856"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77BB2ED3" w14:textId="42F22784" w:rsidR="00B570B5" w:rsidRDefault="00B570B5" w:rsidP="00B92885">
      <w:pPr>
        <w:rPr>
          <w:szCs w:val="20"/>
        </w:rPr>
      </w:pPr>
      <w:permStart w:id="1162834929" w:edGrp="everyone"/>
      <w:r>
        <w:rPr>
          <w:szCs w:val="20"/>
        </w:rPr>
        <w:t>No. Only extend the above-mentioned proposals to this type of products. Wit</w:t>
      </w:r>
      <w:r w:rsidR="00982539">
        <w:rPr>
          <w:szCs w:val="20"/>
        </w:rPr>
        <w:t>h the peculiarity that they can’</w:t>
      </w:r>
      <w:r>
        <w:rPr>
          <w:szCs w:val="20"/>
        </w:rPr>
        <w:t xml:space="preserve">t include words or expressions linked to sustainability in their commercial name. </w:t>
      </w:r>
    </w:p>
    <w:permEnd w:id="1162834929"/>
    <w:p w14:paraId="54A1018F" w14:textId="50D0DD00"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w:t>
      </w:r>
      <w:r w:rsidRPr="000B78F5">
        <w:t>n</w:t>
      </w:r>
      <w:r w:rsidRPr="000B78F5">
        <w:t>sider the same requirements for funds’ names as any other fund? If not, explain why and provide an alternative proposal.</w:t>
      </w:r>
    </w:p>
    <w:p w14:paraId="01B8DAB9" w14:textId="77777777" w:rsidR="00B92885" w:rsidRDefault="00B92885" w:rsidP="00B92885">
      <w:r>
        <w:t>&lt;ESMA_QUESTION_FUNA_8&gt;</w:t>
      </w:r>
    </w:p>
    <w:p w14:paraId="737A5FA8" w14:textId="346A10A5" w:rsidR="00B92885" w:rsidRDefault="00B570B5" w:rsidP="00B92885">
      <w:permStart w:id="650455330" w:edGrp="everyone"/>
      <w:r>
        <w:rPr>
          <w:szCs w:val="20"/>
        </w:rPr>
        <w:t>The proposed guidelines should be sufficient to ensure the proper functioning of an index fund. In their conception, funds are designed to replicate as closely as possible the performance of an index or fund and therefore replicate exactly its composition. To do otherwise would imply unfair management towards the index fund's unit-holders. We insist once again, because of its importance, on the need for clear diffe</w:t>
      </w:r>
      <w:r>
        <w:rPr>
          <w:szCs w:val="20"/>
        </w:rPr>
        <w:t>r</w:t>
      </w:r>
      <w:r>
        <w:rPr>
          <w:szCs w:val="20"/>
        </w:rPr>
        <w:t xml:space="preserve">entiation in labelling and that funds that do not reach 80% of sustainable investments do not include </w:t>
      </w:r>
      <w:r>
        <w:rPr>
          <w:szCs w:val="20"/>
        </w:rPr>
        <w:lastRenderedPageBreak/>
        <w:t>references to these in their commercial name, at most a reference to the percentage of this type of i</w:t>
      </w:r>
      <w:r>
        <w:rPr>
          <w:szCs w:val="20"/>
        </w:rPr>
        <w:t>n</w:t>
      </w:r>
      <w:r>
        <w:rPr>
          <w:szCs w:val="20"/>
        </w:rPr>
        <w:t xml:space="preserve">vestment.  </w:t>
      </w:r>
      <w:permEnd w:id="650455330"/>
      <w:r w:rsidR="00B92885">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60D6C43E" w14:textId="4748CB36" w:rsidR="00B570B5" w:rsidRDefault="00B570B5" w:rsidP="00B570B5">
      <w:pPr>
        <w:autoSpaceDE w:val="0"/>
        <w:autoSpaceDN w:val="0"/>
        <w:adjustRightInd w:val="0"/>
        <w:rPr>
          <w:rFonts w:cs="Arial"/>
          <w:color w:val="000000"/>
          <w:szCs w:val="20"/>
          <w:lang w:val="es-ES" w:eastAsia="en-GB"/>
        </w:rPr>
      </w:pPr>
      <w:permStart w:id="1876589445" w:edGrp="everyone"/>
      <w:r w:rsidRPr="00B570B5">
        <w:rPr>
          <w:rFonts w:cs="Arial"/>
          <w:color w:val="000000"/>
          <w:szCs w:val="20"/>
          <w:lang w:val="es-ES" w:eastAsia="en-GB"/>
        </w:rPr>
        <w:t xml:space="preserve">It is clear that determining the sustainability threshold of a passively managed fund will be much easier if it performs physical replication or optimised physical replication. This type of replication ensures that the fund will invest almost exactly like the benchmark and therefore replicate its sustainability threshold in the same way. </w:t>
      </w:r>
    </w:p>
    <w:p w14:paraId="4EA8A105" w14:textId="77777777" w:rsidR="00B570B5" w:rsidRPr="00B570B5" w:rsidRDefault="00B570B5" w:rsidP="00B570B5">
      <w:pPr>
        <w:autoSpaceDE w:val="0"/>
        <w:autoSpaceDN w:val="0"/>
        <w:adjustRightInd w:val="0"/>
        <w:rPr>
          <w:rFonts w:cs="Arial"/>
          <w:color w:val="000000"/>
          <w:szCs w:val="20"/>
          <w:lang w:val="es-ES" w:eastAsia="en-GB"/>
        </w:rPr>
      </w:pPr>
    </w:p>
    <w:p w14:paraId="22BE2335" w14:textId="77777777" w:rsidR="00B570B5" w:rsidRDefault="00B570B5" w:rsidP="00B92885">
      <w:pPr>
        <w:rPr>
          <w:rFonts w:cs="Arial"/>
          <w:color w:val="000000"/>
          <w:szCs w:val="20"/>
          <w:lang w:val="es-ES" w:eastAsia="en-GB"/>
        </w:rPr>
      </w:pPr>
      <w:r w:rsidRPr="00B570B5">
        <w:rPr>
          <w:rFonts w:cs="Arial"/>
          <w:color w:val="000000"/>
          <w:szCs w:val="20"/>
          <w:lang w:val="es-ES" w:eastAsia="en-GB"/>
        </w:rPr>
        <w:t xml:space="preserve">Funds governed under synthetic replication should be excluded from the possibility of including trade names linked to sustainability or ESG criteria. The possibility for the fund to enter into transactions with third parties that may include the purchase of baskets of securities that have nothing to do with its original perception or to transfer the investment directly to an investment bank perverts the situation and the traceability of the sustainability of the product is lost. </w:t>
      </w:r>
    </w:p>
    <w:permEnd w:id="1876589445"/>
    <w:p w14:paraId="1B5712A0" w14:textId="6E5A8C1D"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7C78B025" w14:textId="77777777" w:rsidR="00B570B5" w:rsidRDefault="00B570B5" w:rsidP="00B92885">
      <w:pPr>
        <w:rPr>
          <w:szCs w:val="20"/>
        </w:rPr>
      </w:pPr>
      <w:permStart w:id="1992309739" w:edGrp="everyone"/>
      <w:r>
        <w:rPr>
          <w:szCs w:val="20"/>
        </w:rPr>
        <w:t>The terms "impact" or "impact investment" may have nothing to do with social or environmental sustain</w:t>
      </w:r>
      <w:r>
        <w:rPr>
          <w:szCs w:val="20"/>
        </w:rPr>
        <w:t>a</w:t>
      </w:r>
      <w:r>
        <w:rPr>
          <w:szCs w:val="20"/>
        </w:rPr>
        <w:t xml:space="preserve">bi-lity, although it is true that they can be misleading if used in a malicious way. If ESMA considers that the use of these terms is linked to the above criteria, they must obviously also comply with the thresholds and proposals made in the previous sections. </w:t>
      </w:r>
    </w:p>
    <w:permEnd w:id="1992309739"/>
    <w:p w14:paraId="14AB0C87" w14:textId="1B789855"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083E9843" w14:textId="64858752" w:rsidR="00B570B5" w:rsidRDefault="00B570B5" w:rsidP="00B92885">
      <w:pPr>
        <w:rPr>
          <w:szCs w:val="20"/>
        </w:rPr>
      </w:pPr>
      <w:permStart w:id="1423966990" w:edGrp="everyone"/>
      <w:r>
        <w:rPr>
          <w:szCs w:val="20"/>
        </w:rPr>
        <w:t>The use of the terms set out here, as in the previous question, may be misinterpreted, especially by co</w:t>
      </w:r>
      <w:r>
        <w:rPr>
          <w:szCs w:val="20"/>
        </w:rPr>
        <w:t>n</w:t>
      </w:r>
      <w:r>
        <w:rPr>
          <w:szCs w:val="20"/>
        </w:rPr>
        <w:t>sumers or retail investors. The specific provisions should therefore be extended to all those terms or expressions that ESMA, or other bodies in their supervisory work, have identified as potentially problema</w:t>
      </w:r>
      <w:r>
        <w:rPr>
          <w:szCs w:val="20"/>
        </w:rPr>
        <w:t>t</w:t>
      </w:r>
      <w:r>
        <w:rPr>
          <w:szCs w:val="20"/>
        </w:rPr>
        <w:t xml:space="preserve">ic or that may induce greenwashing practices. </w:t>
      </w:r>
    </w:p>
    <w:permEnd w:id="1423966990"/>
    <w:p w14:paraId="0643B633" w14:textId="779E2000"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78183103" w14:textId="2E3E9080" w:rsidR="00B570B5" w:rsidRDefault="00B570B5" w:rsidP="00B570B5">
      <w:pPr>
        <w:autoSpaceDE w:val="0"/>
        <w:autoSpaceDN w:val="0"/>
        <w:adjustRightInd w:val="0"/>
        <w:rPr>
          <w:rFonts w:cs="Arial"/>
          <w:color w:val="000000"/>
          <w:szCs w:val="20"/>
          <w:lang w:val="es-ES" w:eastAsia="en-GB"/>
        </w:rPr>
      </w:pPr>
      <w:permStart w:id="1434478937" w:edGrp="everyone"/>
      <w:r w:rsidRPr="00B570B5">
        <w:rPr>
          <w:rFonts w:cs="Arial"/>
          <w:color w:val="000000"/>
          <w:szCs w:val="20"/>
          <w:lang w:val="es-ES" w:eastAsia="en-GB"/>
        </w:rPr>
        <w:t xml:space="preserve">Although investment funds have acquired a special categorisation within the different savings and invest-ment products, the truth is that the measures proposed here should be extended to all these types of pro-ducts in order to achieve a cohesive and clear market. </w:t>
      </w:r>
    </w:p>
    <w:p w14:paraId="313A3772" w14:textId="77777777" w:rsidR="00B570B5" w:rsidRPr="00B570B5" w:rsidRDefault="00B570B5" w:rsidP="00B570B5">
      <w:pPr>
        <w:autoSpaceDE w:val="0"/>
        <w:autoSpaceDN w:val="0"/>
        <w:adjustRightInd w:val="0"/>
        <w:rPr>
          <w:rFonts w:cs="Arial"/>
          <w:color w:val="000000"/>
          <w:szCs w:val="20"/>
          <w:lang w:val="es-ES" w:eastAsia="en-GB"/>
        </w:rPr>
      </w:pPr>
    </w:p>
    <w:p w14:paraId="1DCF700C" w14:textId="77777777" w:rsidR="00B570B5" w:rsidRDefault="00B570B5" w:rsidP="00B92885">
      <w:pPr>
        <w:rPr>
          <w:szCs w:val="20"/>
        </w:rPr>
      </w:pPr>
      <w:r w:rsidRPr="00B570B5">
        <w:rPr>
          <w:rFonts w:cs="Arial"/>
          <w:color w:val="000000"/>
          <w:szCs w:val="20"/>
          <w:lang w:val="es-ES" w:eastAsia="en-GB"/>
        </w:rPr>
        <w:t>Investment funds are not the only products marketed under the premises of sustainability or economically responsible, among other types of terminology. To ensure understanding of an already complex market for consumers, all products should be subject to the same rules. It would make no sense if, for example, a</w:t>
      </w:r>
      <w:r>
        <w:rPr>
          <w:rFonts w:cs="Arial"/>
          <w:color w:val="000000"/>
          <w:szCs w:val="20"/>
          <w:lang w:val="es-ES" w:eastAsia="en-GB"/>
        </w:rPr>
        <w:t xml:space="preserve"> </w:t>
      </w:r>
      <w:r>
        <w:rPr>
          <w:szCs w:val="20"/>
        </w:rPr>
        <w:t xml:space="preserve">savings insurance product had different thresholds or requirements for sustainability than an investment fund. </w:t>
      </w:r>
    </w:p>
    <w:p w14:paraId="70EEE415" w14:textId="7F69EDA9" w:rsidR="00B92885" w:rsidRDefault="00B570B5" w:rsidP="00B92885">
      <w:r w:rsidRPr="00B570B5">
        <w:rPr>
          <w:rFonts w:cs="Arial"/>
          <w:color w:val="000000"/>
          <w:szCs w:val="20"/>
          <w:lang w:val="es-ES" w:eastAsia="en-GB"/>
        </w:rPr>
        <w:t xml:space="preserve"> </w:t>
      </w:r>
      <w:permEnd w:id="1434478937"/>
      <w:r w:rsidR="00B92885">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2C29B5CF" w14:textId="6A5F742F" w:rsidR="00B570B5" w:rsidRDefault="00B570B5" w:rsidP="00B570B5">
      <w:pPr>
        <w:autoSpaceDE w:val="0"/>
        <w:autoSpaceDN w:val="0"/>
        <w:adjustRightInd w:val="0"/>
        <w:rPr>
          <w:rFonts w:cs="Arial"/>
          <w:color w:val="000000"/>
          <w:szCs w:val="20"/>
          <w:lang w:val="es-ES" w:eastAsia="en-GB"/>
        </w:rPr>
      </w:pPr>
      <w:permStart w:id="489244833" w:edGrp="everyone"/>
      <w:r w:rsidRPr="00B570B5">
        <w:rPr>
          <w:rFonts w:cs="Arial"/>
          <w:color w:val="000000"/>
          <w:szCs w:val="20"/>
          <w:lang w:val="es-ES" w:eastAsia="en-GB"/>
        </w:rPr>
        <w:t>This consultation is in the public domain. Fund managers, financial institutions or investment services firms are aware, or should be aware, of the regulatory developments to which they are subject, so the 6 month deadline seems exaggerated, as they can correct their positions or product trade names as the proposals are consolidated. If they do not do so</w:t>
      </w:r>
      <w:r w:rsidR="00892EB8">
        <w:rPr>
          <w:rFonts w:cs="Arial"/>
          <w:color w:val="000000"/>
          <w:szCs w:val="20"/>
          <w:lang w:val="es-ES" w:eastAsia="en-GB"/>
        </w:rPr>
        <w:t>,</w:t>
      </w:r>
      <w:r w:rsidRPr="00B570B5">
        <w:rPr>
          <w:rFonts w:cs="Arial"/>
          <w:color w:val="000000"/>
          <w:szCs w:val="20"/>
          <w:lang w:val="es-ES" w:eastAsia="en-GB"/>
        </w:rPr>
        <w:t xml:space="preserve"> it is because they are evidently benefiting from some practice. </w:t>
      </w:r>
    </w:p>
    <w:p w14:paraId="3D359370" w14:textId="77777777" w:rsidR="00B570B5" w:rsidRPr="00B570B5" w:rsidRDefault="00B570B5" w:rsidP="00B570B5">
      <w:pPr>
        <w:autoSpaceDE w:val="0"/>
        <w:autoSpaceDN w:val="0"/>
        <w:adjustRightInd w:val="0"/>
        <w:rPr>
          <w:rFonts w:cs="Arial"/>
          <w:color w:val="000000"/>
          <w:szCs w:val="20"/>
          <w:lang w:val="es-ES" w:eastAsia="en-GB"/>
        </w:rPr>
      </w:pPr>
    </w:p>
    <w:p w14:paraId="196A2A77" w14:textId="77777777" w:rsidR="00B570B5" w:rsidRDefault="00B570B5" w:rsidP="00B92885">
      <w:pPr>
        <w:rPr>
          <w:rFonts w:cs="Arial"/>
          <w:color w:val="000000"/>
          <w:szCs w:val="20"/>
          <w:lang w:val="es-ES" w:eastAsia="en-GB"/>
        </w:rPr>
      </w:pPr>
      <w:r w:rsidRPr="00B570B5">
        <w:rPr>
          <w:rFonts w:cs="Arial"/>
          <w:color w:val="000000"/>
          <w:szCs w:val="20"/>
          <w:lang w:val="es-ES" w:eastAsia="en-GB"/>
        </w:rPr>
        <w:t xml:space="preserve">This period could be reduced to 3 months. This is generous in itself and would solve the problem more quickly. </w:t>
      </w:r>
    </w:p>
    <w:permEnd w:id="489244833"/>
    <w:p w14:paraId="739467F4" w14:textId="7FAFE17B"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0B2B473F" w14:textId="65623052" w:rsidR="00B570B5" w:rsidRDefault="00B570B5" w:rsidP="00B92885">
      <w:pPr>
        <w:rPr>
          <w:szCs w:val="20"/>
        </w:rPr>
      </w:pPr>
      <w:permStart w:id="1766353355" w:edGrp="everyone"/>
      <w:r>
        <w:rPr>
          <w:szCs w:val="20"/>
        </w:rPr>
        <w:t xml:space="preserve">If the fund is permanently closed as a result of liquidation, it does not make much sense for it to be obliged to change its nomenclature. On the other hand, those funds that are closed for reasons related to the management of their assets and are therefore likely to be opened in the short or medium term in the </w:t>
      </w:r>
      <w:r w:rsidR="00892EB8">
        <w:rPr>
          <w:szCs w:val="20"/>
        </w:rPr>
        <w:t>future</w:t>
      </w:r>
      <w:r>
        <w:rPr>
          <w:szCs w:val="20"/>
        </w:rPr>
        <w:t xml:space="preserve"> should be subject to the guidelines resulting from this consultation. </w:t>
      </w:r>
    </w:p>
    <w:permEnd w:id="1766353355"/>
    <w:p w14:paraId="611042B9" w14:textId="3E74353D"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49FC774" w14:textId="198CB04C" w:rsidR="00B570B5" w:rsidRDefault="00B570B5" w:rsidP="00B570B5">
      <w:pPr>
        <w:autoSpaceDE w:val="0"/>
        <w:autoSpaceDN w:val="0"/>
        <w:adjustRightInd w:val="0"/>
        <w:rPr>
          <w:rFonts w:cs="Arial"/>
          <w:color w:val="000000"/>
          <w:szCs w:val="20"/>
          <w:lang w:val="es-ES" w:eastAsia="en-GB"/>
        </w:rPr>
      </w:pPr>
      <w:permStart w:id="929254269" w:edGrp="everyone"/>
      <w:r w:rsidRPr="00B570B5">
        <w:rPr>
          <w:rFonts w:cs="Arial"/>
          <w:color w:val="000000"/>
          <w:szCs w:val="20"/>
          <w:lang w:val="es-ES" w:eastAsia="en-GB"/>
        </w:rPr>
        <w:t>The proposed guidelines allow for clarification and unification of criteria in a niche market that is clearly growing. Consumers and small investors will clearly benefit from the proposed measures, or the sugge</w:t>
      </w:r>
      <w:r w:rsidRPr="00B570B5">
        <w:rPr>
          <w:rFonts w:cs="Arial"/>
          <w:color w:val="000000"/>
          <w:szCs w:val="20"/>
          <w:lang w:val="es-ES" w:eastAsia="en-GB"/>
        </w:rPr>
        <w:t>s</w:t>
      </w:r>
      <w:r w:rsidRPr="00B570B5">
        <w:rPr>
          <w:rFonts w:cs="Arial"/>
          <w:color w:val="000000"/>
          <w:szCs w:val="20"/>
          <w:lang w:val="es-ES" w:eastAsia="en-GB"/>
        </w:rPr>
        <w:t xml:space="preserve">tions that ADICAE makes to the consultation, being able to know with certainty </w:t>
      </w:r>
      <w:r w:rsidR="00892EB8">
        <w:rPr>
          <w:rFonts w:cs="Arial"/>
          <w:color w:val="000000"/>
          <w:szCs w:val="20"/>
          <w:lang w:val="es-ES" w:eastAsia="en-GB"/>
        </w:rPr>
        <w:t>the destination of their invest</w:t>
      </w:r>
      <w:bookmarkStart w:id="4" w:name="_GoBack"/>
      <w:bookmarkEnd w:id="4"/>
      <w:r w:rsidRPr="00B570B5">
        <w:rPr>
          <w:rFonts w:cs="Arial"/>
          <w:color w:val="000000"/>
          <w:szCs w:val="20"/>
          <w:lang w:val="es-ES" w:eastAsia="en-GB"/>
        </w:rPr>
        <w:t xml:space="preserve">ments. </w:t>
      </w:r>
    </w:p>
    <w:p w14:paraId="216EC4E3" w14:textId="77777777" w:rsidR="00B570B5" w:rsidRPr="00B570B5" w:rsidRDefault="00B570B5" w:rsidP="00B570B5">
      <w:pPr>
        <w:autoSpaceDE w:val="0"/>
        <w:autoSpaceDN w:val="0"/>
        <w:adjustRightInd w:val="0"/>
        <w:rPr>
          <w:rFonts w:cs="Arial"/>
          <w:color w:val="000000"/>
          <w:szCs w:val="20"/>
          <w:lang w:val="es-ES" w:eastAsia="en-GB"/>
        </w:rPr>
      </w:pPr>
    </w:p>
    <w:p w14:paraId="60B39404" w14:textId="1BABBE48" w:rsid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 xml:space="preserve">However, as discussed above, there are some gaps in the labelling of products, as well as in the require-ments contained in Delegated Regulation (EU) 2020/1818 regarding the sustainability criteria for certain investments. </w:t>
      </w:r>
    </w:p>
    <w:p w14:paraId="26AF9DBF" w14:textId="77777777" w:rsidR="00B570B5" w:rsidRPr="00B570B5" w:rsidRDefault="00B570B5" w:rsidP="00B570B5">
      <w:pPr>
        <w:autoSpaceDE w:val="0"/>
        <w:autoSpaceDN w:val="0"/>
        <w:adjustRightInd w:val="0"/>
        <w:rPr>
          <w:rFonts w:cs="Arial"/>
          <w:color w:val="000000"/>
          <w:szCs w:val="20"/>
          <w:lang w:val="es-ES" w:eastAsia="en-GB"/>
        </w:rPr>
      </w:pPr>
    </w:p>
    <w:p w14:paraId="6442465A" w14:textId="77777777" w:rsidR="00B570B5" w:rsidRPr="00B570B5" w:rsidRDefault="00B570B5" w:rsidP="00B570B5">
      <w:pPr>
        <w:autoSpaceDE w:val="0"/>
        <w:autoSpaceDN w:val="0"/>
        <w:adjustRightInd w:val="0"/>
        <w:rPr>
          <w:rFonts w:cs="Arial"/>
          <w:color w:val="000000"/>
          <w:szCs w:val="20"/>
          <w:lang w:val="es-ES" w:eastAsia="en-GB"/>
        </w:rPr>
      </w:pPr>
      <w:r w:rsidRPr="00B570B5">
        <w:rPr>
          <w:rFonts w:cs="Arial"/>
          <w:color w:val="000000"/>
          <w:szCs w:val="20"/>
          <w:lang w:val="es-ES" w:eastAsia="en-GB"/>
        </w:rPr>
        <w:t xml:space="preserve">Once the rules have been clearly established, it is up to the national or European supervisory bodies to ensure that they function properly, as they can still give rise to greenwashing techniques, especially in the case of passively managed funds governed under synthetic replication or financial derivatives. </w:t>
      </w:r>
    </w:p>
    <w:p w14:paraId="488AA7F7" w14:textId="77777777" w:rsidR="00B570B5" w:rsidRDefault="00B570B5" w:rsidP="00B92885">
      <w:pPr>
        <w:rPr>
          <w:rFonts w:cs="Arial"/>
          <w:color w:val="000000"/>
          <w:szCs w:val="20"/>
          <w:lang w:val="es-ES" w:eastAsia="en-GB"/>
        </w:rPr>
      </w:pPr>
      <w:r w:rsidRPr="00B570B5">
        <w:rPr>
          <w:rFonts w:cs="Arial"/>
          <w:color w:val="000000"/>
          <w:szCs w:val="20"/>
          <w:lang w:val="es-ES" w:eastAsia="en-GB"/>
        </w:rPr>
        <w:t xml:space="preserve">In any case, once the necessary measures have been adopted, they should be extended to all savings and investment products traded on European territory. </w:t>
      </w:r>
    </w:p>
    <w:permEnd w:id="929254269"/>
    <w:p w14:paraId="00ADF191" w14:textId="3A437274"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w:t>
      </w:r>
      <w:r w:rsidRPr="00D5777E">
        <w:t>e</w:t>
      </w:r>
      <w:r w:rsidRPr="00D5777E">
        <w:t>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4B2A9EF" w14:textId="77777777" w:rsidR="00B570B5" w:rsidRPr="00B570B5" w:rsidRDefault="00B570B5" w:rsidP="00B570B5">
      <w:pPr>
        <w:autoSpaceDE w:val="0"/>
        <w:autoSpaceDN w:val="0"/>
        <w:adjustRightInd w:val="0"/>
        <w:rPr>
          <w:rFonts w:cs="Arial"/>
          <w:color w:val="000000"/>
          <w:szCs w:val="20"/>
          <w:lang w:val="es-ES" w:eastAsia="en-GB"/>
        </w:rPr>
      </w:pPr>
      <w:permStart w:id="878708964" w:edGrp="everyone"/>
      <w:r w:rsidRPr="00B570B5">
        <w:rPr>
          <w:rFonts w:cs="Arial"/>
          <w:color w:val="000000"/>
          <w:szCs w:val="20"/>
          <w:lang w:val="es-ES" w:eastAsia="en-GB"/>
        </w:rPr>
        <w:t xml:space="preserve">ADICAE, the Association of Consumers and Users of Banks, Savings Banks and Insurance Companies, represents consumers and/or small investors residing in Spain. The benefits or positive impact of the pro-posed measures have already been mentioned. </w:t>
      </w:r>
    </w:p>
    <w:p w14:paraId="4CC9A7C1" w14:textId="77777777" w:rsidR="00B570B5" w:rsidRDefault="00B570B5" w:rsidP="00B92885">
      <w:pPr>
        <w:rPr>
          <w:rFonts w:cs="Arial"/>
          <w:color w:val="000000"/>
          <w:szCs w:val="20"/>
          <w:lang w:val="es-ES" w:eastAsia="en-GB"/>
        </w:rPr>
      </w:pPr>
      <w:r w:rsidRPr="00B570B5">
        <w:rPr>
          <w:rFonts w:cs="Arial"/>
          <w:color w:val="000000"/>
          <w:szCs w:val="20"/>
          <w:lang w:val="es-ES" w:eastAsia="en-GB"/>
        </w:rPr>
        <w:lastRenderedPageBreak/>
        <w:t xml:space="preserve">With regard to the cost of these guidelines, it is possible that fund managers may decide to make their services more expensive because of the costs that may arise from the application of these guidelines. For this reason, it should be made clear that the costs arising from the application of these guidelines should not be passed on to investors. </w:t>
      </w:r>
    </w:p>
    <w:permEnd w:id="878708964"/>
    <w:p w14:paraId="651FE8BB" w14:textId="29841FEE"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9B301" w14:textId="77777777" w:rsidR="00DE53FA" w:rsidRDefault="00DE53FA">
      <w:r>
        <w:separator/>
      </w:r>
    </w:p>
    <w:p w14:paraId="70F4FCC9" w14:textId="77777777" w:rsidR="00DE53FA" w:rsidRDefault="00DE53FA"/>
  </w:endnote>
  <w:endnote w:type="continuationSeparator" w:id="0">
    <w:p w14:paraId="701919F9" w14:textId="77777777" w:rsidR="00DE53FA" w:rsidRDefault="00DE53FA">
      <w:r>
        <w:continuationSeparator/>
      </w:r>
    </w:p>
    <w:p w14:paraId="0E06534E" w14:textId="77777777" w:rsidR="00DE53FA" w:rsidRDefault="00DE53FA"/>
  </w:endnote>
  <w:endnote w:type="continuationNotice" w:id="1">
    <w:p w14:paraId="30567870" w14:textId="77777777" w:rsidR="00DE53FA" w:rsidRDefault="00DE5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92EB8">
            <w:rPr>
              <w:rFonts w:cs="Arial"/>
              <w:noProof/>
              <w:sz w:val="22"/>
              <w:szCs w:val="22"/>
            </w:rPr>
            <w:t>10</w:t>
          </w:r>
          <w:r w:rsidRPr="00616B9B">
            <w:rPr>
              <w:rFonts w:cs="Arial"/>
              <w:noProof/>
              <w:sz w:val="22"/>
              <w:szCs w:val="22"/>
            </w:rPr>
            <w:fldChar w:fldCharType="end"/>
          </w:r>
        </w:p>
      </w:tc>
    </w:tr>
  </w:tbl>
  <w:p w14:paraId="7306E326" w14:textId="77777777" w:rsidR="00267551" w:rsidRDefault="0026755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75726" w14:textId="4CF051A6" w:rsidR="00267551" w:rsidRDefault="00267551" w:rsidP="00B92885">
    <w:pPr>
      <w:pStyle w:val="Piedepgina"/>
      <w:tabs>
        <w:tab w:val="clear" w:pos="4536"/>
        <w:tab w:val="clear" w:pos="9072"/>
        <w:tab w:val="left" w:pos="8227"/>
        <w:tab w:val="right" w:pos="9412"/>
      </w:tabs>
    </w:pPr>
    <w:r>
      <w:tab/>
    </w:r>
    <w:r w:rsidR="00B92885">
      <w:tab/>
    </w:r>
  </w:p>
  <w:p w14:paraId="3A793707" w14:textId="084F8123" w:rsidR="00B92885" w:rsidRDefault="00B92885" w:rsidP="00B92885">
    <w:pPr>
      <w:pStyle w:val="Piedepgina"/>
      <w:tabs>
        <w:tab w:val="clear" w:pos="4536"/>
        <w:tab w:val="clear" w:pos="9072"/>
        <w:tab w:val="left" w:pos="8227"/>
        <w:tab w:val="right" w:pos="9412"/>
      </w:tabs>
    </w:pPr>
    <w:r>
      <w:tab/>
    </w:r>
    <w:r>
      <w:tab/>
    </w:r>
    <w:r>
      <w:tab/>
    </w:r>
  </w:p>
  <w:p w14:paraId="6D19C66C" w14:textId="10DE0B9B" w:rsidR="00B92885" w:rsidRDefault="00B92885" w:rsidP="00B92885">
    <w:pPr>
      <w:pStyle w:val="Piedepgina"/>
      <w:tabs>
        <w:tab w:val="clear" w:pos="4536"/>
        <w:tab w:val="clear" w:pos="9072"/>
        <w:tab w:val="left" w:pos="8227"/>
        <w:tab w:val="right" w:pos="941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22F5" w14:textId="77777777" w:rsidR="00267551" w:rsidRDefault="002675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4D15E" w14:textId="77777777" w:rsidR="00DE53FA" w:rsidRDefault="00DE53FA">
      <w:r>
        <w:separator/>
      </w:r>
    </w:p>
    <w:p w14:paraId="54B0D45F" w14:textId="77777777" w:rsidR="00DE53FA" w:rsidRDefault="00DE53FA"/>
  </w:footnote>
  <w:footnote w:type="continuationSeparator" w:id="0">
    <w:p w14:paraId="2FFA4718" w14:textId="77777777" w:rsidR="00DE53FA" w:rsidRDefault="00DE53FA">
      <w:r>
        <w:continuationSeparator/>
      </w:r>
    </w:p>
    <w:p w14:paraId="2F862D3A" w14:textId="77777777" w:rsidR="00DE53FA" w:rsidRDefault="00DE53FA"/>
  </w:footnote>
  <w:footnote w:type="continuationNotice" w:id="1">
    <w:p w14:paraId="126848FD" w14:textId="77777777" w:rsidR="00DE53FA" w:rsidRDefault="00DE53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47985" w14:textId="77777777" w:rsidR="00267551" w:rsidRDefault="00267551">
    <w:pPr>
      <w:pStyle w:val="Encabezado"/>
    </w:pPr>
    <w:r>
      <w:rPr>
        <w:noProof/>
        <w:lang w:val="es-ES" w:eastAsia="es-ES"/>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8EEA6" w14:textId="77777777" w:rsidR="00267551" w:rsidRDefault="00267551" w:rsidP="00013CCE">
    <w:pPr>
      <w:pStyle w:val="Encabezado"/>
      <w:jc w:val="right"/>
    </w:pPr>
    <w:r>
      <w:rPr>
        <w:noProof/>
        <w:lang w:val="es-ES" w:eastAsia="es-ES"/>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A3DA" w14:textId="77777777" w:rsidR="00267551" w:rsidRDefault="0026755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Encabezado"/>
      <w:rPr>
        <w:lang w:val="fr-FR"/>
      </w:rPr>
    </w:pPr>
  </w:p>
  <w:p w14:paraId="3F30C70B" w14:textId="77777777" w:rsidR="00267551" w:rsidRPr="002F4496" w:rsidRDefault="00267551" w:rsidP="000C06C9">
    <w:pPr>
      <w:pStyle w:val="Encabezado"/>
      <w:tabs>
        <w:tab w:val="clear" w:pos="4536"/>
        <w:tab w:val="clear" w:pos="9072"/>
        <w:tab w:val="left" w:pos="8227"/>
      </w:tabs>
      <w:rPr>
        <w:lang w:val="fr-FR"/>
      </w:rPr>
    </w:pPr>
  </w:p>
  <w:p w14:paraId="4D50BC39" w14:textId="77777777" w:rsidR="00267551" w:rsidRPr="002F4496" w:rsidRDefault="00267551" w:rsidP="00583885">
    <w:pPr>
      <w:pStyle w:val="Encabezado"/>
      <w:jc w:val="right"/>
      <w:rPr>
        <w:lang w:val="fr-FR"/>
      </w:rPr>
    </w:pPr>
  </w:p>
  <w:p w14:paraId="2D51BEA2" w14:textId="77777777" w:rsidR="00267551" w:rsidRPr="002F4496" w:rsidRDefault="00267551">
    <w:pPr>
      <w:pStyle w:val="Encabezado"/>
      <w:rPr>
        <w:lang w:val="fr-FR"/>
      </w:rPr>
    </w:pPr>
  </w:p>
  <w:p w14:paraId="340B2438" w14:textId="77777777" w:rsidR="00267551" w:rsidRPr="002F4496" w:rsidRDefault="00267551">
    <w:pPr>
      <w:pStyle w:val="Encabezado"/>
      <w:rPr>
        <w:lang w:val="fr-FR"/>
      </w:rPr>
    </w:pPr>
  </w:p>
  <w:p w14:paraId="2A794A3E" w14:textId="77777777" w:rsidR="00267551" w:rsidRPr="002F4496" w:rsidRDefault="00267551">
    <w:pPr>
      <w:pStyle w:val="Encabezado"/>
      <w:rPr>
        <w:lang w:val="fr-FR"/>
      </w:rPr>
    </w:pPr>
  </w:p>
  <w:p w14:paraId="0A21F475" w14:textId="77777777" w:rsidR="00267551" w:rsidRPr="002F4496" w:rsidRDefault="00267551">
    <w:pPr>
      <w:pStyle w:val="Encabezado"/>
      <w:rPr>
        <w:highlight w:val="yellow"/>
        <w:lang w:val="fr-FR"/>
      </w:rPr>
    </w:pPr>
  </w:p>
  <w:p w14:paraId="53ABEE5D" w14:textId="77777777" w:rsidR="00267551" w:rsidRDefault="00267551">
    <w:pPr>
      <w:pStyle w:val="Encabezado"/>
    </w:pPr>
    <w:r>
      <w:rPr>
        <w:noProof/>
        <w:lang w:val="es-ES" w:eastAsia="es-ES"/>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val="es-ES" w:eastAsia="es-ES"/>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8"/>
  </w:num>
  <w:num w:numId="29">
    <w:abstractNumId w:val="7"/>
  </w:num>
  <w:num w:numId="30">
    <w:abstractNumId w:val="2"/>
  </w:num>
  <w:num w:numId="31">
    <w:abstractNumId w:val="21"/>
  </w:num>
  <w:num w:numId="32">
    <w:abstractNumId w:val="20"/>
  </w:num>
  <w:num w:numId="33">
    <w:abstractNumId w:val="34"/>
  </w:num>
  <w:num w:numId="34">
    <w:abstractNumId w:val="33"/>
  </w:num>
  <w:num w:numId="35">
    <w:abstractNumId w:val="4"/>
  </w:num>
  <w:num w:numId="36">
    <w:abstractNumId w:val="35"/>
  </w:num>
  <w:num w:numId="37">
    <w:abstractNumId w:val="20"/>
    <w:lvlOverride w:ilvl="0">
      <w:startOverride w:val="1"/>
    </w:lvlOverride>
  </w:num>
  <w:num w:numId="38">
    <w:abstractNumId w:val="20"/>
  </w:num>
  <w:num w:numId="39">
    <w:abstractNumId w:val="12"/>
  </w:num>
  <w:num w:numId="4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20"/>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40A"/>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346"/>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B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2539"/>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466C"/>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0B5"/>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262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53FA"/>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8C3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Ttulo1">
    <w:name w:val="heading 1"/>
    <w:basedOn w:val="Normal"/>
    <w:next w:val="Normal"/>
    <w:link w:val="Ttulo1Car"/>
    <w:qFormat/>
    <w:locked/>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locked/>
    <w:rsid w:val="00886A60"/>
    <w:pPr>
      <w:keepNext/>
      <w:keepLines/>
      <w:spacing w:before="200" w:after="120"/>
      <w:outlineLvl w:val="1"/>
    </w:pPr>
    <w:rPr>
      <w:b/>
      <w:bCs/>
      <w:szCs w:val="26"/>
    </w:rPr>
  </w:style>
  <w:style w:type="paragraph" w:styleId="Ttulo3">
    <w:name w:val="heading 3"/>
    <w:basedOn w:val="Normal"/>
    <w:next w:val="Normal"/>
    <w:link w:val="Ttulo3Car"/>
    <w:qFormat/>
    <w:locked/>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uiPriority w:val="9"/>
    <w:qFormat/>
    <w:locked/>
    <w:rsid w:val="00E9344E"/>
    <w:pPr>
      <w:keepNext/>
      <w:keepLines/>
      <w:numPr>
        <w:numId w:val="13"/>
      </w:numPr>
      <w:spacing w:before="200"/>
      <w:jc w:val="both"/>
      <w:outlineLvl w:val="4"/>
    </w:pPr>
    <w:rPr>
      <w:b/>
    </w:rPr>
  </w:style>
  <w:style w:type="paragraph" w:styleId="Ttulo6">
    <w:name w:val="heading 6"/>
    <w:basedOn w:val="Normal"/>
    <w:next w:val="Normal"/>
    <w:link w:val="Ttulo6Car"/>
    <w:qFormat/>
    <w:locked/>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locked/>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locked/>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locked/>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locked/>
    <w:rsid w:val="005B64CB"/>
    <w:pPr>
      <w:tabs>
        <w:tab w:val="center" w:pos="4536"/>
        <w:tab w:val="right" w:pos="9072"/>
      </w:tabs>
    </w:pPr>
  </w:style>
  <w:style w:type="paragraph" w:styleId="Piedepgina">
    <w:name w:val="footer"/>
    <w:basedOn w:val="Normal"/>
    <w:link w:val="PiedepginaCar"/>
    <w:uiPriority w:val="99"/>
    <w:locked/>
    <w:rsid w:val="005B64CB"/>
    <w:pPr>
      <w:tabs>
        <w:tab w:val="center" w:pos="4536"/>
        <w:tab w:val="right" w:pos="9072"/>
      </w:tabs>
    </w:pPr>
  </w:style>
  <w:style w:type="table" w:styleId="Tablaconcuadrcula">
    <w:name w:val="Table Grid"/>
    <w:basedOn w:val="Tabla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merodepgina">
    <w:name w:val="page number"/>
    <w:basedOn w:val="Fuentedeprrafopredeter"/>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vnculo">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qFormat/>
    <w:locked/>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D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efdecomentario">
    <w:name w:val="annotation reference"/>
    <w:locked/>
    <w:rsid w:val="004B1E61"/>
    <w:rPr>
      <w:sz w:val="16"/>
      <w:szCs w:val="16"/>
    </w:rPr>
  </w:style>
  <w:style w:type="paragraph" w:styleId="Textocomentario">
    <w:name w:val="annotation text"/>
    <w:basedOn w:val="Normal"/>
    <w:link w:val="TextocomentarioCar"/>
    <w:locked/>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locked/>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locked/>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Paragraphe de liste"/>
    <w:basedOn w:val="Normal"/>
    <w:link w:val="PrrafodelistaCar"/>
    <w:uiPriority w:val="34"/>
    <w:qFormat/>
    <w:locked/>
    <w:rsid w:val="002A0C82"/>
    <w:pPr>
      <w:ind w:left="720"/>
      <w:contextualSpacing/>
    </w:pPr>
  </w:style>
  <w:style w:type="paragraph" w:styleId="TtulodeTDC">
    <w:name w:val="TOC Heading"/>
    <w:basedOn w:val="Ttulo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fasis">
    <w:name w:val="Emphasis"/>
    <w:uiPriority w:val="20"/>
    <w:qFormat/>
    <w:locked/>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Epgraf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eldocumento">
    <w:name w:val="Document Map"/>
    <w:basedOn w:val="Normal"/>
    <w:link w:val="MapadeldocumentoCar"/>
    <w:locked/>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lock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lock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Textoennegrita">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locked/>
    <w:rsid w:val="002D6E1A"/>
  </w:style>
  <w:style w:type="character" w:styleId="Hipervnculovisitado">
    <w:name w:val="FollowedHyperlink"/>
    <w:unhideWhenUsed/>
    <w:lock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lock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Paragraphe de liste Car"/>
    <w:link w:val="Prrafodelista"/>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locked/>
    <w:rsid w:val="002D6E1A"/>
    <w:rPr>
      <w:vertAlign w:val="superscript"/>
    </w:rPr>
  </w:style>
  <w:style w:type="character" w:styleId="Textodelmarcadordeposicin">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a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tulo5Car">
    <w:name w:val="Título 5 Car"/>
    <w:aliases w:val="Questions Car"/>
    <w:link w:val="Ttulo5"/>
    <w:uiPriority w:val="9"/>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tu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tulo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aconnme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locked/>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Fuentedeprrafopredeter"/>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iPriority="9" w:unhideWhenUsed="0" w:qFormat="1"/>
    <w:lsdException w:name="heading 6" w:locked="0" w:semiHidden="0" w:unhideWhenUsed="0" w:qFormat="1"/>
    <w:lsdException w:name="heading 7" w:locked="0" w:qFormat="1"/>
    <w:lsdException w:name="heading 8" w:locked="0" w:qFormat="1"/>
    <w:lsdException w:name="heading 9" w:locked="0" w:qFormat="1"/>
    <w:lsdException w:name="toc 1" w:locked="0" w:uiPriority="39" w:qFormat="1"/>
    <w:lsdException w:name="toc 2" w:locked="0" w:uiPriority="39" w:qFormat="1"/>
    <w:lsdException w:name="toc 3" w:locked="0" w:uiPriority="39" w:qFormat="1"/>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qFormat="1"/>
    <w:lsdException w:name="annotation text" w:locked="0"/>
    <w:lsdException w:name="header" w:locked="0"/>
    <w:lsdException w:name="footer" w:locked="0" w:uiPriority="99"/>
    <w:lsdException w:name="caption" w:locked="0" w:qFormat="1"/>
    <w:lsdException w:name="table of figures" w:locked="0"/>
    <w:lsdException w:name="footnote reference" w:locked="0" w:uiPriority="99" w:qFormat="1"/>
    <w:lsdException w:name="annotation reference" w:locked="0"/>
    <w:lsdException w:name="line number" w:locked="0" w:uiPriority="99"/>
    <w:lsdException w:name="page number" w:locked="0"/>
    <w:lsdException w:name="endnote reference" w:locked="0"/>
    <w:lsdException w:name="endnote text" w:locked="0"/>
    <w:lsdException w:name="List Bullet" w:locked="0"/>
    <w:lsdException w:name="List Number" w:locked="0" w:semiHidden="0" w:unhideWhenUsed="0"/>
    <w:lsdException w:name="List 4" w:semiHidden="0" w:unhideWhenUsed="0"/>
    <w:lsdException w:name="List 5" w:semiHidden="0" w:unhideWhenUsed="0"/>
    <w:lsdException w:name="List Bullet 2" w:locked="0"/>
    <w:lsdException w:name="List Bullet 3" w:locked="0"/>
    <w:lsdException w:name="List Bullet 4" w:locked="0"/>
    <w:lsdException w:name="List Number 2" w:locked="0"/>
    <w:lsdException w:name="List Number 3" w:locked="0"/>
    <w:lsdException w:name="List Number 4" w:locked="0"/>
    <w:lsdException w:name="Title" w:locked="0" w:semiHidden="0" w:uiPriority="10" w:unhideWhenUsed="0" w:qFormat="1"/>
    <w:lsdException w:name="Default Paragraph Font" w:locked="0" w:uiPriority="1"/>
    <w:lsdException w:name="Body Tex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locked="0" w:uiPriority="99"/>
    <w:lsdException w:name="FollowedHyperlink" w:locked="0"/>
    <w:lsdException w:name="Strong" w:locked="0" w:semiHidden="0" w:unhideWhenUsed="0" w:qFormat="1"/>
    <w:lsdException w:name="Emphasis" w:locked="0" w:semiHidden="0" w:uiPriority="20" w:unhideWhenUsed="0" w:qFormat="1"/>
    <w:lsdException w:name="Document Map" w:locked="0"/>
    <w:lsdException w:name="Plain Text" w:locked="0"/>
    <w:lsdException w:name="HTML Top of Form" w:locked="0"/>
    <w:lsdException w:name="HTML Bottom of Form" w:locked="0"/>
    <w:lsdException w:name="Normal (Web)" w:locked="0"/>
    <w:lsdException w:name="Normal Table" w:locked="0"/>
    <w:lsdException w:name="annotation subject" w:locked="0"/>
    <w:lsdException w:name="No List" w:locked="0" w:uiPriority="99"/>
    <w:lsdException w:name="Balloon Text" w:locked="0"/>
    <w:lsdException w:name="Table Grid" w:locked="0" w:semiHidden="0" w:uiPriority="39" w:unhideWhenUsed="0"/>
    <w:lsdException w:name="Placeholder Text" w:locked="0"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locked="0"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0" w:uiPriority="39" w:qFormat="1"/>
  </w:latentStyles>
  <w:style w:type="paragraph" w:default="1" w:styleId="Normal">
    <w:name w:val="Normal"/>
    <w:qFormat/>
    <w:rsid w:val="00646C30"/>
    <w:rPr>
      <w:rFonts w:ascii="Arial" w:hAnsi="Arial"/>
      <w:szCs w:val="24"/>
      <w:lang w:eastAsia="de-DE"/>
    </w:rPr>
  </w:style>
  <w:style w:type="paragraph" w:styleId="Ttulo1">
    <w:name w:val="heading 1"/>
    <w:basedOn w:val="Normal"/>
    <w:next w:val="Normal"/>
    <w:link w:val="Ttulo1Car"/>
    <w:qFormat/>
    <w:locked/>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locked/>
    <w:rsid w:val="00886A60"/>
    <w:pPr>
      <w:keepNext/>
      <w:keepLines/>
      <w:spacing w:before="200" w:after="120"/>
      <w:outlineLvl w:val="1"/>
    </w:pPr>
    <w:rPr>
      <w:b/>
      <w:bCs/>
      <w:szCs w:val="26"/>
    </w:rPr>
  </w:style>
  <w:style w:type="paragraph" w:styleId="Ttulo3">
    <w:name w:val="heading 3"/>
    <w:basedOn w:val="Normal"/>
    <w:next w:val="Normal"/>
    <w:link w:val="Ttulo3Car"/>
    <w:qFormat/>
    <w:locked/>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uiPriority w:val="9"/>
    <w:qFormat/>
    <w:locked/>
    <w:rsid w:val="00E9344E"/>
    <w:pPr>
      <w:keepNext/>
      <w:keepLines/>
      <w:numPr>
        <w:numId w:val="13"/>
      </w:numPr>
      <w:spacing w:before="200"/>
      <w:jc w:val="both"/>
      <w:outlineLvl w:val="4"/>
    </w:pPr>
    <w:rPr>
      <w:b/>
    </w:rPr>
  </w:style>
  <w:style w:type="paragraph" w:styleId="Ttulo6">
    <w:name w:val="heading 6"/>
    <w:basedOn w:val="Normal"/>
    <w:next w:val="Normal"/>
    <w:link w:val="Ttulo6Car"/>
    <w:qFormat/>
    <w:locked/>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locked/>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locked/>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locked/>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locked/>
    <w:rsid w:val="005B64CB"/>
    <w:pPr>
      <w:tabs>
        <w:tab w:val="center" w:pos="4536"/>
        <w:tab w:val="right" w:pos="9072"/>
      </w:tabs>
    </w:pPr>
  </w:style>
  <w:style w:type="paragraph" w:styleId="Piedepgina">
    <w:name w:val="footer"/>
    <w:basedOn w:val="Normal"/>
    <w:link w:val="PiedepginaCar"/>
    <w:uiPriority w:val="99"/>
    <w:locked/>
    <w:rsid w:val="005B64CB"/>
    <w:pPr>
      <w:tabs>
        <w:tab w:val="center" w:pos="4536"/>
        <w:tab w:val="right" w:pos="9072"/>
      </w:tabs>
    </w:pPr>
  </w:style>
  <w:style w:type="table" w:styleId="Tablaconcuadrcula">
    <w:name w:val="Table Grid"/>
    <w:basedOn w:val="Tabla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merodepgina">
    <w:name w:val="page number"/>
    <w:basedOn w:val="Fuentedeprrafopredeter"/>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vnculo">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qFormat/>
    <w:locked/>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D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efdecomentario">
    <w:name w:val="annotation reference"/>
    <w:locked/>
    <w:rsid w:val="004B1E61"/>
    <w:rPr>
      <w:sz w:val="16"/>
      <w:szCs w:val="16"/>
    </w:rPr>
  </w:style>
  <w:style w:type="paragraph" w:styleId="Textocomentario">
    <w:name w:val="annotation text"/>
    <w:basedOn w:val="Normal"/>
    <w:link w:val="TextocomentarioCar"/>
    <w:locked/>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locked/>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locked/>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Paragraphe de liste"/>
    <w:basedOn w:val="Normal"/>
    <w:link w:val="PrrafodelistaCar"/>
    <w:uiPriority w:val="34"/>
    <w:qFormat/>
    <w:locked/>
    <w:rsid w:val="002A0C82"/>
    <w:pPr>
      <w:ind w:left="720"/>
      <w:contextualSpacing/>
    </w:pPr>
  </w:style>
  <w:style w:type="paragraph" w:styleId="TtulodeTDC">
    <w:name w:val="TOC Heading"/>
    <w:basedOn w:val="Ttulo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fasis">
    <w:name w:val="Emphasis"/>
    <w:uiPriority w:val="20"/>
    <w:qFormat/>
    <w:locked/>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Epgrafe">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eldocumento">
    <w:name w:val="Document Map"/>
    <w:basedOn w:val="Normal"/>
    <w:link w:val="MapadeldocumentoCar"/>
    <w:locked/>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lock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lock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Textoennegrita">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locked/>
    <w:rsid w:val="002D6E1A"/>
  </w:style>
  <w:style w:type="character" w:styleId="Hipervnculovisitado">
    <w:name w:val="FollowedHyperlink"/>
    <w:unhideWhenUsed/>
    <w:lock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lock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Paragraphe de liste Car"/>
    <w:link w:val="Prrafodelista"/>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locked/>
    <w:rsid w:val="002D6E1A"/>
    <w:rPr>
      <w:vertAlign w:val="superscript"/>
    </w:rPr>
  </w:style>
  <w:style w:type="character" w:styleId="Textodelmarcadordeposicin">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a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Epgrafe"/>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tulo5Car">
    <w:name w:val="Título 5 Car"/>
    <w:aliases w:val="Questions Car"/>
    <w:link w:val="Ttulo5"/>
    <w:uiPriority w:val="9"/>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tu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tulo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aconnme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locked/>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Fuentedeprrafopredeter"/>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35c8e399-07b8-49e4-91bf-01a20105d4df"/>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609CCF-0802-42EC-BE3D-D1DDE6162373}">
  <ds:schemaRefs>
    <ds:schemaRef ds:uri="http://schemas.openxmlformats.org/officeDocument/2006/bibliography"/>
  </ds:schemaRefs>
</ds:datastoreItem>
</file>

<file path=customXml/itemProps6.xml><?xml version="1.0" encoding="utf-8"?>
<ds:datastoreItem xmlns:ds="http://schemas.openxmlformats.org/officeDocument/2006/customXml" ds:itemID="{A8E0B780-E5E1-402C-AC75-3331AEBE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3406</Words>
  <Characters>18738</Characters>
  <Application>Microsoft Office Word</Application>
  <DocSecurity>8</DocSecurity>
  <Lines>156</Lines>
  <Paragraphs>44</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22100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ADICAE CyL</cp:lastModifiedBy>
  <cp:revision>3</cp:revision>
  <cp:lastPrinted>2015-02-18T11:01:00Z</cp:lastPrinted>
  <dcterms:created xsi:type="dcterms:W3CDTF">2023-02-17T09:34:00Z</dcterms:created>
  <dcterms:modified xsi:type="dcterms:W3CDTF">2023-02-17T11:28:00Z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