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Pieddepag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1EEF824A"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A07AF3">
        <w:fldChar w:fldCharType="begin"/>
      </w:r>
      <w:r w:rsidR="00A07AF3">
        <w:instrText xml:space="preserve"> HYPERLINK "http://</w:instrText>
      </w:r>
      <w:r w:rsidR="00A07AF3" w:rsidRPr="00A07AF3">
        <w:instrText>www.esma.europa.eu</w:instrText>
      </w:r>
      <w:r w:rsidR="00A07AF3">
        <w:instrText xml:space="preserve">" </w:instrText>
      </w:r>
      <w:r w:rsidR="00A07AF3">
        <w:fldChar w:fldCharType="separate"/>
      </w:r>
      <w:r w:rsidR="00A07AF3" w:rsidRPr="003C2D49">
        <w:rPr>
          <w:rStyle w:val="Lienhypertexte"/>
        </w:rPr>
        <w:t>www.esma.europa.eu</w:t>
      </w:r>
      <w:r w:rsidR="00A07AF3">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xtedelespacerserv"/>
              <w:rFonts w:cs="Arial"/>
            </w:rPr>
            <w:id w:val="651570699"/>
            <w:text/>
          </w:sdtPr>
          <w:sdtEndPr>
            <w:rPr>
              <w:rStyle w:val="Textedelespacerserv"/>
            </w:rPr>
          </w:sdtEndPr>
          <w:sdtContent>
            <w:tc>
              <w:tcPr>
                <w:tcW w:w="5595" w:type="dxa"/>
                <w:shd w:val="clear" w:color="auto" w:fill="auto"/>
              </w:tcPr>
              <w:p w14:paraId="7A68491E" w14:textId="59ACA410" w:rsidR="00C2682A" w:rsidRPr="00AB6D88" w:rsidRDefault="00A07AF3" w:rsidP="00FA5524">
                <w:pPr>
                  <w:rPr>
                    <w:rStyle w:val="Textedelespacerserv"/>
                    <w:rFonts w:cs="Arial"/>
                  </w:rPr>
                </w:pPr>
                <w:r>
                  <w:rPr>
                    <w:rStyle w:val="Textedelespacerserv"/>
                    <w:rFonts w:cs="Arial"/>
                  </w:rPr>
                  <w:t>WSBI</w:t>
                </w:r>
                <w:r w:rsidR="00E9235A">
                  <w:rPr>
                    <w:rStyle w:val="Textedelespacerserv"/>
                    <w:rFonts w:cs="Arial"/>
                  </w:rPr>
                  <w:t xml:space="preserve"> - </w:t>
                </w:r>
                <w:r>
                  <w:rPr>
                    <w:rStyle w:val="Textedelespacerserv"/>
                    <w:rFonts w:cs="Arial"/>
                  </w:rPr>
                  <w:t>ESBG</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2B56FA4" w:rsidR="00C2682A" w:rsidRPr="00AB6D88" w:rsidRDefault="00102A3C"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4017D">
                  <w:rPr>
                    <w:rFonts w:cs="Arial"/>
                  </w:rPr>
                  <w:t>Banking sector</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600D2C8E" w:rsidR="00C2682A" w:rsidRPr="00AB6D88" w:rsidRDefault="00A07AF3"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6151E4FF" w:rsidR="00C2682A" w:rsidRPr="00AB6D88" w:rsidRDefault="00A07AF3" w:rsidP="00FA5524">
                <w:pPr>
                  <w:rPr>
                    <w:rFonts w:cs="Arial"/>
                  </w:rPr>
                </w:pPr>
                <w:r>
                  <w:rPr>
                    <w:rFonts w:cs="Arial"/>
                  </w:rPr>
                  <w:t>Belgium</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itre1"/>
        <w:numPr>
          <w:ilvl w:val="0"/>
          <w:numId w:val="0"/>
        </w:numPr>
        <w:ind w:left="431" w:hanging="431"/>
      </w:pPr>
      <w:r>
        <w:t>Introduction</w:t>
      </w:r>
    </w:p>
    <w:p w14:paraId="0A354328" w14:textId="77777777" w:rsidR="00F87897" w:rsidRPr="001D47A5" w:rsidRDefault="00F87897" w:rsidP="00F87897">
      <w:pPr>
        <w:rPr>
          <w:rStyle w:val="Accentuationintense"/>
        </w:rPr>
      </w:pPr>
      <w:r w:rsidRPr="001D47A5">
        <w:rPr>
          <w:rStyle w:val="Accentuationintense"/>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1B85DBAB" w14:textId="77777777" w:rsidR="005D102C" w:rsidRDefault="005D102C" w:rsidP="005D102C">
      <w:pPr>
        <w:spacing w:after="160" w:line="259" w:lineRule="auto"/>
      </w:pPr>
      <w:permStart w:id="1100430741" w:edGrp="everyone"/>
      <w:r>
        <w:rPr>
          <w:rFonts w:ascii="Calibri" w:eastAsia="Calibri" w:hAnsi="Calibri"/>
          <w:sz w:val="22"/>
          <w:szCs w:val="22"/>
          <w:lang w:eastAsia="en-US"/>
        </w:rPr>
        <w:t xml:space="preserve"> </w:t>
      </w:r>
      <w:r w:rsidRPr="00B66B19">
        <w:rPr>
          <w:rFonts w:eastAsia="Calibri"/>
          <w:lang w:eastAsia="en-US"/>
        </w:rPr>
        <w:t>The European Savings and Retail Banking Group (ESBG)</w:t>
      </w:r>
      <w:r>
        <w:rPr>
          <w:rFonts w:eastAsia="Calibri"/>
          <w:sz w:val="22"/>
          <w:szCs w:val="22"/>
          <w:lang w:eastAsia="en-US"/>
        </w:rPr>
        <w:t xml:space="preserve"> </w:t>
      </w:r>
      <w:r>
        <w:t>represents the locally focused European banking sector, helping savings and retail banks in European countries strengthen their unique approach that focuses on providing service to local communities and boosting SMEs.</w:t>
      </w:r>
    </w:p>
    <w:p w14:paraId="7948E1C5" w14:textId="77777777" w:rsidR="005D102C" w:rsidRDefault="005D102C" w:rsidP="005D102C">
      <w:pPr>
        <w:spacing w:after="160" w:line="259" w:lineRule="auto"/>
      </w:pPr>
      <w:r>
        <w:t>ESBG members have total assets of €6,38 trillion, provide 313 billion euros in loans to SMEs and serve 163 million Europeans seeking retail banking services. ESBG unites at EU level some 871 savings and retails banks, which together employ 610.000 people driven to innovate at more than 41.000 branches.</w:t>
      </w:r>
    </w:p>
    <w:p w14:paraId="7C0A3AAC" w14:textId="77777777" w:rsidR="005D102C" w:rsidRDefault="005D102C" w:rsidP="005D102C">
      <w:pPr>
        <w:spacing w:after="160" w:line="259" w:lineRule="auto"/>
      </w:pPr>
      <w:r>
        <w:t xml:space="preserve">With roots in 1924, WSBI-ESBG members enjoy a long history of socially responsible banking around the world. Although organizational structures vary from country to country, they each share certain values in their business models, embedded within the </w:t>
      </w:r>
      <w:r w:rsidRPr="00B66B19">
        <w:rPr>
          <w:b/>
          <w:bCs/>
        </w:rPr>
        <w:t>three “</w:t>
      </w:r>
      <w:proofErr w:type="gramStart"/>
      <w:r w:rsidRPr="00B66B19">
        <w:rPr>
          <w:b/>
          <w:bCs/>
        </w:rPr>
        <w:t>R”</w:t>
      </w:r>
      <w:proofErr w:type="spellStart"/>
      <w:r w:rsidRPr="00B66B19">
        <w:rPr>
          <w:b/>
          <w:bCs/>
        </w:rPr>
        <w:t>s</w:t>
      </w:r>
      <w:proofErr w:type="spellEnd"/>
      <w:proofErr w:type="gramEnd"/>
      <w:r>
        <w:t>:</w:t>
      </w:r>
    </w:p>
    <w:p w14:paraId="2F79DF48" w14:textId="3609C37A" w:rsidR="005D102C" w:rsidRPr="00B66B19" w:rsidRDefault="005D102C" w:rsidP="005D102C">
      <w:pPr>
        <w:pStyle w:val="Paragraphedeliste"/>
        <w:numPr>
          <w:ilvl w:val="0"/>
          <w:numId w:val="41"/>
        </w:numPr>
        <w:spacing w:after="160" w:line="259" w:lineRule="auto"/>
        <w:jc w:val="both"/>
        <w:rPr>
          <w:rFonts w:eastAsia="Calibri"/>
          <w:lang w:eastAsia="en-US"/>
        </w:rPr>
      </w:pPr>
      <w:r w:rsidRPr="00860584">
        <w:rPr>
          <w:rFonts w:eastAsia="Calibri"/>
          <w:b/>
          <w:bCs/>
          <w:lang w:eastAsia="en-US"/>
        </w:rPr>
        <w:t>Retail</w:t>
      </w:r>
      <w:r>
        <w:rPr>
          <w:rFonts w:eastAsia="Calibri"/>
          <w:lang w:eastAsia="en-US"/>
        </w:rPr>
        <w:t xml:space="preserve">: ESBG members are </w:t>
      </w:r>
      <w:r>
        <w:t xml:space="preserve">actively providing financial services for people – individual consumers and their households – as well as for MSMEs and local authorities and </w:t>
      </w:r>
      <w:r w:rsidR="00144F58">
        <w:t>financing</w:t>
      </w:r>
      <w:r>
        <w:t xml:space="preserve"> the real economy.</w:t>
      </w:r>
    </w:p>
    <w:p w14:paraId="71779E4D" w14:textId="77777777" w:rsidR="005D102C" w:rsidRPr="00B66B19" w:rsidRDefault="005D102C" w:rsidP="005D102C">
      <w:pPr>
        <w:pStyle w:val="Paragraphedeliste"/>
        <w:numPr>
          <w:ilvl w:val="0"/>
          <w:numId w:val="41"/>
        </w:numPr>
        <w:spacing w:after="160" w:line="259" w:lineRule="auto"/>
        <w:jc w:val="both"/>
        <w:rPr>
          <w:rFonts w:eastAsia="Calibri"/>
          <w:lang w:eastAsia="en-US"/>
        </w:rPr>
      </w:pPr>
      <w:r w:rsidRPr="00860584">
        <w:rPr>
          <w:rFonts w:eastAsia="Calibri"/>
          <w:b/>
          <w:bCs/>
          <w:lang w:eastAsia="en-US"/>
        </w:rPr>
        <w:t>Regional</w:t>
      </w:r>
      <w:r>
        <w:rPr>
          <w:rFonts w:eastAsia="Calibri"/>
          <w:lang w:eastAsia="en-US"/>
        </w:rPr>
        <w:t xml:space="preserve">: ESBG members </w:t>
      </w:r>
      <w:r>
        <w:t>deploy broad distribution networks rooted within the communities they serve, including local and regional outreach in both urban and rural areas. Savings mobilized locally support the local economy.</w:t>
      </w:r>
    </w:p>
    <w:p w14:paraId="1500E550" w14:textId="26459286" w:rsidR="005D102C" w:rsidRPr="00B66B19" w:rsidRDefault="005D102C" w:rsidP="005D102C">
      <w:pPr>
        <w:pStyle w:val="Paragraphedeliste"/>
        <w:numPr>
          <w:ilvl w:val="0"/>
          <w:numId w:val="41"/>
        </w:numPr>
        <w:spacing w:after="160" w:line="259" w:lineRule="auto"/>
        <w:jc w:val="both"/>
        <w:rPr>
          <w:rFonts w:eastAsia="Calibri"/>
          <w:lang w:eastAsia="en-US"/>
        </w:rPr>
      </w:pPr>
      <w:r w:rsidRPr="00860584">
        <w:rPr>
          <w:rFonts w:eastAsia="Calibri"/>
          <w:b/>
          <w:bCs/>
          <w:lang w:eastAsia="en-US"/>
        </w:rPr>
        <w:t>Responsible</w:t>
      </w:r>
      <w:r>
        <w:rPr>
          <w:rFonts w:eastAsia="Calibri"/>
          <w:lang w:eastAsia="en-US"/>
        </w:rPr>
        <w:t xml:space="preserve">: </w:t>
      </w:r>
      <w:r>
        <w:t xml:space="preserve">Social responsibility is a core value of our members, towards their clients, employees, </w:t>
      </w:r>
      <w:proofErr w:type="gramStart"/>
      <w:r>
        <w:t>communities</w:t>
      </w:r>
      <w:proofErr w:type="gramEnd"/>
      <w:r>
        <w:t xml:space="preserve"> and the environment. Unlike Wall Street players, </w:t>
      </w:r>
      <w:r w:rsidR="00144F58">
        <w:t>ESBG</w:t>
      </w:r>
      <w:r>
        <w:t xml:space="preserve"> members are Main Street players.</w:t>
      </w:r>
    </w:p>
    <w:p w14:paraId="08C6541E" w14:textId="5E69F2EC" w:rsidR="00B92885" w:rsidRPr="00B92885" w:rsidRDefault="00B92885" w:rsidP="00B92885">
      <w:pPr>
        <w:spacing w:after="160" w:line="259" w:lineRule="auto"/>
        <w:rPr>
          <w:rFonts w:ascii="Calibri" w:eastAsia="Calibri" w:hAnsi="Calibri"/>
          <w:sz w:val="22"/>
          <w:szCs w:val="22"/>
          <w:lang w:eastAsia="en-US"/>
        </w:rPr>
      </w:pP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2023F446" w14:textId="27E429CB" w:rsidR="003F1E18" w:rsidRPr="00860031" w:rsidRDefault="003F1E18" w:rsidP="003F1E18">
      <w:pPr>
        <w:jc w:val="both"/>
      </w:pPr>
      <w:permStart w:id="1596738700" w:edGrp="everyone"/>
      <w:r>
        <w:t xml:space="preserve"> </w:t>
      </w:r>
      <w:proofErr w:type="gramStart"/>
      <w:r>
        <w:t>First of all</w:t>
      </w:r>
      <w:proofErr w:type="gramEnd"/>
      <w:r>
        <w:t xml:space="preserve">, ESBG welcomes ESMA’s objective to tackle greenwashing and would like to recall that its </w:t>
      </w:r>
      <w:r w:rsidRPr="00D73FD7">
        <w:t>members are intensively dedicated to the traceability, transparency and credibility of the sustainability features they have to consider in investment advice and financial portfolio management.</w:t>
      </w:r>
      <w:r>
        <w:t xml:space="preserve"> Regarding the possibility to introduce thresholds, ESBG </w:t>
      </w:r>
      <w:r w:rsidRPr="00D73FD7">
        <w:t>believe</w:t>
      </w:r>
      <w:r>
        <w:t>s</w:t>
      </w:r>
      <w:r w:rsidRPr="00D73FD7">
        <w:t xml:space="preserve"> it is important to </w:t>
      </w:r>
      <w:r>
        <w:t xml:space="preserve">make sure that a harmonized methodology regarding </w:t>
      </w:r>
      <w:r w:rsidRPr="00D73FD7">
        <w:t>the meaning of “ESG”</w:t>
      </w:r>
      <w:r>
        <w:t xml:space="preserve"> and</w:t>
      </w:r>
      <w:r w:rsidRPr="00D73FD7">
        <w:t xml:space="preserve"> “sustainability” in the names of funds</w:t>
      </w:r>
      <w:r>
        <w:t xml:space="preserve"> is implemented</w:t>
      </w:r>
      <w:r w:rsidRPr="00D73FD7">
        <w:t xml:space="preserve"> </w:t>
      </w:r>
      <w:r>
        <w:t>so that funds’</w:t>
      </w:r>
      <w:r w:rsidRPr="00D73FD7">
        <w:t xml:space="preserve"> investments</w:t>
      </w:r>
      <w:r>
        <w:t xml:space="preserve"> are </w:t>
      </w:r>
      <w:r w:rsidRPr="00D73FD7">
        <w:t>aligned with the features they claim.</w:t>
      </w:r>
      <w:r>
        <w:t xml:space="preserve"> </w:t>
      </w:r>
      <w:r w:rsidRPr="00E2086B">
        <w:rPr>
          <w:rFonts w:cs="Segoe UI Light"/>
          <w:lang w:val="en-US"/>
        </w:rPr>
        <w:t>In</w:t>
      </w:r>
      <w:r>
        <w:rPr>
          <w:rFonts w:cs="Segoe UI Light"/>
          <w:lang w:val="en-US"/>
        </w:rPr>
        <w:t xml:space="preserve"> this regard, in</w:t>
      </w:r>
      <w:r w:rsidRPr="00E2086B">
        <w:rPr>
          <w:rFonts w:cs="Segoe UI Light"/>
          <w:lang w:val="en-US"/>
        </w:rPr>
        <w:t xml:space="preserve"> September 2022, </w:t>
      </w:r>
      <w:r>
        <w:rPr>
          <w:rFonts w:cs="Segoe UI Light"/>
          <w:lang w:val="en-US"/>
        </w:rPr>
        <w:t xml:space="preserve">the </w:t>
      </w:r>
      <w:r w:rsidRPr="00E2086B">
        <w:rPr>
          <w:rFonts w:cs="Segoe UI Light"/>
          <w:lang w:val="en-US"/>
        </w:rPr>
        <w:t xml:space="preserve">European Supervisory Authorities (ESAs) published a </w:t>
      </w:r>
      <w:hyperlink r:id="rId18" w:history="1">
        <w:r w:rsidRPr="00E2086B">
          <w:rPr>
            <w:rStyle w:val="Lienhypertexte"/>
            <w:rFonts w:cs="Segoe UI Light"/>
            <w:lang w:val="en-US"/>
          </w:rPr>
          <w:t>list of queries</w:t>
        </w:r>
      </w:hyperlink>
      <w:r w:rsidRPr="00E2086B">
        <w:rPr>
          <w:rFonts w:cs="Segoe UI Light"/>
          <w:lang w:val="en-US"/>
        </w:rPr>
        <w:t xml:space="preserve"> relating to the interpretation of Union law with reference to Regulation (EU) 2019/2088 (the Sustainable Finance Disclosure Regulation “SFDR”) they had submitted to the European Commission, including relevant questions about Article 8 and Article 9 of the SFDR.</w:t>
      </w:r>
      <w:r w:rsidRPr="00E2086B">
        <w:rPr>
          <w:rFonts w:ascii="Gotham Office" w:hAnsi="Gotham Office" w:cs="Segoe UI Light"/>
          <w:lang w:val="en-US"/>
        </w:rPr>
        <w:t xml:space="preserve"> </w:t>
      </w:r>
    </w:p>
    <w:p w14:paraId="1E5EDB34" w14:textId="77777777" w:rsidR="003F1E18" w:rsidRDefault="003F1E18" w:rsidP="003F1E18">
      <w:pPr>
        <w:rPr>
          <w:rFonts w:cs="Segoe UI Light"/>
          <w:lang w:val="en-US"/>
        </w:rPr>
      </w:pPr>
    </w:p>
    <w:p w14:paraId="380C0F17" w14:textId="77777777" w:rsidR="003F1E18" w:rsidRDefault="003F1E18" w:rsidP="003F1E18">
      <w:pPr>
        <w:jc w:val="both"/>
      </w:pPr>
      <w:r>
        <w:t>Indeed, a</w:t>
      </w:r>
      <w:r w:rsidRPr="00D73FD7">
        <w:t xml:space="preserve">s a prerequisite, </w:t>
      </w:r>
      <w:r w:rsidRPr="00B46B64">
        <w:rPr>
          <w:b/>
          <w:bCs/>
        </w:rPr>
        <w:t>there must be a clear and scientifically comprehensible uniform legal definition of “sustainability” to be able to present sustainability features in investment products</w:t>
      </w:r>
      <w:r w:rsidRPr="00D73FD7">
        <w:t>. This harmonization would benefit not only the financial sector but also customers and supervisors</w:t>
      </w:r>
      <w:r>
        <w:t>. Whether establishing a clear distinction between the notions of “ESG” and “sustainability-related terms” within funds’ names would provide more clarity for customers remains to be seen though. As for us, we believe that the distinction between “ESG” and “sustainability” is not clear, especially since some terms could fall into both categories (</w:t>
      </w:r>
      <w:proofErr w:type="gramStart"/>
      <w:r>
        <w:t>e.g.</w:t>
      </w:r>
      <w:proofErr w:type="gramEnd"/>
      <w:r>
        <w:t xml:space="preserve"> “climate”). </w:t>
      </w:r>
      <w:r w:rsidRPr="00693E6B">
        <w:t xml:space="preserve"> EU</w:t>
      </w:r>
      <w:r>
        <w:t xml:space="preserve"> sustainability-related</w:t>
      </w:r>
      <w:r w:rsidRPr="00693E6B">
        <w:t xml:space="preserve"> initiatives, first and foremost the SFDR and the EU Taxonomy Regulation, </w:t>
      </w:r>
      <w:r>
        <w:t xml:space="preserve">are already </w:t>
      </w:r>
      <w:r w:rsidRPr="00693E6B">
        <w:t>aim</w:t>
      </w:r>
      <w:r>
        <w:t>ing</w:t>
      </w:r>
      <w:r w:rsidRPr="00693E6B">
        <w:t xml:space="preserve"> </w:t>
      </w:r>
      <w:r>
        <w:t>at</w:t>
      </w:r>
      <w:r w:rsidRPr="00693E6B">
        <w:t xml:space="preserve"> creat</w:t>
      </w:r>
      <w:r>
        <w:t>ing</w:t>
      </w:r>
      <w:r w:rsidRPr="00693E6B">
        <w:t xml:space="preserve"> a harmonised cross-border framework for offering sustainable </w:t>
      </w:r>
      <w:r>
        <w:t>products</w:t>
      </w:r>
      <w:r w:rsidRPr="00693E6B">
        <w:t xml:space="preserve"> in the EU</w:t>
      </w:r>
      <w:r>
        <w:t>. T</w:t>
      </w:r>
      <w:r w:rsidRPr="00693E6B">
        <w:t xml:space="preserve">he definition of sustainability preferences under MiFID II and IDD harmonises the understanding in </w:t>
      </w:r>
      <w:r>
        <w:t>distribution</w:t>
      </w:r>
      <w:r w:rsidRPr="00693E6B">
        <w:t xml:space="preserve">. </w:t>
      </w:r>
      <w:r>
        <w:t xml:space="preserve">Therefore, ESBG assesses that an additional </w:t>
      </w:r>
      <w:r w:rsidRPr="00693E6B">
        <w:t xml:space="preserve">regime </w:t>
      </w:r>
      <w:r>
        <w:t xml:space="preserve">with thresholds </w:t>
      </w:r>
      <w:r w:rsidRPr="00693E6B">
        <w:t xml:space="preserve">only for the fund market </w:t>
      </w:r>
      <w:r>
        <w:t xml:space="preserve">may </w:t>
      </w:r>
      <w:r w:rsidRPr="00693E6B">
        <w:t>create</w:t>
      </w:r>
      <w:r>
        <w:t xml:space="preserve"> eventually</w:t>
      </w:r>
      <w:r w:rsidRPr="00693E6B">
        <w:t xml:space="preserve"> confusion for product providers, </w:t>
      </w:r>
      <w:proofErr w:type="gramStart"/>
      <w:r w:rsidRPr="00693E6B">
        <w:t>distributors</w:t>
      </w:r>
      <w:proofErr w:type="gramEnd"/>
      <w:r w:rsidRPr="00693E6B">
        <w:t xml:space="preserve"> and investors.</w:t>
      </w:r>
      <w:r>
        <w:t xml:space="preserve"> Not to mention that </w:t>
      </w:r>
      <w:r w:rsidRPr="003412A1">
        <w:t>some countries have already started to regulate the use of ESG terms in funds’ names. For instance, the French AMF</w:t>
      </w:r>
      <w:r>
        <w:t xml:space="preserve"> (</w:t>
      </w:r>
      <w:proofErr w:type="spellStart"/>
      <w:r>
        <w:t>Autorité</w:t>
      </w:r>
      <w:proofErr w:type="spellEnd"/>
      <w:r>
        <w:t xml:space="preserve"> des </w:t>
      </w:r>
      <w:proofErr w:type="spellStart"/>
      <w:r>
        <w:t>Marchés</w:t>
      </w:r>
      <w:proofErr w:type="spellEnd"/>
      <w:r>
        <w:t xml:space="preserve"> Financiers)</w:t>
      </w:r>
      <w:r w:rsidRPr="003412A1">
        <w:t xml:space="preserve"> introduced </w:t>
      </w:r>
      <w:proofErr w:type="gramStart"/>
      <w:r w:rsidRPr="003412A1">
        <w:t>some kind of a</w:t>
      </w:r>
      <w:proofErr w:type="gramEnd"/>
      <w:r w:rsidRPr="003412A1">
        <w:t xml:space="preserve"> naming rule in its 2020/03 recommendation.  </w:t>
      </w:r>
    </w:p>
    <w:p w14:paraId="41ABBDD9" w14:textId="77777777" w:rsidR="003F1E18" w:rsidRDefault="003F1E18" w:rsidP="003F1E18"/>
    <w:p w14:paraId="749EF529" w14:textId="77777777" w:rsidR="003F1E18" w:rsidRDefault="003F1E18" w:rsidP="003F1E18">
      <w:pPr>
        <w:jc w:val="both"/>
      </w:pPr>
      <w:r>
        <w:t xml:space="preserve">Therefore, </w:t>
      </w:r>
      <w:r w:rsidRPr="00551ED7">
        <w:rPr>
          <w:b/>
          <w:bCs/>
        </w:rPr>
        <w:t xml:space="preserve">ESBG does not believe </w:t>
      </w:r>
      <w:r>
        <w:rPr>
          <w:b/>
          <w:bCs/>
        </w:rPr>
        <w:t xml:space="preserve">that </w:t>
      </w:r>
      <w:r w:rsidRPr="00551ED7">
        <w:rPr>
          <w:b/>
          <w:bCs/>
        </w:rPr>
        <w:t>there is a need to introduce quantitative thresholds to assess funds’ names</w:t>
      </w:r>
      <w:r>
        <w:t xml:space="preserve">. Indeed, </w:t>
      </w:r>
      <w:r w:rsidRPr="00E2086B">
        <w:t xml:space="preserve">ESBG believes it is too early to set thresholds until a </w:t>
      </w:r>
      <w:r>
        <w:t>harmonized methodology</w:t>
      </w:r>
      <w:r w:rsidRPr="00E2086B">
        <w:t xml:space="preserve"> </w:t>
      </w:r>
      <w:r>
        <w:t xml:space="preserve">for </w:t>
      </w:r>
      <w:r w:rsidRPr="00E2086B">
        <w:t>“</w:t>
      </w:r>
      <w:r w:rsidRPr="00F76701">
        <w:t>sustainab</w:t>
      </w:r>
      <w:r>
        <w:t>le investments</w:t>
      </w:r>
      <w:r w:rsidRPr="00F76701">
        <w:t>” is</w:t>
      </w:r>
      <w:r w:rsidRPr="00E2086B">
        <w:t xml:space="preserve"> provided</w:t>
      </w:r>
      <w:r>
        <w:t>. In this regard, instead of implementing a naming rule that would end up defining what an ESG or sustainable product is, ESBG would rather prefer defining clearly what an ESG or sustainable product should be with a clear and unified methodology in the first place.</w:t>
      </w:r>
    </w:p>
    <w:p w14:paraId="1130231A" w14:textId="77777777" w:rsidR="003F1E18" w:rsidRDefault="003F1E18" w:rsidP="003F1E18">
      <w:r>
        <w:t xml:space="preserve"> </w:t>
      </w:r>
    </w:p>
    <w:p w14:paraId="7EBF6400" w14:textId="77777777" w:rsidR="003F1E18" w:rsidRDefault="003F1E18" w:rsidP="003F1E18">
      <w:pPr>
        <w:jc w:val="both"/>
      </w:pPr>
      <w:r>
        <w:t>Moreover, f</w:t>
      </w:r>
      <w:r w:rsidRPr="00E71511">
        <w:t xml:space="preserve">rom a distribution point of view, </w:t>
      </w:r>
      <w:r>
        <w:t xml:space="preserve">the respective quantitative minimum thresholds might conflict with the MiFID II regulations applicable for advising clients who have sustainability preferences. According to Art. 2 (7) lit. a) and b) MiFID II Regulation, the decision on the minimum proportion on environmentally Taxonomy-aligned investments or sustainable investments is reserved for the client. Accordingly, products with lower thresholds than the proposed one of 50% sustainable investments can also meet the sustainability preferences of clients and qualify as (environmentally) sustainable within the meaning of the MiFID II target market if they fulfil the characteristics listed in Art. 2 (7) lit. a) or b) of the MiFID II Regulation and meet the client's expectations. However, these funds would not qualify as sustainable or ESG in their names within the meaning of the guidelines if the thresholds are lower than 50% sustainable investments. If the new guidelines require that the term "sustainable" may only be included in the product name with a minimum share of 50%+, this could be irritating for the client and - at least from his point of view - would not match the MiFID II-queries.  </w:t>
      </w:r>
    </w:p>
    <w:p w14:paraId="0F6C3FC0" w14:textId="77777777" w:rsidR="003F1E18" w:rsidRDefault="003F1E18" w:rsidP="003F1E18"/>
    <w:p w14:paraId="043F3971" w14:textId="46D66405" w:rsidR="00B92885" w:rsidRDefault="003F1E18" w:rsidP="00341ED9">
      <w:pPr>
        <w:jc w:val="both"/>
      </w:pPr>
      <w:r w:rsidRPr="00B2703E">
        <w:t xml:space="preserve">Linking the </w:t>
      </w:r>
      <w:r>
        <w:t xml:space="preserve">naming </w:t>
      </w:r>
      <w:r w:rsidRPr="00B2703E">
        <w:t>of funds</w:t>
      </w:r>
      <w:r>
        <w:t xml:space="preserve"> </w:t>
      </w:r>
      <w:r w:rsidRPr="00B2703E">
        <w:t xml:space="preserve">to minimum thresholds </w:t>
      </w:r>
      <w:r>
        <w:t xml:space="preserve">also raises questions regarding products according to Art. 2 No. 7 lit. c) of the MiFID II Regulation. The </w:t>
      </w:r>
      <w:r w:rsidRPr="00B2703E">
        <w:t>reduction of PAIs under MiFID II is considered a</w:t>
      </w:r>
      <w:r>
        <w:t>s a</w:t>
      </w:r>
      <w:r w:rsidRPr="00B2703E">
        <w:t xml:space="preserve"> separate criterion of sustainability preferences and is not cumulatively required in products that have a certain minimum proportion of sustainable investments</w:t>
      </w:r>
      <w:r>
        <w:t xml:space="preserve"> or in promoting environmentally/social objectives</w:t>
      </w:r>
      <w:r w:rsidRPr="00B2703E">
        <w:t>.</w:t>
      </w:r>
      <w:r>
        <w:t xml:space="preserve"> From the investor's point of view, however, the case where a product will be distributed as “sustainable” according to MiFID II but will not be named “ESG” or “sustainable” according to the suggested guidelines would make no sense. Again, </w:t>
      </w:r>
      <w:r>
        <w:rPr>
          <w:b/>
          <w:bCs/>
        </w:rPr>
        <w:t>t</w:t>
      </w:r>
      <w:r w:rsidRPr="00160DC3">
        <w:rPr>
          <w:b/>
          <w:bCs/>
        </w:rPr>
        <w:t xml:space="preserve">he elaboration of a consistent framework should </w:t>
      </w:r>
      <w:proofErr w:type="gramStart"/>
      <w:r w:rsidRPr="00160DC3">
        <w:rPr>
          <w:b/>
          <w:bCs/>
        </w:rPr>
        <w:t>definitely be</w:t>
      </w:r>
      <w:proofErr w:type="gramEnd"/>
      <w:r w:rsidRPr="00160DC3">
        <w:rPr>
          <w:b/>
          <w:bCs/>
        </w:rPr>
        <w:t xml:space="preserve"> implemented here</w:t>
      </w:r>
      <w:r>
        <w:t>. Otherwise, there is a risk of (more) confusion and discontent among clients as well as complexity in advice that would be no longer manageable.</w:t>
      </w:r>
    </w:p>
    <w:permEnd w:id="1596738700"/>
    <w:p w14:paraId="088B5A4D" w14:textId="77777777" w:rsidR="00B92885" w:rsidRDefault="00B92885" w:rsidP="00B92885">
      <w:r>
        <w:lastRenderedPageBreak/>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504AC66B" w14:textId="0D10B89D" w:rsidR="003F1E18" w:rsidRDefault="003F1E18" w:rsidP="003F1E18">
      <w:pPr>
        <w:jc w:val="both"/>
      </w:pPr>
      <w:permStart w:id="1305634831" w:edGrp="everyone"/>
      <w:r>
        <w:t xml:space="preserve"> </w:t>
      </w:r>
      <w:r>
        <w:t xml:space="preserve">ESBG believes that the proposed threshold of 80% for investments with sustainable and social objectives has a major </w:t>
      </w:r>
      <w:r w:rsidRPr="00E65088">
        <w:rPr>
          <w:b/>
          <w:bCs/>
        </w:rPr>
        <w:t>shortcoming</w:t>
      </w:r>
      <w:r>
        <w:t xml:space="preserve">. </w:t>
      </w:r>
      <w:r w:rsidRPr="00CF43C5">
        <w:rPr>
          <w:b/>
          <w:bCs/>
        </w:rPr>
        <w:t>ESBG finds the suggested threshold too high</w:t>
      </w:r>
      <w:r>
        <w:t xml:space="preserve">. ESBG would be grateful if ESMA could detail </w:t>
      </w:r>
      <w:r w:rsidRPr="000B5509">
        <w:t>on which basis or assumptions the amount of th</w:t>
      </w:r>
      <w:r>
        <w:t>is</w:t>
      </w:r>
      <w:r w:rsidRPr="000B5509">
        <w:t xml:space="preserve"> </w:t>
      </w:r>
      <w:r>
        <w:t xml:space="preserve">threshold </w:t>
      </w:r>
      <w:r w:rsidRPr="000B5509">
        <w:t>was calculated</w:t>
      </w:r>
      <w:r>
        <w:t xml:space="preserve">. In this regard, ESBG would like to mention </w:t>
      </w:r>
      <w:r w:rsidRPr="00F47F96">
        <w:t xml:space="preserve">that </w:t>
      </w:r>
      <w:r>
        <w:t xml:space="preserve">some National Authorities like </w:t>
      </w:r>
      <w:r w:rsidRPr="00F47F96">
        <w:t>the BaFin</w:t>
      </w:r>
      <w:r>
        <w:t xml:space="preserve"> in Germany (</w:t>
      </w:r>
      <w:r w:rsidRPr="00F47F96">
        <w:t>fund category directive</w:t>
      </w:r>
      <w:r>
        <w:t xml:space="preserve">) and </w:t>
      </w:r>
      <w:r w:rsidRPr="00F47F96">
        <w:t xml:space="preserve">like the CSSF </w:t>
      </w:r>
      <w:r>
        <w:t>for</w:t>
      </w:r>
      <w:r w:rsidRPr="00F47F96">
        <w:t xml:space="preserve"> Luxembourg</w:t>
      </w:r>
      <w:r>
        <w:t>ish</w:t>
      </w:r>
      <w:r w:rsidRPr="00F47F96">
        <w:t xml:space="preserve"> funds </w:t>
      </w:r>
      <w:r>
        <w:t xml:space="preserve">are currently </w:t>
      </w:r>
      <w:r w:rsidRPr="00F47F96">
        <w:t>set</w:t>
      </w:r>
      <w:r>
        <w:t>ting</w:t>
      </w:r>
      <w:r w:rsidRPr="00F47F96">
        <w:t xml:space="preserve"> a minimum threshold </w:t>
      </w:r>
      <w:r>
        <w:t>of</w:t>
      </w:r>
      <w:r w:rsidRPr="00F47F96">
        <w:t xml:space="preserve"> 50% for various fund names, </w:t>
      </w:r>
      <w:proofErr w:type="gramStart"/>
      <w:r w:rsidRPr="00F47F96">
        <w:t>e.g.</w:t>
      </w:r>
      <w:proofErr w:type="gramEnd"/>
      <w:r w:rsidRPr="00F47F96">
        <w:t xml:space="preserve"> a fund designated as an equity fund must be more than 50% invested in equities. These requirements serve to avoid misleading investors. </w:t>
      </w:r>
      <w:r>
        <w:t>The gap between the threshold suggested by ESMA and these ones is</w:t>
      </w:r>
      <w:r w:rsidR="00CF4C69">
        <w:t xml:space="preserve"> a bit</w:t>
      </w:r>
      <w:r>
        <w:t xml:space="preserve"> surprising.</w:t>
      </w:r>
    </w:p>
    <w:p w14:paraId="5FAAD534" w14:textId="77777777" w:rsidR="003F1E18" w:rsidRDefault="003F1E18" w:rsidP="003F1E18"/>
    <w:p w14:paraId="7BED3590" w14:textId="5BCF418C" w:rsidR="00B92885" w:rsidRDefault="003F1E18" w:rsidP="003F1E18">
      <w:pPr>
        <w:jc w:val="both"/>
      </w:pPr>
      <w:r>
        <w:t>T</w:t>
      </w:r>
      <w:r w:rsidRPr="00E51244">
        <w:t>h</w:t>
      </w:r>
      <w:r>
        <w:t xml:space="preserve">e </w:t>
      </w:r>
      <w:r w:rsidRPr="00E51244">
        <w:t xml:space="preserve">proposal </w:t>
      </w:r>
      <w:r>
        <w:t xml:space="preserve">especially </w:t>
      </w:r>
      <w:r w:rsidRPr="00E51244">
        <w:t>raises questions for funds with relatively high liquidity ratios</w:t>
      </w:r>
      <w:r>
        <w:t>.</w:t>
      </w:r>
      <w:r w:rsidRPr="00E51244">
        <w:t xml:space="preserve"> </w:t>
      </w:r>
      <w:r>
        <w:t xml:space="preserve">In volatile market phases, funds need to be able to build up liquidity reserves and redeploy investments to minimise losses for investors. Open-ended real estate funds often </w:t>
      </w:r>
      <w:proofErr w:type="gramStart"/>
      <w:r>
        <w:t>have to</w:t>
      </w:r>
      <w:proofErr w:type="gramEnd"/>
      <w:r>
        <w:t xml:space="preserve"> work with high liquidity ratios in order to be able to process large-volume real estate transactions or meet pending redemption requests. The requirement to permanently ensure 80% on an ongoing basis would radically reduce the scope for efficient portfolio management.</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2E39D4B7" w14:textId="77777777" w:rsidR="00D1125D" w:rsidRPr="0092052A" w:rsidRDefault="00D1125D" w:rsidP="00D1125D">
      <w:pPr>
        <w:pStyle w:val="Sansinterligne"/>
        <w:rPr>
          <w:rFonts w:ascii="Arial" w:hAnsi="Arial" w:cs="Arial"/>
        </w:rPr>
      </w:pPr>
      <w:permStart w:id="347949177" w:edGrp="everyone"/>
      <w:r>
        <w:t xml:space="preserve"> </w:t>
      </w:r>
      <w:r w:rsidRPr="0092052A">
        <w:rPr>
          <w:rFonts w:ascii="Arial" w:hAnsi="Arial" w:cs="Arial"/>
        </w:rPr>
        <w:t xml:space="preserve">ESBG </w:t>
      </w:r>
      <w:r w:rsidRPr="0092052A">
        <w:rPr>
          <w:rFonts w:ascii="Arial" w:hAnsi="Arial" w:cs="Arial"/>
          <w:b/>
          <w:bCs/>
        </w:rPr>
        <w:t>is not in favour of the inclusion of an additional threshold of at least 50% of minimum proportion of sustainable investments for now</w:t>
      </w:r>
      <w:r w:rsidRPr="0092052A">
        <w:rPr>
          <w:rFonts w:ascii="Arial" w:hAnsi="Arial" w:cs="Arial"/>
        </w:rPr>
        <w:t>. An important fact is that the definition of “sustainable investments” currently poses great challenges for asset managers. For an investment to be considered sustainable within the meaning of the SFDR, it must fulfil three conditions:</w:t>
      </w:r>
    </w:p>
    <w:p w14:paraId="7BA2437F" w14:textId="77777777" w:rsidR="00D1125D" w:rsidRPr="0092052A" w:rsidRDefault="00D1125D" w:rsidP="00D1125D">
      <w:pPr>
        <w:pStyle w:val="Sansinterligne"/>
        <w:numPr>
          <w:ilvl w:val="0"/>
          <w:numId w:val="42"/>
        </w:numPr>
        <w:rPr>
          <w:rFonts w:ascii="Arial" w:hAnsi="Arial" w:cs="Arial"/>
        </w:rPr>
      </w:pPr>
      <w:r w:rsidRPr="0092052A">
        <w:rPr>
          <w:rFonts w:ascii="Arial" w:hAnsi="Arial" w:cs="Arial"/>
        </w:rPr>
        <w:t>Firstly, the investment must be made in economic activities that make a positive contribution to the achievement of an environmental objective or a social objective.</w:t>
      </w:r>
    </w:p>
    <w:p w14:paraId="1B04693B" w14:textId="77777777" w:rsidR="00D1125D" w:rsidRPr="0092052A" w:rsidRDefault="00D1125D" w:rsidP="00D1125D">
      <w:pPr>
        <w:pStyle w:val="Sansinterligne"/>
        <w:numPr>
          <w:ilvl w:val="0"/>
          <w:numId w:val="42"/>
        </w:numPr>
        <w:rPr>
          <w:rFonts w:ascii="Arial" w:hAnsi="Arial" w:cs="Arial"/>
        </w:rPr>
      </w:pPr>
      <w:r w:rsidRPr="0092052A">
        <w:rPr>
          <w:rFonts w:ascii="Arial" w:hAnsi="Arial" w:cs="Arial"/>
        </w:rPr>
        <w:t>In addition, the investment must not significantly harm any of the sustainable investment objectives, and</w:t>
      </w:r>
    </w:p>
    <w:p w14:paraId="1345CD49" w14:textId="77777777" w:rsidR="00D1125D" w:rsidRPr="0092052A" w:rsidRDefault="00D1125D" w:rsidP="00D1125D">
      <w:pPr>
        <w:pStyle w:val="Sansinterligne"/>
        <w:numPr>
          <w:ilvl w:val="0"/>
          <w:numId w:val="42"/>
        </w:numPr>
        <w:rPr>
          <w:rFonts w:ascii="Arial" w:hAnsi="Arial" w:cs="Arial"/>
        </w:rPr>
      </w:pPr>
      <w:r w:rsidRPr="0092052A">
        <w:rPr>
          <w:rFonts w:ascii="Arial" w:hAnsi="Arial" w:cs="Arial"/>
        </w:rPr>
        <w:t>The companies in which the investment is made must apply good corporate governance practices.</w:t>
      </w:r>
    </w:p>
    <w:p w14:paraId="77E11C9E" w14:textId="77777777" w:rsidR="00D1125D" w:rsidRDefault="00D1125D" w:rsidP="00D1125D">
      <w:pPr>
        <w:jc w:val="both"/>
      </w:pPr>
      <w:r>
        <w:t xml:space="preserve">Moreover, there are currently no clear specifications on how the positive contribution is measured. </w:t>
      </w:r>
      <w:proofErr w:type="gramStart"/>
      <w:r>
        <w:t>In particular, it</w:t>
      </w:r>
      <w:proofErr w:type="gramEnd"/>
      <w:r>
        <w:t xml:space="preserve"> is unclear whether only the share of the company's turnover that flows into sustainable activities is taken into account when calculating the share of sustainable investments or whether the entire investment in a company may be counted. For instance, in the German market, crediting at activity level is common, which often results in significantly lower ratios of sustainable investments. Many of the leading companies in stock indices, when considered at activity level, only achieve low, single-digit percentages. Thus, with such stocks it will nearly be impossible to reach the proposed 50% as a minimum proportion at present. This would eventually lead to the fact that very broadly diversified equity products bearing the name suffix “sustainable” are unlikely to exist.</w:t>
      </w:r>
    </w:p>
    <w:p w14:paraId="1213D4F5" w14:textId="77777777" w:rsidR="00D1125D" w:rsidRDefault="00D1125D" w:rsidP="00D1125D"/>
    <w:p w14:paraId="1DDD82B6" w14:textId="77777777" w:rsidR="00D1125D" w:rsidRDefault="00D1125D" w:rsidP="00D1125D">
      <w:pPr>
        <w:jc w:val="both"/>
      </w:pPr>
      <w:r w:rsidRPr="00FB36DF">
        <w:t xml:space="preserve">As long as the standards for assessing the sustainability components mentioned in Art. 2 </w:t>
      </w:r>
      <w:r>
        <w:t>(</w:t>
      </w:r>
      <w:r w:rsidRPr="00FB36DF">
        <w:t>17</w:t>
      </w:r>
      <w:r>
        <w:t>)</w:t>
      </w:r>
      <w:r w:rsidRPr="00FB36DF">
        <w:t xml:space="preserve"> SFDR remain unclear, </w:t>
      </w:r>
      <w:r>
        <w:t xml:space="preserve">ESBG believes that ESMA should not </w:t>
      </w:r>
      <w:r w:rsidRPr="00FB36DF">
        <w:t>refer to the</w:t>
      </w:r>
      <w:r>
        <w:t xml:space="preserve"> definition of sustainable investments </w:t>
      </w:r>
      <w:r w:rsidRPr="00FB36DF">
        <w:t xml:space="preserve">when designing </w:t>
      </w:r>
      <w:r>
        <w:t>guidelines for fund names</w:t>
      </w:r>
      <w:r w:rsidRPr="00FB36DF">
        <w:t xml:space="preserve">. </w:t>
      </w:r>
      <w:r>
        <w:t xml:space="preserve">There should be </w:t>
      </w:r>
      <w:r w:rsidRPr="00FB36DF">
        <w:t xml:space="preserve">a comprehensible minimum standard that can be relied upon by </w:t>
      </w:r>
      <w:r>
        <w:t>clients. ESBG is</w:t>
      </w:r>
      <w:r w:rsidRPr="00441328">
        <w:t xml:space="preserve"> therefore in favour of first establishing a uniform calculation method </w:t>
      </w:r>
      <w:r>
        <w:t xml:space="preserve">for sustainable investments </w:t>
      </w:r>
      <w:r w:rsidRPr="00441328">
        <w:t>at European level</w:t>
      </w:r>
      <w:r>
        <w:t xml:space="preserve"> which ensures comparability</w:t>
      </w:r>
      <w:r w:rsidRPr="00441328">
        <w:t>. Subsequently</w:t>
      </w:r>
      <w:r>
        <w:t>, t</w:t>
      </w:r>
      <w:r w:rsidRPr="00441328">
        <w:t xml:space="preserve">he proposed threshold of </w:t>
      </w:r>
      <w:r>
        <w:t>5</w:t>
      </w:r>
      <w:r w:rsidRPr="00441328">
        <w:t xml:space="preserve">0% </w:t>
      </w:r>
      <w:r>
        <w:t xml:space="preserve">should </w:t>
      </w:r>
      <w:r w:rsidRPr="00441328">
        <w:t xml:space="preserve">be reviewed and tested for </w:t>
      </w:r>
      <w:r>
        <w:t xml:space="preserve">its </w:t>
      </w:r>
      <w:r w:rsidRPr="00441328">
        <w:t>market suitability</w:t>
      </w:r>
      <w:r>
        <w:t>.</w:t>
      </w:r>
    </w:p>
    <w:p w14:paraId="55EC5370" w14:textId="77777777" w:rsidR="00D1125D" w:rsidRDefault="00D1125D" w:rsidP="00D1125D"/>
    <w:p w14:paraId="6649C8ED" w14:textId="77777777" w:rsidR="00D1125D" w:rsidRDefault="00D1125D" w:rsidP="00D1125D">
      <w:pPr>
        <w:jc w:val="both"/>
      </w:pPr>
      <w:r w:rsidRPr="00767C1B">
        <w:rPr>
          <w:color w:val="000000" w:themeColor="text1"/>
        </w:rPr>
        <w:t xml:space="preserve">According to MiFID II, a client may also want a minimum share of sustainable investments that is lower than 50% (lit. b product). However, this fund with a lower proportion of 50% is no longer likely to be described as sustainable / ESG according to the proposed guidelines, even though the fund meets the sustainability preferences of the client. This is very confusing for a client and makes the advisory process even more complex. </w:t>
      </w:r>
      <w:r>
        <w:t>In addition to that, ESBG wonders what terms article 8 funds could use given this threshold. Indeed, some article 8 funds could be considered as sustainable (</w:t>
      </w:r>
      <w:proofErr w:type="gramStart"/>
      <w:r>
        <w:t>e.g.</w:t>
      </w:r>
      <w:proofErr w:type="gramEnd"/>
      <w:r>
        <w:t xml:space="preserve"> they were awarded the ISR label in France) but they do not yet meet the 50% proportion of sustainable investments.   </w:t>
      </w:r>
    </w:p>
    <w:p w14:paraId="3F3E1763" w14:textId="37AE12C0" w:rsidR="00B92885" w:rsidRDefault="00B92885" w:rsidP="00B92885"/>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71FE2486" w14:textId="77777777" w:rsidR="00D1125D" w:rsidRDefault="00D1125D" w:rsidP="00C03D5C">
      <w:pPr>
        <w:jc w:val="both"/>
      </w:pPr>
      <w:permStart w:id="351877901" w:edGrp="everyone"/>
      <w:r>
        <w:t xml:space="preserve">ESBG believes that </w:t>
      </w:r>
      <w:r w:rsidRPr="00027F51">
        <w:rPr>
          <w:b/>
          <w:bCs/>
        </w:rPr>
        <w:t>sustainable finance regulations should incentivise asset manager and product manufacturers to increase the taxonomy level of ESG financial instruments. This has not been sufficiently the case so far</w:t>
      </w:r>
      <w:r>
        <w:t>.</w:t>
      </w:r>
      <w:r w:rsidRPr="000B5509">
        <w:t xml:space="preserve"> The minimum percentages for investments in </w:t>
      </w:r>
      <w:r>
        <w:t>“</w:t>
      </w:r>
      <w:r w:rsidRPr="000B5509">
        <w:t>sustainable assets</w:t>
      </w:r>
      <w:r>
        <w:t>”</w:t>
      </w:r>
      <w:r w:rsidRPr="000B5509">
        <w:t xml:space="preserve"> are set </w:t>
      </w:r>
      <w:r>
        <w:t xml:space="preserve">very </w:t>
      </w:r>
      <w:r w:rsidRPr="000B5509">
        <w:t xml:space="preserve">high </w:t>
      </w:r>
      <w:r>
        <w:t>so they</w:t>
      </w:r>
      <w:r w:rsidRPr="000B5509">
        <w:t xml:space="preserve"> can only be achieved - if at all - by those (environmentally) sustainable </w:t>
      </w:r>
      <w:r>
        <w:t>funds</w:t>
      </w:r>
      <w:r w:rsidRPr="000B5509">
        <w:t xml:space="preserve"> that move outside the taxonomy (</w:t>
      </w:r>
      <w:proofErr w:type="gramStart"/>
      <w:r w:rsidRPr="000B5509">
        <w:t>i.e.</w:t>
      </w:r>
      <w:proofErr w:type="gramEnd"/>
      <w:r w:rsidRPr="000B5509">
        <w:t xml:space="preserve"> that derive their environmental and/or social sustainability exclusively from the notion of </w:t>
      </w:r>
      <w:r>
        <w:t>“</w:t>
      </w:r>
      <w:r w:rsidRPr="000B5509">
        <w:t>sustainable investment</w:t>
      </w:r>
      <w:r>
        <w:t>”</w:t>
      </w:r>
      <w:r w:rsidRPr="000B5509">
        <w:t xml:space="preserve"> as defined in Art. 2 </w:t>
      </w:r>
      <w:r>
        <w:t>(</w:t>
      </w:r>
      <w:r w:rsidRPr="000B5509">
        <w:t>17</w:t>
      </w:r>
      <w:r>
        <w:t>)</w:t>
      </w:r>
      <w:r w:rsidRPr="000B5509">
        <w:t xml:space="preserve"> SFDR, which is not further specified). The </w:t>
      </w:r>
      <w:r>
        <w:t xml:space="preserve">guidelines </w:t>
      </w:r>
      <w:r w:rsidRPr="000B5509">
        <w:t>thus</w:t>
      </w:r>
      <w:r>
        <w:t xml:space="preserve"> would </w:t>
      </w:r>
      <w:r w:rsidRPr="000B5509">
        <w:t>create an incentive to develop f</w:t>
      </w:r>
      <w:r>
        <w:t xml:space="preserve">unds </w:t>
      </w:r>
      <w:r w:rsidRPr="000B5509">
        <w:t xml:space="preserve">that bypass the European taxonomy. However, the minimum </w:t>
      </w:r>
      <w:r>
        <w:t xml:space="preserve">thresholds </w:t>
      </w:r>
      <w:r w:rsidRPr="000B5509">
        <w:t xml:space="preserve">for both types of sustainable investments </w:t>
      </w:r>
      <w:r>
        <w:t>should</w:t>
      </w:r>
      <w:r w:rsidRPr="000B5509">
        <w:t xml:space="preserve"> be significantly lower</w:t>
      </w:r>
      <w:r>
        <w:t xml:space="preserve"> than the ones suggested</w:t>
      </w:r>
      <w:r w:rsidRPr="000B5509">
        <w:t>.</w:t>
      </w:r>
      <w:r>
        <w:t xml:space="preserve"> Such standards should also provide some kind of graduation to show the level of effort made by asset managers towards sustainability.</w:t>
      </w:r>
    </w:p>
    <w:p w14:paraId="5B88A070" w14:textId="77777777" w:rsidR="00D1125D" w:rsidRDefault="00D1125D" w:rsidP="00B92885"/>
    <w:p w14:paraId="4E24F25C" w14:textId="77777777" w:rsidR="009B3A3B" w:rsidRDefault="00D1125D" w:rsidP="009B3A3B">
      <w:pPr>
        <w:jc w:val="both"/>
        <w:rPr>
          <w:rFonts w:cs="Arial"/>
          <w:noProof/>
        </w:rPr>
      </w:pPr>
      <w:r w:rsidRPr="007E3A5A">
        <w:rPr>
          <w:rFonts w:cs="Arial"/>
          <w:noProof/>
        </w:rPr>
        <w:t xml:space="preserve">Additionaly, </w:t>
      </w:r>
      <w:r w:rsidRPr="0008585C">
        <w:rPr>
          <w:rFonts w:cs="Arial"/>
          <w:b/>
          <w:bCs/>
          <w:noProof/>
        </w:rPr>
        <w:t>a one-size-fits all approach might not be adequate</w:t>
      </w:r>
      <w:r w:rsidRPr="007E3A5A">
        <w:rPr>
          <w:rFonts w:cs="Arial"/>
          <w:noProof/>
        </w:rPr>
        <w:t xml:space="preserve"> due to the differences in the way the funds are designed. </w:t>
      </w:r>
      <w:r>
        <w:rPr>
          <w:rFonts w:cs="Arial"/>
          <w:noProof/>
        </w:rPr>
        <w:t>For instance, a</w:t>
      </w:r>
      <w:r w:rsidRPr="007E3A5A">
        <w:rPr>
          <w:rFonts w:cs="Arial"/>
          <w:noProof/>
        </w:rPr>
        <w:t xml:space="preserve"> fixed income fund is different than a mixed income fund, an equity fund, or a fund of funds, to name a few. These differences should be taken into consideration when comparing different types of funds to avoid misleading results</w:t>
      </w:r>
      <w:r w:rsidRPr="002C05B5">
        <w:rPr>
          <w:rFonts w:ascii="Gotham Office" w:hAnsi="Gotham Office" w:cs="Arial"/>
          <w:noProof/>
        </w:rPr>
        <w:t xml:space="preserve">.  </w:t>
      </w:r>
      <w:r w:rsidRPr="002C05B5">
        <w:rPr>
          <w:rFonts w:cs="Segoe UI Light"/>
        </w:rPr>
        <w:t>Following the mentioned ESAs list of queries to the European Commission</w:t>
      </w:r>
      <w:r w:rsidRPr="00962B07">
        <w:rPr>
          <w:rFonts w:cs="Arial"/>
          <w:noProof/>
        </w:rPr>
        <w:t xml:space="preserve">, </w:t>
      </w:r>
      <w:r w:rsidRPr="009F2184">
        <w:rPr>
          <w:rFonts w:cs="Arial"/>
          <w:b/>
          <w:bCs/>
          <w:noProof/>
        </w:rPr>
        <w:t>ESBG believes more clarity regarding Article 8 and 9 of the SFDR would be needed before designing a threshold mechanism</w:t>
      </w:r>
      <w:r w:rsidRPr="0040093B">
        <w:rPr>
          <w:rFonts w:cs="Arial"/>
          <w:noProof/>
        </w:rPr>
        <w:t xml:space="preserve"> based on evolving standards which could eventually lead to different evaluations over time</w:t>
      </w:r>
      <w:r>
        <w:rPr>
          <w:rFonts w:cs="Arial"/>
          <w:noProof/>
        </w:rPr>
        <w:t xml:space="preserve">. </w:t>
      </w:r>
    </w:p>
    <w:permEnd w:id="351877901"/>
    <w:p w14:paraId="29DD3DB8" w14:textId="57CC27EF"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49338041" w14:textId="77777777" w:rsidR="009B3A3B" w:rsidRDefault="009B3A3B" w:rsidP="009B3A3B">
      <w:pPr>
        <w:jc w:val="both"/>
      </w:pPr>
      <w:permStart w:id="1539323392" w:edGrp="everyone"/>
      <w:r>
        <w:t xml:space="preserve">As a first step, ESBG is of the opinion that </w:t>
      </w:r>
      <w:r w:rsidRPr="000F184F">
        <w:rPr>
          <w:b/>
          <w:bCs/>
        </w:rPr>
        <w:t xml:space="preserve">ESMA should focus on strengthening transparency </w:t>
      </w:r>
      <w:r>
        <w:rPr>
          <w:b/>
          <w:bCs/>
        </w:rPr>
        <w:t>through</w:t>
      </w:r>
      <w:r w:rsidRPr="000F184F">
        <w:rPr>
          <w:b/>
          <w:bCs/>
        </w:rPr>
        <w:t xml:space="preserve"> a consistent enforcement of existing transparency obligations</w:t>
      </w:r>
      <w:r>
        <w:t xml:space="preserve">. </w:t>
      </w:r>
      <w:r w:rsidRPr="00DC7572">
        <w:t xml:space="preserve">To the extent that investors are offered </w:t>
      </w:r>
      <w:r>
        <w:t xml:space="preserve">products labelled </w:t>
      </w:r>
      <w:r w:rsidRPr="00DC7572">
        <w:t>as "</w:t>
      </w:r>
      <w:r>
        <w:t>ESG” or “sustainable</w:t>
      </w:r>
      <w:r w:rsidRPr="00DC7572">
        <w:t>", although sustainability issues play no role either in the investment strategy or its practical implementation,</w:t>
      </w:r>
      <w:r>
        <w:t xml:space="preserve"> ESBG</w:t>
      </w:r>
      <w:r w:rsidRPr="00DC7572">
        <w:t xml:space="preserve"> believe</w:t>
      </w:r>
      <w:r>
        <w:t>s</w:t>
      </w:r>
      <w:r w:rsidRPr="00DC7572">
        <w:t xml:space="preserve"> that action</w:t>
      </w:r>
      <w:r>
        <w:t>s</w:t>
      </w:r>
      <w:r w:rsidRPr="00DC7572">
        <w:t xml:space="preserve"> should be taken against the relevant providers within the framework of ongoing supervisory practice, for example </w:t>
      </w:r>
      <w:r>
        <w:t>in case of</w:t>
      </w:r>
      <w:r w:rsidRPr="00DC7572">
        <w:t xml:space="preserve"> violati</w:t>
      </w:r>
      <w:r>
        <w:t>on of</w:t>
      </w:r>
      <w:r w:rsidRPr="00DC7572">
        <w:t xml:space="preserve"> the general prohibition of misleading statements or the consistency requirement of Article 13 (1) SFDR. </w:t>
      </w:r>
      <w:r>
        <w:t>ESBG believes that a</w:t>
      </w:r>
      <w:r w:rsidRPr="00DC7572">
        <w:t xml:space="preserve">n </w:t>
      </w:r>
      <w:r w:rsidRPr="00121BD1">
        <w:rPr>
          <w:b/>
          <w:bCs/>
        </w:rPr>
        <w:t>enforcement-based approach</w:t>
      </w:r>
      <w:r w:rsidRPr="00DC7572">
        <w:t xml:space="preserve"> offers greater flexibility</w:t>
      </w:r>
      <w:r>
        <w:t xml:space="preserve"> and </w:t>
      </w:r>
      <w:r w:rsidRPr="00DC7572">
        <w:t>avoids undesirable side-effects</w:t>
      </w:r>
      <w:r>
        <w:t>. On top of that, u</w:t>
      </w:r>
      <w:r w:rsidRPr="00F47F96">
        <w:t xml:space="preserve">niform </w:t>
      </w:r>
      <w:r>
        <w:t xml:space="preserve">requirements for minimum proportions can be useful, </w:t>
      </w:r>
      <w:r w:rsidRPr="00F47F96">
        <w:t xml:space="preserve">but </w:t>
      </w:r>
      <w:r>
        <w:t xml:space="preserve">only </w:t>
      </w:r>
      <w:r w:rsidRPr="00F47F96">
        <w:t xml:space="preserve">with realistic </w:t>
      </w:r>
      <w:r>
        <w:t>minimum proportions.</w:t>
      </w:r>
    </w:p>
    <w:permEnd w:id="1539323392"/>
    <w:p w14:paraId="436D4354" w14:textId="5AB76892"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 xml:space="preserve">Do you agree with the need for minimum safeguards for investment funds with an ESG- or sustainability-related term in their name? Should such safeguards be based on the exclusion </w:t>
      </w:r>
      <w:r w:rsidRPr="000B78F5">
        <w:lastRenderedPageBreak/>
        <w:t>criteria such as Commission Delegated Regulation (EU) 2020/1818 Article 12(1)-(2)? If not, explain why and provide an alternative proposal.</w:t>
      </w:r>
    </w:p>
    <w:p w14:paraId="114E1BE8" w14:textId="77777777" w:rsidR="00B92885" w:rsidRDefault="00B92885" w:rsidP="00B92885">
      <w:r>
        <w:t>&lt;ESMA_QUESTION_FUNA_6&gt;</w:t>
      </w:r>
    </w:p>
    <w:p w14:paraId="0B524A2A" w14:textId="77777777" w:rsidR="009B3A3B" w:rsidRDefault="009B3A3B" w:rsidP="009B3A3B">
      <w:pPr>
        <w:jc w:val="both"/>
      </w:pPr>
      <w:permStart w:id="175976681" w:edGrp="everyone"/>
      <w:r>
        <w:t xml:space="preserve">ESBG does </w:t>
      </w:r>
      <w:r w:rsidRPr="00230F15">
        <w:t>agree on having some minimum safeguards</w:t>
      </w:r>
      <w:r>
        <w:t xml:space="preserve"> in principle</w:t>
      </w:r>
      <w:r w:rsidRPr="00230F15">
        <w:t xml:space="preserve">. </w:t>
      </w:r>
      <w:r>
        <w:t xml:space="preserve"> However, they should not be based exclusively on the exclusion criteria related to the Commission Delegated Regulation (EU) 2020/1818.  Indeed, b</w:t>
      </w:r>
      <w:r w:rsidRPr="00EB1D73">
        <w:t>y referring to the</w:t>
      </w:r>
      <w:r>
        <w:t xml:space="preserve"> exclusion criteria in Delegated Regulation (EU) 2020/1818 and its climate reference, ESBG fears that this could limit the investment universe if a fund has, for example, a social focus. </w:t>
      </w:r>
      <w:r w:rsidRPr="00761FC1">
        <w:t>Furthermore, this requirement is not linked to the MiFID II requirements</w:t>
      </w:r>
      <w:r>
        <w:t xml:space="preserve"> in Art. 2 (7) lit. c (MiFID II Delegated Regulation)</w:t>
      </w:r>
      <w:r w:rsidRPr="00761FC1">
        <w:t xml:space="preserve">, which, </w:t>
      </w:r>
      <w:proofErr w:type="gramStart"/>
      <w:r w:rsidRPr="00761FC1">
        <w:t>with regard to</w:t>
      </w:r>
      <w:proofErr w:type="gramEnd"/>
      <w:r w:rsidRPr="00761FC1">
        <w:t xml:space="preserve"> the consideration of the most important adverse sustainability impacts (PAI), do</w:t>
      </w:r>
      <w:r>
        <w:t>es</w:t>
      </w:r>
      <w:r w:rsidRPr="00761FC1">
        <w:t xml:space="preserve"> focus on a reduction of these impacts, but, like the SFDR, do</w:t>
      </w:r>
      <w:r>
        <w:t>es</w:t>
      </w:r>
      <w:r w:rsidRPr="00761FC1">
        <w:t xml:space="preserve"> not make any strict specifications regarding the strategies to achieve this reduction. This also </w:t>
      </w:r>
      <w:r>
        <w:t>goes</w:t>
      </w:r>
      <w:r w:rsidRPr="00761FC1">
        <w:t xml:space="preserve"> against the provision of exclusion criteria</w:t>
      </w:r>
      <w:r>
        <w:t xml:space="preserve"> for i</w:t>
      </w:r>
      <w:r w:rsidRPr="00761FC1">
        <w:t>nvestment funds with an ESG- or sustainability-</w:t>
      </w:r>
      <w:r>
        <w:t xml:space="preserve"> </w:t>
      </w:r>
      <w:r w:rsidRPr="00761FC1">
        <w:t>related term in their name</w:t>
      </w:r>
      <w:r>
        <w:t>.</w:t>
      </w:r>
    </w:p>
    <w:permEnd w:id="175976681"/>
    <w:p w14:paraId="6EE97467" w14:textId="67A3A08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08C9EE34" w14:textId="082B2612" w:rsidR="0007096A" w:rsidRDefault="0007096A" w:rsidP="0007096A">
      <w:pPr>
        <w:jc w:val="both"/>
      </w:pPr>
      <w:permStart w:id="576722602" w:edGrp="everyone"/>
      <w:r>
        <w:t xml:space="preserve"> </w:t>
      </w:r>
      <w:r>
        <w:t>S</w:t>
      </w:r>
      <w:r w:rsidRPr="006537C6">
        <w:t>ince ESBG is against the application of the suggested thresholds</w:t>
      </w:r>
      <w:r w:rsidR="006532DC">
        <w:t>,</w:t>
      </w:r>
      <w:r w:rsidRPr="006537C6">
        <w:t xml:space="preserve"> ESBG is also against the application of the suggested thresholds to derivatives</w:t>
      </w:r>
      <w:r w:rsidR="0085637F">
        <w:t xml:space="preserve"> for a matter of consistency</w:t>
      </w:r>
      <w:r w:rsidRPr="006537C6">
        <w:t>.</w:t>
      </w:r>
      <w:r>
        <w:t xml:space="preserve"> Nonetheless, in case thresholds were to be applied, </w:t>
      </w:r>
      <w:r w:rsidRPr="006537C6">
        <w:t xml:space="preserve">ESBG believes derivatives should be treated as any other underlying asset of “sustainable” or “ESG” funds (in this regard, the risk-related rules of the current legal framework are adequate). </w:t>
      </w:r>
      <w:r>
        <w:t>Indeed, o</w:t>
      </w:r>
      <w:r w:rsidRPr="00F47F96">
        <w:t xml:space="preserve">n the one hand, they often serve to hedge other transactions, so that a restriction of the derivatives that can be acquired would be at the expense of investors' risk hedging. On the other hand, in practice there are major problems with the availability of data for the </w:t>
      </w:r>
      <w:r>
        <w:t>look through</w:t>
      </w:r>
      <w:r w:rsidRPr="00F47F96">
        <w:t xml:space="preserve">. This also raises the question of whether the focus should be on the "issuer" or the underlying or both. </w:t>
      </w:r>
      <w:r>
        <w:t>In the end, this could f</w:t>
      </w:r>
      <w:r w:rsidRPr="00F47F96">
        <w:t>urther restrict the products that can be acquired</w:t>
      </w:r>
      <w:r>
        <w:t>.</w:t>
      </w:r>
    </w:p>
    <w:p w14:paraId="33D374FB" w14:textId="45C3EC46" w:rsidR="00B92885" w:rsidRDefault="00B92885" w:rsidP="00B92885"/>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64B025D9" w14:textId="77777777" w:rsidR="002612EE" w:rsidRPr="00A13CEE" w:rsidRDefault="002612EE" w:rsidP="00102A3C">
      <w:pPr>
        <w:jc w:val="both"/>
        <w:rPr>
          <w:rFonts w:cs="Segoe UI Light"/>
        </w:rPr>
      </w:pPr>
      <w:permStart w:id="650455330" w:edGrp="everyone"/>
      <w:r>
        <w:rPr>
          <w:rFonts w:cs="Segoe UI Light"/>
        </w:rPr>
        <w:t xml:space="preserve">Since </w:t>
      </w:r>
      <w:r w:rsidRPr="00A13CEE">
        <w:rPr>
          <w:rFonts w:cs="Segoe UI Light"/>
        </w:rPr>
        <w:t>clear definitions</w:t>
      </w:r>
      <w:r>
        <w:rPr>
          <w:rFonts w:cs="Segoe UI Light"/>
        </w:rPr>
        <w:t xml:space="preserve"> are provided</w:t>
      </w:r>
      <w:r w:rsidRPr="00A13CEE">
        <w:rPr>
          <w:rFonts w:cs="Segoe UI Light"/>
        </w:rPr>
        <w:t xml:space="preserve"> and rules are properly defined</w:t>
      </w:r>
      <w:r>
        <w:rPr>
          <w:rFonts w:cs="Segoe UI Light"/>
        </w:rPr>
        <w:t>,</w:t>
      </w:r>
      <w:r w:rsidRPr="00A13CEE">
        <w:rPr>
          <w:rFonts w:cs="Segoe UI Light"/>
        </w:rPr>
        <w:t xml:space="preserve"> ESBG does not see a reason for funds designating an index as a reference benchmark to be treated differently (bearing in mind that the aim of these funds is to replicate or track an index). </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23C1F341" w14:textId="77777777" w:rsidR="00B43ACC" w:rsidRDefault="00B43ACC" w:rsidP="00B92885">
      <w:pPr>
        <w:rPr>
          <w:noProof/>
        </w:rPr>
      </w:pPr>
      <w:permStart w:id="1876589445" w:edGrp="everyone"/>
      <w:r w:rsidRPr="0090150D">
        <w:rPr>
          <w:noProof/>
        </w:rPr>
        <w:t>ESBG does not believe there is a need to make such a distinction.</w:t>
      </w:r>
    </w:p>
    <w:permEnd w:id="1876589445"/>
    <w:p w14:paraId="1B5712A0" w14:textId="0ECB2E75"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72201850" w:rsidR="00B92885" w:rsidRDefault="00F40F95" w:rsidP="00F40F95">
      <w:pPr>
        <w:jc w:val="both"/>
      </w:pPr>
      <w:permStart w:id="1992309739" w:edGrp="everyone"/>
      <w:r>
        <w:t xml:space="preserve"> </w:t>
      </w:r>
      <w:r>
        <w:t>ESBG deems that there is currently a lack of c</w:t>
      </w:r>
      <w:r w:rsidRPr="007E1FC9">
        <w:t xml:space="preserve">lear and uniform standards </w:t>
      </w:r>
      <w:r>
        <w:t xml:space="preserve">on what is </w:t>
      </w:r>
      <w:r w:rsidRPr="00FB36DF">
        <w:t xml:space="preserve">a measurable contribution </w:t>
      </w:r>
      <w:r>
        <w:t>regarding the notion of “impact”</w:t>
      </w:r>
      <w:r w:rsidRPr="00FB36DF">
        <w:t>.</w:t>
      </w:r>
      <w:r>
        <w:t xml:space="preserve">  Unless there is a clear guidance on the </w:t>
      </w:r>
      <w:r w:rsidRPr="00FB36DF">
        <w:t>measurability</w:t>
      </w:r>
      <w:r>
        <w:t xml:space="preserve"> of an impact, ESBG would like to ask ESMA to refrain from having specific provisions for “impact” or impact related names in the guidelines. C</w:t>
      </w:r>
      <w:r w:rsidRPr="00671CE2">
        <w:t>ommon</w:t>
      </w:r>
      <w:r>
        <w:t xml:space="preserve"> standards</w:t>
      </w:r>
      <w:r w:rsidRPr="00671CE2">
        <w:t xml:space="preserve"> </w:t>
      </w:r>
      <w:r>
        <w:t>would</w:t>
      </w:r>
      <w:r w:rsidRPr="00671CE2">
        <w:t xml:space="preserve"> benefit not only the financial sector but also customers and supervisors</w:t>
      </w:r>
      <w:r>
        <w:t xml:space="preserve"> in this regard</w:t>
      </w:r>
      <w:r w:rsidRPr="00671CE2">
        <w:t>.</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2A60C806" w14:textId="77777777" w:rsidR="009504A8" w:rsidRDefault="009504A8" w:rsidP="009504A8">
      <w:pPr>
        <w:jc w:val="both"/>
      </w:pPr>
      <w:permStart w:id="1423966990" w:edGrp="everyone"/>
      <w:r>
        <w:t>In this regard, ESBG fears that t</w:t>
      </w:r>
      <w:r w:rsidRPr="00622DBA">
        <w:t>he introduction of a</w:t>
      </w:r>
      <w:r>
        <w:t xml:space="preserve">nother </w:t>
      </w:r>
      <w:r w:rsidRPr="00622DBA">
        <w:t xml:space="preserve">category </w:t>
      </w:r>
      <w:r>
        <w:t xml:space="preserve">might result in </w:t>
      </w:r>
      <w:r w:rsidRPr="00622DBA">
        <w:t>complicat</w:t>
      </w:r>
      <w:r>
        <w:t>ing</w:t>
      </w:r>
      <w:r w:rsidRPr="00622DBA">
        <w:t xml:space="preserve"> the already unclear legal and conceptual situation </w:t>
      </w:r>
      <w:proofErr w:type="gramStart"/>
      <w:r w:rsidRPr="00622DBA">
        <w:t>in the area of</w:t>
      </w:r>
      <w:proofErr w:type="gramEnd"/>
      <w:r w:rsidRPr="00622DBA">
        <w:t xml:space="preserve"> transparency-related </w:t>
      </w:r>
      <w:r>
        <w:t xml:space="preserve">sustainable </w:t>
      </w:r>
      <w:r w:rsidRPr="00622DBA">
        <w:t>finance regulation</w:t>
      </w:r>
      <w:r>
        <w:t>.</w:t>
      </w:r>
    </w:p>
    <w:p w14:paraId="5DE649AC" w14:textId="77777777" w:rsidR="009504A8" w:rsidRDefault="009504A8" w:rsidP="00C140E1">
      <w:pPr>
        <w:rPr>
          <w:noProof/>
          <w:u w:val="single"/>
        </w:rPr>
      </w:pPr>
    </w:p>
    <w:p w14:paraId="04E71F99" w14:textId="61D4955C" w:rsidR="009504A8" w:rsidRDefault="009504A8" w:rsidP="009504A8">
      <w:pPr>
        <w:jc w:val="both"/>
        <w:rPr>
          <w:noProof/>
        </w:rPr>
      </w:pPr>
      <w:r>
        <w:rPr>
          <w:noProof/>
        </w:rPr>
        <w:t xml:space="preserve">ESBG believes it is essential to have </w:t>
      </w:r>
      <w:r w:rsidRPr="00AF7FEE">
        <w:rPr>
          <w:noProof/>
        </w:rPr>
        <w:t>clear and</w:t>
      </w:r>
      <w:r>
        <w:rPr>
          <w:noProof/>
        </w:rPr>
        <w:t xml:space="preserve"> uniform standards regarding the   concept of “transition” or transition-related names as a prerequisite to present design products with such features and minimising potential risks of misalignment.</w:t>
      </w:r>
      <w:r>
        <w:rPr>
          <w:noProof/>
        </w:rPr>
        <w:t xml:space="preserve"> </w:t>
      </w:r>
      <w:r>
        <w:rPr>
          <w:noProof/>
        </w:rPr>
        <w:t>Therefore, it would be very difficult to understand that a transition-related fund, which is strongly committed towards achieving EU sustainability targets, could be excluded from using “sustainability-related” words in its name. In these cases, the ultimate objectives of the fund should also be duly considered.</w:t>
      </w:r>
    </w:p>
    <w:permEnd w:id="1423966990"/>
    <w:p w14:paraId="0643B633" w14:textId="4A644CE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79A5BE58" w14:textId="77777777" w:rsidR="005F727C" w:rsidRDefault="005F727C" w:rsidP="005F727C">
      <w:pPr>
        <w:jc w:val="both"/>
      </w:pPr>
      <w:permStart w:id="1434478937" w:edGrp="everyone"/>
      <w:r>
        <w:t xml:space="preserve"> </w:t>
      </w:r>
      <w:r>
        <w:t xml:space="preserve">ESBG is reluctant about introducing similar guidance for other financial products. </w:t>
      </w:r>
      <w:r w:rsidRPr="002F61D4">
        <w:t xml:space="preserve">It is not </w:t>
      </w:r>
      <w:r>
        <w:t xml:space="preserve">fully </w:t>
      </w:r>
      <w:r w:rsidRPr="002F61D4">
        <w:t>apparent what additional contribution such guid</w:t>
      </w:r>
      <w:r>
        <w:t>ance</w:t>
      </w:r>
      <w:r w:rsidRPr="002F61D4">
        <w:t xml:space="preserve"> </w:t>
      </w:r>
      <w:r>
        <w:t xml:space="preserve">is </w:t>
      </w:r>
      <w:r w:rsidRPr="002F61D4">
        <w:t xml:space="preserve">supposed to make </w:t>
      </w:r>
      <w:proofErr w:type="gramStart"/>
      <w:r>
        <w:t>in order to</w:t>
      </w:r>
      <w:proofErr w:type="gramEnd"/>
      <w:r>
        <w:t xml:space="preserve"> tackle</w:t>
      </w:r>
      <w:r w:rsidRPr="002F61D4">
        <w:t xml:space="preserve"> “greenwashing” or to strengthen transparency</w:t>
      </w:r>
      <w:r>
        <w:t xml:space="preserve">. ESBG </w:t>
      </w:r>
      <w:r w:rsidRPr="00686759">
        <w:t>believe</w:t>
      </w:r>
      <w:r>
        <w:t>s</w:t>
      </w:r>
      <w:r w:rsidRPr="00686759">
        <w:t xml:space="preserve"> similar guidance (adapted to the characteristics of each sector/financial product) </w:t>
      </w:r>
      <w:r>
        <w:t xml:space="preserve">could be of interest </w:t>
      </w:r>
      <w:r w:rsidRPr="00C00E0C">
        <w:rPr>
          <w:b/>
          <w:bCs/>
        </w:rPr>
        <w:t>only if</w:t>
      </w:r>
      <w:r w:rsidRPr="00686759">
        <w:t xml:space="preserve"> </w:t>
      </w:r>
      <w:r>
        <w:t>it</w:t>
      </w:r>
      <w:r w:rsidRPr="00686759">
        <w:t xml:space="preserve"> ensure</w:t>
      </w:r>
      <w:r>
        <w:t>s</w:t>
      </w:r>
      <w:r w:rsidRPr="00686759">
        <w:t xml:space="preserve"> a level playing field among market participants</w:t>
      </w:r>
      <w:r>
        <w:t xml:space="preserve"> </w:t>
      </w:r>
      <w:r w:rsidRPr="00C00E0C">
        <w:t>with</w:t>
      </w:r>
      <w:r w:rsidRPr="00686759">
        <w:rPr>
          <w:b/>
          <w:bCs/>
        </w:rPr>
        <w:t xml:space="preserve"> </w:t>
      </w:r>
      <w:r w:rsidRPr="00686759">
        <w:t>clear definitions of the concepts mentioned in the previous replies.</w:t>
      </w:r>
      <w:r>
        <w:t xml:space="preserve"> Otherwise, it would</w:t>
      </w:r>
      <w:r w:rsidRPr="002F61D4">
        <w:t xml:space="preserve"> go beyond what could also be achieved </w:t>
      </w:r>
      <w:r>
        <w:t>through</w:t>
      </w:r>
      <w:r w:rsidRPr="002F61D4">
        <w:t xml:space="preserve"> a consistent enforcement of existing transparency obligations.</w:t>
      </w:r>
    </w:p>
    <w:p w14:paraId="54FC5FAA" w14:textId="66843498" w:rsidR="00B92885" w:rsidRDefault="00B92885" w:rsidP="00B92885"/>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7109DB51" w14:textId="77777777" w:rsidR="009E22C0" w:rsidRDefault="009E22C0" w:rsidP="009E22C0">
      <w:pPr>
        <w:jc w:val="both"/>
      </w:pPr>
      <w:permStart w:id="489244833" w:edGrp="everyone"/>
      <w:r>
        <w:lastRenderedPageBreak/>
        <w:t xml:space="preserve"> </w:t>
      </w:r>
      <w:r>
        <w:t xml:space="preserve">ESBG generally advocates for </w:t>
      </w:r>
      <w:r w:rsidRPr="00E6364C">
        <w:t>a grandfathering of already approved</w:t>
      </w:r>
      <w:r>
        <w:t xml:space="preserve"> and existing</w:t>
      </w:r>
      <w:r w:rsidRPr="00E6364C">
        <w:t xml:space="preserve"> funds</w:t>
      </w:r>
      <w:r>
        <w:t xml:space="preserve">. This </w:t>
      </w:r>
      <w:r w:rsidRPr="00E6364C">
        <w:t xml:space="preserve">is necessary in the interest of the protection of the </w:t>
      </w:r>
      <w:r>
        <w:t>asset managers</w:t>
      </w:r>
      <w:r w:rsidRPr="00E6364C">
        <w:t xml:space="preserve"> confidence.</w:t>
      </w:r>
      <w:r>
        <w:t xml:space="preserve"> If ESMA should still hold on introducing a transitional period, ESBG would rather propose a period </w:t>
      </w:r>
      <w:r w:rsidRPr="00C216EB">
        <w:rPr>
          <w:b/>
          <w:bCs/>
        </w:rPr>
        <w:t>between 12 and 18</w:t>
      </w:r>
      <w:r w:rsidRPr="00AD2348">
        <w:rPr>
          <w:b/>
          <w:bCs/>
        </w:rPr>
        <w:t xml:space="preserve"> months </w:t>
      </w:r>
      <w:r>
        <w:t xml:space="preserve">from the date of the application of the guidelines. </w:t>
      </w:r>
    </w:p>
    <w:p w14:paraId="222F9D93" w14:textId="77777777" w:rsidR="009E22C0" w:rsidRDefault="009E22C0" w:rsidP="009E22C0"/>
    <w:p w14:paraId="17BCE0A7" w14:textId="77777777" w:rsidR="009E22C0" w:rsidRDefault="009E22C0" w:rsidP="009E22C0">
      <w:pPr>
        <w:jc w:val="both"/>
      </w:pPr>
      <w:r>
        <w:t>ESBG would like to stress</w:t>
      </w:r>
      <w:r w:rsidRPr="004D06FC">
        <w:t xml:space="preserve"> that </w:t>
      </w:r>
      <w:r>
        <w:t xml:space="preserve">asset managers </w:t>
      </w:r>
      <w:r w:rsidRPr="004D06FC">
        <w:t xml:space="preserve">have </w:t>
      </w:r>
      <w:r>
        <w:t xml:space="preserve">already </w:t>
      </w:r>
      <w:r w:rsidRPr="004D06FC">
        <w:t xml:space="preserve">spent an </w:t>
      </w:r>
      <w:r>
        <w:t>important</w:t>
      </w:r>
      <w:r w:rsidRPr="004D06FC">
        <w:t xml:space="preserve"> amount of time and effort</w:t>
      </w:r>
      <w:r>
        <w:t>s</w:t>
      </w:r>
      <w:r w:rsidRPr="004D06FC">
        <w:t xml:space="preserve"> within the last two years to ensure compliance with the SFDR requirements and the very detailed requirements for ESG related disclosure imposed by national supervisory authorities. It cannot be expected from fund companies to update their documentation another time within such a short transitional period</w:t>
      </w:r>
      <w:r>
        <w:t xml:space="preserve"> of only 6 months</w:t>
      </w:r>
      <w:r w:rsidRPr="004D06FC">
        <w:t>.</w:t>
      </w:r>
      <w:r>
        <w:t xml:space="preserve"> ESBG deems that a period of 6 months would be unrealistic, since asset manager would have to either increase their </w:t>
      </w:r>
      <w:r w:rsidRPr="00586D74">
        <w:t xml:space="preserve">investment </w:t>
      </w:r>
      <w:r>
        <w:t xml:space="preserve">thresholds </w:t>
      </w:r>
      <w:r w:rsidRPr="00586D74">
        <w:t>through reallocations or adjust</w:t>
      </w:r>
      <w:r>
        <w:t xml:space="preserve"> all the </w:t>
      </w:r>
      <w:r w:rsidRPr="00586D74">
        <w:t>fund name</w:t>
      </w:r>
      <w:r>
        <w:t>s affected</w:t>
      </w:r>
      <w:r w:rsidRPr="00586D74">
        <w:t xml:space="preserve"> if the criteria are not met.</w:t>
      </w:r>
      <w:r>
        <w:t xml:space="preserve"> This will take a lot of time and efforts, </w:t>
      </w:r>
      <w:proofErr w:type="gramStart"/>
      <w:r>
        <w:t>e.g.</w:t>
      </w:r>
      <w:proofErr w:type="gramEnd"/>
      <w:r>
        <w:t xml:space="preserve"> for </w:t>
      </w:r>
      <w:r w:rsidRPr="00586D74">
        <w:t>approval procedure</w:t>
      </w:r>
      <w:r>
        <w:t xml:space="preserve">s and writing </w:t>
      </w:r>
      <w:r w:rsidRPr="00586D74">
        <w:t xml:space="preserve">letters to </w:t>
      </w:r>
      <w:r>
        <w:t xml:space="preserve">all </w:t>
      </w:r>
      <w:r w:rsidRPr="00586D74">
        <w:t>investors</w:t>
      </w:r>
      <w:r>
        <w:t xml:space="preserve"> to inform about the changes.</w:t>
      </w:r>
      <w:r w:rsidRPr="00586D74">
        <w:t xml:space="preserve"> </w:t>
      </w:r>
      <w:r>
        <w:t xml:space="preserve">Finally, ESBG would like to stress that </w:t>
      </w:r>
      <w:r w:rsidRPr="007D036C">
        <w:t>consistency and regulatory stability are of utmost importance to preserve clients’ trust in the sustainability domain. ESBG is</w:t>
      </w:r>
      <w:r>
        <w:t xml:space="preserve"> therefore</w:t>
      </w:r>
      <w:r w:rsidRPr="007D036C">
        <w:t xml:space="preserve"> in favour of avoiding the implementation of too many evolving </w:t>
      </w:r>
      <w:r>
        <w:t>stand</w:t>
      </w:r>
      <w:r w:rsidRPr="007D036C">
        <w:t>ards which could eventually lead to different evaluations over time, causing extra costs and potential regulatory inconsistencies.</w:t>
      </w:r>
    </w:p>
    <w:p w14:paraId="68ED52F5" w14:textId="44032EC0" w:rsidR="00B92885" w:rsidRDefault="00B92885" w:rsidP="00B92885"/>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00384AE" w14:textId="77777777" w:rsidR="00FF6DC7" w:rsidRDefault="00FF6DC7" w:rsidP="00FF6DC7">
      <w:pPr>
        <w:jc w:val="both"/>
      </w:pPr>
      <w:permStart w:id="1766353355" w:edGrp="everyone"/>
      <w:r>
        <w:t xml:space="preserve"> </w:t>
      </w:r>
      <w:r w:rsidRPr="001A35EF">
        <w:t xml:space="preserve">Changing the names of these funds could be misleading and counterproductive. As stated above, </w:t>
      </w:r>
      <w:r w:rsidRPr="00FF6382">
        <w:rPr>
          <w:b/>
          <w:bCs/>
        </w:rPr>
        <w:t>ESBG is in favour of avoiding the implementation of too many evolving standards</w:t>
      </w:r>
      <w:r w:rsidRPr="001A35EF">
        <w:t xml:space="preserve"> which could eventually lead to different evaluations over time, causing extra costs and potential regulatory inconsistencies.</w:t>
      </w:r>
      <w:r>
        <w:t xml:space="preserve"> Hence, ESBG</w:t>
      </w:r>
      <w:r w:rsidRPr="00E264DB">
        <w:t xml:space="preserve"> consider</w:t>
      </w:r>
      <w:r>
        <w:t>s that</w:t>
      </w:r>
      <w:r w:rsidRPr="00E264DB">
        <w:t xml:space="preserve"> a </w:t>
      </w:r>
      <w:r w:rsidRPr="00E64C24">
        <w:rPr>
          <w:b/>
          <w:bCs/>
        </w:rPr>
        <w:t>grandfathering provision</w:t>
      </w:r>
      <w:r w:rsidRPr="00E264DB">
        <w:t xml:space="preserve"> </w:t>
      </w:r>
      <w:r>
        <w:t>will</w:t>
      </w:r>
      <w:r w:rsidRPr="00E264DB">
        <w:t xml:space="preserve"> be necessary. </w:t>
      </w:r>
      <w:r>
        <w:t>ESBG believes that</w:t>
      </w:r>
      <w:r w:rsidRPr="00E264DB">
        <w:t xml:space="preserve"> investment </w:t>
      </w:r>
      <w:r>
        <w:t xml:space="preserve">funds </w:t>
      </w:r>
      <w:r w:rsidRPr="00E264DB">
        <w:t xml:space="preserve">that were launched prior to the publication of the guidelines and are designated or advertised as </w:t>
      </w:r>
      <w:r>
        <w:t xml:space="preserve">ESG-product </w:t>
      </w:r>
      <w:r w:rsidRPr="00E264DB">
        <w:t>should not fall within the scope of application.</w:t>
      </w:r>
      <w:r>
        <w:t xml:space="preserve">  </w:t>
      </w:r>
    </w:p>
    <w:p w14:paraId="23752B71" w14:textId="4205C241" w:rsidR="00B92885" w:rsidRDefault="00B92885" w:rsidP="00B92885"/>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270E9C50" w14:textId="77777777" w:rsidR="00264404" w:rsidRDefault="00775D23" w:rsidP="00264404">
      <w:pPr>
        <w:jc w:val="both"/>
      </w:pPr>
      <w:permStart w:id="929254269" w:edGrp="everyone"/>
      <w:r>
        <w:t>T</w:t>
      </w:r>
      <w:r w:rsidRPr="00191975">
        <w:t>he financial system can play an important role in overcoming the associated environmental and social challenges</w:t>
      </w:r>
      <w:r>
        <w:t xml:space="preserve"> of climate change</w:t>
      </w:r>
      <w:r w:rsidRPr="00191975">
        <w:t xml:space="preserve">, if and to the extent that capital can be redirected into sustainable investments. Legislators and supervisory authorities are consequently addressing the question of which regulatory interventions in the market mechanism promote a climate-friendly restructuring of national economies. It is in line with a global trend to improve the provision of information to investors on the sustainability profile of various investment products through a variety of transparency obligations </w:t>
      </w:r>
      <w:proofErr w:type="gramStart"/>
      <w:r w:rsidRPr="00191975">
        <w:t>in order to</w:t>
      </w:r>
      <w:proofErr w:type="gramEnd"/>
      <w:r w:rsidRPr="00191975">
        <w:t xml:space="preserve"> enable informed allocation decisions.</w:t>
      </w:r>
      <w:r>
        <w:t xml:space="preserve"> </w:t>
      </w:r>
      <w:r w:rsidRPr="00191975">
        <w:t xml:space="preserve">Against this background, </w:t>
      </w:r>
      <w:r>
        <w:t>ESBG</w:t>
      </w:r>
      <w:r w:rsidRPr="00191975">
        <w:t xml:space="preserve"> welcome</w:t>
      </w:r>
      <w:r>
        <w:t>s the fact</w:t>
      </w:r>
      <w:r w:rsidRPr="00191975">
        <w:t xml:space="preserve"> that </w:t>
      </w:r>
      <w:r>
        <w:t xml:space="preserve">ESMA </w:t>
      </w:r>
      <w:r w:rsidRPr="00191975">
        <w:t xml:space="preserve">is also increasingly concerned about transparency </w:t>
      </w:r>
      <w:r>
        <w:t>a</w:t>
      </w:r>
      <w:r w:rsidRPr="00191975">
        <w:t xml:space="preserve">nd </w:t>
      </w:r>
      <w:r>
        <w:t>wishes</w:t>
      </w:r>
      <w:r w:rsidRPr="00191975">
        <w:t xml:space="preserve"> to </w:t>
      </w:r>
      <w:r>
        <w:t>tackle</w:t>
      </w:r>
      <w:r w:rsidRPr="00191975">
        <w:t xml:space="preserve"> the problem of </w:t>
      </w:r>
      <w:r>
        <w:t>“</w:t>
      </w:r>
      <w:r w:rsidRPr="00191975">
        <w:t>greenwashing</w:t>
      </w:r>
      <w:r>
        <w:t>”</w:t>
      </w:r>
      <w:r w:rsidRPr="00191975">
        <w:t>.</w:t>
      </w:r>
    </w:p>
    <w:p w14:paraId="53FA25D6" w14:textId="77777777" w:rsidR="00D7127C" w:rsidRDefault="00D7127C" w:rsidP="00264404"/>
    <w:p w14:paraId="768F7AA8" w14:textId="563BECD9" w:rsidR="00264404" w:rsidRDefault="00264404" w:rsidP="00264404">
      <w:pPr>
        <w:jc w:val="both"/>
        <w:rPr>
          <w:noProof/>
        </w:rPr>
      </w:pPr>
      <w:r w:rsidRPr="00191975">
        <w:t xml:space="preserve">However, </w:t>
      </w:r>
      <w:r>
        <w:rPr>
          <w:noProof/>
        </w:rPr>
        <w:t xml:space="preserve">ESBG assesses that </w:t>
      </w:r>
      <w:r w:rsidRPr="00D916EF">
        <w:rPr>
          <w:b/>
          <w:bCs/>
          <w:noProof/>
        </w:rPr>
        <w:t>the application of the proposed Guidelines would require a significant effort to update documentation, communications, and marketing materials</w:t>
      </w:r>
      <w:r>
        <w:rPr>
          <w:noProof/>
        </w:rPr>
        <w:t xml:space="preserve">. </w:t>
      </w:r>
      <w:r w:rsidRPr="002D7DCB">
        <w:rPr>
          <w:b/>
          <w:bCs/>
          <w:noProof/>
        </w:rPr>
        <w:t>This would have an impact on costs</w:t>
      </w:r>
      <w:r>
        <w:rPr>
          <w:noProof/>
        </w:rPr>
        <w:t xml:space="preserve"> (IT and staff as well as auditing and verification procedures for the supervisor). As previously mentioned, already existing EU requirements (contained in legislations such as the EU Taxonomy Regulation, SFDR and MiFID II) are based on different considerations. At the same time, a lack of a clear interplay between sustainability-related legislation adds an extra layer of difficulty to ensure a smooth implementation of rules. Issuers, banks, and customers must be able to understand directly how "sustainability" is defined and what makes their investment "green" or "social" and how the criterion of good corporate governance is assessed. </w:t>
      </w:r>
    </w:p>
    <w:p w14:paraId="796177D0" w14:textId="77777777" w:rsidR="00264404" w:rsidRDefault="00264404" w:rsidP="00264404"/>
    <w:p w14:paraId="2B3E5F46" w14:textId="77777777" w:rsidR="00264404" w:rsidRDefault="00264404" w:rsidP="00264404">
      <w:pPr>
        <w:jc w:val="both"/>
      </w:pPr>
      <w:r>
        <w:lastRenderedPageBreak/>
        <w:t>On top of that, n</w:t>
      </w:r>
      <w:r w:rsidRPr="00191975">
        <w:t xml:space="preserve">umerous measures have already been taken at </w:t>
      </w:r>
      <w:r>
        <w:t xml:space="preserve">the </w:t>
      </w:r>
      <w:r w:rsidRPr="00191975">
        <w:t xml:space="preserve">EU level to reduce information asymmetries </w:t>
      </w:r>
      <w:proofErr w:type="gramStart"/>
      <w:r w:rsidRPr="00191975">
        <w:t>with regard to</w:t>
      </w:r>
      <w:proofErr w:type="gramEnd"/>
      <w:r w:rsidRPr="00191975">
        <w:t xml:space="preserve"> sustainable fund products and to put a stop to greenwashing</w:t>
      </w:r>
      <w:r>
        <w:t>, such as the recent call for evidence from the ESAs which ESBG contributed to</w:t>
      </w:r>
      <w:r w:rsidRPr="00191975">
        <w:t xml:space="preserve">. </w:t>
      </w:r>
      <w:r>
        <w:t xml:space="preserve"> Another possible impact </w:t>
      </w:r>
      <w:r w:rsidRPr="004D06FC">
        <w:t xml:space="preserve">would be that fund companies will have to again update their fund documentation and marketing materials for existing investment funds because it will </w:t>
      </w:r>
      <w:r>
        <w:t xml:space="preserve">be </w:t>
      </w:r>
      <w:r w:rsidRPr="004D06FC">
        <w:t xml:space="preserve">necessary to change fund names due to the </w:t>
      </w:r>
      <w:r>
        <w:t>(too)</w:t>
      </w:r>
      <w:r w:rsidRPr="004D06FC">
        <w:t xml:space="preserve"> high thresholds</w:t>
      </w:r>
      <w:r>
        <w:t xml:space="preserve"> required</w:t>
      </w:r>
      <w:r w:rsidRPr="004D06FC">
        <w:t xml:space="preserve"> for “sustainable” investment funds.</w:t>
      </w:r>
    </w:p>
    <w:p w14:paraId="12D9CBE3" w14:textId="77777777" w:rsidR="00264404" w:rsidRDefault="00264404" w:rsidP="00264404">
      <w:pPr>
        <w:rPr>
          <w:noProof/>
        </w:rPr>
      </w:pPr>
    </w:p>
    <w:p w14:paraId="543405EE" w14:textId="486F7392" w:rsidR="00775D23" w:rsidRDefault="00264404" w:rsidP="00264404">
      <w:pPr>
        <w:jc w:val="both"/>
      </w:pPr>
      <w:r w:rsidRPr="00402ECF">
        <w:rPr>
          <w:lang w:val="en-US"/>
        </w:rPr>
        <w:t>Overall, while ESMA argues that these guidelines will enhance investors’ understanding on the ESG or sustainability criteria promoted by the fund</w:t>
      </w:r>
      <w:r w:rsidRPr="00A94110">
        <w:rPr>
          <w:b/>
          <w:bCs/>
          <w:lang w:val="en-US"/>
        </w:rPr>
        <w:t>, ESBG fears that the thresholds (especially the ESG and sustainability distinction) and minimum safeguards might not bring that much clarity as they are</w:t>
      </w:r>
      <w:r w:rsidRPr="00402ECF">
        <w:rPr>
          <w:lang w:val="en-US"/>
        </w:rPr>
        <w:t xml:space="preserve"> </w:t>
      </w:r>
      <w:r w:rsidRPr="00402ECF">
        <w:rPr>
          <w:b/>
          <w:bCs/>
          <w:lang w:val="en-US"/>
        </w:rPr>
        <w:t>additional rules</w:t>
      </w:r>
      <w:r w:rsidRPr="00402ECF">
        <w:rPr>
          <w:lang w:val="en-US"/>
        </w:rPr>
        <w:t xml:space="preserve"> that</w:t>
      </w:r>
      <w:r>
        <w:rPr>
          <w:lang w:val="en-US"/>
        </w:rPr>
        <w:t xml:space="preserve"> should require further explanations. As such, ESBG does not see any benefit in terms of business for the end-customers.</w:t>
      </w:r>
      <w:r w:rsidR="00775D23" w:rsidRPr="00191975">
        <w:t xml:space="preserve"> </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543D5872" w14:textId="77777777" w:rsidR="006F0174" w:rsidRDefault="006F0174" w:rsidP="000441E4">
      <w:pPr>
        <w:jc w:val="both"/>
      </w:pPr>
      <w:permStart w:id="878708964" w:edGrp="everyone"/>
      <w:r>
        <w:t xml:space="preserve">ESBG deems </w:t>
      </w:r>
      <w:r w:rsidRPr="00C220FE">
        <w:t>it would be necessary to provide more information to asset management companies so they could have more clarity on the practical applicability of thresholds as well as some flexibility to avoid fund name changes due to minimum variations.</w:t>
      </w:r>
    </w:p>
    <w:permEnd w:id="878708964"/>
    <w:p w14:paraId="651FE8BB" w14:textId="00A85123"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Gotham Office">
    <w:panose1 w:val="02000000000000000000"/>
    <w:charset w:val="00"/>
    <w:family w:val="auto"/>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Pieddepage"/>
      <w:tabs>
        <w:tab w:val="clear" w:pos="4536"/>
        <w:tab w:val="clear" w:pos="9072"/>
        <w:tab w:val="left" w:pos="8227"/>
        <w:tab w:val="right" w:pos="9412"/>
      </w:tabs>
    </w:pPr>
    <w:r>
      <w:tab/>
    </w:r>
    <w:r w:rsidR="00B92885">
      <w:tab/>
    </w:r>
  </w:p>
  <w:p w14:paraId="3A793707" w14:textId="084F8123" w:rsidR="00B92885" w:rsidRDefault="00B92885" w:rsidP="00B92885">
    <w:pPr>
      <w:pStyle w:val="Pieddepage"/>
      <w:tabs>
        <w:tab w:val="clear" w:pos="4536"/>
        <w:tab w:val="clear" w:pos="9072"/>
        <w:tab w:val="left" w:pos="8227"/>
        <w:tab w:val="right" w:pos="9412"/>
      </w:tabs>
    </w:pPr>
    <w:r>
      <w:tab/>
    </w:r>
    <w:r>
      <w:tab/>
    </w:r>
    <w:r>
      <w:tab/>
    </w:r>
  </w:p>
  <w:p w14:paraId="6D19C66C" w14:textId="10DE0B9B" w:rsidR="00B92885" w:rsidRDefault="00B92885" w:rsidP="00B92885">
    <w:pPr>
      <w:pStyle w:val="Pieddepage"/>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En-tt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En-tt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En-tte"/>
      <w:rPr>
        <w:lang w:val="fr-FR"/>
      </w:rPr>
    </w:pPr>
  </w:p>
  <w:p w14:paraId="3F30C70B" w14:textId="77777777" w:rsidR="00267551" w:rsidRPr="002F4496" w:rsidRDefault="00267551" w:rsidP="000C06C9">
    <w:pPr>
      <w:pStyle w:val="En-tte"/>
      <w:tabs>
        <w:tab w:val="clear" w:pos="4536"/>
        <w:tab w:val="clear" w:pos="9072"/>
        <w:tab w:val="left" w:pos="8227"/>
      </w:tabs>
      <w:rPr>
        <w:lang w:val="fr-FR"/>
      </w:rPr>
    </w:pPr>
  </w:p>
  <w:p w14:paraId="4D50BC39" w14:textId="77777777" w:rsidR="00267551" w:rsidRPr="002F4496" w:rsidRDefault="00267551" w:rsidP="00583885">
    <w:pPr>
      <w:pStyle w:val="En-tte"/>
      <w:jc w:val="right"/>
      <w:rPr>
        <w:lang w:val="fr-FR"/>
      </w:rPr>
    </w:pPr>
  </w:p>
  <w:p w14:paraId="2D51BEA2" w14:textId="77777777" w:rsidR="00267551" w:rsidRPr="002F4496" w:rsidRDefault="00267551">
    <w:pPr>
      <w:pStyle w:val="En-tte"/>
      <w:rPr>
        <w:lang w:val="fr-FR"/>
      </w:rPr>
    </w:pPr>
  </w:p>
  <w:p w14:paraId="340B2438" w14:textId="77777777" w:rsidR="00267551" w:rsidRPr="002F4496" w:rsidRDefault="00267551">
    <w:pPr>
      <w:pStyle w:val="En-tte"/>
      <w:rPr>
        <w:lang w:val="fr-FR"/>
      </w:rPr>
    </w:pPr>
  </w:p>
  <w:p w14:paraId="2A794A3E" w14:textId="77777777" w:rsidR="00267551" w:rsidRPr="002F4496" w:rsidRDefault="00267551">
    <w:pPr>
      <w:pStyle w:val="En-tte"/>
      <w:rPr>
        <w:lang w:val="fr-FR"/>
      </w:rPr>
    </w:pPr>
  </w:p>
  <w:p w14:paraId="0A21F475" w14:textId="77777777" w:rsidR="00267551" w:rsidRPr="002F4496" w:rsidRDefault="00267551">
    <w:pPr>
      <w:pStyle w:val="En-tte"/>
      <w:rPr>
        <w:highlight w:val="yellow"/>
        <w:lang w:val="fr-FR"/>
      </w:rPr>
    </w:pPr>
  </w:p>
  <w:p w14:paraId="53ABEE5D" w14:textId="77777777" w:rsidR="00267551" w:rsidRDefault="00267551">
    <w:pPr>
      <w:pStyle w:val="En-tt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BAA81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9E11F6"/>
    <w:multiLevelType w:val="hybridMultilevel"/>
    <w:tmpl w:val="A0B6D8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3235D6D"/>
    <w:multiLevelType w:val="hybridMultilevel"/>
    <w:tmpl w:val="F5601B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618680741">
    <w:abstractNumId w:val="19"/>
  </w:num>
  <w:num w:numId="2" w16cid:durableId="796488216">
    <w:abstractNumId w:val="21"/>
  </w:num>
  <w:num w:numId="3" w16cid:durableId="1769233421">
    <w:abstractNumId w:val="14"/>
  </w:num>
  <w:num w:numId="4" w16cid:durableId="1730955133">
    <w:abstractNumId w:val="26"/>
  </w:num>
  <w:num w:numId="5" w16cid:durableId="1783111641">
    <w:abstractNumId w:val="28"/>
  </w:num>
  <w:num w:numId="6" w16cid:durableId="695036548">
    <w:abstractNumId w:val="1"/>
  </w:num>
  <w:num w:numId="7" w16cid:durableId="566957231">
    <w:abstractNumId w:val="6"/>
  </w:num>
  <w:num w:numId="8" w16cid:durableId="507598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888073">
    <w:abstractNumId w:val="34"/>
  </w:num>
  <w:num w:numId="10" w16cid:durableId="18689792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5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0964526">
    <w:abstractNumId w:val="30"/>
  </w:num>
  <w:num w:numId="13" w16cid:durableId="1812139178">
    <w:abstractNumId w:val="33"/>
  </w:num>
  <w:num w:numId="14" w16cid:durableId="1099638758">
    <w:abstractNumId w:val="25"/>
  </w:num>
  <w:num w:numId="15" w16cid:durableId="1457675874">
    <w:abstractNumId w:val="13"/>
  </w:num>
  <w:num w:numId="16" w16cid:durableId="1325937487">
    <w:abstractNumId w:val="2"/>
  </w:num>
  <w:num w:numId="17" w16cid:durableId="131948787">
    <w:abstractNumId w:val="17"/>
  </w:num>
  <w:num w:numId="18" w16cid:durableId="1145125155">
    <w:abstractNumId w:val="18"/>
  </w:num>
  <w:num w:numId="19" w16cid:durableId="702940538">
    <w:abstractNumId w:val="20"/>
  </w:num>
  <w:num w:numId="20" w16cid:durableId="1424037382">
    <w:abstractNumId w:val="29"/>
  </w:num>
  <w:num w:numId="21" w16cid:durableId="2059430361">
    <w:abstractNumId w:val="39"/>
  </w:num>
  <w:num w:numId="22" w16cid:durableId="332419386">
    <w:abstractNumId w:val="27"/>
  </w:num>
  <w:num w:numId="23" w16cid:durableId="936837836">
    <w:abstractNumId w:val="12"/>
  </w:num>
  <w:num w:numId="24" w16cid:durableId="786002733">
    <w:abstractNumId w:val="32"/>
  </w:num>
  <w:num w:numId="25" w16cid:durableId="337926514">
    <w:abstractNumId w:val="31"/>
  </w:num>
  <w:num w:numId="26" w16cid:durableId="231041203">
    <w:abstractNumId w:val="22"/>
  </w:num>
  <w:num w:numId="27" w16cid:durableId="1091200000">
    <w:abstractNumId w:val="35"/>
  </w:num>
  <w:num w:numId="28" w16cid:durableId="1183319124">
    <w:abstractNumId w:val="41"/>
  </w:num>
  <w:num w:numId="29" w16cid:durableId="566307386">
    <w:abstractNumId w:val="10"/>
  </w:num>
  <w:num w:numId="30" w16cid:durableId="929312654">
    <w:abstractNumId w:val="5"/>
  </w:num>
  <w:num w:numId="31" w16cid:durableId="1335300550">
    <w:abstractNumId w:val="24"/>
  </w:num>
  <w:num w:numId="32" w16cid:durableId="673344923">
    <w:abstractNumId w:val="23"/>
  </w:num>
  <w:num w:numId="33" w16cid:durableId="2084137186">
    <w:abstractNumId w:val="37"/>
  </w:num>
  <w:num w:numId="34" w16cid:durableId="930890199">
    <w:abstractNumId w:val="36"/>
  </w:num>
  <w:num w:numId="35" w16cid:durableId="796414855">
    <w:abstractNumId w:val="7"/>
  </w:num>
  <w:num w:numId="36" w16cid:durableId="977957379">
    <w:abstractNumId w:val="38"/>
  </w:num>
  <w:num w:numId="37" w16cid:durableId="1091779859">
    <w:abstractNumId w:val="23"/>
    <w:lvlOverride w:ilvl="0">
      <w:startOverride w:val="1"/>
    </w:lvlOverride>
  </w:num>
  <w:num w:numId="38" w16cid:durableId="1606376178">
    <w:abstractNumId w:val="23"/>
  </w:num>
  <w:num w:numId="39" w16cid:durableId="1503886648">
    <w:abstractNumId w:val="15"/>
  </w:num>
  <w:num w:numId="40" w16cid:durableId="1248421007">
    <w:abstractNumId w:val="8"/>
  </w:num>
  <w:num w:numId="41" w16cid:durableId="48303979">
    <w:abstractNumId w:val="4"/>
  </w:num>
  <w:num w:numId="42" w16cid:durableId="1395160596">
    <w:abstractNumId w:val="3"/>
  </w:num>
  <w:num w:numId="43" w16cid:durableId="1462385354">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41E4"/>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6A"/>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2A3C"/>
    <w:rsid w:val="00104F2E"/>
    <w:rsid w:val="00105B5B"/>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F58"/>
    <w:rsid w:val="001459E3"/>
    <w:rsid w:val="00146A0B"/>
    <w:rsid w:val="0014761E"/>
    <w:rsid w:val="0014775B"/>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35E1"/>
    <w:rsid w:val="002543F8"/>
    <w:rsid w:val="002551A4"/>
    <w:rsid w:val="002559F3"/>
    <w:rsid w:val="00256DFE"/>
    <w:rsid w:val="002612EE"/>
    <w:rsid w:val="00261D56"/>
    <w:rsid w:val="00261FD3"/>
    <w:rsid w:val="00263505"/>
    <w:rsid w:val="00264077"/>
    <w:rsid w:val="00264404"/>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1ED9"/>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1E18"/>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0BF"/>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02C"/>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5F727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2DC"/>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174"/>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23"/>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637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052A"/>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4A8"/>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3A3B"/>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22C0"/>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07AF3"/>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3ACC"/>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3D5C"/>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4C69"/>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25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27C"/>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35A"/>
    <w:rsid w:val="00E92A82"/>
    <w:rsid w:val="00E92AA8"/>
    <w:rsid w:val="00E9344E"/>
    <w:rsid w:val="00E93E39"/>
    <w:rsid w:val="00E94391"/>
    <w:rsid w:val="00E97E2B"/>
    <w:rsid w:val="00EA08CA"/>
    <w:rsid w:val="00EA0C0C"/>
    <w:rsid w:val="00EA2AEA"/>
    <w:rsid w:val="00EA332B"/>
    <w:rsid w:val="00EA3D36"/>
    <w:rsid w:val="00EA40AA"/>
    <w:rsid w:val="00EA47EE"/>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0F95"/>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 w:val="00FF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Titre1">
    <w:name w:val="heading 1"/>
    <w:basedOn w:val="Normal"/>
    <w:next w:val="Normal"/>
    <w:link w:val="Titre1Car"/>
    <w:qFormat/>
    <w:locked/>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3"/>
      </w:numPr>
      <w:spacing w:before="200"/>
      <w:jc w:val="both"/>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rPr>
      <w:szCs w:val="20"/>
    </w:rPr>
  </w:style>
  <w:style w:type="character" w:customStyle="1" w:styleId="CommentaireCar">
    <w:name w:val="Commentaire Car"/>
    <w:link w:val="Commentaire"/>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enum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Policepardfau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 w:type="character" w:styleId="Mentionnonrsolue">
    <w:name w:val="Unresolved Mention"/>
    <w:basedOn w:val="Policepardfaut"/>
    <w:uiPriority w:val="99"/>
    <w:semiHidden/>
    <w:unhideWhenUsed/>
    <w:rsid w:val="00A07AF3"/>
    <w:rPr>
      <w:color w:val="605E5C"/>
      <w:shd w:val="clear" w:color="auto" w:fill="E1DFDD"/>
    </w:rPr>
  </w:style>
  <w:style w:type="paragraph" w:styleId="Sansinterligne">
    <w:name w:val="No Spacing"/>
    <w:uiPriority w:val="1"/>
    <w:qFormat/>
    <w:locked/>
    <w:rsid w:val="00D1125D"/>
    <w:pPr>
      <w:jc w:val="both"/>
    </w:pPr>
    <w:rPr>
      <w:rFonts w:ascii="Verdana" w:hAnsi="Verdan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sites/default/files/library/jc_2022_47_-_union_law_interpretation_questions_under_sfdr.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4.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5c8e399-07b8-49e4-91bf-01a20105d4df"/>
    <ds:schemaRef ds:uri="http://purl.org/dc/elements/1.1/"/>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4411</Words>
  <Characters>25161</Characters>
  <Application>Microsoft Office Word</Application>
  <DocSecurity>8</DocSecurity>
  <Lines>209</Lines>
  <Paragraphs>59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29513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Boudet Adrien</cp:lastModifiedBy>
  <cp:revision>32</cp:revision>
  <cp:lastPrinted>2015-02-18T11:01:00Z</cp:lastPrinted>
  <dcterms:created xsi:type="dcterms:W3CDTF">2023-02-16T10:46:00Z</dcterms:created>
  <dcterms:modified xsi:type="dcterms:W3CDTF">2023-02-17T10:46:00Z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