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7A68491E" w14:textId="569B633B" w:rsidR="00C2682A" w:rsidRPr="00AB6D88" w:rsidRDefault="000E1550" w:rsidP="00FA5524">
                <w:pPr>
                  <w:rPr>
                    <w:rStyle w:val="PlaceholderText"/>
                    <w:rFonts w:cs="Arial"/>
                  </w:rPr>
                </w:pPr>
                <w:r>
                  <w:rPr>
                    <w:rStyle w:val="PlaceholderText"/>
                    <w:rFonts w:cs="Arial"/>
                  </w:rPr>
                  <w:t>Climate Bonds Initiative</w:t>
                </w:r>
                <w:r w:rsidR="009A1C50">
                  <w:rPr>
                    <w:rStyle w:val="PlaceholderText"/>
                    <w:rFonts w:cs="Arial"/>
                  </w:rPr>
                  <w:t xml:space="preserve"> (Climate Bonds)</w:t>
                </w:r>
                <w:r>
                  <w:rPr>
                    <w:rStyle w:val="PlaceholderText"/>
                    <w:rFonts w:cs="Arial"/>
                  </w:rPr>
                  <w:t xml:space="preserve"> </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8A0E6EE" w:rsidR="00C2682A" w:rsidRPr="00AB6D88" w:rsidRDefault="0000000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0E1550">
                  <w:rPr>
                    <w:rFonts w:cs="Arial"/>
                  </w:rPr>
                  <w:t>Other Financial service providers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Content>
            <w:tc>
              <w:tcPr>
                <w:tcW w:w="5595" w:type="dxa"/>
                <w:shd w:val="clear" w:color="auto" w:fill="auto"/>
              </w:tcPr>
              <w:p w14:paraId="3EE0D441" w14:textId="1254CFA5" w:rsidR="00C2682A" w:rsidRPr="00AB6D88" w:rsidRDefault="000E1550"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028479E1" w:rsidR="00C2682A" w:rsidRPr="00AB6D88" w:rsidRDefault="000E1550" w:rsidP="00FA5524">
                <w:pPr>
                  <w:rPr>
                    <w:rFonts w:cs="Arial"/>
                  </w:rPr>
                </w:pPr>
                <w:r>
                  <w:rPr>
                    <w:rFonts w:cs="Arial"/>
                  </w:rPr>
                  <w:t>UK</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8C6541E" w14:textId="76BE7088" w:rsidR="00B92885" w:rsidRPr="00B92885" w:rsidRDefault="000E1550" w:rsidP="00B92885">
      <w:pPr>
        <w:spacing w:after="160" w:line="259" w:lineRule="auto"/>
        <w:rPr>
          <w:rFonts w:ascii="Calibri" w:eastAsia="Calibri" w:hAnsi="Calibri"/>
          <w:sz w:val="22"/>
          <w:szCs w:val="22"/>
          <w:lang w:eastAsia="en-US"/>
        </w:rPr>
      </w:pPr>
      <w:permStart w:id="1100430741" w:edGrp="everyone"/>
      <w:r>
        <w:rPr>
          <w:rFonts w:ascii="Calibri" w:eastAsia="Calibri" w:hAnsi="Calibri"/>
          <w:sz w:val="22"/>
          <w:szCs w:val="22"/>
          <w:lang w:eastAsia="en-US"/>
        </w:rPr>
        <w:t>C</w:t>
      </w:r>
      <w:r w:rsidR="009A1C50">
        <w:rPr>
          <w:rFonts w:ascii="Calibri" w:eastAsia="Calibri" w:hAnsi="Calibri"/>
          <w:sz w:val="22"/>
          <w:szCs w:val="22"/>
          <w:lang w:eastAsia="en-US"/>
        </w:rPr>
        <w:t>limate Bonds</w:t>
      </w:r>
      <w:r>
        <w:rPr>
          <w:rFonts w:ascii="Calibri" w:eastAsia="Calibri" w:hAnsi="Calibri"/>
          <w:sz w:val="22"/>
          <w:szCs w:val="22"/>
          <w:lang w:eastAsia="en-US"/>
        </w:rPr>
        <w:t xml:space="preserve"> </w:t>
      </w:r>
      <w:r w:rsidR="00084889">
        <w:rPr>
          <w:rFonts w:ascii="Calibri" w:eastAsia="Calibri" w:hAnsi="Calibri"/>
          <w:sz w:val="22"/>
          <w:szCs w:val="22"/>
          <w:lang w:eastAsia="en-US"/>
        </w:rPr>
        <w:t xml:space="preserve">Initiative </w:t>
      </w:r>
      <w:r>
        <w:rPr>
          <w:rFonts w:ascii="Calibri" w:eastAsia="Calibri" w:hAnsi="Calibri"/>
          <w:sz w:val="22"/>
          <w:szCs w:val="22"/>
          <w:lang w:eastAsia="en-US"/>
        </w:rPr>
        <w:t xml:space="preserve">supports the ESMA proposal made in </w:t>
      </w:r>
      <w:r w:rsidR="00D12B7A">
        <w:rPr>
          <w:rFonts w:ascii="Calibri" w:eastAsia="Calibri" w:hAnsi="Calibri"/>
          <w:sz w:val="22"/>
          <w:szCs w:val="22"/>
          <w:lang w:eastAsia="en-US"/>
        </w:rPr>
        <w:t xml:space="preserve">its </w:t>
      </w:r>
      <w:r w:rsidR="00D12B7A" w:rsidRPr="00D12B7A">
        <w:rPr>
          <w:rFonts w:ascii="Calibri" w:eastAsia="Calibri" w:hAnsi="Calibri"/>
          <w:sz w:val="22"/>
          <w:szCs w:val="22"/>
          <w:lang w:eastAsia="en-US"/>
        </w:rPr>
        <w:t>Consultation on Guidelines on funds’ names using ESG or sustainability-related terms</w:t>
      </w:r>
      <w:r w:rsidR="00D12B7A">
        <w:rPr>
          <w:rFonts w:ascii="Calibri" w:eastAsia="Calibri" w:hAnsi="Calibri"/>
          <w:sz w:val="22"/>
          <w:szCs w:val="22"/>
          <w:lang w:eastAsia="en-US"/>
        </w:rPr>
        <w:t>. C</w:t>
      </w:r>
      <w:r w:rsidR="009A1C50">
        <w:rPr>
          <w:rFonts w:ascii="Calibri" w:eastAsia="Calibri" w:hAnsi="Calibri"/>
          <w:sz w:val="22"/>
          <w:szCs w:val="22"/>
          <w:lang w:eastAsia="en-US"/>
        </w:rPr>
        <w:t>limate Bonds</w:t>
      </w:r>
      <w:r w:rsidR="00D12B7A">
        <w:rPr>
          <w:rFonts w:ascii="Calibri" w:eastAsia="Calibri" w:hAnsi="Calibri"/>
          <w:sz w:val="22"/>
          <w:szCs w:val="22"/>
          <w:lang w:eastAsia="en-US"/>
        </w:rPr>
        <w:t xml:space="preserve"> </w:t>
      </w:r>
      <w:r w:rsidR="00084889">
        <w:rPr>
          <w:rFonts w:ascii="Calibri" w:eastAsia="Calibri" w:hAnsi="Calibri"/>
          <w:sz w:val="22"/>
          <w:szCs w:val="22"/>
          <w:lang w:eastAsia="en-US"/>
        </w:rPr>
        <w:t xml:space="preserve">Initiative </w:t>
      </w:r>
      <w:r w:rsidR="00D12B7A">
        <w:rPr>
          <w:rFonts w:ascii="Calibri" w:eastAsia="Calibri" w:hAnsi="Calibri"/>
          <w:sz w:val="22"/>
          <w:szCs w:val="22"/>
          <w:lang w:eastAsia="en-US"/>
        </w:rPr>
        <w:t xml:space="preserve">considers that the proposal would </w:t>
      </w:r>
      <w:r w:rsidR="00D12B7A" w:rsidRPr="00D12B7A">
        <w:rPr>
          <w:rFonts w:ascii="Calibri" w:eastAsia="Calibri" w:hAnsi="Calibri"/>
          <w:sz w:val="22"/>
          <w:szCs w:val="22"/>
          <w:lang w:eastAsia="en-US"/>
        </w:rPr>
        <w:t>help to prevent potential greenwashing risk in fund names</w:t>
      </w:r>
      <w:r w:rsidR="00D12B7A">
        <w:rPr>
          <w:rFonts w:ascii="Calibri" w:eastAsia="Calibri" w:hAnsi="Calibri"/>
          <w:sz w:val="22"/>
          <w:szCs w:val="22"/>
          <w:lang w:eastAsia="en-US"/>
        </w:rPr>
        <w:t xml:space="preserve">. </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043F3971" w14:textId="02973654" w:rsidR="00B92885" w:rsidRDefault="00D12B7A" w:rsidP="00B92885">
      <w:permStart w:id="1596738700" w:edGrp="everyone"/>
      <w:proofErr w:type="gramStart"/>
      <w:r>
        <w:t>Yes</w:t>
      </w:r>
      <w:proofErr w:type="gramEnd"/>
      <w:r>
        <w:t xml:space="preserve"> C</w:t>
      </w:r>
      <w:r w:rsidR="009A1C50">
        <w:t>limate Bonds</w:t>
      </w:r>
      <w:r>
        <w:t xml:space="preserve"> </w:t>
      </w:r>
      <w:r w:rsidR="00BE0334">
        <w:t xml:space="preserve">Initiative </w:t>
      </w:r>
      <w:r>
        <w:t>agrees with the need to introduce quantitative thresholds to assess fund’s names. We consider that the name of a fund is an important indication of what it contains and that the introduction of quantitative thresholds is giving substance to the name, as well as avoiding that funds names are used in a way that does not match which type of investments they actually contain.</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7BED3590" w14:textId="3CF79298" w:rsidR="00B92885" w:rsidRDefault="00D12B7A" w:rsidP="00B92885">
      <w:permStart w:id="1305634831" w:edGrp="everyone"/>
      <w:proofErr w:type="gramStart"/>
      <w:r>
        <w:t>Yes</w:t>
      </w:r>
      <w:proofErr w:type="gramEnd"/>
      <w:r>
        <w:t xml:space="preserve"> C</w:t>
      </w:r>
      <w:r w:rsidR="009A1C50">
        <w:t>limate Bonds</w:t>
      </w:r>
      <w:r w:rsidR="00BE0334">
        <w:t xml:space="preserve"> Initiative</w:t>
      </w:r>
      <w:r>
        <w:t xml:space="preserve"> agrees with the proposed threshold of 80% of the minimum proportion of investments</w:t>
      </w:r>
      <w:r w:rsidR="00527CB9">
        <w:t xml:space="preserve"> of investments for the use of any ESG- or impact related words in the name of a fund. </w:t>
      </w:r>
      <w:r w:rsidR="009A1C50">
        <w:t>Climate Bonds</w:t>
      </w:r>
      <w:r w:rsidR="00527CB9">
        <w:t xml:space="preserve"> </w:t>
      </w:r>
      <w:r w:rsidR="00BE0334">
        <w:t xml:space="preserve">Initiative </w:t>
      </w:r>
      <w:r w:rsidR="00527CB9">
        <w:t>welcomes the consistency that this proposal would bring between the fund</w:t>
      </w:r>
      <w:r w:rsidR="009A1C50">
        <w:t>’</w:t>
      </w:r>
      <w:r w:rsidR="00527CB9">
        <w:t>s name and its investment strategy as disclosed under the EU SFDR regulation. C</w:t>
      </w:r>
      <w:r w:rsidR="00BE0334">
        <w:t xml:space="preserve">limate </w:t>
      </w:r>
      <w:r w:rsidR="00527CB9">
        <w:t>B</w:t>
      </w:r>
      <w:r w:rsidR="00BE0334">
        <w:t xml:space="preserve">onds </w:t>
      </w:r>
      <w:r w:rsidR="00527CB9">
        <w:t>I</w:t>
      </w:r>
      <w:r w:rsidR="00BE0334">
        <w:t>nitiative</w:t>
      </w:r>
      <w:r w:rsidR="00527CB9">
        <w:t xml:space="preserve"> also welcomes the convergence of this initiative with emerging or existing regulation in the US, the UK, France and Germany.</w:t>
      </w:r>
      <w:r w:rsidR="00BE0334">
        <w:t xml:space="preserve"> Although this is not directly </w:t>
      </w:r>
      <w:r w:rsidR="00AE0684">
        <w:t>relevant here</w:t>
      </w:r>
      <w:r w:rsidR="00BE0334">
        <w:t xml:space="preserve">, CBI has been using even higher threshold in its methodologies for </w:t>
      </w:r>
      <w:r w:rsidR="00AE0684">
        <w:t>certification of Use of Proceeds bonds, namely 100% for green bonds, and is considering in its forthcoming Standard for certification of Sustainability Linked Bonds and Corporates a threshold of 90%.</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F3E1763" w14:textId="26AF1883" w:rsidR="00B92885" w:rsidRDefault="00527CB9" w:rsidP="00AE0684">
      <w:pPr>
        <w:shd w:val="clear" w:color="auto" w:fill="FFFFFF"/>
      </w:pPr>
      <w:permStart w:id="347949177" w:edGrp="everyone"/>
      <w:proofErr w:type="gramStart"/>
      <w:r>
        <w:t>Yes</w:t>
      </w:r>
      <w:proofErr w:type="gramEnd"/>
      <w:r>
        <w:t xml:space="preserve"> </w:t>
      </w:r>
      <w:r w:rsidR="009A1C50">
        <w:t>Climate Bonds</w:t>
      </w:r>
      <w:r>
        <w:t xml:space="preserve"> </w:t>
      </w:r>
      <w:r w:rsidR="00AE0684">
        <w:t xml:space="preserve">Initiative </w:t>
      </w:r>
      <w:r>
        <w:t xml:space="preserve">agrees with the proposal to include an additional threshold of at least 50% proportion of sustainable investments for the use of the word “sustainable” or any other sustainability-related term in the name of </w:t>
      </w:r>
      <w:r w:rsidR="005B7707">
        <w:t>the fund. C</w:t>
      </w:r>
      <w:r w:rsidR="009A1C50">
        <w:t>limate Bonds</w:t>
      </w:r>
      <w:r w:rsidR="005B7707">
        <w:t xml:space="preserve"> </w:t>
      </w:r>
      <w:r w:rsidR="00AE0684">
        <w:t xml:space="preserve">Initiative </w:t>
      </w:r>
      <w:r w:rsidR="005B7707">
        <w:t xml:space="preserve">welcomes the link with the sustainable investment definition in the SFDR regulation and considers that indeed, it would </w:t>
      </w:r>
      <w:r w:rsidR="009A1C50">
        <w:t xml:space="preserve">not </w:t>
      </w:r>
      <w:r w:rsidR="005B7707">
        <w:t>be consistent to allow funds investing less than half their assets in investments not meeting this definition, to call themselves “sustainable” or by a sustainability related term. This could mislead investors if it was the case and increase the risk of greenwashing. C</w:t>
      </w:r>
      <w:r w:rsidR="009A1C50">
        <w:t>limate Bonds</w:t>
      </w:r>
      <w:r w:rsidR="005B7707">
        <w:t xml:space="preserve"> </w:t>
      </w:r>
      <w:r w:rsidR="00AE0684">
        <w:t xml:space="preserve">Initiative </w:t>
      </w:r>
      <w:r w:rsidR="005B7707">
        <w:t>also welcomes the fact that this proposal could lead asset managers seeking to meet investors demand for “sustainable funds” to channel such demand at the level of funds investments, thereby contributing to increasing the amount of capital channelled to sustainable investments, one of the objectives of the EU Sustainable Finance Action Plan.</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DCA02E0" w14:textId="77777777" w:rsidR="00B92885" w:rsidRDefault="00B92885" w:rsidP="00B92885">
      <w:permStart w:id="351877901" w:edGrp="everyone"/>
      <w:r>
        <w:t>TYPE YOUR TEXT HERE</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51B857B9" w:rsidR="00B92885" w:rsidRDefault="00B92885" w:rsidP="00B92885">
      <w:permStart w:id="1539323392" w:edGrp="everyone"/>
      <w:r>
        <w:t>TYPE YOUR TEXT HERE</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7BD103A3" w14:textId="0D9B7A64" w:rsidR="006F6543" w:rsidRDefault="00136269" w:rsidP="00BE0334">
      <w:pPr>
        <w:shd w:val="clear" w:color="auto" w:fill="FFFFFF"/>
      </w:pPr>
      <w:permStart w:id="175976681" w:edGrp="everyone"/>
      <w:r>
        <w:t xml:space="preserve"> C</w:t>
      </w:r>
      <w:r w:rsidR="00EA7BC9">
        <w:t>limate Bonds</w:t>
      </w:r>
      <w:r>
        <w:t xml:space="preserve"> </w:t>
      </w:r>
      <w:r w:rsidR="00AE0684">
        <w:t xml:space="preserve">Initiative </w:t>
      </w:r>
      <w:r>
        <w:t>agrees with the need for minimum safeguards for investment funds with an ESG or sustainability related terms in their names. C</w:t>
      </w:r>
      <w:r w:rsidR="00EA7BC9">
        <w:t>limate Bonds</w:t>
      </w:r>
      <w:r>
        <w:t xml:space="preserve"> </w:t>
      </w:r>
      <w:r w:rsidR="00AE0684">
        <w:t xml:space="preserve">Initiative </w:t>
      </w:r>
      <w:r>
        <w:t xml:space="preserve">agrees with the principle of using an exclusion list to establish these minimum safeguards, </w:t>
      </w:r>
      <w:r w:rsidR="00DD0114">
        <w:t>since</w:t>
      </w:r>
      <w:r>
        <w:t xml:space="preserve"> </w:t>
      </w:r>
      <w:r w:rsidR="00DD0114">
        <w:t>an</w:t>
      </w:r>
      <w:r>
        <w:t xml:space="preserve"> exclusion list </w:t>
      </w:r>
      <w:r w:rsidR="00DD0114">
        <w:t>provides</w:t>
      </w:r>
      <w:r>
        <w:t xml:space="preserve"> clarity and can help avoid controversies. </w:t>
      </w:r>
      <w:r w:rsidR="00AE0684">
        <w:t xml:space="preserve">However, </w:t>
      </w:r>
      <w:r w:rsidR="00EA7BC9">
        <w:t>Climate Bonds</w:t>
      </w:r>
      <w:r>
        <w:t xml:space="preserve"> </w:t>
      </w:r>
      <w:r w:rsidR="00AE0684">
        <w:t xml:space="preserve">Initiative considers that some items in the exclusion list provided in </w:t>
      </w:r>
      <w:r>
        <w:t xml:space="preserve">Article 12(1) in the Benchmark Delegated Regulation EU 2020/1818 </w:t>
      </w:r>
      <w:r w:rsidR="00AE0684">
        <w:t xml:space="preserve">are too stringent to be used as proposed for all funds using ESG or sustainability related terms in their names. Namely, those exclusions which CBI does not </w:t>
      </w:r>
      <w:r w:rsidR="006F6543">
        <w:t>support for that purpose</w:t>
      </w:r>
      <w:r w:rsidR="00AE0684">
        <w:t xml:space="preserve"> are:  </w:t>
      </w:r>
    </w:p>
    <w:p w14:paraId="08E64934" w14:textId="77777777" w:rsidR="006F6543" w:rsidRDefault="006F6543" w:rsidP="006F6543">
      <w:pPr>
        <w:shd w:val="clear" w:color="auto" w:fill="FFFFFF"/>
        <w:spacing w:after="160"/>
        <w:rPr>
          <w:rFonts w:eastAsiaTheme="minorHAnsi"/>
          <w:color w:val="000000"/>
          <w:sz w:val="22"/>
          <w:szCs w:val="22"/>
        </w:rPr>
      </w:pPr>
      <w:r>
        <w:rPr>
          <w:rStyle w:val="contentpasted0"/>
          <w:color w:val="000000"/>
        </w:rPr>
        <w:t xml:space="preserve">(d) companies that derive 1 % or more of their revenues from exploration, mining, extraction, distribution or refining of hard coal and </w:t>
      </w:r>
      <w:proofErr w:type="gramStart"/>
      <w:r>
        <w:rPr>
          <w:rStyle w:val="contentpasted0"/>
          <w:color w:val="000000"/>
        </w:rPr>
        <w:t>lignite;</w:t>
      </w:r>
      <w:proofErr w:type="gramEnd"/>
      <w:r>
        <w:rPr>
          <w:rStyle w:val="contentpasted0"/>
          <w:color w:val="000000"/>
        </w:rPr>
        <w:t xml:space="preserve">  </w:t>
      </w:r>
    </w:p>
    <w:p w14:paraId="0592FA01" w14:textId="77777777" w:rsidR="006F6543" w:rsidRDefault="006F6543" w:rsidP="006F6543">
      <w:pPr>
        <w:shd w:val="clear" w:color="auto" w:fill="FFFFFF"/>
        <w:spacing w:after="160"/>
        <w:rPr>
          <w:color w:val="000000"/>
        </w:rPr>
      </w:pPr>
      <w:r>
        <w:rPr>
          <w:rStyle w:val="contentpasted0"/>
          <w:color w:val="000000"/>
        </w:rPr>
        <w:t xml:space="preserve">(e) companies that derive 10 % or more of their revenues from the exploration, extraction, distribution or refining of oil </w:t>
      </w:r>
      <w:proofErr w:type="gramStart"/>
      <w:r>
        <w:rPr>
          <w:rStyle w:val="contentpasted0"/>
          <w:color w:val="000000"/>
        </w:rPr>
        <w:t>fuels;</w:t>
      </w:r>
      <w:proofErr w:type="gramEnd"/>
      <w:r>
        <w:rPr>
          <w:rStyle w:val="contentpasted0"/>
          <w:color w:val="000000"/>
        </w:rPr>
        <w:t xml:space="preserve">  </w:t>
      </w:r>
    </w:p>
    <w:p w14:paraId="728DAEFC" w14:textId="77777777" w:rsidR="006F6543" w:rsidRDefault="006F6543" w:rsidP="006F6543">
      <w:pPr>
        <w:shd w:val="clear" w:color="auto" w:fill="FFFFFF"/>
        <w:spacing w:after="160"/>
        <w:rPr>
          <w:color w:val="000000"/>
        </w:rPr>
      </w:pPr>
      <w:r>
        <w:rPr>
          <w:rStyle w:val="contentpasted0"/>
          <w:color w:val="000000"/>
        </w:rPr>
        <w:t xml:space="preserve">(f) companies that derive 50 % or more of their revenues from the exploration, extraction, manufacturing or distribution of gaseous </w:t>
      </w:r>
      <w:proofErr w:type="gramStart"/>
      <w:r>
        <w:rPr>
          <w:rStyle w:val="contentpasted0"/>
          <w:color w:val="000000"/>
        </w:rPr>
        <w:t>fuels;</w:t>
      </w:r>
      <w:proofErr w:type="gramEnd"/>
      <w:r>
        <w:rPr>
          <w:rStyle w:val="contentpasted0"/>
          <w:color w:val="000000"/>
        </w:rPr>
        <w:t xml:space="preserve">  </w:t>
      </w:r>
    </w:p>
    <w:p w14:paraId="407EE359" w14:textId="77777777" w:rsidR="006F6543" w:rsidRDefault="006F6543" w:rsidP="006F6543">
      <w:pPr>
        <w:shd w:val="clear" w:color="auto" w:fill="FFFFFF"/>
        <w:spacing w:after="160"/>
        <w:rPr>
          <w:color w:val="000000"/>
        </w:rPr>
      </w:pPr>
      <w:r>
        <w:rPr>
          <w:rStyle w:val="contentpasted0"/>
          <w:color w:val="000000"/>
        </w:rPr>
        <w:t>(g) companies that derive 50 % or more of their revenues from electricity generation with a GHG intensity of more than 100 g CO2 e/kWh.  </w:t>
      </w:r>
    </w:p>
    <w:p w14:paraId="45C63631" w14:textId="5AA4A9E8" w:rsidR="006F6543" w:rsidRDefault="006F6543" w:rsidP="00BE0334">
      <w:pPr>
        <w:shd w:val="clear" w:color="auto" w:fill="FFFFFF"/>
      </w:pPr>
      <w:r>
        <w:t xml:space="preserve">CBI considers that such exclusions would rule out a lot of companies from the investment universe of ESG and sustainability related named funds, even in the situation when those companies would be making the necessary investment effort to be transitioning to sustainability. CBI would like to propose as an alternative to such exclusions to consider excluding companies that are expanding their activities in activities named in d to g above. In turns, companies which are running existing assets with appropriate plans to phase them out could be included. </w:t>
      </w:r>
    </w:p>
    <w:p w14:paraId="7C9157FD" w14:textId="20B2FE82" w:rsidR="00B92885" w:rsidRDefault="006F6543" w:rsidP="00DD0114">
      <w:pPr>
        <w:shd w:val="clear" w:color="auto" w:fill="FFFFFF"/>
      </w:pPr>
      <w:r>
        <w:t xml:space="preserve">In addition, Climate Bonds Initiative does not support either </w:t>
      </w:r>
      <w:r w:rsidR="00897466">
        <w:t xml:space="preserve">the inclusion of Article 12 (2) of the said regulation in the exclusion list. This is because to CBI’s knowledge there is not at present an EU regulatory definition of “doing significant harm” as per Article 12 (2), in the absence of a “significant harm” or “brown” EU taxonomy. Besides, the article </w:t>
      </w:r>
      <w:proofErr w:type="gramStart"/>
      <w:r w:rsidR="00897466">
        <w:t>opens up</w:t>
      </w:r>
      <w:proofErr w:type="gramEnd"/>
      <w:r w:rsidR="00897466">
        <w:t xml:space="preserve"> the possibility that external data providers estimate the “significant harm”, which is opening a degree of interpretation which </w:t>
      </w:r>
      <w:r w:rsidR="00EA7BC9">
        <w:t>Climate Bonds</w:t>
      </w:r>
      <w:r w:rsidR="00897466">
        <w:t xml:space="preserve"> </w:t>
      </w:r>
      <w:r>
        <w:t xml:space="preserve">Initiative </w:t>
      </w:r>
      <w:r w:rsidR="00897466">
        <w:t xml:space="preserve">does not find fully consistent with the objective of providing binary clarity in an exclusion list. </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77777777" w:rsidR="00B92885" w:rsidRDefault="00B92885" w:rsidP="00B92885">
      <w:permStart w:id="576722602" w:edGrp="everyone"/>
      <w:r>
        <w:t>TYPE YOUR TEXT HERE</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18E3A72C" w:rsidR="00B92885" w:rsidRDefault="00FC47EF" w:rsidP="00B92885">
      <w:permStart w:id="650455330" w:edGrp="everyone"/>
      <w:r>
        <w:t xml:space="preserve">Yes, </w:t>
      </w:r>
      <w:r w:rsidR="00862072">
        <w:t>Climate Bonds</w:t>
      </w:r>
      <w:r>
        <w:t xml:space="preserve"> </w:t>
      </w:r>
      <w:r w:rsidR="006F6543">
        <w:t xml:space="preserve">Initiative </w:t>
      </w:r>
      <w:r>
        <w:t xml:space="preserve">agrees that funds designating an index as a reference benchmark should also consider the same requirements for fund’s names as any other funds. This is in order to avoid a possible non level playing fields between index funds and other funds, and to use the guidelines to provide clarity to market participants on the largest possible range of funds available in the market. </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77777777" w:rsidR="00B92885" w:rsidRDefault="00B92885" w:rsidP="00B92885">
      <w:permStart w:id="1992309739" w:edGrp="everyone"/>
      <w:r>
        <w:t>TYPE YOUR TEXT HERE</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6FD552EF" w:rsidR="00B92885" w:rsidRDefault="00FC47EF" w:rsidP="00F62C57">
      <w:permStart w:id="1423966990" w:edGrp="everyone"/>
      <w:r>
        <w:t xml:space="preserve">In general </w:t>
      </w:r>
      <w:r w:rsidR="008C795B">
        <w:t>Climate Bonds</w:t>
      </w:r>
      <w:r>
        <w:t xml:space="preserve"> </w:t>
      </w:r>
      <w:r w:rsidR="006F6543">
        <w:t xml:space="preserve">Initiative </w:t>
      </w:r>
      <w:r>
        <w:t xml:space="preserve">would support having guidelines for a clear identification of transition and transition related investments in funds names. This is because </w:t>
      </w:r>
      <w:r w:rsidR="008C795B">
        <w:t>Climate Bonds</w:t>
      </w:r>
      <w:r>
        <w:t xml:space="preserve"> </w:t>
      </w:r>
      <w:r w:rsidR="006F6543">
        <w:t xml:space="preserve">Initiative </w:t>
      </w:r>
      <w:r>
        <w:t>firmly believes that massive capital needs to flow quickly to companies which are not sustainable today, but which are on a transition journey to become sustainable in the shortest time frame possible, given the urgency of reaching climate and environmental goals.</w:t>
      </w:r>
      <w:r w:rsidR="00F62C57">
        <w:t xml:space="preserve"> The signalling of transitioning companies via inclusion in funds with transition and transition related terms in their name, with ESMA guidance on thresholds, could be a way to support this capital allocation.</w:t>
      </w:r>
      <w:r w:rsidR="006F6543">
        <w:t xml:space="preserve"> Furthermore, Climate Bonds Initiative would like to suggest that rather than a specific category of funds with transition related names, such transition related naming provisions might be construed as sub-sets of ESG</w:t>
      </w:r>
      <w:r w:rsidR="009B4481">
        <w:t xml:space="preserve"> or sustainability related fund names categories. This could be the case if the provisions for including transition activities would specify entities and instruments having credible transition plans to sustainability. </w:t>
      </w:r>
      <w:r w:rsidR="008C795B">
        <w:t>Climate Bonds</w:t>
      </w:r>
      <w:r w:rsidR="006F6543">
        <w:t xml:space="preserve"> Initiative</w:t>
      </w:r>
      <w:r>
        <w:t xml:space="preserve"> is </w:t>
      </w:r>
      <w:r w:rsidRPr="00FC47EF">
        <w:t xml:space="preserve">focused on developing eligibility criteria, identifying the necessary policy levers for </w:t>
      </w:r>
      <w:proofErr w:type="gramStart"/>
      <w:r w:rsidRPr="00FC47EF">
        <w:t>change</w:t>
      </w:r>
      <w:proofErr w:type="gramEnd"/>
      <w:r w:rsidRPr="00FC47EF">
        <w:t xml:space="preserve"> and establishing market credibility for transition finance. </w:t>
      </w:r>
      <w:r w:rsidR="008C795B">
        <w:t>Climate Bonds</w:t>
      </w:r>
      <w:r w:rsidR="009B4481">
        <w:t xml:space="preserve"> Initiative</w:t>
      </w:r>
      <w:r w:rsidR="00F62C57">
        <w:t>’</w:t>
      </w:r>
      <w:r w:rsidR="009B4481">
        <w:t>s</w:t>
      </w:r>
      <w:r w:rsidR="00F62C57">
        <w:t xml:space="preserve"> current</w:t>
      </w:r>
      <w:r w:rsidRPr="00FC47EF">
        <w:t xml:space="preserve"> sector focus includes hard to abate sectors from energy, heavy industry, </w:t>
      </w:r>
      <w:proofErr w:type="gramStart"/>
      <w:r w:rsidRPr="00FC47EF">
        <w:t>aviation</w:t>
      </w:r>
      <w:proofErr w:type="gramEnd"/>
      <w:r w:rsidRPr="00FC47EF">
        <w:t xml:space="preserve"> and agriculture.</w:t>
      </w:r>
      <w:r w:rsidR="00F62C57">
        <w:t xml:space="preserve"> For </w:t>
      </w:r>
      <w:r w:rsidR="008C795B">
        <w:t>Climate Bonds</w:t>
      </w:r>
      <w:r w:rsidR="009B4481">
        <w:t xml:space="preserve"> Initiative, </w:t>
      </w:r>
      <w:r w:rsidR="00F62C57">
        <w:t xml:space="preserve">the five hallmarks of a credible company climate mitigation transition are: Paris-aligned targets, robust plans, implementation action, internal </w:t>
      </w:r>
      <w:proofErr w:type="gramStart"/>
      <w:r w:rsidR="00F62C57">
        <w:t>monitoring</w:t>
      </w:r>
      <w:proofErr w:type="gramEnd"/>
      <w:r w:rsidR="00F62C57">
        <w:t xml:space="preserve"> and external reporting. </w:t>
      </w:r>
      <w:r w:rsidR="008C795B">
        <w:t>Climate Bonds</w:t>
      </w:r>
      <w:r w:rsidR="00F62C57">
        <w:t xml:space="preserve"> </w:t>
      </w:r>
      <w:r w:rsidR="009B4481">
        <w:t xml:space="preserve">Initiative </w:t>
      </w:r>
      <w:r w:rsidR="00DD0114">
        <w:t xml:space="preserve">is available to provide any support to ESMA that might be considered useful in relation to transition and transition in funds names. </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77777777" w:rsidR="00B92885" w:rsidRDefault="00B92885" w:rsidP="00B92885">
      <w:permStart w:id="1434478937" w:edGrp="everyone"/>
      <w:r>
        <w:t>TYPE YOUR TEXT HERE</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77777777" w:rsidR="00B92885" w:rsidRDefault="00B92885" w:rsidP="00B92885">
      <w:permStart w:id="489244833" w:edGrp="everyone"/>
      <w:r>
        <w:t>TYPE YOUR TEXT HERE</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777777" w:rsidR="00B92885" w:rsidRDefault="00B92885" w:rsidP="00B92885">
      <w:permStart w:id="1766353355" w:edGrp="everyone"/>
      <w:r>
        <w:t>TYPE YOUR TEXT HERE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79C7B66B" w:rsidR="00B92885" w:rsidRDefault="00B92885" w:rsidP="00B92885">
      <w:permStart w:id="929254269" w:edGrp="everyone"/>
      <w:r>
        <w:t>T</w:t>
      </w:r>
      <w:r w:rsidR="0032435B">
        <w:t xml:space="preserve">he anticipated impact of the proposed guidelines is to reduce the risk of greenwashing in the EU Funds market and the risk of investors being misled by information in funds names. The proposed guidelines help precise the nature of investments that funds bearing ESG and sustainability related names can make. Therefore they contribute to improving investors information and helps the demand for ESG and sustainable investment by investors match the supply of investment. The proposed guidelines therefore help develop sound ESG and sustainability related markets for investment funds in the EU. </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54211267" w:rsidR="00B92885" w:rsidRDefault="0032435B" w:rsidP="00B92885">
      <w:permStart w:id="878708964" w:edGrp="everyone"/>
      <w:r>
        <w:t xml:space="preserve">Compliance with the proposed guidelines would not bring any additional direct cost or benefit to </w:t>
      </w:r>
      <w:r w:rsidR="00862072">
        <w:t>Climate Bonds</w:t>
      </w:r>
      <w:r>
        <w:t xml:space="preserve">. Indirectly, compliance with the proposed guidelines would bring the benefit to </w:t>
      </w:r>
      <w:r w:rsidR="00862072">
        <w:t>Climate Bonds</w:t>
      </w:r>
      <w:r>
        <w:t xml:space="preserve"> of helping achieve its mission of mobilizing 5 trillion of capital by 2025 for the climate transition. This is because the proposed guidelines would help channelling investors’ money, for those who would like to invest sustainably, to investments which are more precisely targeted to achieving the transition, than in the present situation without such guidelines.</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65FC" w14:textId="77777777" w:rsidR="00856116" w:rsidRDefault="00856116">
      <w:r>
        <w:separator/>
      </w:r>
    </w:p>
    <w:p w14:paraId="214352F6" w14:textId="77777777" w:rsidR="00856116" w:rsidRDefault="00856116"/>
  </w:endnote>
  <w:endnote w:type="continuationSeparator" w:id="0">
    <w:p w14:paraId="57E83726" w14:textId="77777777" w:rsidR="00856116" w:rsidRDefault="00856116">
      <w:r>
        <w:continuationSeparator/>
      </w:r>
    </w:p>
    <w:p w14:paraId="0298812E" w14:textId="77777777" w:rsidR="00856116" w:rsidRDefault="00856116"/>
  </w:endnote>
  <w:endnote w:type="continuationNotice" w:id="1">
    <w:p w14:paraId="3704E369" w14:textId="77777777" w:rsidR="00856116" w:rsidRDefault="00856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B2708" w14:textId="77777777" w:rsidR="00856116" w:rsidRDefault="00856116">
      <w:r>
        <w:separator/>
      </w:r>
    </w:p>
    <w:p w14:paraId="14C541F0" w14:textId="77777777" w:rsidR="00856116" w:rsidRDefault="00856116"/>
  </w:footnote>
  <w:footnote w:type="continuationSeparator" w:id="0">
    <w:p w14:paraId="26BE95F9" w14:textId="77777777" w:rsidR="00856116" w:rsidRDefault="00856116">
      <w:r>
        <w:continuationSeparator/>
      </w:r>
    </w:p>
    <w:p w14:paraId="788C25FB" w14:textId="77777777" w:rsidR="00856116" w:rsidRDefault="00856116"/>
  </w:footnote>
  <w:footnote w:type="continuationNotice" w:id="1">
    <w:p w14:paraId="344CC9FF" w14:textId="77777777" w:rsidR="00856116" w:rsidRDefault="00856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A3214E"/>
    <w:multiLevelType w:val="multilevel"/>
    <w:tmpl w:val="A6F20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1849950700">
    <w:abstractNumId w:val="16"/>
  </w:num>
  <w:num w:numId="2" w16cid:durableId="843009683">
    <w:abstractNumId w:val="18"/>
  </w:num>
  <w:num w:numId="3" w16cid:durableId="376588022">
    <w:abstractNumId w:val="11"/>
  </w:num>
  <w:num w:numId="4" w16cid:durableId="1681469555">
    <w:abstractNumId w:val="24"/>
  </w:num>
  <w:num w:numId="5" w16cid:durableId="988750527">
    <w:abstractNumId w:val="26"/>
  </w:num>
  <w:num w:numId="6" w16cid:durableId="1813598531">
    <w:abstractNumId w:val="0"/>
  </w:num>
  <w:num w:numId="7" w16cid:durableId="2016833525">
    <w:abstractNumId w:val="3"/>
  </w:num>
  <w:num w:numId="8" w16cid:durableId="1201288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6300282">
    <w:abstractNumId w:val="32"/>
  </w:num>
  <w:num w:numId="10" w16cid:durableId="14583375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4603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778218">
    <w:abstractNumId w:val="28"/>
  </w:num>
  <w:num w:numId="13" w16cid:durableId="1849056799">
    <w:abstractNumId w:val="31"/>
  </w:num>
  <w:num w:numId="14" w16cid:durableId="525681445">
    <w:abstractNumId w:val="22"/>
  </w:num>
  <w:num w:numId="15" w16cid:durableId="614600808">
    <w:abstractNumId w:val="10"/>
  </w:num>
  <w:num w:numId="16" w16cid:durableId="545028027">
    <w:abstractNumId w:val="1"/>
  </w:num>
  <w:num w:numId="17" w16cid:durableId="1180924463">
    <w:abstractNumId w:val="14"/>
  </w:num>
  <w:num w:numId="18" w16cid:durableId="1930431266">
    <w:abstractNumId w:val="15"/>
  </w:num>
  <w:num w:numId="19" w16cid:durableId="615403738">
    <w:abstractNumId w:val="17"/>
  </w:num>
  <w:num w:numId="20" w16cid:durableId="320038959">
    <w:abstractNumId w:val="27"/>
  </w:num>
  <w:num w:numId="21" w16cid:durableId="1156383303">
    <w:abstractNumId w:val="37"/>
  </w:num>
  <w:num w:numId="22" w16cid:durableId="1429621119">
    <w:abstractNumId w:val="25"/>
  </w:num>
  <w:num w:numId="23" w16cid:durableId="1919705029">
    <w:abstractNumId w:val="9"/>
  </w:num>
  <w:num w:numId="24" w16cid:durableId="1264147904">
    <w:abstractNumId w:val="30"/>
  </w:num>
  <w:num w:numId="25" w16cid:durableId="135949643">
    <w:abstractNumId w:val="29"/>
  </w:num>
  <w:num w:numId="26" w16cid:durableId="1228808963">
    <w:abstractNumId w:val="19"/>
  </w:num>
  <w:num w:numId="27" w16cid:durableId="80152650">
    <w:abstractNumId w:val="33"/>
  </w:num>
  <w:num w:numId="28" w16cid:durableId="672949968">
    <w:abstractNumId w:val="39"/>
  </w:num>
  <w:num w:numId="29" w16cid:durableId="614824839">
    <w:abstractNumId w:val="7"/>
  </w:num>
  <w:num w:numId="30" w16cid:durableId="179441858">
    <w:abstractNumId w:val="2"/>
  </w:num>
  <w:num w:numId="31" w16cid:durableId="5713280">
    <w:abstractNumId w:val="21"/>
  </w:num>
  <w:num w:numId="32" w16cid:durableId="1472013913">
    <w:abstractNumId w:val="20"/>
  </w:num>
  <w:num w:numId="33" w16cid:durableId="474100967">
    <w:abstractNumId w:val="35"/>
  </w:num>
  <w:num w:numId="34" w16cid:durableId="606352175">
    <w:abstractNumId w:val="34"/>
  </w:num>
  <w:num w:numId="35" w16cid:durableId="1896160860">
    <w:abstractNumId w:val="4"/>
  </w:num>
  <w:num w:numId="36" w16cid:durableId="1593511149">
    <w:abstractNumId w:val="36"/>
  </w:num>
  <w:num w:numId="37" w16cid:durableId="871578270">
    <w:abstractNumId w:val="20"/>
    <w:lvlOverride w:ilvl="0">
      <w:startOverride w:val="1"/>
    </w:lvlOverride>
  </w:num>
  <w:num w:numId="38" w16cid:durableId="775826192">
    <w:abstractNumId w:val="20"/>
  </w:num>
  <w:num w:numId="39" w16cid:durableId="578365927">
    <w:abstractNumId w:val="12"/>
  </w:num>
  <w:num w:numId="40" w16cid:durableId="1760251706">
    <w:abstractNumId w:val="5"/>
  </w:num>
  <w:num w:numId="41" w16cid:durableId="526675757">
    <w:abstractNumId w:val="23"/>
    <w:lvlOverride w:ilvl="0"/>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savePreviewPicture/>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4889"/>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550"/>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BF6"/>
    <w:rsid w:val="00123D39"/>
    <w:rsid w:val="001244CD"/>
    <w:rsid w:val="0012566F"/>
    <w:rsid w:val="001262B1"/>
    <w:rsid w:val="00130F41"/>
    <w:rsid w:val="00130FAF"/>
    <w:rsid w:val="00135F2B"/>
    <w:rsid w:val="00136269"/>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579D"/>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4902"/>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E92"/>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35B"/>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AD7"/>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7CB9"/>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B30"/>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707"/>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6543"/>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4680"/>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6116"/>
    <w:rsid w:val="008575EB"/>
    <w:rsid w:val="00862072"/>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7466"/>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C795B"/>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1C50"/>
    <w:rsid w:val="009A31B9"/>
    <w:rsid w:val="009A4D4F"/>
    <w:rsid w:val="009A53D8"/>
    <w:rsid w:val="009A597F"/>
    <w:rsid w:val="009A7B72"/>
    <w:rsid w:val="009A7F49"/>
    <w:rsid w:val="009B03C4"/>
    <w:rsid w:val="009B0AA2"/>
    <w:rsid w:val="009B1D02"/>
    <w:rsid w:val="009B4481"/>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0684"/>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3DA9"/>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0334"/>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2B7A"/>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0114"/>
    <w:rsid w:val="00DD2CDA"/>
    <w:rsid w:val="00DD2D92"/>
    <w:rsid w:val="00DD3026"/>
    <w:rsid w:val="00DD33DC"/>
    <w:rsid w:val="00DD3BB0"/>
    <w:rsid w:val="00DD61F5"/>
    <w:rsid w:val="00DD7418"/>
    <w:rsid w:val="00DE3495"/>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A7BC9"/>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0A5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2C57"/>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7EF"/>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 w:type="character" w:customStyle="1" w:styleId="contentpasted0">
    <w:name w:val="contentpasted0"/>
    <w:basedOn w:val="DefaultParagraphFont"/>
    <w:rsid w:val="00BE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23707172">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35759551">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67621292">
      <w:bodyDiv w:val="1"/>
      <w:marLeft w:val="0"/>
      <w:marRight w:val="0"/>
      <w:marTop w:val="0"/>
      <w:marBottom w:val="0"/>
      <w:divBdr>
        <w:top w:val="none" w:sz="0" w:space="0" w:color="auto"/>
        <w:left w:val="none" w:sz="0" w:space="0" w:color="auto"/>
        <w:bottom w:val="none" w:sz="0" w:space="0" w:color="auto"/>
        <w:right w:val="none" w:sz="0" w:space="0" w:color="auto"/>
      </w:divBdr>
    </w:div>
    <w:div w:id="129074694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89468651">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Props1.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2.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3.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2360</Words>
  <Characters>13455</Characters>
  <Application>Microsoft Office Word</Application>
  <DocSecurity>8</DocSecurity>
  <Lines>112</Lines>
  <Paragraphs>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20110000</vt:lpstr>
      <vt:lpstr>20110000</vt:lpstr>
      <vt:lpstr>20110000</vt:lpstr>
      <vt:lpstr>20110000</vt:lpstr>
    </vt:vector>
  </TitlesOfParts>
  <Company>ESMA</Company>
  <LinksUpToDate>false</LinksUpToDate>
  <CharactersWithSpaces>15784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Mireille Martini</cp:lastModifiedBy>
  <cp:revision>2</cp:revision>
  <cp:lastPrinted>2015-02-18T11:01:00Z</cp:lastPrinted>
  <dcterms:created xsi:type="dcterms:W3CDTF">2023-02-16T15:05:00Z</dcterms:created>
  <dcterms:modified xsi:type="dcterms:W3CDTF">2023-02-16T15:05:00Z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