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Content>
            <w:tc>
              <w:tcPr>
                <w:tcW w:w="5595" w:type="dxa"/>
                <w:shd w:val="clear" w:color="auto" w:fill="auto"/>
              </w:tcPr>
              <w:p w14:paraId="7A68491E" w14:textId="15EA5041" w:rsidR="00C2682A" w:rsidRPr="00AB6D88" w:rsidRDefault="00B65B31" w:rsidP="00FA5524">
                <w:pPr>
                  <w:rPr>
                    <w:rStyle w:val="Platzhaltertext"/>
                    <w:rFonts w:cs="Arial"/>
                  </w:rPr>
                </w:pPr>
                <w:r>
                  <w:rPr>
                    <w:rStyle w:val="Platzhaltertext"/>
                    <w:rFonts w:cs="Arial"/>
                  </w:rPr>
                  <w:t xml:space="preserve">Austrian Federal Economic Chamber, Division </w:t>
                </w:r>
                <w:proofErr w:type="gramStart"/>
                <w:r>
                  <w:rPr>
                    <w:rStyle w:val="Platzhaltertext"/>
                    <w:rFonts w:cs="Arial"/>
                  </w:rPr>
                  <w:t>Bank</w:t>
                </w:r>
                <w:proofErr w:type="gramEnd"/>
                <w:r>
                  <w:rPr>
                    <w:rStyle w:val="Platzhaltertext"/>
                    <w:rFonts w:cs="Arial"/>
                  </w:rPr>
                  <w:t xml:space="preserve"> and Insurance</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2B56FA4"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4017D">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706900AC" w:rsidR="00C2682A" w:rsidRPr="00AB6D88" w:rsidRDefault="00B65B31"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4448B485" w:rsidR="00C2682A" w:rsidRPr="00AB6D88" w:rsidRDefault="00B65B31" w:rsidP="00FA5524">
                <w:pPr>
                  <w:rPr>
                    <w:rFonts w:cs="Arial"/>
                  </w:rPr>
                </w:pPr>
                <w:r>
                  <w:rPr>
                    <w:rFonts w:cs="Arial"/>
                  </w:rPr>
                  <w:t>Austria</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7777777" w:rsidR="00B92885" w:rsidRPr="00B92885" w:rsidRDefault="00B92885" w:rsidP="00B92885">
      <w:pPr>
        <w:spacing w:after="160" w:line="259" w:lineRule="auto"/>
        <w:rPr>
          <w:rFonts w:ascii="Calibri" w:eastAsia="Calibri" w:hAnsi="Calibri"/>
          <w:sz w:val="22"/>
          <w:szCs w:val="22"/>
          <w:lang w:eastAsia="en-US"/>
        </w:rPr>
      </w:pPr>
      <w:permStart w:id="1100430741" w:edGrp="everyone"/>
      <w:r w:rsidRPr="00B92885">
        <w:rPr>
          <w:rFonts w:ascii="Calibri" w:eastAsia="Calibri" w:hAnsi="Calibri"/>
          <w:sz w:val="22"/>
          <w:szCs w:val="22"/>
          <w:lang w:eastAsia="en-US"/>
        </w:rPr>
        <w:t>TYPE YOUR TEXT HERE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578BF9D4" w14:textId="77777777" w:rsidR="00DA4EAD" w:rsidRPr="00DA4EAD" w:rsidRDefault="00DA4EAD" w:rsidP="00DA4EAD">
      <w:pPr>
        <w:autoSpaceDE w:val="0"/>
        <w:autoSpaceDN w:val="0"/>
        <w:adjustRightInd w:val="0"/>
        <w:rPr>
          <w:rFonts w:ascii="Open Sans" w:hAnsi="Open Sans" w:cs="Open Sans"/>
          <w:color w:val="000000"/>
          <w:szCs w:val="20"/>
          <w:lang w:val="en-US" w:eastAsia="en-GB"/>
        </w:rPr>
      </w:pPr>
      <w:permStart w:id="1596738700" w:edGrp="everyone"/>
      <w:r w:rsidRPr="00DA4EAD">
        <w:rPr>
          <w:rFonts w:ascii="Open Sans" w:hAnsi="Open Sans" w:cs="Open Sans"/>
          <w:color w:val="000000"/>
          <w:sz w:val="24"/>
          <w:lang w:val="en-US" w:eastAsia="en-GB"/>
        </w:rPr>
        <w:t xml:space="preserve"> </w:t>
      </w:r>
      <w:r w:rsidRPr="00DA4EAD">
        <w:rPr>
          <w:rFonts w:ascii="Open Sans" w:hAnsi="Open Sans" w:cs="Open Sans"/>
          <w:color w:val="000000"/>
          <w:szCs w:val="20"/>
          <w:lang w:val="en-US" w:eastAsia="en-GB"/>
        </w:rPr>
        <w:t xml:space="preserve">The issue of naming of funds is currently also being discussed </w:t>
      </w:r>
      <w:proofErr w:type="gramStart"/>
      <w:r w:rsidRPr="00DA4EAD">
        <w:rPr>
          <w:rFonts w:ascii="Open Sans" w:hAnsi="Open Sans" w:cs="Open Sans"/>
          <w:color w:val="000000"/>
          <w:szCs w:val="20"/>
          <w:lang w:val="en-US" w:eastAsia="en-GB"/>
        </w:rPr>
        <w:t>in the course of</w:t>
      </w:r>
      <w:proofErr w:type="gramEnd"/>
      <w:r w:rsidRPr="00DA4EAD">
        <w:rPr>
          <w:rFonts w:ascii="Open Sans" w:hAnsi="Open Sans" w:cs="Open Sans"/>
          <w:color w:val="000000"/>
          <w:szCs w:val="20"/>
          <w:lang w:val="en-US" w:eastAsia="en-GB"/>
        </w:rPr>
        <w:t xml:space="preserve"> the </w:t>
      </w:r>
      <w:r w:rsidRPr="00DA4EAD">
        <w:rPr>
          <w:rFonts w:ascii="Open Sans" w:hAnsi="Open Sans" w:cs="Open Sans"/>
          <w:b/>
          <w:bCs/>
          <w:color w:val="000000"/>
          <w:szCs w:val="20"/>
          <w:lang w:val="en-US" w:eastAsia="en-GB"/>
        </w:rPr>
        <w:t>reform of the AIFM Directive (AIFMD II) and the UCITS Directive</w:t>
      </w:r>
      <w:r w:rsidRPr="00DA4EAD">
        <w:rPr>
          <w:rFonts w:ascii="Open Sans" w:hAnsi="Open Sans" w:cs="Open Sans"/>
          <w:color w:val="000000"/>
          <w:szCs w:val="20"/>
          <w:lang w:val="en-US" w:eastAsia="en-GB"/>
        </w:rPr>
        <w:t xml:space="preserve">. The current compromise proposal of the European Parliament (as of January 2023) provides for the following in Art 7 (6) AIFMD II: </w:t>
      </w:r>
    </w:p>
    <w:p w14:paraId="2FFC179A" w14:textId="77777777" w:rsidR="00DA4EAD" w:rsidRPr="00DA4EAD" w:rsidRDefault="00DA4EAD" w:rsidP="00DA4EAD">
      <w:pPr>
        <w:autoSpaceDE w:val="0"/>
        <w:autoSpaceDN w:val="0"/>
        <w:adjustRightInd w:val="0"/>
        <w:rPr>
          <w:rFonts w:ascii="Open Sans" w:hAnsi="Open Sans" w:cs="Open Sans"/>
          <w:color w:val="000000"/>
          <w:szCs w:val="20"/>
          <w:lang w:val="en-US" w:eastAsia="en-GB"/>
        </w:rPr>
      </w:pPr>
      <w:r w:rsidRPr="00DA4EAD">
        <w:rPr>
          <w:rFonts w:ascii="Open Sans" w:hAnsi="Open Sans" w:cs="Open Sans"/>
          <w:i/>
          <w:iCs/>
          <w:color w:val="000000"/>
          <w:szCs w:val="20"/>
          <w:lang w:val="en-US" w:eastAsia="en-GB"/>
        </w:rPr>
        <w:t xml:space="preserve">"In order to ensure consistent </w:t>
      </w:r>
      <w:proofErr w:type="spellStart"/>
      <w:r w:rsidRPr="00DA4EAD">
        <w:rPr>
          <w:rFonts w:ascii="Open Sans" w:hAnsi="Open Sans" w:cs="Open Sans"/>
          <w:i/>
          <w:iCs/>
          <w:color w:val="000000"/>
          <w:szCs w:val="20"/>
          <w:lang w:val="en-US" w:eastAsia="en-GB"/>
        </w:rPr>
        <w:t>harmonisation</w:t>
      </w:r>
      <w:proofErr w:type="spellEnd"/>
      <w:r w:rsidRPr="00DA4EAD">
        <w:rPr>
          <w:rFonts w:ascii="Open Sans" w:hAnsi="Open Sans" w:cs="Open Sans"/>
          <w:i/>
          <w:iCs/>
          <w:color w:val="000000"/>
          <w:szCs w:val="20"/>
          <w:lang w:val="en-US" w:eastAsia="en-GB"/>
        </w:rPr>
        <w:t xml:space="preserve"> of this Article, ESMA may develop draft regulatory technical standards to specify the information to be provided to the competent authorities in the application for the </w:t>
      </w:r>
      <w:proofErr w:type="spellStart"/>
      <w:r w:rsidRPr="00DA4EAD">
        <w:rPr>
          <w:rFonts w:ascii="Open Sans" w:hAnsi="Open Sans" w:cs="Open Sans"/>
          <w:i/>
          <w:iCs/>
          <w:color w:val="000000"/>
          <w:szCs w:val="20"/>
          <w:lang w:val="en-US" w:eastAsia="en-GB"/>
        </w:rPr>
        <w:t>authorisation</w:t>
      </w:r>
      <w:proofErr w:type="spellEnd"/>
      <w:r w:rsidRPr="00DA4EAD">
        <w:rPr>
          <w:rFonts w:ascii="Open Sans" w:hAnsi="Open Sans" w:cs="Open Sans"/>
          <w:i/>
          <w:iCs/>
          <w:color w:val="000000"/>
          <w:szCs w:val="20"/>
          <w:lang w:val="en-US" w:eastAsia="en-GB"/>
        </w:rPr>
        <w:t xml:space="preserve"> of the AIFM, including the </w:t>
      </w:r>
      <w:proofErr w:type="spellStart"/>
      <w:r w:rsidRPr="00DA4EAD">
        <w:rPr>
          <w:rFonts w:ascii="Open Sans" w:hAnsi="Open Sans" w:cs="Open Sans"/>
          <w:i/>
          <w:iCs/>
          <w:color w:val="000000"/>
          <w:szCs w:val="20"/>
          <w:lang w:val="en-US" w:eastAsia="en-GB"/>
        </w:rPr>
        <w:t>programme</w:t>
      </w:r>
      <w:proofErr w:type="spellEnd"/>
      <w:r w:rsidRPr="00DA4EAD">
        <w:rPr>
          <w:rFonts w:ascii="Open Sans" w:hAnsi="Open Sans" w:cs="Open Sans"/>
          <w:i/>
          <w:iCs/>
          <w:color w:val="000000"/>
          <w:szCs w:val="20"/>
          <w:lang w:val="en-US" w:eastAsia="en-GB"/>
        </w:rPr>
        <w:t xml:space="preserve"> of activity, and to specify situations where the name of the AIFs it intends to manage could be materially deceptive or misleading to the investor. (</w:t>
      </w:r>
      <w:proofErr w:type="spellStart"/>
      <w:r w:rsidRPr="00DA4EAD">
        <w:rPr>
          <w:rFonts w:ascii="Open Sans" w:hAnsi="Open Sans" w:cs="Open Sans"/>
          <w:i/>
          <w:iCs/>
          <w:color w:val="000000"/>
          <w:szCs w:val="20"/>
          <w:lang w:val="en-US" w:eastAsia="en-GB"/>
        </w:rPr>
        <w:t>Peksa</w:t>
      </w:r>
      <w:proofErr w:type="spellEnd"/>
      <w:r w:rsidRPr="00DA4EAD">
        <w:rPr>
          <w:rFonts w:ascii="Open Sans" w:hAnsi="Open Sans" w:cs="Open Sans"/>
          <w:i/>
          <w:iCs/>
          <w:color w:val="000000"/>
          <w:szCs w:val="20"/>
          <w:lang w:val="en-US" w:eastAsia="en-GB"/>
        </w:rPr>
        <w:t xml:space="preserve"> 243, Tang+ 244)" </w:t>
      </w:r>
    </w:p>
    <w:p w14:paraId="752243C3" w14:textId="77777777" w:rsidR="00DA4EAD" w:rsidRPr="00DA4EAD" w:rsidRDefault="00DA4EAD" w:rsidP="00DA4EAD">
      <w:pPr>
        <w:autoSpaceDE w:val="0"/>
        <w:autoSpaceDN w:val="0"/>
        <w:adjustRightInd w:val="0"/>
        <w:rPr>
          <w:rFonts w:ascii="Open Sans" w:hAnsi="Open Sans" w:cs="Open Sans"/>
          <w:color w:val="000000"/>
          <w:szCs w:val="20"/>
          <w:lang w:val="en-US" w:eastAsia="en-GB"/>
        </w:rPr>
      </w:pPr>
      <w:r w:rsidRPr="00DA4EAD">
        <w:rPr>
          <w:rFonts w:ascii="Open Sans" w:hAnsi="Open Sans" w:cs="Open Sans"/>
          <w:color w:val="000000"/>
          <w:szCs w:val="20"/>
          <w:lang w:val="en-US" w:eastAsia="en-GB"/>
        </w:rPr>
        <w:t xml:space="preserve">A corresponding RTS </w:t>
      </w:r>
      <w:proofErr w:type="spellStart"/>
      <w:r w:rsidRPr="00DA4EAD">
        <w:rPr>
          <w:rFonts w:ascii="Open Sans" w:hAnsi="Open Sans" w:cs="Open Sans"/>
          <w:color w:val="000000"/>
          <w:szCs w:val="20"/>
          <w:lang w:val="en-US" w:eastAsia="en-GB"/>
        </w:rPr>
        <w:t>authorisation</w:t>
      </w:r>
      <w:proofErr w:type="spellEnd"/>
      <w:r w:rsidRPr="00DA4EAD">
        <w:rPr>
          <w:rFonts w:ascii="Open Sans" w:hAnsi="Open Sans" w:cs="Open Sans"/>
          <w:color w:val="000000"/>
          <w:szCs w:val="20"/>
          <w:lang w:val="en-US" w:eastAsia="en-GB"/>
        </w:rPr>
        <w:t xml:space="preserve"> is contained in Art 5(8) UCITS Directive. </w:t>
      </w:r>
    </w:p>
    <w:p w14:paraId="2F7483FB" w14:textId="3E8E815B" w:rsidR="00DA4EAD" w:rsidRDefault="00DA4EAD" w:rsidP="00DA4EAD">
      <w:r w:rsidRPr="003567F8">
        <w:rPr>
          <w:rFonts w:ascii="Open Sans" w:hAnsi="Open Sans" w:cs="Open Sans"/>
          <w:color w:val="000000"/>
          <w:szCs w:val="20"/>
          <w:lang w:val="en-US" w:eastAsia="en-GB"/>
        </w:rPr>
        <w:t>ESMA is hereby granted an RTS power that also extends to fund naming. This regulation could serve as a gateway for sustainable fund naming if criteria for misleading names are developed. It must therefore be ensured that the negotiations on the AIFMD II/UCITS Directive are not conducted in isolation from the ESMA consultation. In particular, the situation should not arise that ESMA guidelines on fund naming are published which are promptly superseded by later (and possibly diverging) RTS. This would lead to considerable uncertainty and additional burdens for the industry, especially since the fund names also affects the investment strategy and the fund documentation. This is accompanied not least by uncertainty on the part of investors.</w:t>
      </w:r>
    </w:p>
    <w:p w14:paraId="7E27CEE2" w14:textId="6F7C10F0" w:rsidR="00DA4EAD" w:rsidRDefault="00DA4EAD" w:rsidP="00B65B31"/>
    <w:p w14:paraId="6D2F19E5" w14:textId="155BADBF" w:rsidR="003567F8" w:rsidRPr="003567F8" w:rsidRDefault="003567F8" w:rsidP="003567F8">
      <w:pPr>
        <w:autoSpaceDE w:val="0"/>
        <w:autoSpaceDN w:val="0"/>
        <w:adjustRightInd w:val="0"/>
        <w:rPr>
          <w:rFonts w:ascii="Open Sans" w:hAnsi="Open Sans" w:cs="Open Sans"/>
          <w:color w:val="000000"/>
          <w:szCs w:val="20"/>
          <w:lang w:val="en-US" w:eastAsia="en-GB"/>
        </w:rPr>
      </w:pPr>
      <w:r w:rsidRPr="003567F8">
        <w:rPr>
          <w:rFonts w:ascii="Open Sans" w:hAnsi="Open Sans" w:cs="Open Sans"/>
          <w:color w:val="000000"/>
          <w:szCs w:val="20"/>
          <w:lang w:val="en-US" w:eastAsia="en-GB"/>
        </w:rPr>
        <w:t xml:space="preserve">In addition, a </w:t>
      </w:r>
      <w:r w:rsidRPr="003567F8">
        <w:rPr>
          <w:rFonts w:ascii="Open Sans" w:hAnsi="Open Sans" w:cs="Open Sans"/>
          <w:b/>
          <w:bCs/>
          <w:color w:val="000000"/>
          <w:szCs w:val="20"/>
          <w:lang w:val="en-US" w:eastAsia="en-GB"/>
        </w:rPr>
        <w:t xml:space="preserve">reform of the SFDR </w:t>
      </w:r>
      <w:r w:rsidRPr="003567F8">
        <w:rPr>
          <w:rFonts w:ascii="Open Sans" w:hAnsi="Open Sans" w:cs="Open Sans"/>
          <w:color w:val="000000"/>
          <w:szCs w:val="20"/>
          <w:lang w:val="en-US" w:eastAsia="en-GB"/>
        </w:rPr>
        <w:t xml:space="preserve">cannot be ruled out, which could lead to binding requirements for product design and fund naming. Even then, new changes in the investment strategy and/or the fund name and fund documentation would be necessary. From this perspective, too, an anticipation by means of guidelines would create an excessive burden and uncertainty for both management companies and (small) investors. </w:t>
      </w:r>
    </w:p>
    <w:p w14:paraId="43015144" w14:textId="77777777" w:rsidR="003567F8" w:rsidRPr="003567F8" w:rsidRDefault="003567F8" w:rsidP="003567F8">
      <w:pPr>
        <w:autoSpaceDE w:val="0"/>
        <w:autoSpaceDN w:val="0"/>
        <w:adjustRightInd w:val="0"/>
        <w:rPr>
          <w:rFonts w:ascii="Open Sans" w:hAnsi="Open Sans" w:cs="Open Sans"/>
          <w:color w:val="000000"/>
          <w:szCs w:val="20"/>
          <w:lang w:val="en-US" w:eastAsia="en-GB"/>
        </w:rPr>
      </w:pPr>
      <w:r w:rsidRPr="003567F8">
        <w:rPr>
          <w:rFonts w:ascii="Open Sans" w:hAnsi="Open Sans" w:cs="Open Sans"/>
          <w:color w:val="000000"/>
          <w:szCs w:val="20"/>
          <w:lang w:val="en-US" w:eastAsia="en-GB"/>
        </w:rPr>
        <w:t xml:space="preserve">Finally, an amendment to the </w:t>
      </w:r>
      <w:r w:rsidRPr="003567F8">
        <w:rPr>
          <w:rFonts w:ascii="Open Sans" w:hAnsi="Open Sans" w:cs="Open Sans"/>
          <w:b/>
          <w:bCs/>
          <w:color w:val="000000"/>
          <w:szCs w:val="20"/>
          <w:lang w:val="en-US" w:eastAsia="en-GB"/>
        </w:rPr>
        <w:t>UCP Directive (</w:t>
      </w:r>
      <w:proofErr w:type="gramStart"/>
      <w:r w:rsidRPr="003567F8">
        <w:rPr>
          <w:rFonts w:ascii="Open Sans" w:hAnsi="Open Sans" w:cs="Open Sans"/>
          <w:b/>
          <w:bCs/>
          <w:color w:val="000000"/>
          <w:szCs w:val="20"/>
          <w:lang w:val="en-US" w:eastAsia="en-GB"/>
        </w:rPr>
        <w:t>COM(</w:t>
      </w:r>
      <w:proofErr w:type="gramEnd"/>
      <w:r w:rsidRPr="003567F8">
        <w:rPr>
          <w:rFonts w:ascii="Open Sans" w:hAnsi="Open Sans" w:cs="Open Sans"/>
          <w:b/>
          <w:bCs/>
          <w:color w:val="000000"/>
          <w:szCs w:val="20"/>
          <w:lang w:val="en-US" w:eastAsia="en-GB"/>
        </w:rPr>
        <w:t xml:space="preserve">2022)143 final) </w:t>
      </w:r>
      <w:r w:rsidRPr="003567F8">
        <w:rPr>
          <w:rFonts w:ascii="Open Sans" w:hAnsi="Open Sans" w:cs="Open Sans"/>
          <w:color w:val="000000"/>
          <w:szCs w:val="20"/>
          <w:lang w:val="en-US" w:eastAsia="en-GB"/>
        </w:rPr>
        <w:t xml:space="preserve">is also under consideration, which aims in particular to prevent greenwashing and contains new per se prohibitions on making environmental claims and non-transparent sustainability labels. Greenwashing - insofar as it is not already covered by the existing regulations on unfair competition - is thus also combated at this level. After all, the fund name is a marketing tool. From this perspective, too, there should be no discrepancy between statutory regulations under private law and the supervisory assessment. In particular, the legal starting position through the </w:t>
      </w:r>
      <w:r w:rsidRPr="003567F8">
        <w:rPr>
          <w:rFonts w:ascii="Open Sans" w:hAnsi="Open Sans" w:cs="Open Sans"/>
          <w:b/>
          <w:bCs/>
          <w:color w:val="000000"/>
          <w:szCs w:val="20"/>
          <w:lang w:val="en-US" w:eastAsia="en-GB"/>
        </w:rPr>
        <w:t>regulations on unfair competition appears clear and sufficient to combat greenwashing</w:t>
      </w:r>
      <w:r w:rsidRPr="003567F8">
        <w:rPr>
          <w:rFonts w:ascii="Open Sans" w:hAnsi="Open Sans" w:cs="Open Sans"/>
          <w:color w:val="000000"/>
          <w:szCs w:val="20"/>
          <w:lang w:val="en-US" w:eastAsia="en-GB"/>
        </w:rPr>
        <w:t xml:space="preserve">. </w:t>
      </w:r>
    </w:p>
    <w:p w14:paraId="249766E9" w14:textId="7118EE32" w:rsidR="003567F8" w:rsidRPr="003567F8" w:rsidRDefault="003567F8" w:rsidP="003567F8">
      <w:pPr>
        <w:autoSpaceDE w:val="0"/>
        <w:autoSpaceDN w:val="0"/>
        <w:adjustRightInd w:val="0"/>
        <w:rPr>
          <w:rFonts w:ascii="Open Sans" w:hAnsi="Open Sans" w:cs="Open Sans"/>
          <w:color w:val="000000"/>
          <w:szCs w:val="20"/>
          <w:lang w:val="en-US" w:eastAsia="en-GB"/>
        </w:rPr>
      </w:pPr>
      <w:r w:rsidRPr="003567F8">
        <w:rPr>
          <w:rFonts w:ascii="Open Sans" w:hAnsi="Open Sans" w:cs="Open Sans"/>
          <w:color w:val="000000"/>
          <w:szCs w:val="20"/>
          <w:lang w:val="en-US" w:eastAsia="en-GB"/>
        </w:rPr>
        <w:t xml:space="preserve">In general, uniform requirements, such as thresholds, are to be welcomed in principle, as they are suitable for reducing legal uncertainty and creating a level playing field in the internal market. Clear benchmarks also reduce the potential risk of greenwashing allegations and create clarity for (small) investors and legal certainty for fund managers. Notwithstanding this, </w:t>
      </w:r>
      <w:r w:rsidR="00531A51" w:rsidRPr="00531A51">
        <w:rPr>
          <w:rFonts w:ascii="Open Sans" w:hAnsi="Open Sans" w:cs="Open Sans"/>
          <w:color w:val="000000"/>
          <w:szCs w:val="20"/>
          <w:lang w:val="en-US" w:eastAsia="en-GB"/>
        </w:rPr>
        <w:t>we are</w:t>
      </w:r>
      <w:r w:rsidRPr="003567F8">
        <w:rPr>
          <w:rFonts w:ascii="Open Sans" w:hAnsi="Open Sans" w:cs="Open Sans"/>
          <w:color w:val="000000"/>
          <w:szCs w:val="20"/>
          <w:lang w:val="en-US" w:eastAsia="en-GB"/>
        </w:rPr>
        <w:t xml:space="preserve"> </w:t>
      </w:r>
      <w:r w:rsidRPr="003567F8">
        <w:rPr>
          <w:rFonts w:ascii="Open Sans" w:hAnsi="Open Sans" w:cs="Open Sans"/>
          <w:b/>
          <w:bCs/>
          <w:color w:val="000000"/>
          <w:szCs w:val="20"/>
          <w:lang w:val="en-US" w:eastAsia="en-GB"/>
        </w:rPr>
        <w:t xml:space="preserve">critical </w:t>
      </w:r>
      <w:r w:rsidRPr="003567F8">
        <w:rPr>
          <w:rFonts w:ascii="Open Sans" w:hAnsi="Open Sans" w:cs="Open Sans"/>
          <w:color w:val="000000"/>
          <w:szCs w:val="20"/>
          <w:lang w:val="en-US" w:eastAsia="en-GB"/>
        </w:rPr>
        <w:t xml:space="preserve">of the guidelines consulted, on the one hand </w:t>
      </w:r>
      <w:proofErr w:type="gramStart"/>
      <w:r w:rsidRPr="003567F8">
        <w:rPr>
          <w:rFonts w:ascii="Open Sans" w:hAnsi="Open Sans" w:cs="Open Sans"/>
          <w:color w:val="000000"/>
          <w:szCs w:val="20"/>
          <w:lang w:val="en-US" w:eastAsia="en-GB"/>
        </w:rPr>
        <w:t>with regard to</w:t>
      </w:r>
      <w:proofErr w:type="gramEnd"/>
      <w:r w:rsidRPr="003567F8">
        <w:rPr>
          <w:rFonts w:ascii="Open Sans" w:hAnsi="Open Sans" w:cs="Open Sans"/>
          <w:color w:val="000000"/>
          <w:szCs w:val="20"/>
          <w:lang w:val="en-US" w:eastAsia="en-GB"/>
        </w:rPr>
        <w:t xml:space="preserve"> their timing and on the other hand with regard to their content. </w:t>
      </w:r>
    </w:p>
    <w:p w14:paraId="5F53BDE0" w14:textId="77777777" w:rsidR="003567F8" w:rsidRPr="003567F8" w:rsidRDefault="003567F8" w:rsidP="003567F8">
      <w:pPr>
        <w:autoSpaceDE w:val="0"/>
        <w:autoSpaceDN w:val="0"/>
        <w:adjustRightInd w:val="0"/>
        <w:rPr>
          <w:rFonts w:ascii="Open Sans" w:hAnsi="Open Sans" w:cs="Open Sans"/>
          <w:color w:val="000000"/>
          <w:szCs w:val="20"/>
          <w:lang w:val="en-US" w:eastAsia="en-GB"/>
        </w:rPr>
      </w:pPr>
      <w:proofErr w:type="gramStart"/>
      <w:r w:rsidRPr="003567F8">
        <w:rPr>
          <w:rFonts w:ascii="Open Sans" w:hAnsi="Open Sans" w:cs="Open Sans"/>
          <w:color w:val="000000"/>
          <w:szCs w:val="20"/>
          <w:lang w:val="en-US" w:eastAsia="en-GB"/>
        </w:rPr>
        <w:t>First of all</w:t>
      </w:r>
      <w:proofErr w:type="gramEnd"/>
      <w:r w:rsidRPr="003567F8">
        <w:rPr>
          <w:rFonts w:ascii="Open Sans" w:hAnsi="Open Sans" w:cs="Open Sans"/>
          <w:color w:val="000000"/>
          <w:szCs w:val="20"/>
          <w:lang w:val="en-US" w:eastAsia="en-GB"/>
        </w:rPr>
        <w:t xml:space="preserve">, any quantitative threshold depends on the </w:t>
      </w:r>
      <w:r w:rsidRPr="003567F8">
        <w:rPr>
          <w:rFonts w:ascii="Open Sans" w:hAnsi="Open Sans" w:cs="Open Sans"/>
          <w:b/>
          <w:bCs/>
          <w:color w:val="000000"/>
          <w:szCs w:val="20"/>
          <w:lang w:val="en-US" w:eastAsia="en-GB"/>
        </w:rPr>
        <w:t>availability of data</w:t>
      </w:r>
      <w:r w:rsidRPr="003567F8">
        <w:rPr>
          <w:rFonts w:ascii="Open Sans" w:hAnsi="Open Sans" w:cs="Open Sans"/>
          <w:color w:val="000000"/>
          <w:szCs w:val="20"/>
          <w:lang w:val="en-US" w:eastAsia="en-GB"/>
        </w:rPr>
        <w:t xml:space="preserve">, which does not appear to be certain at the present time. Furthermore, a quantitative threshold would also have an impact on the limits-check; however, ESG/sustainable investments should not be treated like risk limits. </w:t>
      </w:r>
    </w:p>
    <w:p w14:paraId="2AA83449" w14:textId="3185BFB7" w:rsidR="003567F8" w:rsidRPr="003567F8" w:rsidRDefault="003567F8" w:rsidP="003567F8">
      <w:pPr>
        <w:autoSpaceDE w:val="0"/>
        <w:autoSpaceDN w:val="0"/>
        <w:adjustRightInd w:val="0"/>
        <w:rPr>
          <w:rFonts w:ascii="Open Sans" w:hAnsi="Open Sans" w:cs="Open Sans"/>
          <w:color w:val="000000"/>
          <w:szCs w:val="20"/>
          <w:lang w:val="en-US" w:eastAsia="en-GB"/>
        </w:rPr>
      </w:pPr>
      <w:r w:rsidRPr="003567F8">
        <w:rPr>
          <w:rFonts w:ascii="Open Sans" w:hAnsi="Open Sans" w:cs="Open Sans"/>
          <w:color w:val="000000"/>
          <w:szCs w:val="20"/>
          <w:lang w:val="en-US" w:eastAsia="en-GB"/>
        </w:rPr>
        <w:t xml:space="preserve">Insofar as quantitative thresholds are adhered to, </w:t>
      </w:r>
      <w:r w:rsidR="00531A51">
        <w:rPr>
          <w:rFonts w:ascii="Open Sans" w:hAnsi="Open Sans" w:cs="Open Sans"/>
          <w:color w:val="000000"/>
          <w:szCs w:val="20"/>
          <w:lang w:val="en-US" w:eastAsia="en-GB"/>
        </w:rPr>
        <w:t>we</w:t>
      </w:r>
      <w:r w:rsidRPr="003567F8">
        <w:rPr>
          <w:rFonts w:ascii="Open Sans" w:hAnsi="Open Sans" w:cs="Open Sans"/>
          <w:color w:val="000000"/>
          <w:szCs w:val="20"/>
          <w:lang w:val="en-US" w:eastAsia="en-GB"/>
        </w:rPr>
        <w:t xml:space="preserve"> consider the percentage requirements to be </w:t>
      </w:r>
      <w:r w:rsidRPr="003567F8">
        <w:rPr>
          <w:rFonts w:ascii="Open Sans" w:hAnsi="Open Sans" w:cs="Open Sans"/>
          <w:b/>
          <w:bCs/>
          <w:color w:val="000000"/>
          <w:szCs w:val="20"/>
          <w:lang w:val="en-US" w:eastAsia="en-GB"/>
        </w:rPr>
        <w:t>too high</w:t>
      </w:r>
      <w:r w:rsidRPr="003567F8">
        <w:rPr>
          <w:rFonts w:ascii="Open Sans" w:hAnsi="Open Sans" w:cs="Open Sans"/>
          <w:color w:val="000000"/>
          <w:szCs w:val="20"/>
          <w:lang w:val="en-US" w:eastAsia="en-GB"/>
        </w:rPr>
        <w:t xml:space="preserve">; this concerns both the 80% and 50% thresholds. </w:t>
      </w:r>
    </w:p>
    <w:p w14:paraId="088B5A4D" w14:textId="00962745" w:rsidR="00B92885" w:rsidRDefault="003567F8" w:rsidP="00B92885">
      <w:r w:rsidRPr="00531A51">
        <w:rPr>
          <w:rFonts w:ascii="Open Sans" w:hAnsi="Open Sans" w:cs="Open Sans"/>
          <w:color w:val="000000"/>
          <w:szCs w:val="20"/>
          <w:lang w:val="en-US" w:eastAsia="en-GB"/>
        </w:rPr>
        <w:t xml:space="preserve">This is also due to the administrative practice of the Austrian FMA: in </w:t>
      </w:r>
      <w:r w:rsidRPr="00531A51">
        <w:rPr>
          <w:rFonts w:ascii="Open Sans" w:hAnsi="Open Sans" w:cs="Open Sans"/>
          <w:b/>
          <w:bCs/>
          <w:color w:val="000000"/>
          <w:szCs w:val="20"/>
          <w:lang w:val="en-US" w:eastAsia="en-GB"/>
        </w:rPr>
        <w:t xml:space="preserve">Austria </w:t>
      </w:r>
      <w:r w:rsidRPr="00531A51">
        <w:rPr>
          <w:rFonts w:ascii="Open Sans" w:hAnsi="Open Sans" w:cs="Open Sans"/>
          <w:color w:val="000000"/>
          <w:szCs w:val="20"/>
          <w:lang w:val="en-US" w:eastAsia="en-GB"/>
        </w:rPr>
        <w:t xml:space="preserve">fund names depend on a </w:t>
      </w:r>
      <w:r w:rsidRPr="00531A51">
        <w:rPr>
          <w:rFonts w:ascii="Open Sans" w:hAnsi="Open Sans" w:cs="Open Sans"/>
          <w:b/>
          <w:bCs/>
          <w:color w:val="000000"/>
          <w:szCs w:val="20"/>
          <w:lang w:val="en-US" w:eastAsia="en-GB"/>
        </w:rPr>
        <w:t>51% threshold</w:t>
      </w:r>
      <w:r w:rsidRPr="00531A51">
        <w:rPr>
          <w:rFonts w:ascii="Open Sans" w:hAnsi="Open Sans" w:cs="Open Sans"/>
          <w:color w:val="000000"/>
          <w:szCs w:val="20"/>
          <w:lang w:val="en-US" w:eastAsia="en-GB"/>
        </w:rPr>
        <w:t xml:space="preserve">. The existing guidelines and administrative practice of the Austrian FMA are </w:t>
      </w:r>
      <w:r w:rsidRPr="00531A51">
        <w:rPr>
          <w:rFonts w:ascii="Open Sans" w:hAnsi="Open Sans" w:cs="Open Sans"/>
          <w:b/>
          <w:bCs/>
          <w:color w:val="000000"/>
          <w:szCs w:val="20"/>
          <w:lang w:val="en-US" w:eastAsia="en-GB"/>
        </w:rPr>
        <w:t xml:space="preserve">deeply anchored in the Austrian fund landscape </w:t>
      </w:r>
      <w:r w:rsidRPr="00531A51">
        <w:rPr>
          <w:rFonts w:ascii="Open Sans" w:hAnsi="Open Sans" w:cs="Open Sans"/>
          <w:color w:val="000000"/>
          <w:szCs w:val="20"/>
          <w:lang w:val="en-US" w:eastAsia="en-GB"/>
        </w:rPr>
        <w:t xml:space="preserve">and have proven themselves over the years. A European </w:t>
      </w:r>
      <w:r w:rsidRPr="00531A51">
        <w:rPr>
          <w:rFonts w:ascii="Open Sans" w:hAnsi="Open Sans" w:cs="Open Sans"/>
          <w:color w:val="000000"/>
          <w:szCs w:val="20"/>
          <w:lang w:val="en-US" w:eastAsia="en-GB"/>
        </w:rPr>
        <w:lastRenderedPageBreak/>
        <w:t xml:space="preserve">regulation on sustainability names should not lead to name requirements that are completely independent and detached from this matter, such as adapting new criteria and breaking up existing structures. We therefore hope that </w:t>
      </w:r>
      <w:r w:rsidRPr="00531A51">
        <w:rPr>
          <w:rFonts w:ascii="Open Sans" w:hAnsi="Open Sans" w:cs="Open Sans"/>
          <w:b/>
          <w:bCs/>
          <w:color w:val="000000"/>
          <w:szCs w:val="20"/>
          <w:lang w:val="en-US" w:eastAsia="en-GB"/>
        </w:rPr>
        <w:t>national specificities and administrative practice</w:t>
      </w:r>
      <w:r w:rsidR="00531A51">
        <w:rPr>
          <w:rFonts w:ascii="Open Sans" w:hAnsi="Open Sans" w:cs="Open Sans"/>
          <w:b/>
          <w:bCs/>
          <w:color w:val="000000"/>
          <w:szCs w:val="20"/>
          <w:lang w:val="en-US" w:eastAsia="en-GB"/>
        </w:rPr>
        <w:t>s</w:t>
      </w:r>
      <w:r w:rsidRPr="00531A51">
        <w:rPr>
          <w:rFonts w:ascii="Open Sans" w:hAnsi="Open Sans" w:cs="Open Sans"/>
          <w:b/>
          <w:bCs/>
          <w:color w:val="000000"/>
          <w:szCs w:val="20"/>
          <w:lang w:val="en-US" w:eastAsia="en-GB"/>
        </w:rPr>
        <w:t xml:space="preserve"> with regard to fund naming </w:t>
      </w:r>
      <w:r w:rsidR="009B75E9">
        <w:rPr>
          <w:rFonts w:ascii="Open Sans" w:hAnsi="Open Sans" w:cs="Open Sans"/>
          <w:b/>
          <w:bCs/>
          <w:color w:val="000000"/>
          <w:szCs w:val="20"/>
          <w:lang w:val="en-US" w:eastAsia="en-GB"/>
        </w:rPr>
        <w:t>are</w:t>
      </w:r>
      <w:r w:rsidRPr="00531A51">
        <w:rPr>
          <w:rFonts w:ascii="Open Sans" w:hAnsi="Open Sans" w:cs="Open Sans"/>
          <w:b/>
          <w:bCs/>
          <w:color w:val="000000"/>
          <w:szCs w:val="20"/>
          <w:lang w:val="en-US" w:eastAsia="en-GB"/>
        </w:rPr>
        <w:t xml:space="preserve"> </w:t>
      </w:r>
      <w:r w:rsidR="009B75E9">
        <w:rPr>
          <w:rFonts w:ascii="Open Sans" w:hAnsi="Open Sans" w:cs="Open Sans"/>
          <w:b/>
          <w:bCs/>
          <w:color w:val="000000"/>
          <w:szCs w:val="20"/>
          <w:lang w:val="en-US" w:eastAsia="en-GB"/>
        </w:rPr>
        <w:t>considered</w:t>
      </w:r>
      <w:r w:rsidRPr="00531A51">
        <w:rPr>
          <w:rFonts w:ascii="Open Sans" w:hAnsi="Open Sans" w:cs="Open Sans"/>
          <w:b/>
          <w:bCs/>
          <w:color w:val="000000"/>
          <w:szCs w:val="20"/>
          <w:lang w:val="en-US" w:eastAsia="en-GB"/>
        </w:rPr>
        <w:t xml:space="preserve"> </w:t>
      </w:r>
      <w:r w:rsidRPr="00531A51">
        <w:rPr>
          <w:rFonts w:ascii="Open Sans" w:hAnsi="Open Sans" w:cs="Open Sans"/>
          <w:color w:val="000000"/>
          <w:szCs w:val="20"/>
          <w:lang w:val="en-US" w:eastAsia="en-GB"/>
        </w:rPr>
        <w:t xml:space="preserve">and want to reiterate that ESMA Guidelines are </w:t>
      </w:r>
      <w:r w:rsidR="00531A51">
        <w:rPr>
          <w:rFonts w:ascii="Open Sans" w:hAnsi="Open Sans" w:cs="Open Sans"/>
          <w:color w:val="000000"/>
          <w:szCs w:val="20"/>
          <w:lang w:val="en-US" w:eastAsia="en-GB"/>
        </w:rPr>
        <w:t xml:space="preserve">generally </w:t>
      </w:r>
      <w:r w:rsidRPr="00531A51">
        <w:rPr>
          <w:rFonts w:ascii="Open Sans" w:hAnsi="Open Sans" w:cs="Open Sans"/>
          <w:color w:val="000000"/>
          <w:szCs w:val="20"/>
          <w:lang w:val="en-US" w:eastAsia="en-GB"/>
        </w:rPr>
        <w:t xml:space="preserve">not binding and subject to the „comply or </w:t>
      </w:r>
      <w:proofErr w:type="gramStart"/>
      <w:r w:rsidRPr="00531A51">
        <w:rPr>
          <w:rFonts w:ascii="Open Sans" w:hAnsi="Open Sans" w:cs="Open Sans"/>
          <w:color w:val="000000"/>
          <w:szCs w:val="20"/>
          <w:lang w:val="en-US" w:eastAsia="en-GB"/>
        </w:rPr>
        <w:t>explain“</w:t>
      </w:r>
      <w:proofErr w:type="gramEnd"/>
      <w:r w:rsidRPr="00531A51">
        <w:rPr>
          <w:rFonts w:ascii="Open Sans" w:hAnsi="Open Sans" w:cs="Open Sans"/>
          <w:color w:val="000000"/>
          <w:szCs w:val="20"/>
          <w:lang w:val="en-US" w:eastAsia="en-GB"/>
        </w:rPr>
        <w:t>-mechanism.</w:t>
      </w:r>
      <w:permEnd w:id="1596738700"/>
      <w:r w:rsidR="00B92885">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562CCC86" w14:textId="12D384C5" w:rsidR="00B92885" w:rsidRDefault="00D84093" w:rsidP="00B92885">
      <w:permStart w:id="1305634831" w:edGrp="everyone"/>
      <w:r>
        <w:rPr>
          <w:szCs w:val="20"/>
        </w:rPr>
        <w:t xml:space="preserve">The level of a quantitative threshold of </w:t>
      </w:r>
      <w:r>
        <w:rPr>
          <w:b/>
          <w:bCs/>
          <w:szCs w:val="20"/>
        </w:rPr>
        <w:t xml:space="preserve">80% </w:t>
      </w:r>
      <w:r>
        <w:rPr>
          <w:szCs w:val="20"/>
        </w:rPr>
        <w:t xml:space="preserve">for the use of ESG-related terms in fund names is in contradiction with existing national guidelines of NCAs. According to the Austrian FMA, the use of a fund type, such as stock funds, requires that at least 51% of the value of the fund's assets be invested in the named asset, </w:t>
      </w:r>
      <w:proofErr w:type="gramStart"/>
      <w:r>
        <w:rPr>
          <w:szCs w:val="20"/>
        </w:rPr>
        <w:t>i.e.</w:t>
      </w:r>
      <w:proofErr w:type="gramEnd"/>
      <w:r>
        <w:rPr>
          <w:szCs w:val="20"/>
        </w:rPr>
        <w:t xml:space="preserve"> stocks. These requirements are also set by the German BaFin in its fund category guidelines, which provide for a threshold of more than 50%. </w:t>
      </w:r>
      <w:permEnd w:id="1305634831"/>
      <w:r w:rsidR="00B92885">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4C140ACE" w14:textId="07A1FA7C" w:rsidR="00B92885" w:rsidRDefault="005476E1" w:rsidP="00B92885">
      <w:permStart w:id="347949177" w:edGrp="everyone"/>
      <w:r>
        <w:rPr>
          <w:szCs w:val="20"/>
        </w:rPr>
        <w:t xml:space="preserve">The additional threshold of </w:t>
      </w:r>
      <w:r>
        <w:rPr>
          <w:b/>
          <w:bCs/>
          <w:szCs w:val="20"/>
        </w:rPr>
        <w:t xml:space="preserve">50% </w:t>
      </w:r>
      <w:r>
        <w:rPr>
          <w:szCs w:val="20"/>
        </w:rPr>
        <w:t xml:space="preserve">for the use of "sustainable" or other sustainability-related terms does not seem practicable either, as this </w:t>
      </w:r>
      <w:r>
        <w:rPr>
          <w:szCs w:val="20"/>
        </w:rPr>
        <w:t>seems</w:t>
      </w:r>
      <w:r>
        <w:rPr>
          <w:szCs w:val="20"/>
        </w:rPr>
        <w:t xml:space="preserve"> inappropriate before the still pending clarification of the definition of "sustainable investment" in the meaning of Art 2(17) SFDR and the still insufficient data situation in connection with the introduction of the CSRD. Within the framework of Art 2(17) SFDR, each FMP decides for itself - along the known parameters - how a "sustainable investment" is structured; if, for example, an FMP chooses the approach, analogous to the taxonomy, of </w:t>
      </w:r>
      <w:proofErr w:type="gramStart"/>
      <w:r>
        <w:rPr>
          <w:szCs w:val="20"/>
        </w:rPr>
        <w:t>actually only</w:t>
      </w:r>
      <w:proofErr w:type="gramEnd"/>
      <w:r>
        <w:rPr>
          <w:szCs w:val="20"/>
        </w:rPr>
        <w:t xml:space="preserve"> taking into account the percentage of a company's turnover that is "sustainable" in the calculation, the values of sustainable investments will </w:t>
      </w:r>
      <w:r w:rsidR="00AF2509">
        <w:rPr>
          <w:szCs w:val="20"/>
        </w:rPr>
        <w:t xml:space="preserve">in general </w:t>
      </w:r>
      <w:r>
        <w:rPr>
          <w:szCs w:val="20"/>
        </w:rPr>
        <w:t xml:space="preserve">be very low. If, on the other hand, the entire investment - from a defined threshold value onwards - were to be assessed as "sustainable", a </w:t>
      </w:r>
      <w:r w:rsidR="0041441E">
        <w:rPr>
          <w:szCs w:val="20"/>
        </w:rPr>
        <w:t>considerably</w:t>
      </w:r>
      <w:r>
        <w:rPr>
          <w:szCs w:val="20"/>
        </w:rPr>
        <w:t xml:space="preserve"> higher value of "sustainable investments" could be achieved; a quantitative threshold value that is too high could thus lead to a dilution of the institution's internal definition of "sustainable investments", which in turn would not be in the interest of the investor. </w:t>
      </w:r>
      <w:permEnd w:id="347949177"/>
      <w:r w:rsidR="00B92885">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77777777" w:rsidR="00B92885" w:rsidRDefault="00B92885" w:rsidP="00B92885">
      <w:permStart w:id="351877901" w:edGrp="everyone"/>
      <w:r>
        <w:t>TYPE YOUR TEXT HERE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51B857B9" w:rsidR="00B92885" w:rsidRDefault="00B92885" w:rsidP="00B92885">
      <w:permStart w:id="1539323392" w:edGrp="everyone"/>
      <w:r>
        <w:t>TYPE YOUR TEXT HERE</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lastRenderedPageBreak/>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2A9BE4F8" w14:textId="77777777" w:rsidR="009F260E" w:rsidRPr="009F260E" w:rsidRDefault="009F260E" w:rsidP="009F260E">
      <w:pPr>
        <w:autoSpaceDE w:val="0"/>
        <w:autoSpaceDN w:val="0"/>
        <w:adjustRightInd w:val="0"/>
        <w:rPr>
          <w:rFonts w:ascii="Open Sans" w:hAnsi="Open Sans" w:cs="Open Sans"/>
          <w:color w:val="000000"/>
          <w:szCs w:val="20"/>
          <w:lang w:val="en-US" w:eastAsia="en-GB"/>
        </w:rPr>
      </w:pPr>
      <w:permStart w:id="175976681" w:edGrp="everyone"/>
      <w:r w:rsidRPr="009F260E">
        <w:rPr>
          <w:rFonts w:ascii="Open Sans" w:hAnsi="Open Sans" w:cs="Open Sans"/>
          <w:color w:val="000000"/>
          <w:szCs w:val="20"/>
          <w:lang w:val="en-US" w:eastAsia="en-GB"/>
        </w:rPr>
        <w:t xml:space="preserve">ESMA proposes the application of a minimum safeguards for sustainable investment funds based on exclusions related to EU benchmarks. This proposal is considered an </w:t>
      </w:r>
      <w:r w:rsidRPr="009F260E">
        <w:rPr>
          <w:rFonts w:ascii="Open Sans" w:hAnsi="Open Sans" w:cs="Open Sans"/>
          <w:b/>
          <w:bCs/>
          <w:color w:val="000000"/>
          <w:szCs w:val="20"/>
          <w:lang w:val="en-US" w:eastAsia="en-GB"/>
        </w:rPr>
        <w:t xml:space="preserve">excessive restriction </w:t>
      </w:r>
      <w:r w:rsidRPr="009F260E">
        <w:rPr>
          <w:rFonts w:ascii="Open Sans" w:hAnsi="Open Sans" w:cs="Open Sans"/>
          <w:color w:val="000000"/>
          <w:szCs w:val="20"/>
          <w:lang w:val="en-US" w:eastAsia="en-GB"/>
        </w:rPr>
        <w:t xml:space="preserve">as it limits the possibility of different sustainability approaches in the management of investment funds. The guidelines should not lead to specifications </w:t>
      </w:r>
      <w:proofErr w:type="gramStart"/>
      <w:r w:rsidRPr="009F260E">
        <w:rPr>
          <w:rFonts w:ascii="Open Sans" w:hAnsi="Open Sans" w:cs="Open Sans"/>
          <w:color w:val="000000"/>
          <w:szCs w:val="20"/>
          <w:lang w:val="en-US" w:eastAsia="en-GB"/>
        </w:rPr>
        <w:t>with regard to</w:t>
      </w:r>
      <w:proofErr w:type="gramEnd"/>
      <w:r w:rsidRPr="009F260E">
        <w:rPr>
          <w:rFonts w:ascii="Open Sans" w:hAnsi="Open Sans" w:cs="Open Sans"/>
          <w:color w:val="000000"/>
          <w:szCs w:val="20"/>
          <w:lang w:val="en-US" w:eastAsia="en-GB"/>
        </w:rPr>
        <w:t xml:space="preserve"> product design and thus indirectly set minimum exclusion criteria for investment funds. </w:t>
      </w:r>
    </w:p>
    <w:p w14:paraId="6EE97467" w14:textId="0D38587A" w:rsidR="00B92885" w:rsidRDefault="009F260E" w:rsidP="00B92885">
      <w:proofErr w:type="gramStart"/>
      <w:r w:rsidRPr="00D52614">
        <w:rPr>
          <w:rFonts w:ascii="Open Sans" w:hAnsi="Open Sans" w:cs="Open Sans"/>
          <w:color w:val="000000"/>
          <w:szCs w:val="20"/>
          <w:lang w:val="en-US" w:eastAsia="en-GB"/>
        </w:rPr>
        <w:t>In the event that</w:t>
      </w:r>
      <w:proofErr w:type="gramEnd"/>
      <w:r w:rsidRPr="00D52614">
        <w:rPr>
          <w:rFonts w:ascii="Open Sans" w:hAnsi="Open Sans" w:cs="Open Sans"/>
          <w:color w:val="000000"/>
          <w:szCs w:val="20"/>
          <w:lang w:val="en-US" w:eastAsia="en-GB"/>
        </w:rPr>
        <w:t xml:space="preserve"> minimum safeguards are nevertheless applied, the proposed exclusion criteria in Art 12 (1) </w:t>
      </w:r>
      <w:proofErr w:type="spellStart"/>
      <w:r w:rsidRPr="00D52614">
        <w:rPr>
          <w:rFonts w:ascii="Open Sans" w:hAnsi="Open Sans" w:cs="Open Sans"/>
          <w:color w:val="000000"/>
          <w:szCs w:val="20"/>
          <w:lang w:val="en-US" w:eastAsia="en-GB"/>
        </w:rPr>
        <w:t>DelVO</w:t>
      </w:r>
      <w:proofErr w:type="spellEnd"/>
      <w:r w:rsidRPr="00D52614">
        <w:rPr>
          <w:rFonts w:ascii="Open Sans" w:hAnsi="Open Sans" w:cs="Open Sans"/>
          <w:color w:val="000000"/>
          <w:szCs w:val="20"/>
          <w:lang w:val="en-US" w:eastAsia="en-GB"/>
        </w:rPr>
        <w:t xml:space="preserve"> (EU) 2020/1818 are suitable for strictly sustainable single stock funds without significant disruptions of the investment process. However, Art 12(1)(g) may lead to a high degree of uncertainty in the creation of the investment universe. For example, a utility company mainly active in the renewable energy sector may be forced to use power plants with an emission intensity of more than 100 g CO2e/kWh due to external factors such as water scarcity, even if this is not in line with its production strategy. Therefore, a reasonable </w:t>
      </w:r>
      <w:proofErr w:type="gramStart"/>
      <w:r w:rsidRPr="00D52614">
        <w:rPr>
          <w:rFonts w:ascii="Open Sans" w:hAnsi="Open Sans" w:cs="Open Sans"/>
          <w:color w:val="000000"/>
          <w:szCs w:val="20"/>
          <w:lang w:val="en-US" w:eastAsia="en-GB"/>
        </w:rPr>
        <w:t>period of time</w:t>
      </w:r>
      <w:proofErr w:type="gramEnd"/>
      <w:r w:rsidRPr="00D52614">
        <w:rPr>
          <w:rFonts w:ascii="Open Sans" w:hAnsi="Open Sans" w:cs="Open Sans"/>
          <w:color w:val="000000"/>
          <w:szCs w:val="20"/>
          <w:lang w:val="en-US" w:eastAsia="en-GB"/>
        </w:rPr>
        <w:t xml:space="preserve"> should be set for taking such factors into account. The requirements in Art 12(2) should already be met by sustainable funds under Art 8 or 9 SFDR with an environmental focus. These criteria can be problematic for fund of funds structures, as compliance by the invested sub-funds cannot be guaranteed and non-compliance by a sub-fund could lead to non-compliance for the entire fund of funds. While this risk can be </w:t>
      </w:r>
      <w:r w:rsidR="00FC4B3A" w:rsidRPr="00D52614">
        <w:rPr>
          <w:rFonts w:ascii="Open Sans" w:hAnsi="Open Sans" w:cs="Open Sans"/>
          <w:color w:val="000000"/>
          <w:szCs w:val="20"/>
          <w:lang w:val="en-US" w:eastAsia="en-GB"/>
        </w:rPr>
        <w:t>minimized</w:t>
      </w:r>
      <w:r w:rsidRPr="00D52614">
        <w:rPr>
          <w:rFonts w:ascii="Open Sans" w:hAnsi="Open Sans" w:cs="Open Sans"/>
          <w:color w:val="000000"/>
          <w:szCs w:val="20"/>
          <w:lang w:val="en-US" w:eastAsia="en-GB"/>
        </w:rPr>
        <w:t xml:space="preserve"> by reviewing the sustainable investment process before investing, it cannot be eliminated </w:t>
      </w:r>
      <w:proofErr w:type="gramStart"/>
      <w:r w:rsidRPr="00D52614">
        <w:rPr>
          <w:rFonts w:ascii="Open Sans" w:hAnsi="Open Sans" w:cs="Open Sans"/>
          <w:color w:val="000000"/>
          <w:szCs w:val="20"/>
          <w:lang w:val="en-US" w:eastAsia="en-GB"/>
        </w:rPr>
        <w:t>entirely.</w:t>
      </w:r>
      <w:permEnd w:id="175976681"/>
      <w:r w:rsidR="00B92885">
        <w:t>&lt;</w:t>
      </w:r>
      <w:proofErr w:type="gramEnd"/>
      <w:r w:rsidR="00B92885">
        <w: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3A9FC829" w14:textId="70CB2F21" w:rsidR="00B92885" w:rsidRDefault="00DB7F78" w:rsidP="00B92885">
      <w:permStart w:id="1071974531" w:edGrp="everyone"/>
      <w:r>
        <w:rPr>
          <w:szCs w:val="20"/>
        </w:rPr>
        <w:t>It is important to have a uniform definition for "</w:t>
      </w:r>
      <w:r>
        <w:rPr>
          <w:b/>
          <w:bCs/>
          <w:szCs w:val="20"/>
        </w:rPr>
        <w:t>proportion of investments</w:t>
      </w:r>
      <w:r>
        <w:rPr>
          <w:szCs w:val="20"/>
        </w:rPr>
        <w:t xml:space="preserve">" </w:t>
      </w:r>
      <w:proofErr w:type="gramStart"/>
      <w:r>
        <w:rPr>
          <w:szCs w:val="20"/>
        </w:rPr>
        <w:t>in order to</w:t>
      </w:r>
      <w:proofErr w:type="gramEnd"/>
      <w:r>
        <w:rPr>
          <w:szCs w:val="20"/>
        </w:rPr>
        <w:t xml:space="preserve"> achieve better comparability between different financial products. Without a uniform definition, financial products with active risk management strategies involving derivatives and/or an allocation of risk positions and cash that varies over time could be disadvantaged. To avoid negative effects, it is important to also consider the statement made in Recital 33 on the SDFR, which specifically focuses on the </w:t>
      </w:r>
      <w:r>
        <w:rPr>
          <w:b/>
          <w:bCs/>
          <w:szCs w:val="20"/>
        </w:rPr>
        <w:t xml:space="preserve">market value </w:t>
      </w:r>
      <w:r>
        <w:rPr>
          <w:szCs w:val="20"/>
        </w:rPr>
        <w:t xml:space="preserve">of investments in companies and does not include derivatives in the numerator, while considering the market value of all investments in the denominator. This ensures that financial products with variable risk strategies can continue to pursue and disclose sustainable investment objectives. Finally, cash and </w:t>
      </w:r>
      <w:r>
        <w:rPr>
          <w:b/>
          <w:bCs/>
          <w:szCs w:val="20"/>
        </w:rPr>
        <w:t xml:space="preserve">derivatives </w:t>
      </w:r>
      <w:r>
        <w:rPr>
          <w:szCs w:val="20"/>
        </w:rPr>
        <w:t xml:space="preserve">should not be included in the numerator. </w:t>
      </w:r>
      <w:permEnd w:id="1071974531"/>
      <w:r w:rsidR="00B92885">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lastRenderedPageBreak/>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77777777" w:rsidR="00B92885" w:rsidRDefault="00B92885" w:rsidP="00B92885">
      <w:permStart w:id="650455330" w:edGrp="everyone"/>
      <w:r>
        <w:t>TYPE YOUR TEXT HERE</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7777777" w:rsidR="00B92885" w:rsidRDefault="00B92885" w:rsidP="00B92885">
      <w:permStart w:id="1992309739" w:edGrp="everyone"/>
      <w:r>
        <w:t>TYPE YOUR TEXT HERE</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643B633" w14:textId="0C714A56" w:rsidR="00B92885" w:rsidRDefault="009C5D67" w:rsidP="00B92885">
      <w:permStart w:id="1423966990" w:edGrp="everyone"/>
      <w:r>
        <w:rPr>
          <w:b/>
          <w:bCs/>
          <w:szCs w:val="20"/>
        </w:rPr>
        <w:t xml:space="preserve">A specific regulation for the use of the term "transition" or transition-related names does not seem to be helpful. </w:t>
      </w:r>
      <w:r>
        <w:rPr>
          <w:szCs w:val="20"/>
        </w:rPr>
        <w:t xml:space="preserve">The result </w:t>
      </w:r>
      <w:r>
        <w:rPr>
          <w:szCs w:val="20"/>
        </w:rPr>
        <w:t>could be</w:t>
      </w:r>
      <w:r>
        <w:rPr>
          <w:szCs w:val="20"/>
        </w:rPr>
        <w:t xml:space="preserve"> the danger of a - probably undesired - restriction. Although this term is often used in connection with the energy transition, investments in government bonds, for example, can also support positive developments in the respective state. </w:t>
      </w:r>
      <w:permEnd w:id="1423966990"/>
      <w:r w:rsidR="00B92885">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777777" w:rsidR="00B92885" w:rsidRDefault="00B92885" w:rsidP="00B92885">
      <w:permStart w:id="1434478937" w:edGrp="everyone"/>
      <w:r>
        <w:t>TYPE YOUR TEXT HERE</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547F163D" w14:textId="5383C98D" w:rsidR="009C5D67" w:rsidRPr="009C5D67" w:rsidRDefault="009C5D67" w:rsidP="009C5D67">
      <w:pPr>
        <w:autoSpaceDE w:val="0"/>
        <w:autoSpaceDN w:val="0"/>
        <w:adjustRightInd w:val="0"/>
        <w:rPr>
          <w:rFonts w:ascii="Open Sans" w:hAnsi="Open Sans" w:cs="Open Sans"/>
          <w:color w:val="000000"/>
          <w:szCs w:val="20"/>
          <w:lang w:val="en-US" w:eastAsia="en-GB"/>
        </w:rPr>
      </w:pPr>
      <w:permStart w:id="489244833" w:edGrp="everyone"/>
      <w:r w:rsidRPr="009C5D67">
        <w:rPr>
          <w:rFonts w:ascii="Open Sans" w:hAnsi="Open Sans" w:cs="Open Sans"/>
          <w:color w:val="000000"/>
          <w:szCs w:val="20"/>
          <w:lang w:val="en-US" w:eastAsia="en-GB"/>
        </w:rPr>
        <w:t xml:space="preserve">ESMA currently provides for a transitional period of six months from the entry into force of the guidelines (point 23). </w:t>
      </w:r>
      <w:r w:rsidRPr="009C5D67">
        <w:rPr>
          <w:rFonts w:ascii="Open Sans" w:hAnsi="Open Sans" w:cs="Open Sans"/>
          <w:b/>
          <w:bCs/>
          <w:color w:val="000000"/>
          <w:szCs w:val="20"/>
          <w:lang w:val="en-US" w:eastAsia="en-GB"/>
        </w:rPr>
        <w:t>This period appears to be too short</w:t>
      </w:r>
      <w:r w:rsidRPr="009C5D67">
        <w:rPr>
          <w:rFonts w:ascii="Open Sans" w:hAnsi="Open Sans" w:cs="Open Sans"/>
          <w:color w:val="000000"/>
          <w:szCs w:val="20"/>
          <w:lang w:val="en-US" w:eastAsia="en-GB"/>
        </w:rPr>
        <w:t>. If a change of name necessitates a change of the fund documentation, this also requires an approval by the Austrian NCA and corresponding waiting periods (</w:t>
      </w:r>
      <w:proofErr w:type="gramStart"/>
      <w:r w:rsidRPr="009C5D67">
        <w:rPr>
          <w:rFonts w:ascii="Open Sans" w:hAnsi="Open Sans" w:cs="Open Sans"/>
          <w:color w:val="000000"/>
          <w:szCs w:val="20"/>
          <w:lang w:val="en-US" w:eastAsia="en-GB"/>
        </w:rPr>
        <w:t>in particular the</w:t>
      </w:r>
      <w:proofErr w:type="gramEnd"/>
      <w:r w:rsidRPr="009C5D67">
        <w:rPr>
          <w:rFonts w:ascii="Open Sans" w:hAnsi="Open Sans" w:cs="Open Sans"/>
          <w:color w:val="000000"/>
          <w:szCs w:val="20"/>
          <w:lang w:val="en-US" w:eastAsia="en-GB"/>
        </w:rPr>
        <w:t xml:space="preserve"> statutory lead times for the notification of investors). </w:t>
      </w:r>
      <w:r w:rsidRPr="009C5D67">
        <w:rPr>
          <w:rFonts w:ascii="Open Sans" w:hAnsi="Open Sans" w:cs="Open Sans"/>
          <w:b/>
          <w:bCs/>
          <w:color w:val="000000"/>
          <w:szCs w:val="20"/>
          <w:lang w:val="en-US" w:eastAsia="en-GB"/>
        </w:rPr>
        <w:t xml:space="preserve">At </w:t>
      </w:r>
      <w:r w:rsidRPr="009C5D67">
        <w:rPr>
          <w:rFonts w:ascii="Open Sans" w:hAnsi="Open Sans" w:cs="Open Sans"/>
          <w:b/>
          <w:bCs/>
          <w:color w:val="000000"/>
          <w:szCs w:val="20"/>
          <w:lang w:val="en-US" w:eastAsia="en-GB"/>
        </w:rPr>
        <w:lastRenderedPageBreak/>
        <w:t xml:space="preserve">least a transition period of one year from the applicability of the guidelines would be necessary and practicable. </w:t>
      </w:r>
    </w:p>
    <w:p w14:paraId="739467F4" w14:textId="00274D7E" w:rsidR="00B92885" w:rsidRDefault="009C5D67" w:rsidP="00B92885">
      <w:r w:rsidRPr="009C5D67">
        <w:rPr>
          <w:rFonts w:ascii="Open Sans" w:hAnsi="Open Sans" w:cs="Open Sans"/>
          <w:color w:val="000000"/>
          <w:szCs w:val="20"/>
          <w:lang w:val="en-US" w:eastAsia="en-GB"/>
        </w:rPr>
        <w:t xml:space="preserve">Furthermore, the transition period should not be too short, also </w:t>
      </w:r>
      <w:proofErr w:type="gramStart"/>
      <w:r w:rsidRPr="009C5D67">
        <w:rPr>
          <w:rFonts w:ascii="Open Sans" w:hAnsi="Open Sans" w:cs="Open Sans"/>
          <w:color w:val="000000"/>
          <w:szCs w:val="20"/>
          <w:lang w:val="en-US" w:eastAsia="en-GB"/>
        </w:rPr>
        <w:t>with regard to</w:t>
      </w:r>
      <w:proofErr w:type="gramEnd"/>
      <w:r w:rsidRPr="009C5D67">
        <w:rPr>
          <w:rFonts w:ascii="Open Sans" w:hAnsi="Open Sans" w:cs="Open Sans"/>
          <w:color w:val="000000"/>
          <w:szCs w:val="20"/>
          <w:lang w:val="en-US" w:eastAsia="en-GB"/>
        </w:rPr>
        <w:t xml:space="preserve"> the marketing aspect and the perception by the retail investor. This is because SFDR funds have in many cases only recently been launched and </w:t>
      </w:r>
      <w:r w:rsidR="00253DB9">
        <w:rPr>
          <w:rFonts w:ascii="Open Sans" w:hAnsi="Open Sans" w:cs="Open Sans"/>
          <w:color w:val="000000"/>
          <w:szCs w:val="20"/>
          <w:lang w:val="en-US" w:eastAsia="en-GB"/>
        </w:rPr>
        <w:t>c</w:t>
      </w:r>
      <w:r w:rsidRPr="009C5D67">
        <w:rPr>
          <w:rFonts w:ascii="Open Sans" w:hAnsi="Open Sans" w:cs="Open Sans"/>
          <w:color w:val="000000"/>
          <w:szCs w:val="20"/>
          <w:lang w:val="en-US" w:eastAsia="en-GB"/>
        </w:rPr>
        <w:t xml:space="preserve">ould potentially have to be "downgraded" </w:t>
      </w:r>
      <w:proofErr w:type="gramStart"/>
      <w:r w:rsidRPr="009C5D67">
        <w:rPr>
          <w:rFonts w:ascii="Open Sans" w:hAnsi="Open Sans" w:cs="Open Sans"/>
          <w:color w:val="000000"/>
          <w:szCs w:val="20"/>
          <w:lang w:val="en-US" w:eastAsia="en-GB"/>
        </w:rPr>
        <w:t>as a result of</w:t>
      </w:r>
      <w:proofErr w:type="gramEnd"/>
      <w:r w:rsidRPr="009C5D67">
        <w:rPr>
          <w:rFonts w:ascii="Open Sans" w:hAnsi="Open Sans" w:cs="Open Sans"/>
          <w:color w:val="000000"/>
          <w:szCs w:val="20"/>
          <w:lang w:val="en-US" w:eastAsia="en-GB"/>
        </w:rPr>
        <w:t xml:space="preserve"> the guidelines, which </w:t>
      </w:r>
      <w:r w:rsidR="00253DB9">
        <w:rPr>
          <w:rFonts w:ascii="Open Sans" w:hAnsi="Open Sans" w:cs="Open Sans"/>
          <w:color w:val="000000"/>
          <w:szCs w:val="20"/>
          <w:lang w:val="en-US" w:eastAsia="en-GB"/>
        </w:rPr>
        <w:t>could also</w:t>
      </w:r>
      <w:r w:rsidRPr="009C5D67">
        <w:rPr>
          <w:rFonts w:ascii="Open Sans" w:hAnsi="Open Sans" w:cs="Open Sans"/>
          <w:color w:val="000000"/>
          <w:szCs w:val="20"/>
          <w:lang w:val="en-US" w:eastAsia="en-GB"/>
        </w:rPr>
        <w:t xml:space="preserve"> create confusion and uncertainty for investors. </w:t>
      </w:r>
      <w:permEnd w:id="489244833"/>
      <w:r w:rsidR="00B92885">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777777" w:rsidR="00B92885" w:rsidRDefault="00B92885" w:rsidP="00B92885">
      <w:permStart w:id="1766353355" w:edGrp="everyone"/>
      <w:r>
        <w:t>TYPE YOUR TEXT HERE</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77777777" w:rsidR="00B92885" w:rsidRDefault="00B92885" w:rsidP="00B92885">
      <w:permStart w:id="929254269" w:edGrp="everyone"/>
      <w:r>
        <w:t>TYPE YOUR TEXT HERE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510E" w14:textId="77777777" w:rsidR="003539C4" w:rsidRDefault="003539C4">
      <w:r>
        <w:separator/>
      </w:r>
    </w:p>
    <w:p w14:paraId="6C9C816A" w14:textId="77777777" w:rsidR="003539C4" w:rsidRDefault="003539C4"/>
  </w:endnote>
  <w:endnote w:type="continuationSeparator" w:id="0">
    <w:p w14:paraId="4F397BE6" w14:textId="77777777" w:rsidR="003539C4" w:rsidRDefault="003539C4">
      <w:r>
        <w:continuationSeparator/>
      </w:r>
    </w:p>
    <w:p w14:paraId="6B530184" w14:textId="77777777" w:rsidR="003539C4" w:rsidRDefault="003539C4"/>
  </w:endnote>
  <w:endnote w:type="continuationNotice" w:id="1">
    <w:p w14:paraId="1BC5A19D" w14:textId="77777777" w:rsidR="003539C4" w:rsidRDefault="00353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5F96" w14:textId="77777777" w:rsidR="003539C4" w:rsidRDefault="003539C4">
      <w:r>
        <w:separator/>
      </w:r>
    </w:p>
    <w:p w14:paraId="7210E830" w14:textId="77777777" w:rsidR="003539C4" w:rsidRDefault="003539C4"/>
  </w:footnote>
  <w:footnote w:type="continuationSeparator" w:id="0">
    <w:p w14:paraId="11557117" w14:textId="77777777" w:rsidR="003539C4" w:rsidRDefault="003539C4">
      <w:r>
        <w:continuationSeparator/>
      </w:r>
    </w:p>
    <w:p w14:paraId="15E035C2" w14:textId="77777777" w:rsidR="003539C4" w:rsidRDefault="003539C4"/>
  </w:footnote>
  <w:footnote w:type="continuationNotice" w:id="1">
    <w:p w14:paraId="6B08D8D8" w14:textId="77777777" w:rsidR="003539C4" w:rsidRDefault="00353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Kopfzeil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Kopfzeil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141003511">
    <w:abstractNumId w:val="16"/>
  </w:num>
  <w:num w:numId="2" w16cid:durableId="195310662">
    <w:abstractNumId w:val="18"/>
  </w:num>
  <w:num w:numId="3" w16cid:durableId="1271737564">
    <w:abstractNumId w:val="11"/>
  </w:num>
  <w:num w:numId="4" w16cid:durableId="2091727560">
    <w:abstractNumId w:val="23"/>
  </w:num>
  <w:num w:numId="5" w16cid:durableId="2070568465">
    <w:abstractNumId w:val="25"/>
  </w:num>
  <w:num w:numId="6" w16cid:durableId="1200975694">
    <w:abstractNumId w:val="0"/>
  </w:num>
  <w:num w:numId="7" w16cid:durableId="2061198667">
    <w:abstractNumId w:val="3"/>
  </w:num>
  <w:num w:numId="8" w16cid:durableId="15412120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1470241">
    <w:abstractNumId w:val="31"/>
  </w:num>
  <w:num w:numId="10" w16cid:durableId="14190172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7030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0214878">
    <w:abstractNumId w:val="27"/>
  </w:num>
  <w:num w:numId="13" w16cid:durableId="1803183978">
    <w:abstractNumId w:val="30"/>
  </w:num>
  <w:num w:numId="14" w16cid:durableId="813108656">
    <w:abstractNumId w:val="22"/>
  </w:num>
  <w:num w:numId="15" w16cid:durableId="1762678298">
    <w:abstractNumId w:val="10"/>
  </w:num>
  <w:num w:numId="16" w16cid:durableId="726950042">
    <w:abstractNumId w:val="1"/>
  </w:num>
  <w:num w:numId="17" w16cid:durableId="1457914756">
    <w:abstractNumId w:val="14"/>
  </w:num>
  <w:num w:numId="18" w16cid:durableId="1386564826">
    <w:abstractNumId w:val="15"/>
  </w:num>
  <w:num w:numId="19" w16cid:durableId="372199186">
    <w:abstractNumId w:val="17"/>
  </w:num>
  <w:num w:numId="20" w16cid:durableId="1096024491">
    <w:abstractNumId w:val="26"/>
  </w:num>
  <w:num w:numId="21" w16cid:durableId="1594194683">
    <w:abstractNumId w:val="36"/>
  </w:num>
  <w:num w:numId="22" w16cid:durableId="1525169806">
    <w:abstractNumId w:val="24"/>
  </w:num>
  <w:num w:numId="23" w16cid:durableId="1662192184">
    <w:abstractNumId w:val="9"/>
  </w:num>
  <w:num w:numId="24" w16cid:durableId="1926842843">
    <w:abstractNumId w:val="29"/>
  </w:num>
  <w:num w:numId="25" w16cid:durableId="81294872">
    <w:abstractNumId w:val="28"/>
  </w:num>
  <w:num w:numId="26" w16cid:durableId="1498113393">
    <w:abstractNumId w:val="19"/>
  </w:num>
  <w:num w:numId="27" w16cid:durableId="282419883">
    <w:abstractNumId w:val="32"/>
  </w:num>
  <w:num w:numId="28" w16cid:durableId="1821385247">
    <w:abstractNumId w:val="38"/>
  </w:num>
  <w:num w:numId="29" w16cid:durableId="1956909134">
    <w:abstractNumId w:val="7"/>
  </w:num>
  <w:num w:numId="30" w16cid:durableId="1790010323">
    <w:abstractNumId w:val="2"/>
  </w:num>
  <w:num w:numId="31" w16cid:durableId="864755432">
    <w:abstractNumId w:val="21"/>
  </w:num>
  <w:num w:numId="32" w16cid:durableId="781145174">
    <w:abstractNumId w:val="20"/>
  </w:num>
  <w:num w:numId="33" w16cid:durableId="1029337507">
    <w:abstractNumId w:val="34"/>
  </w:num>
  <w:num w:numId="34" w16cid:durableId="502086630">
    <w:abstractNumId w:val="33"/>
  </w:num>
  <w:num w:numId="35" w16cid:durableId="408622289">
    <w:abstractNumId w:val="4"/>
  </w:num>
  <w:num w:numId="36" w16cid:durableId="945770964">
    <w:abstractNumId w:val="35"/>
  </w:num>
  <w:num w:numId="37" w16cid:durableId="620380716">
    <w:abstractNumId w:val="20"/>
    <w:lvlOverride w:ilvl="0">
      <w:startOverride w:val="1"/>
    </w:lvlOverride>
  </w:num>
  <w:num w:numId="38" w16cid:durableId="1618364189">
    <w:abstractNumId w:val="20"/>
  </w:num>
  <w:num w:numId="39" w16cid:durableId="1222206078">
    <w:abstractNumId w:val="12"/>
  </w:num>
  <w:num w:numId="40" w16cid:durableId="520660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4CB9"/>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3DB9"/>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39C4"/>
    <w:rsid w:val="0035455E"/>
    <w:rsid w:val="00354A6F"/>
    <w:rsid w:val="00354B48"/>
    <w:rsid w:val="00355789"/>
    <w:rsid w:val="003567F8"/>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441E"/>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9A"/>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A51"/>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76E1"/>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8EF"/>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7F742C"/>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5E9"/>
    <w:rsid w:val="009B7658"/>
    <w:rsid w:val="009B7CD1"/>
    <w:rsid w:val="009B7E22"/>
    <w:rsid w:val="009B7E78"/>
    <w:rsid w:val="009C10FE"/>
    <w:rsid w:val="009C13BC"/>
    <w:rsid w:val="009C1CA4"/>
    <w:rsid w:val="009C2532"/>
    <w:rsid w:val="009C2BA4"/>
    <w:rsid w:val="009C5D67"/>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260E"/>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773B7"/>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2509"/>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B31"/>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614"/>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4093"/>
    <w:rsid w:val="00D871C6"/>
    <w:rsid w:val="00D91010"/>
    <w:rsid w:val="00D9143D"/>
    <w:rsid w:val="00D920D1"/>
    <w:rsid w:val="00DA0FA7"/>
    <w:rsid w:val="00DA12B0"/>
    <w:rsid w:val="00DA2BA0"/>
    <w:rsid w:val="00DA39AD"/>
    <w:rsid w:val="00DA4EAD"/>
    <w:rsid w:val="00DA5B13"/>
    <w:rsid w:val="00DA6917"/>
    <w:rsid w:val="00DA6926"/>
    <w:rsid w:val="00DB0965"/>
    <w:rsid w:val="00DB0E47"/>
    <w:rsid w:val="00DB2BDD"/>
    <w:rsid w:val="00DB3381"/>
    <w:rsid w:val="00DB4121"/>
    <w:rsid w:val="00DB46C3"/>
    <w:rsid w:val="00DB5742"/>
    <w:rsid w:val="00DB5EDF"/>
    <w:rsid w:val="00DB6C46"/>
    <w:rsid w:val="00DB72B8"/>
    <w:rsid w:val="00DB7F78"/>
    <w:rsid w:val="00DC16AF"/>
    <w:rsid w:val="00DC2A9A"/>
    <w:rsid w:val="00DC2E2E"/>
    <w:rsid w:val="00DC4D68"/>
    <w:rsid w:val="00DC6463"/>
    <w:rsid w:val="00DC7822"/>
    <w:rsid w:val="00DC7AF1"/>
    <w:rsid w:val="00DD2CDA"/>
    <w:rsid w:val="00DD2D92"/>
    <w:rsid w:val="00DD3026"/>
    <w:rsid w:val="00DD33DC"/>
    <w:rsid w:val="00DD3BB0"/>
    <w:rsid w:val="00DD5C6B"/>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A1F"/>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B3A"/>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2370</Words>
  <Characters>14937</Characters>
  <Application>Microsoft Office Word</Application>
  <DocSecurity>8</DocSecurity>
  <Lines>124</Lines>
  <Paragraphs>34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17273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Horvath Philipp | WKOE</cp:lastModifiedBy>
  <cp:revision>16</cp:revision>
  <cp:lastPrinted>2015-02-18T11:01:00Z</cp:lastPrinted>
  <dcterms:created xsi:type="dcterms:W3CDTF">2023-02-14T20:17:00Z</dcterms:created>
  <dcterms:modified xsi:type="dcterms:W3CDTF">2023-02-14T22:07:00Z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