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2F00" w14:textId="77777777" w:rsidR="00FB6E58" w:rsidRDefault="00FB6E58" w:rsidP="00FB6E58">
      <w:pPr>
        <w:pStyle w:val="Default"/>
      </w:pPr>
    </w:p>
    <w:p w14:paraId="2CA0106E" w14:textId="605B3004" w:rsidR="00FB6E58" w:rsidRDefault="00FB6E58" w:rsidP="00FB6E58">
      <w:pPr>
        <w:pStyle w:val="Default"/>
        <w:spacing w:after="175"/>
        <w:rPr>
          <w:b/>
          <w:bCs/>
          <w:sz w:val="22"/>
          <w:szCs w:val="22"/>
          <w:lang w:val="en-US"/>
        </w:rPr>
      </w:pPr>
      <w:r w:rsidRPr="00FB6E58">
        <w:rPr>
          <w:b/>
          <w:bCs/>
          <w:noProof/>
          <w:sz w:val="22"/>
          <w:szCs w:val="22"/>
          <w:lang w:eastAsia="fr-FR"/>
        </w:rPr>
        <w:drawing>
          <wp:inline distT="0" distB="0" distL="0" distR="0" wp14:anchorId="59AEC55F" wp14:editId="20D6BDAE">
            <wp:extent cx="1701344"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3510" cy="874852"/>
                    </a:xfrm>
                    <a:prstGeom prst="rect">
                      <a:avLst/>
                    </a:prstGeom>
                  </pic:spPr>
                </pic:pic>
              </a:graphicData>
            </a:graphic>
          </wp:inline>
        </w:drawing>
      </w:r>
      <w:r>
        <w:rPr>
          <w:b/>
          <w:bCs/>
          <w:sz w:val="22"/>
          <w:szCs w:val="22"/>
          <w:lang w:val="en-US"/>
        </w:rPr>
        <w:t xml:space="preserve"> </w:t>
      </w:r>
      <w:r w:rsidRPr="00FB6E58">
        <w:rPr>
          <w:b/>
          <w:bCs/>
          <w:noProof/>
          <w:sz w:val="22"/>
          <w:szCs w:val="22"/>
          <w:lang w:eastAsia="fr-FR"/>
        </w:rPr>
        <w:drawing>
          <wp:inline distT="0" distB="0" distL="0" distR="0" wp14:anchorId="693792D3" wp14:editId="1408A7F5">
            <wp:extent cx="4165600" cy="89589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0355" cy="985100"/>
                    </a:xfrm>
                    <a:prstGeom prst="rect">
                      <a:avLst/>
                    </a:prstGeom>
                  </pic:spPr>
                </pic:pic>
              </a:graphicData>
            </a:graphic>
          </wp:inline>
        </w:drawing>
      </w:r>
    </w:p>
    <w:p w14:paraId="254DE218" w14:textId="37E787FD" w:rsidR="009E656E" w:rsidRDefault="009E656E" w:rsidP="00FB6E58">
      <w:pPr>
        <w:pStyle w:val="Default"/>
        <w:spacing w:after="175"/>
        <w:rPr>
          <w:b/>
          <w:bCs/>
          <w:sz w:val="22"/>
          <w:szCs w:val="22"/>
          <w:lang w:val="en-US"/>
        </w:rPr>
      </w:pPr>
    </w:p>
    <w:p w14:paraId="4858C382" w14:textId="27C8B67F" w:rsidR="009E656E" w:rsidRDefault="009E656E" w:rsidP="00FB6E58">
      <w:pPr>
        <w:pStyle w:val="Default"/>
        <w:spacing w:after="175"/>
        <w:rPr>
          <w:b/>
          <w:bCs/>
          <w:sz w:val="22"/>
          <w:szCs w:val="22"/>
          <w:lang w:val="en-US"/>
        </w:rPr>
      </w:pPr>
      <w:r>
        <w:rPr>
          <w:b/>
          <w:bCs/>
          <w:sz w:val="22"/>
          <w:szCs w:val="22"/>
          <w:lang w:val="en-US"/>
        </w:rPr>
        <w:t>Introduction</w:t>
      </w:r>
    </w:p>
    <w:p w14:paraId="1B9685D0" w14:textId="3AB46675" w:rsidR="009E656E" w:rsidRDefault="009E656E" w:rsidP="009E656E">
      <w:pPr>
        <w:pStyle w:val="Default"/>
        <w:spacing w:after="175"/>
        <w:rPr>
          <w:b/>
          <w:bCs/>
          <w:sz w:val="22"/>
          <w:szCs w:val="22"/>
          <w:lang w:val="en-US"/>
        </w:rPr>
      </w:pPr>
      <w:r w:rsidRPr="009E656E">
        <w:rPr>
          <w:b/>
          <w:bCs/>
          <w:sz w:val="22"/>
          <w:szCs w:val="22"/>
          <w:lang w:val="en-US"/>
        </w:rPr>
        <w:t>Please make your introductory comments below, if any:</w:t>
      </w:r>
    </w:p>
    <w:p w14:paraId="66AA6E8D" w14:textId="0C1572D4" w:rsidR="001D37A8" w:rsidRDefault="00814AD8" w:rsidP="009E656E">
      <w:pPr>
        <w:pStyle w:val="Default"/>
        <w:spacing w:after="175"/>
        <w:jc w:val="both"/>
        <w:rPr>
          <w:bCs/>
          <w:color w:val="002060"/>
          <w:sz w:val="22"/>
          <w:szCs w:val="22"/>
          <w:lang w:val="en-GB"/>
        </w:rPr>
      </w:pPr>
      <w:r>
        <w:rPr>
          <w:bCs/>
          <w:color w:val="002060"/>
          <w:sz w:val="22"/>
          <w:szCs w:val="22"/>
          <w:lang w:val="en-GB"/>
        </w:rPr>
        <w:t>GROUPAMA AM</w:t>
      </w:r>
      <w:r w:rsidR="0036296B" w:rsidRPr="001B377D">
        <w:rPr>
          <w:bCs/>
          <w:color w:val="002060"/>
          <w:sz w:val="22"/>
          <w:szCs w:val="22"/>
          <w:lang w:val="en-GB"/>
        </w:rPr>
        <w:t xml:space="preserve"> welcomes ESMA’s </w:t>
      </w:r>
      <w:r w:rsidR="001D37A8">
        <w:rPr>
          <w:bCs/>
          <w:color w:val="002060"/>
          <w:sz w:val="22"/>
          <w:szCs w:val="22"/>
          <w:lang w:val="en-GB"/>
        </w:rPr>
        <w:t>consultation on Guidelines on funds’ names using ESG or sustainability-related terms.</w:t>
      </w:r>
    </w:p>
    <w:p w14:paraId="17429D71" w14:textId="741AAD50" w:rsidR="001D37A8" w:rsidRDefault="00814AD8" w:rsidP="009E656E">
      <w:pPr>
        <w:pStyle w:val="Default"/>
        <w:spacing w:after="175"/>
        <w:jc w:val="both"/>
        <w:rPr>
          <w:bCs/>
          <w:color w:val="002060"/>
          <w:sz w:val="22"/>
          <w:szCs w:val="22"/>
          <w:lang w:val="en-GB"/>
        </w:rPr>
      </w:pPr>
      <w:r>
        <w:rPr>
          <w:bCs/>
          <w:color w:val="002060"/>
          <w:sz w:val="22"/>
          <w:szCs w:val="22"/>
          <w:lang w:val="en-GB"/>
        </w:rPr>
        <w:t>GROUPAMA AM</w:t>
      </w:r>
      <w:r w:rsidR="001D37A8">
        <w:rPr>
          <w:bCs/>
          <w:color w:val="002060"/>
          <w:sz w:val="22"/>
          <w:szCs w:val="22"/>
          <w:lang w:val="en-GB"/>
        </w:rPr>
        <w:t xml:space="preserve"> agrees with the overarching </w:t>
      </w:r>
      <w:r w:rsidR="0036296B" w:rsidRPr="001B377D">
        <w:rPr>
          <w:bCs/>
          <w:color w:val="002060"/>
          <w:sz w:val="22"/>
          <w:szCs w:val="22"/>
          <w:lang w:val="en-GB"/>
        </w:rPr>
        <w:t xml:space="preserve">objective </w:t>
      </w:r>
      <w:r w:rsidR="001D37A8">
        <w:rPr>
          <w:bCs/>
          <w:color w:val="002060"/>
          <w:sz w:val="22"/>
          <w:szCs w:val="22"/>
          <w:lang w:val="en-GB"/>
        </w:rPr>
        <w:t xml:space="preserve">of seeking to limit greenwashing allegations risks, increase legal certainty and </w:t>
      </w:r>
      <w:r w:rsidR="0036296B" w:rsidRPr="0068518D">
        <w:rPr>
          <w:bCs/>
          <w:color w:val="002060"/>
          <w:sz w:val="22"/>
          <w:szCs w:val="22"/>
          <w:lang w:val="en-GB"/>
        </w:rPr>
        <w:t>avoid misleading information</w:t>
      </w:r>
      <w:r w:rsidR="000C38AC" w:rsidRPr="001B377D">
        <w:rPr>
          <w:bCs/>
          <w:color w:val="002060"/>
          <w:sz w:val="22"/>
          <w:szCs w:val="22"/>
          <w:lang w:val="en-GB"/>
        </w:rPr>
        <w:t xml:space="preserve"> for investors.</w:t>
      </w:r>
      <w:r w:rsidR="007F5D45">
        <w:rPr>
          <w:bCs/>
          <w:color w:val="002060"/>
          <w:sz w:val="22"/>
          <w:szCs w:val="22"/>
          <w:lang w:val="en-GB"/>
        </w:rPr>
        <w:t xml:space="preserve"> </w:t>
      </w:r>
    </w:p>
    <w:p w14:paraId="69BC6B2B" w14:textId="15B4686B" w:rsidR="000C38AC" w:rsidRPr="001B377D" w:rsidRDefault="002B6EB1" w:rsidP="009E656E">
      <w:pPr>
        <w:pStyle w:val="Default"/>
        <w:spacing w:after="175"/>
        <w:jc w:val="both"/>
        <w:rPr>
          <w:bCs/>
          <w:color w:val="002060"/>
          <w:sz w:val="22"/>
          <w:szCs w:val="22"/>
          <w:lang w:val="en-GB"/>
        </w:rPr>
      </w:pPr>
      <w:r>
        <w:rPr>
          <w:bCs/>
          <w:color w:val="002060"/>
          <w:sz w:val="22"/>
          <w:szCs w:val="22"/>
          <w:lang w:val="en-GB"/>
        </w:rPr>
        <w:t>This said</w:t>
      </w:r>
      <w:r w:rsidR="0068518D" w:rsidRPr="0068518D">
        <w:rPr>
          <w:bCs/>
          <w:color w:val="002060"/>
          <w:sz w:val="22"/>
          <w:szCs w:val="22"/>
          <w:lang w:val="en-GB"/>
        </w:rPr>
        <w:t>,</w:t>
      </w:r>
      <w:r w:rsidR="000C38AC" w:rsidRPr="001B377D">
        <w:rPr>
          <w:bCs/>
          <w:color w:val="002060"/>
          <w:sz w:val="22"/>
          <w:szCs w:val="22"/>
          <w:lang w:val="en-GB"/>
        </w:rPr>
        <w:t xml:space="preserve"> </w:t>
      </w:r>
      <w:r w:rsidR="00814AD8">
        <w:rPr>
          <w:bCs/>
          <w:color w:val="002060"/>
          <w:sz w:val="22"/>
          <w:szCs w:val="22"/>
          <w:lang w:val="en-GB"/>
        </w:rPr>
        <w:t>GROUPAMA AM</w:t>
      </w:r>
      <w:r w:rsidR="000C38AC" w:rsidRPr="001B377D">
        <w:rPr>
          <w:bCs/>
          <w:color w:val="002060"/>
          <w:sz w:val="22"/>
          <w:szCs w:val="22"/>
          <w:lang w:val="en-GB"/>
        </w:rPr>
        <w:t xml:space="preserve"> </w:t>
      </w:r>
      <w:r w:rsidR="001D37A8">
        <w:rPr>
          <w:bCs/>
          <w:color w:val="002060"/>
          <w:sz w:val="22"/>
          <w:szCs w:val="22"/>
          <w:lang w:val="en-GB"/>
        </w:rPr>
        <w:t>would like to express</w:t>
      </w:r>
      <w:r w:rsidR="000C38AC" w:rsidRPr="001B377D">
        <w:rPr>
          <w:bCs/>
          <w:color w:val="002060"/>
          <w:sz w:val="22"/>
          <w:szCs w:val="22"/>
          <w:lang w:val="en-GB"/>
        </w:rPr>
        <w:t xml:space="preserve"> some doubts over the timeline</w:t>
      </w:r>
      <w:r w:rsidR="004B6370">
        <w:rPr>
          <w:bCs/>
          <w:color w:val="002060"/>
          <w:sz w:val="22"/>
          <w:szCs w:val="22"/>
          <w:lang w:val="en-GB"/>
        </w:rPr>
        <w:t xml:space="preserve"> for this consultation</w:t>
      </w:r>
      <w:r w:rsidR="000C38AC" w:rsidRPr="001B377D">
        <w:rPr>
          <w:bCs/>
          <w:color w:val="002060"/>
          <w:sz w:val="22"/>
          <w:szCs w:val="22"/>
          <w:lang w:val="en-GB"/>
        </w:rPr>
        <w:t xml:space="preserve">. </w:t>
      </w:r>
      <w:r w:rsidR="0036296B" w:rsidRPr="0068518D">
        <w:rPr>
          <w:bCs/>
          <w:color w:val="002060"/>
          <w:sz w:val="22"/>
          <w:szCs w:val="22"/>
          <w:lang w:val="en-GB"/>
        </w:rPr>
        <w:t xml:space="preserve"> </w:t>
      </w:r>
      <w:r w:rsidR="000C38AC" w:rsidRPr="001B377D">
        <w:rPr>
          <w:bCs/>
          <w:color w:val="002060"/>
          <w:sz w:val="22"/>
          <w:szCs w:val="22"/>
          <w:lang w:val="en-GB"/>
        </w:rPr>
        <w:t xml:space="preserve">Indeed, the </w:t>
      </w:r>
      <w:r w:rsidR="004B6370">
        <w:rPr>
          <w:bCs/>
          <w:color w:val="002060"/>
          <w:sz w:val="22"/>
          <w:szCs w:val="22"/>
          <w:lang w:val="en-GB"/>
        </w:rPr>
        <w:t xml:space="preserve">EU </w:t>
      </w:r>
      <w:r w:rsidR="000C38AC" w:rsidRPr="001B377D">
        <w:rPr>
          <w:bCs/>
          <w:color w:val="002060"/>
          <w:sz w:val="22"/>
          <w:szCs w:val="22"/>
          <w:lang w:val="en-GB"/>
        </w:rPr>
        <w:t xml:space="preserve">regulatory framework </w:t>
      </w:r>
      <w:r w:rsidR="004B6370">
        <w:rPr>
          <w:bCs/>
          <w:color w:val="002060"/>
          <w:sz w:val="22"/>
          <w:szCs w:val="22"/>
          <w:lang w:val="en-GB"/>
        </w:rPr>
        <w:t xml:space="preserve">on sustainable finance </w:t>
      </w:r>
      <w:r w:rsidR="000C38AC" w:rsidRPr="001B377D">
        <w:rPr>
          <w:bCs/>
          <w:color w:val="002060"/>
          <w:sz w:val="22"/>
          <w:szCs w:val="22"/>
          <w:lang w:val="en-GB"/>
        </w:rPr>
        <w:t xml:space="preserve">is not complete yet and some initiatives are currently </w:t>
      </w:r>
      <w:r w:rsidR="004B6370">
        <w:rPr>
          <w:bCs/>
          <w:color w:val="002060"/>
          <w:sz w:val="22"/>
          <w:szCs w:val="22"/>
          <w:lang w:val="en-GB"/>
        </w:rPr>
        <w:t xml:space="preserve">still </w:t>
      </w:r>
      <w:r w:rsidR="000C38AC" w:rsidRPr="001B377D">
        <w:rPr>
          <w:bCs/>
          <w:color w:val="002060"/>
          <w:sz w:val="22"/>
          <w:szCs w:val="22"/>
          <w:lang w:val="en-GB"/>
        </w:rPr>
        <w:t>being discussed:</w:t>
      </w:r>
    </w:p>
    <w:p w14:paraId="3D0A665A" w14:textId="464B5758" w:rsidR="000C38AC" w:rsidRPr="001B377D" w:rsidRDefault="000C38AC" w:rsidP="000C38AC">
      <w:pPr>
        <w:pStyle w:val="Default"/>
        <w:numPr>
          <w:ilvl w:val="0"/>
          <w:numId w:val="18"/>
        </w:numPr>
        <w:spacing w:after="175"/>
        <w:jc w:val="both"/>
        <w:rPr>
          <w:bCs/>
          <w:color w:val="002060"/>
          <w:sz w:val="22"/>
          <w:szCs w:val="22"/>
          <w:lang w:val="en-GB"/>
        </w:rPr>
      </w:pPr>
      <w:r w:rsidRPr="001B377D">
        <w:rPr>
          <w:bCs/>
          <w:color w:val="002060"/>
          <w:sz w:val="22"/>
          <w:szCs w:val="22"/>
          <w:lang w:val="en-GB"/>
        </w:rPr>
        <w:t xml:space="preserve">the ESAs are currently working on a report on « greenwashing ». An interim report is due in May 2023 and a final report in May </w:t>
      </w:r>
      <w:r w:rsidR="0068518D" w:rsidRPr="0068518D">
        <w:rPr>
          <w:bCs/>
          <w:color w:val="002060"/>
          <w:sz w:val="22"/>
          <w:szCs w:val="22"/>
          <w:lang w:val="en-GB"/>
        </w:rPr>
        <w:t>2024.</w:t>
      </w:r>
    </w:p>
    <w:p w14:paraId="21B8613E" w14:textId="55C6BF07" w:rsidR="00244912" w:rsidRDefault="000C38AC">
      <w:pPr>
        <w:pStyle w:val="Default"/>
        <w:numPr>
          <w:ilvl w:val="0"/>
          <w:numId w:val="18"/>
        </w:numPr>
        <w:spacing w:after="175"/>
        <w:jc w:val="both"/>
        <w:rPr>
          <w:bCs/>
          <w:color w:val="002060"/>
          <w:sz w:val="22"/>
          <w:szCs w:val="22"/>
          <w:lang w:val="en-GB"/>
        </w:rPr>
      </w:pPr>
      <w:r w:rsidRPr="001B377D">
        <w:rPr>
          <w:bCs/>
          <w:color w:val="002060"/>
          <w:sz w:val="22"/>
          <w:szCs w:val="22"/>
          <w:lang w:val="en-GB"/>
        </w:rPr>
        <w:t>some elements of the SFDR are still not clear enough:</w:t>
      </w:r>
      <w:r w:rsidR="001D37A8">
        <w:rPr>
          <w:bCs/>
          <w:color w:val="002060"/>
          <w:sz w:val="22"/>
          <w:szCs w:val="22"/>
          <w:lang w:val="en-GB"/>
        </w:rPr>
        <w:t xml:space="preserve"> for instance,</w:t>
      </w:r>
      <w:r w:rsidRPr="001B377D">
        <w:rPr>
          <w:bCs/>
          <w:color w:val="002060"/>
          <w:sz w:val="22"/>
          <w:szCs w:val="22"/>
          <w:lang w:val="en-GB"/>
        </w:rPr>
        <w:t xml:space="preserve"> “sustainable investment” definition, “</w:t>
      </w:r>
      <w:r w:rsidRPr="0068518D">
        <w:rPr>
          <w:bCs/>
          <w:color w:val="002060"/>
          <w:sz w:val="22"/>
          <w:szCs w:val="22"/>
          <w:lang w:val="en-GB"/>
        </w:rPr>
        <w:t>investments used to meet the environmental or social characteristics of the product” definition.</w:t>
      </w:r>
      <w:r w:rsidR="00244912">
        <w:rPr>
          <w:bCs/>
          <w:color w:val="002060"/>
          <w:sz w:val="22"/>
          <w:szCs w:val="22"/>
          <w:lang w:val="en-GB"/>
        </w:rPr>
        <w:t xml:space="preserve"> </w:t>
      </w:r>
    </w:p>
    <w:p w14:paraId="7605AD30" w14:textId="53F91860" w:rsidR="008E59BB" w:rsidRPr="004311AF" w:rsidRDefault="00244912">
      <w:pPr>
        <w:pStyle w:val="Default"/>
        <w:numPr>
          <w:ilvl w:val="0"/>
          <w:numId w:val="18"/>
        </w:numPr>
        <w:spacing w:after="175"/>
        <w:jc w:val="both"/>
        <w:rPr>
          <w:bCs/>
          <w:color w:val="002060"/>
          <w:sz w:val="22"/>
          <w:szCs w:val="22"/>
          <w:lang w:val="en-GB"/>
        </w:rPr>
      </w:pPr>
      <w:r w:rsidRPr="00672B1D">
        <w:rPr>
          <w:bCs/>
          <w:color w:val="002060"/>
          <w:sz w:val="22"/>
          <w:szCs w:val="22"/>
          <w:lang w:val="en-GB"/>
        </w:rPr>
        <w:t xml:space="preserve">the ESAs sent some questions </w:t>
      </w:r>
      <w:r w:rsidRPr="001B377D">
        <w:rPr>
          <w:bCs/>
          <w:color w:val="002060"/>
          <w:sz w:val="22"/>
          <w:szCs w:val="22"/>
          <w:lang w:val="en-GB"/>
        </w:rPr>
        <w:t xml:space="preserve">to the European Commission </w:t>
      </w:r>
      <w:r w:rsidRPr="003A5104">
        <w:rPr>
          <w:bCs/>
          <w:color w:val="002060"/>
          <w:sz w:val="22"/>
          <w:szCs w:val="22"/>
          <w:lang w:val="en-GB"/>
        </w:rPr>
        <w:t xml:space="preserve">(EC) </w:t>
      </w:r>
      <w:r w:rsidRPr="001B377D">
        <w:rPr>
          <w:bCs/>
          <w:color w:val="002060"/>
          <w:sz w:val="22"/>
          <w:szCs w:val="22"/>
          <w:lang w:val="en-GB"/>
        </w:rPr>
        <w:t>on concepts included in this consultation (i.e. “sustainable investment”) and an answer is due by the EC in the first quarter</w:t>
      </w:r>
      <w:r w:rsidR="004B6370">
        <w:rPr>
          <w:bCs/>
          <w:color w:val="002060"/>
          <w:sz w:val="22"/>
          <w:szCs w:val="22"/>
          <w:lang w:val="en-GB"/>
        </w:rPr>
        <w:t xml:space="preserve"> </w:t>
      </w:r>
      <w:r w:rsidR="004B6370" w:rsidRPr="004311AF">
        <w:rPr>
          <w:bCs/>
          <w:color w:val="002060"/>
          <w:sz w:val="22"/>
          <w:szCs w:val="22"/>
          <w:lang w:val="en-GB"/>
        </w:rPr>
        <w:t>of 2023</w:t>
      </w:r>
      <w:r w:rsidRPr="004311AF">
        <w:rPr>
          <w:bCs/>
          <w:color w:val="002060"/>
          <w:sz w:val="22"/>
          <w:szCs w:val="22"/>
          <w:lang w:val="en-GB"/>
        </w:rPr>
        <w:t>.</w:t>
      </w:r>
    </w:p>
    <w:p w14:paraId="1628FCCF" w14:textId="7854897B" w:rsidR="00E30DDE" w:rsidRPr="004311AF" w:rsidRDefault="00E30DDE">
      <w:pPr>
        <w:pStyle w:val="Default"/>
        <w:numPr>
          <w:ilvl w:val="0"/>
          <w:numId w:val="18"/>
        </w:numPr>
        <w:spacing w:after="175"/>
        <w:jc w:val="both"/>
        <w:rPr>
          <w:bCs/>
          <w:color w:val="002060"/>
          <w:sz w:val="22"/>
          <w:szCs w:val="22"/>
          <w:lang w:val="en-GB"/>
        </w:rPr>
      </w:pPr>
      <w:r w:rsidRPr="004311AF">
        <w:rPr>
          <w:bCs/>
          <w:color w:val="002060"/>
          <w:sz w:val="22"/>
          <w:szCs w:val="22"/>
          <w:lang w:val="en-GB"/>
        </w:rPr>
        <w:t>the EC is supposed to be working on minimum criteria for article 8 and article 9 products.</w:t>
      </w:r>
    </w:p>
    <w:p w14:paraId="5E2B366F" w14:textId="432557F4" w:rsidR="00B52BAE" w:rsidRPr="004311AF" w:rsidRDefault="00B52BAE">
      <w:pPr>
        <w:pStyle w:val="Default"/>
        <w:numPr>
          <w:ilvl w:val="0"/>
          <w:numId w:val="18"/>
        </w:numPr>
        <w:spacing w:after="175"/>
        <w:jc w:val="both"/>
        <w:rPr>
          <w:bCs/>
          <w:color w:val="002060"/>
          <w:sz w:val="22"/>
          <w:szCs w:val="22"/>
          <w:lang w:val="en-GB"/>
        </w:rPr>
      </w:pPr>
      <w:r w:rsidRPr="004311AF">
        <w:rPr>
          <w:bCs/>
          <w:color w:val="002060"/>
          <w:sz w:val="22"/>
          <w:szCs w:val="22"/>
          <w:lang w:val="en-GB"/>
        </w:rPr>
        <w:t>the EC is also working on minimum standards and transparency requirements of EU ESG benchmarks.</w:t>
      </w:r>
      <w:r w:rsidRPr="004311AF">
        <w:rPr>
          <w:color w:val="333333"/>
          <w:sz w:val="22"/>
          <w:szCs w:val="22"/>
          <w:shd w:val="clear" w:color="auto" w:fill="FFFFFF"/>
          <w:lang w:val="en-GB"/>
        </w:rPr>
        <w:t> </w:t>
      </w:r>
    </w:p>
    <w:p w14:paraId="1F6844A8" w14:textId="341C4B55" w:rsidR="00B52BAE" w:rsidRPr="004311AF" w:rsidRDefault="000C38AC" w:rsidP="009E656E">
      <w:pPr>
        <w:pStyle w:val="Default"/>
        <w:spacing w:after="175"/>
        <w:jc w:val="both"/>
        <w:rPr>
          <w:bCs/>
          <w:color w:val="002060"/>
          <w:sz w:val="22"/>
          <w:szCs w:val="22"/>
          <w:lang w:val="en-GB"/>
        </w:rPr>
      </w:pPr>
      <w:r w:rsidRPr="004311AF">
        <w:rPr>
          <w:bCs/>
          <w:color w:val="002060"/>
          <w:sz w:val="22"/>
          <w:szCs w:val="22"/>
          <w:lang w:val="en-GB"/>
        </w:rPr>
        <w:t>Hence, we believe that</w:t>
      </w:r>
      <w:r w:rsidR="00B52BAE" w:rsidRPr="004311AF">
        <w:rPr>
          <w:bCs/>
          <w:color w:val="002060"/>
          <w:sz w:val="22"/>
          <w:szCs w:val="22"/>
          <w:lang w:val="en-GB"/>
        </w:rPr>
        <w:t xml:space="preserve"> if ESMA wants to proceed and publish guidelines, these should be </w:t>
      </w:r>
      <w:r w:rsidR="00AA2405" w:rsidRPr="004311AF">
        <w:rPr>
          <w:bCs/>
          <w:color w:val="002060"/>
          <w:sz w:val="22"/>
          <w:szCs w:val="22"/>
          <w:lang w:val="en-GB"/>
        </w:rPr>
        <w:t>aligned with future initiatives that might be launched at EU level (please refer to our comments above)</w:t>
      </w:r>
      <w:r w:rsidR="00B52BAE" w:rsidRPr="004311AF">
        <w:rPr>
          <w:bCs/>
          <w:color w:val="002060"/>
          <w:sz w:val="22"/>
          <w:szCs w:val="22"/>
          <w:lang w:val="en-GB"/>
        </w:rPr>
        <w:t xml:space="preserve">. </w:t>
      </w:r>
    </w:p>
    <w:p w14:paraId="58D144AD" w14:textId="024FC635" w:rsidR="000C38AC" w:rsidRPr="001B377D" w:rsidRDefault="00B52BAE" w:rsidP="009E656E">
      <w:pPr>
        <w:pStyle w:val="Default"/>
        <w:spacing w:after="175"/>
        <w:jc w:val="both"/>
        <w:rPr>
          <w:bCs/>
          <w:color w:val="002060"/>
          <w:sz w:val="22"/>
          <w:szCs w:val="22"/>
          <w:lang w:val="en-GB"/>
        </w:rPr>
      </w:pPr>
      <w:r w:rsidRPr="004311AF">
        <w:rPr>
          <w:bCs/>
          <w:color w:val="002060"/>
          <w:sz w:val="22"/>
          <w:szCs w:val="22"/>
          <w:lang w:val="en-GB"/>
        </w:rPr>
        <w:t>We also believe that</w:t>
      </w:r>
      <w:r w:rsidR="000C38AC" w:rsidRPr="004311AF">
        <w:rPr>
          <w:bCs/>
          <w:color w:val="002060"/>
          <w:sz w:val="22"/>
          <w:szCs w:val="22"/>
          <w:lang w:val="en-GB"/>
        </w:rPr>
        <w:t xml:space="preserve"> introducing thresholds on elements yet to be defined could have a detrimental impact on the sustainable finance market and impede</w:t>
      </w:r>
      <w:r w:rsidR="000C38AC" w:rsidRPr="001B377D">
        <w:rPr>
          <w:bCs/>
          <w:color w:val="002060"/>
          <w:sz w:val="22"/>
          <w:szCs w:val="22"/>
          <w:lang w:val="en-GB"/>
        </w:rPr>
        <w:t xml:space="preserve"> the</w:t>
      </w:r>
      <w:r w:rsidR="0068518D" w:rsidRPr="001B377D">
        <w:rPr>
          <w:bCs/>
          <w:color w:val="002060"/>
          <w:sz w:val="22"/>
          <w:szCs w:val="22"/>
          <w:lang w:val="en-GB"/>
        </w:rPr>
        <w:t xml:space="preserve"> </w:t>
      </w:r>
      <w:r w:rsidR="0068518D" w:rsidRPr="0068518D">
        <w:rPr>
          <w:bCs/>
          <w:color w:val="002060"/>
          <w:sz w:val="22"/>
          <w:szCs w:val="22"/>
          <w:lang w:val="en-GB"/>
        </w:rPr>
        <w:t>reorientation of capital towards sustainable finance.</w:t>
      </w:r>
      <w:r w:rsidR="0068518D">
        <w:rPr>
          <w:bCs/>
          <w:color w:val="002060"/>
          <w:sz w:val="22"/>
          <w:szCs w:val="22"/>
          <w:lang w:val="en-GB"/>
        </w:rPr>
        <w:t xml:space="preserve"> </w:t>
      </w:r>
      <w:r w:rsidR="0068518D" w:rsidRPr="001B377D">
        <w:rPr>
          <w:bCs/>
          <w:color w:val="002060"/>
          <w:sz w:val="22"/>
          <w:szCs w:val="22"/>
          <w:lang w:val="en-GB"/>
        </w:rPr>
        <w:t>This situation could lead to:</w:t>
      </w:r>
    </w:p>
    <w:p w14:paraId="54B44346" w14:textId="174C3722" w:rsidR="0068518D" w:rsidRPr="003A5104" w:rsidRDefault="0077652C" w:rsidP="003A5104">
      <w:pPr>
        <w:pStyle w:val="Paragraphedeliste"/>
        <w:numPr>
          <w:ilvl w:val="0"/>
          <w:numId w:val="18"/>
        </w:numPr>
        <w:rPr>
          <w:rFonts w:ascii="Arial" w:hAnsi="Arial" w:cs="Arial"/>
          <w:bCs/>
          <w:color w:val="002060"/>
          <w:lang w:val="en-GB"/>
        </w:rPr>
      </w:pPr>
      <w:r>
        <w:rPr>
          <w:rFonts w:ascii="Arial" w:hAnsi="Arial" w:cs="Arial"/>
          <w:bCs/>
          <w:color w:val="002060"/>
          <w:lang w:val="en-GB"/>
        </w:rPr>
        <w:t>i</w:t>
      </w:r>
      <w:r w:rsidRPr="0077652C">
        <w:rPr>
          <w:rFonts w:ascii="Arial" w:hAnsi="Arial" w:cs="Arial"/>
          <w:bCs/>
          <w:color w:val="002060"/>
          <w:lang w:val="en-GB"/>
        </w:rPr>
        <w:t>ncreasing the risk of greenwashing as the thresholds are based on concept not clearly defined.</w:t>
      </w:r>
    </w:p>
    <w:p w14:paraId="0F08795D" w14:textId="104E0E5A" w:rsidR="009E656E" w:rsidRPr="003A5104" w:rsidRDefault="0068518D" w:rsidP="009E656E">
      <w:pPr>
        <w:pStyle w:val="Default"/>
        <w:numPr>
          <w:ilvl w:val="0"/>
          <w:numId w:val="18"/>
        </w:numPr>
        <w:spacing w:after="175"/>
        <w:jc w:val="both"/>
        <w:rPr>
          <w:bCs/>
          <w:color w:val="002060"/>
          <w:sz w:val="22"/>
          <w:szCs w:val="22"/>
          <w:lang w:val="en-GB"/>
        </w:rPr>
      </w:pPr>
      <w:r>
        <w:rPr>
          <w:bCs/>
          <w:color w:val="002060"/>
          <w:sz w:val="22"/>
          <w:szCs w:val="22"/>
          <w:lang w:val="en-GB"/>
        </w:rPr>
        <w:t>risk of “green hushing”, the rules being too complex to implement, financial market participants could be diverted from the sustainable finance market until rules are clearer.</w:t>
      </w:r>
    </w:p>
    <w:p w14:paraId="60B98FE0" w14:textId="77777777" w:rsidR="00341A5C" w:rsidRPr="003A5104" w:rsidRDefault="00341A5C" w:rsidP="009E656E">
      <w:pPr>
        <w:pStyle w:val="Default"/>
        <w:spacing w:after="175"/>
        <w:jc w:val="both"/>
        <w:rPr>
          <w:bCs/>
          <w:color w:val="002060"/>
          <w:sz w:val="22"/>
          <w:szCs w:val="22"/>
          <w:lang w:val="en-GB"/>
        </w:rPr>
      </w:pPr>
    </w:p>
    <w:p w14:paraId="13A32880" w14:textId="77777777" w:rsidR="006926E9" w:rsidRPr="003A5104" w:rsidRDefault="006926E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18"/>
          <w:szCs w:val="18"/>
          <w:lang w:val="en-GB"/>
        </w:rPr>
      </w:pPr>
      <w:r w:rsidRPr="003A5104">
        <w:rPr>
          <w:rFonts w:ascii="Arial" w:hAnsi="Arial" w:cs="Arial"/>
          <w:i/>
          <w:iCs/>
          <w:color w:val="000000"/>
          <w:sz w:val="18"/>
          <w:szCs w:val="18"/>
          <w:lang w:val="en-GB"/>
        </w:rPr>
        <w:t xml:space="preserve">Quantitative thresholds </w:t>
      </w:r>
    </w:p>
    <w:p w14:paraId="7555767C" w14:textId="77777777" w:rsidR="006926E9" w:rsidRPr="003A5104" w:rsidRDefault="006926E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18"/>
          <w:szCs w:val="18"/>
          <w:lang w:val="en-GB"/>
        </w:rPr>
      </w:pPr>
    </w:p>
    <w:p w14:paraId="6AAF77E4" w14:textId="77777777" w:rsidR="006926E9" w:rsidRPr="004E69EA" w:rsidRDefault="006926E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lang w:val="en-US"/>
        </w:rPr>
      </w:pPr>
      <w:r w:rsidRPr="004E69EA">
        <w:rPr>
          <w:rFonts w:ascii="Arial" w:hAnsi="Arial" w:cs="Arial"/>
          <w:color w:val="000000"/>
          <w:sz w:val="18"/>
          <w:szCs w:val="18"/>
          <w:lang w:val="en-US"/>
        </w:rPr>
        <w:t xml:space="preserve">16. If an investment fund has any ESG-, or impact-related words in its name, </w:t>
      </w:r>
      <w:r w:rsidRPr="004E69EA">
        <w:rPr>
          <w:rFonts w:ascii="Arial" w:hAnsi="Arial" w:cs="Arial"/>
          <w:b/>
          <w:color w:val="000000"/>
          <w:sz w:val="18"/>
          <w:szCs w:val="18"/>
          <w:lang w:val="en-US"/>
        </w:rPr>
        <w:t>a minimum proportion of 80% of its investments should be used to meet the environmental or social characteristics or sustainable investment objectives</w:t>
      </w:r>
      <w:r w:rsidRPr="004E69EA">
        <w:rPr>
          <w:rFonts w:ascii="Arial" w:hAnsi="Arial" w:cs="Arial"/>
          <w:color w:val="000000"/>
          <w:sz w:val="18"/>
          <w:szCs w:val="18"/>
          <w:lang w:val="en-US"/>
        </w:rPr>
        <w:t xml:space="preserve"> in accordance with the binding </w:t>
      </w:r>
      <w:r w:rsidRPr="004E69EA">
        <w:rPr>
          <w:rFonts w:ascii="Arial" w:hAnsi="Arial" w:cs="Arial"/>
          <w:sz w:val="18"/>
          <w:szCs w:val="18"/>
          <w:lang w:val="en-US"/>
        </w:rPr>
        <w:t xml:space="preserve">elements of the investment strategy, which are disclosed in Annexes II and III of Commission Delegated Regulation (EU) 2022/1288. </w:t>
      </w:r>
    </w:p>
    <w:p w14:paraId="689767FA" w14:textId="77777777" w:rsidR="006926E9" w:rsidRPr="004E69EA" w:rsidRDefault="006926E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lang w:val="en-US"/>
        </w:rPr>
      </w:pPr>
    </w:p>
    <w:p w14:paraId="137CCF38" w14:textId="77777777" w:rsidR="006926E9" w:rsidRPr="004E69EA" w:rsidRDefault="006926E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lang w:val="en-US"/>
        </w:rPr>
      </w:pPr>
      <w:r w:rsidRPr="004E69EA">
        <w:rPr>
          <w:rFonts w:ascii="Arial" w:hAnsi="Arial" w:cs="Arial"/>
          <w:sz w:val="18"/>
          <w:szCs w:val="18"/>
          <w:lang w:val="en-US"/>
        </w:rPr>
        <w:t xml:space="preserve">17. If an investment fund has the word “sustainable” or any other term derived from the word “sustainable” it should allocate within the 80% of investments to “meet the environmental or social characteristics or sustainable investment objectives” under paragraph 16 above at least 50% of minimum proportion of sustainable investments as defined by Article 2(17) of SFDR, which is also disclosed in Annexes II and III of Commission Delegated Regulation (EU) 2022/1288. </w:t>
      </w:r>
    </w:p>
    <w:p w14:paraId="36265250" w14:textId="77777777" w:rsidR="006926E9" w:rsidRPr="004E69EA" w:rsidRDefault="006926E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lang w:val="en-US"/>
        </w:rPr>
      </w:pPr>
    </w:p>
    <w:p w14:paraId="77309F06" w14:textId="77777777" w:rsidR="00007A29" w:rsidRPr="004E69EA" w:rsidRDefault="00007A2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lang w:val="en-US"/>
        </w:rPr>
      </w:pPr>
      <w:r w:rsidRPr="004E69EA">
        <w:rPr>
          <w:rFonts w:ascii="Arial" w:hAnsi="Arial" w:cs="Arial"/>
          <w:sz w:val="18"/>
          <w:szCs w:val="18"/>
          <w:lang w:val="en-US"/>
        </w:rPr>
        <w:t>(…)</w:t>
      </w:r>
    </w:p>
    <w:p w14:paraId="1F51B2D3" w14:textId="77777777" w:rsidR="00007A29" w:rsidRPr="004E69EA" w:rsidRDefault="00007A2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lang w:val="en-US"/>
        </w:rPr>
      </w:pPr>
    </w:p>
    <w:p w14:paraId="1C46160E" w14:textId="77777777" w:rsidR="006926E9" w:rsidRPr="004E69EA" w:rsidRDefault="006926E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sz w:val="18"/>
          <w:szCs w:val="18"/>
          <w:lang w:val="en-US"/>
        </w:rPr>
      </w:pPr>
      <w:r w:rsidRPr="004E69EA">
        <w:rPr>
          <w:rFonts w:ascii="Arial" w:hAnsi="Arial" w:cs="Arial"/>
          <w:i/>
          <w:sz w:val="18"/>
          <w:szCs w:val="18"/>
          <w:lang w:val="en-US"/>
        </w:rPr>
        <w:t xml:space="preserve">Supervisory expectations </w:t>
      </w:r>
    </w:p>
    <w:p w14:paraId="47C8E2EA" w14:textId="77777777" w:rsidR="00007A29" w:rsidRPr="004E69EA" w:rsidRDefault="00007A2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sz w:val="18"/>
          <w:szCs w:val="18"/>
          <w:lang w:val="en-US"/>
        </w:rPr>
      </w:pPr>
    </w:p>
    <w:p w14:paraId="00B5FDF5" w14:textId="77777777" w:rsidR="006926E9" w:rsidRPr="004E69EA" w:rsidRDefault="006926E9" w:rsidP="00007A29">
      <w:pPr>
        <w:pBdr>
          <w:top w:val="single" w:sz="4" w:space="1" w:color="auto"/>
          <w:left w:val="single" w:sz="4" w:space="4" w:color="auto"/>
          <w:bottom w:val="single" w:sz="4" w:space="1" w:color="auto"/>
          <w:right w:val="single" w:sz="4" w:space="4" w:color="auto"/>
        </w:pBdr>
        <w:autoSpaceDE w:val="0"/>
        <w:autoSpaceDN w:val="0"/>
        <w:adjustRightInd w:val="0"/>
        <w:spacing w:after="302" w:line="240" w:lineRule="auto"/>
        <w:rPr>
          <w:rFonts w:ascii="Arial" w:hAnsi="Arial" w:cs="Arial"/>
          <w:sz w:val="18"/>
          <w:szCs w:val="18"/>
          <w:lang w:val="en-US"/>
        </w:rPr>
      </w:pPr>
      <w:r w:rsidRPr="004E69EA">
        <w:rPr>
          <w:rFonts w:ascii="Arial" w:hAnsi="Arial" w:cs="Arial"/>
          <w:sz w:val="18"/>
          <w:szCs w:val="18"/>
          <w:lang w:val="en-US"/>
        </w:rPr>
        <w:t xml:space="preserve">21. ESMA recommends that NCAs consider paragraphs </w:t>
      </w:r>
      <w:r w:rsidR="00007A29" w:rsidRPr="004E69EA">
        <w:rPr>
          <w:rFonts w:ascii="Arial" w:hAnsi="Arial" w:cs="Arial"/>
          <w:i/>
          <w:sz w:val="18"/>
          <w:szCs w:val="18"/>
          <w:lang w:val="en-US"/>
        </w:rPr>
        <w:t>16 to 20</w:t>
      </w:r>
      <w:r w:rsidR="00007A29" w:rsidRPr="004E69EA">
        <w:rPr>
          <w:rFonts w:ascii="Arial" w:hAnsi="Arial" w:cs="Arial"/>
          <w:sz w:val="18"/>
          <w:szCs w:val="18"/>
          <w:lang w:val="en-US"/>
        </w:rPr>
        <w:t xml:space="preserve"> </w:t>
      </w:r>
      <w:r w:rsidRPr="004E69EA">
        <w:rPr>
          <w:rFonts w:ascii="Arial" w:hAnsi="Arial" w:cs="Arial"/>
          <w:sz w:val="18"/>
          <w:szCs w:val="18"/>
          <w:lang w:val="en-US"/>
        </w:rPr>
        <w:t xml:space="preserve">throughout the life of the fund. Market participants could verify this information through the periodic disclosures provided in accordance with the Commission Delegated Regulation (EU) 2022/1288. A temporary deviation from the thresholds, if the said deviation is not due to a deliberate choice of the asset manager, should be treated as a passive breach and corrected in the best interest of the unitholders. </w:t>
      </w:r>
    </w:p>
    <w:p w14:paraId="60DC5666" w14:textId="77777777" w:rsidR="006926E9" w:rsidRPr="004E69EA" w:rsidRDefault="006926E9"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lang w:val="en-US"/>
        </w:rPr>
      </w:pPr>
      <w:r w:rsidRPr="004E69EA">
        <w:rPr>
          <w:rFonts w:ascii="Arial" w:hAnsi="Arial" w:cs="Arial"/>
          <w:sz w:val="18"/>
          <w:szCs w:val="18"/>
          <w:lang w:val="en-US"/>
        </w:rPr>
        <w:t xml:space="preserve">22. Discrepancies in the level of the quantitative thresholds which are not passive breaches may be considered by the NCA, in light of the relevant circumstances, as a risk indicator warranting further investigation. In the case of a fund that does not demonstrate sufficiently high level of investments to use ESG terms in its name and where the NCA considers that using such terms in the fund name would result in misleading investors, NCAs are invited to communicate on these issues at an early stage and cooperate effectively to find a common position. </w:t>
      </w:r>
    </w:p>
    <w:p w14:paraId="7FEB824F" w14:textId="77777777" w:rsidR="00FB6E58" w:rsidRPr="004E69EA" w:rsidRDefault="00FB6E58" w:rsidP="00007A29">
      <w:pPr>
        <w:pStyle w:val="Default"/>
        <w:pBdr>
          <w:top w:val="single" w:sz="4" w:space="1" w:color="auto"/>
          <w:left w:val="single" w:sz="4" w:space="4" w:color="auto"/>
          <w:bottom w:val="single" w:sz="4" w:space="1" w:color="auto"/>
          <w:right w:val="single" w:sz="4" w:space="4" w:color="auto"/>
        </w:pBdr>
        <w:spacing w:after="175"/>
        <w:rPr>
          <w:b/>
          <w:bCs/>
          <w:sz w:val="18"/>
          <w:szCs w:val="18"/>
          <w:lang w:val="en-US"/>
        </w:rPr>
      </w:pPr>
    </w:p>
    <w:p w14:paraId="08F314A7" w14:textId="77777777" w:rsidR="00FB6E58" w:rsidRPr="0055163F" w:rsidRDefault="00FB6E58" w:rsidP="00FB6E58">
      <w:pPr>
        <w:pStyle w:val="Default"/>
        <w:spacing w:after="175"/>
        <w:rPr>
          <w:b/>
          <w:bCs/>
          <w:sz w:val="22"/>
          <w:szCs w:val="22"/>
          <w:lang w:val="en-US"/>
        </w:rPr>
      </w:pPr>
      <w:r w:rsidRPr="0055163F">
        <w:rPr>
          <w:b/>
          <w:bCs/>
          <w:sz w:val="22"/>
          <w:szCs w:val="22"/>
          <w:lang w:val="en-US"/>
        </w:rPr>
        <w:t>Q1. Do you agree with the need to introduce quantitative thresholds to assess funds’ names?</w:t>
      </w:r>
    </w:p>
    <w:p w14:paraId="706BF932" w14:textId="59FF8247" w:rsidR="004A37D4" w:rsidRPr="004A37D4" w:rsidRDefault="00B746C2" w:rsidP="006926E9">
      <w:pPr>
        <w:pStyle w:val="Default"/>
        <w:spacing w:after="175"/>
        <w:jc w:val="both"/>
        <w:rPr>
          <w:bCs/>
          <w:color w:val="002060"/>
          <w:sz w:val="22"/>
          <w:szCs w:val="22"/>
          <w:lang w:val="en-US"/>
        </w:rPr>
      </w:pPr>
      <w:r w:rsidRPr="00B746C2">
        <w:rPr>
          <w:bCs/>
          <w:color w:val="002060"/>
          <w:sz w:val="22"/>
          <w:szCs w:val="22"/>
          <w:lang w:val="en-US"/>
        </w:rPr>
        <w:t xml:space="preserve">We </w:t>
      </w:r>
      <w:r w:rsidR="00EE418B">
        <w:rPr>
          <w:bCs/>
          <w:color w:val="002060"/>
          <w:sz w:val="22"/>
          <w:szCs w:val="22"/>
          <w:lang w:val="en-US"/>
        </w:rPr>
        <w:t>fully concur</w:t>
      </w:r>
      <w:r w:rsidRPr="00B746C2">
        <w:rPr>
          <w:bCs/>
          <w:color w:val="002060"/>
          <w:sz w:val="22"/>
          <w:szCs w:val="22"/>
          <w:lang w:val="en-US"/>
        </w:rPr>
        <w:t xml:space="preserve"> with the </w:t>
      </w:r>
      <w:r w:rsidR="001113E5">
        <w:rPr>
          <w:bCs/>
          <w:color w:val="002060"/>
          <w:sz w:val="22"/>
          <w:szCs w:val="22"/>
          <w:lang w:val="en-US"/>
        </w:rPr>
        <w:t xml:space="preserve">objective of these guidelines to </w:t>
      </w:r>
      <w:r w:rsidR="00502774">
        <w:rPr>
          <w:bCs/>
          <w:color w:val="002060"/>
          <w:sz w:val="22"/>
          <w:szCs w:val="22"/>
          <w:lang w:val="en-US"/>
        </w:rPr>
        <w:t xml:space="preserve">seek to </w:t>
      </w:r>
      <w:r w:rsidR="00EE418B">
        <w:rPr>
          <w:bCs/>
          <w:color w:val="002060"/>
          <w:sz w:val="22"/>
          <w:szCs w:val="22"/>
          <w:lang w:val="en-US"/>
        </w:rPr>
        <w:t>set common rules in order to avoid misleading information and to enhance trust in the market, more particularly the fast evolving “ESG” market. To this extent</w:t>
      </w:r>
      <w:r w:rsidR="00CB3672">
        <w:rPr>
          <w:bCs/>
          <w:color w:val="002060"/>
          <w:sz w:val="22"/>
          <w:szCs w:val="22"/>
          <w:lang w:val="en-US"/>
        </w:rPr>
        <w:t>,</w:t>
      </w:r>
      <w:r w:rsidR="00EE418B">
        <w:rPr>
          <w:bCs/>
          <w:color w:val="002060"/>
          <w:sz w:val="22"/>
          <w:szCs w:val="22"/>
          <w:lang w:val="en-US"/>
        </w:rPr>
        <w:t xml:space="preserve"> we agree in setting </w:t>
      </w:r>
      <w:r w:rsidR="004A37D4">
        <w:rPr>
          <w:bCs/>
          <w:color w:val="002060"/>
          <w:sz w:val="22"/>
          <w:szCs w:val="22"/>
          <w:lang w:val="en-US"/>
        </w:rPr>
        <w:t>product</w:t>
      </w:r>
      <w:r>
        <w:rPr>
          <w:bCs/>
          <w:color w:val="002060"/>
          <w:sz w:val="22"/>
          <w:szCs w:val="22"/>
          <w:lang w:val="en-US"/>
        </w:rPr>
        <w:t xml:space="preserve"> naming rules</w:t>
      </w:r>
      <w:r w:rsidR="00EE418B">
        <w:rPr>
          <w:bCs/>
          <w:color w:val="002060"/>
          <w:sz w:val="22"/>
          <w:szCs w:val="22"/>
          <w:lang w:val="en-US"/>
        </w:rPr>
        <w:t xml:space="preserve"> </w:t>
      </w:r>
      <w:r w:rsidR="004A37D4">
        <w:rPr>
          <w:bCs/>
          <w:color w:val="002060"/>
          <w:sz w:val="22"/>
          <w:szCs w:val="22"/>
          <w:lang w:val="en-US"/>
        </w:rPr>
        <w:t xml:space="preserve">so that product names </w:t>
      </w:r>
      <w:r w:rsidR="00E039D3" w:rsidRPr="00B746C2">
        <w:rPr>
          <w:bCs/>
          <w:color w:val="002060"/>
          <w:sz w:val="22"/>
          <w:szCs w:val="22"/>
          <w:lang w:val="en-US"/>
        </w:rPr>
        <w:t xml:space="preserve">fit the </w:t>
      </w:r>
      <w:r w:rsidR="00930FA2">
        <w:rPr>
          <w:bCs/>
          <w:color w:val="002060"/>
          <w:sz w:val="22"/>
          <w:szCs w:val="22"/>
          <w:lang w:val="en-US"/>
        </w:rPr>
        <w:t xml:space="preserve">actual investment </w:t>
      </w:r>
      <w:r w:rsidR="00E039D3" w:rsidRPr="00B746C2">
        <w:rPr>
          <w:bCs/>
          <w:color w:val="002060"/>
          <w:sz w:val="22"/>
          <w:szCs w:val="22"/>
          <w:lang w:val="en-US"/>
        </w:rPr>
        <w:t xml:space="preserve">strategy of the product and </w:t>
      </w:r>
      <w:r w:rsidR="004A37D4">
        <w:rPr>
          <w:bCs/>
          <w:color w:val="002060"/>
          <w:sz w:val="22"/>
          <w:szCs w:val="22"/>
          <w:lang w:val="en-US"/>
        </w:rPr>
        <w:t>are not</w:t>
      </w:r>
      <w:r w:rsidR="00E039D3" w:rsidRPr="00B746C2">
        <w:rPr>
          <w:bCs/>
          <w:color w:val="002060"/>
          <w:sz w:val="22"/>
          <w:szCs w:val="22"/>
          <w:lang w:val="en-US"/>
        </w:rPr>
        <w:t xml:space="preserve"> </w:t>
      </w:r>
      <w:r>
        <w:rPr>
          <w:bCs/>
          <w:color w:val="002060"/>
          <w:sz w:val="22"/>
          <w:szCs w:val="22"/>
          <w:lang w:val="en-US"/>
        </w:rPr>
        <w:t>deceptive</w:t>
      </w:r>
      <w:r w:rsidR="00E039D3" w:rsidRPr="00B746C2">
        <w:rPr>
          <w:bCs/>
          <w:color w:val="002060"/>
          <w:sz w:val="22"/>
          <w:szCs w:val="22"/>
          <w:lang w:val="en-US"/>
        </w:rPr>
        <w:t xml:space="preserve"> to the investor.</w:t>
      </w:r>
      <w:r w:rsidR="001E4AF1">
        <w:rPr>
          <w:bCs/>
          <w:color w:val="002060"/>
          <w:sz w:val="22"/>
          <w:szCs w:val="22"/>
          <w:lang w:val="en-US"/>
        </w:rPr>
        <w:t xml:space="preserve"> </w:t>
      </w:r>
    </w:p>
    <w:p w14:paraId="7943EBA5" w14:textId="77777777" w:rsidR="00B0297D" w:rsidRDefault="0076161C" w:rsidP="006926E9">
      <w:pPr>
        <w:pStyle w:val="Default"/>
        <w:spacing w:after="175"/>
        <w:jc w:val="both"/>
        <w:rPr>
          <w:bCs/>
          <w:color w:val="002060"/>
          <w:sz w:val="22"/>
          <w:szCs w:val="22"/>
          <w:lang w:val="en-US"/>
        </w:rPr>
      </w:pPr>
      <w:r>
        <w:rPr>
          <w:bCs/>
          <w:color w:val="002060"/>
          <w:sz w:val="22"/>
          <w:szCs w:val="22"/>
          <w:lang w:val="en-US"/>
        </w:rPr>
        <w:t>T</w:t>
      </w:r>
      <w:r w:rsidR="00E039D3" w:rsidRPr="00B746C2">
        <w:rPr>
          <w:bCs/>
          <w:color w:val="002060"/>
          <w:sz w:val="22"/>
          <w:szCs w:val="22"/>
          <w:lang w:val="en-US"/>
        </w:rPr>
        <w:t>his consultation paper is focusing on ESG or sustainability-related terms</w:t>
      </w:r>
      <w:r w:rsidR="00FB6E58" w:rsidRPr="00B746C2">
        <w:rPr>
          <w:bCs/>
          <w:color w:val="002060"/>
          <w:sz w:val="22"/>
          <w:szCs w:val="22"/>
          <w:lang w:val="en-US"/>
        </w:rPr>
        <w:t xml:space="preserve"> </w:t>
      </w:r>
      <w:r w:rsidR="00E377F7" w:rsidRPr="00B746C2">
        <w:rPr>
          <w:bCs/>
          <w:color w:val="002060"/>
          <w:sz w:val="22"/>
          <w:szCs w:val="22"/>
          <w:lang w:val="en-US"/>
        </w:rPr>
        <w:t xml:space="preserve">only </w:t>
      </w:r>
      <w:r w:rsidR="00E039D3" w:rsidRPr="00B746C2">
        <w:rPr>
          <w:bCs/>
          <w:color w:val="002060"/>
          <w:sz w:val="22"/>
          <w:szCs w:val="22"/>
          <w:lang w:val="en-US"/>
        </w:rPr>
        <w:t xml:space="preserve">and is introducing quantitative thresholds based on the </w:t>
      </w:r>
      <w:r w:rsidR="00275468">
        <w:rPr>
          <w:bCs/>
          <w:color w:val="002060"/>
          <w:sz w:val="22"/>
          <w:szCs w:val="22"/>
          <w:lang w:val="en-US"/>
        </w:rPr>
        <w:t xml:space="preserve">pre-contractual information of committed % </w:t>
      </w:r>
      <w:r w:rsidR="00E039D3" w:rsidRPr="00B746C2">
        <w:rPr>
          <w:bCs/>
          <w:color w:val="002060"/>
          <w:sz w:val="22"/>
          <w:szCs w:val="22"/>
          <w:lang w:val="en-US"/>
        </w:rPr>
        <w:t>investments pertaining</w:t>
      </w:r>
      <w:r w:rsidR="0055163F" w:rsidRPr="00B746C2">
        <w:rPr>
          <w:bCs/>
          <w:color w:val="002060"/>
          <w:sz w:val="22"/>
          <w:szCs w:val="22"/>
          <w:lang w:val="en-US"/>
        </w:rPr>
        <w:t xml:space="preserve"> to</w:t>
      </w:r>
      <w:r w:rsidR="00E039D3" w:rsidRPr="00B746C2">
        <w:rPr>
          <w:bCs/>
          <w:color w:val="002060"/>
          <w:sz w:val="22"/>
          <w:szCs w:val="22"/>
          <w:lang w:val="en-US"/>
        </w:rPr>
        <w:t xml:space="preserve"> </w:t>
      </w:r>
      <w:r w:rsidR="0071667D">
        <w:rPr>
          <w:bCs/>
          <w:color w:val="002060"/>
          <w:sz w:val="22"/>
          <w:szCs w:val="22"/>
          <w:lang w:val="en-US"/>
        </w:rPr>
        <w:t xml:space="preserve">the promotion of </w:t>
      </w:r>
      <w:r w:rsidR="00E039D3" w:rsidRPr="00B746C2">
        <w:rPr>
          <w:bCs/>
          <w:color w:val="002060"/>
          <w:sz w:val="22"/>
          <w:szCs w:val="22"/>
          <w:lang w:val="en-US"/>
        </w:rPr>
        <w:t>E/S characteristics</w:t>
      </w:r>
      <w:r w:rsidR="0071667D">
        <w:rPr>
          <w:bCs/>
          <w:color w:val="002060"/>
          <w:sz w:val="22"/>
          <w:szCs w:val="22"/>
          <w:lang w:val="en-US"/>
        </w:rPr>
        <w:t>,</w:t>
      </w:r>
      <w:r w:rsidR="00E039D3" w:rsidRPr="00B746C2">
        <w:rPr>
          <w:bCs/>
          <w:color w:val="002060"/>
          <w:sz w:val="22"/>
          <w:szCs w:val="22"/>
          <w:lang w:val="en-US"/>
        </w:rPr>
        <w:t xml:space="preserve"> or</w:t>
      </w:r>
      <w:r w:rsidR="00275468">
        <w:rPr>
          <w:bCs/>
          <w:color w:val="002060"/>
          <w:sz w:val="22"/>
          <w:szCs w:val="22"/>
          <w:lang w:val="en-US"/>
        </w:rPr>
        <w:t xml:space="preserve"> % of </w:t>
      </w:r>
      <w:r w:rsidR="00E039D3" w:rsidRPr="00B746C2">
        <w:rPr>
          <w:bCs/>
          <w:color w:val="002060"/>
          <w:sz w:val="22"/>
          <w:szCs w:val="22"/>
          <w:lang w:val="en-US"/>
        </w:rPr>
        <w:t xml:space="preserve">sustainable investments </w:t>
      </w:r>
      <w:r w:rsidR="00275468">
        <w:rPr>
          <w:bCs/>
          <w:color w:val="002060"/>
          <w:sz w:val="22"/>
          <w:szCs w:val="22"/>
          <w:lang w:val="en-US"/>
        </w:rPr>
        <w:t xml:space="preserve">as per </w:t>
      </w:r>
      <w:r w:rsidR="00E039D3" w:rsidRPr="00B746C2">
        <w:rPr>
          <w:bCs/>
          <w:color w:val="002060"/>
          <w:sz w:val="22"/>
          <w:szCs w:val="22"/>
          <w:lang w:val="en-US"/>
        </w:rPr>
        <w:t>SFDR art. 2(17).</w:t>
      </w:r>
    </w:p>
    <w:p w14:paraId="3DB41C24" w14:textId="3C02B12B" w:rsidR="0076161C" w:rsidRDefault="0076161C" w:rsidP="006926E9">
      <w:pPr>
        <w:pStyle w:val="Default"/>
        <w:spacing w:after="175"/>
        <w:jc w:val="both"/>
        <w:rPr>
          <w:bCs/>
          <w:color w:val="002060"/>
          <w:sz w:val="22"/>
          <w:szCs w:val="22"/>
          <w:lang w:val="en-US"/>
        </w:rPr>
      </w:pPr>
      <w:r>
        <w:rPr>
          <w:bCs/>
          <w:color w:val="002060"/>
          <w:sz w:val="22"/>
          <w:szCs w:val="22"/>
          <w:lang w:val="en-US"/>
        </w:rPr>
        <w:t xml:space="preserve">We </w:t>
      </w:r>
      <w:r w:rsidR="00D5056F">
        <w:rPr>
          <w:bCs/>
          <w:color w:val="002060"/>
          <w:sz w:val="22"/>
          <w:szCs w:val="22"/>
          <w:lang w:val="en-US"/>
        </w:rPr>
        <w:t xml:space="preserve">strongly advise </w:t>
      </w:r>
      <w:r>
        <w:rPr>
          <w:bCs/>
          <w:color w:val="002060"/>
          <w:sz w:val="22"/>
          <w:szCs w:val="22"/>
          <w:lang w:val="en-US"/>
        </w:rPr>
        <w:t>that proportionality</w:t>
      </w:r>
      <w:r w:rsidR="00EF40C7">
        <w:rPr>
          <w:bCs/>
          <w:color w:val="002060"/>
          <w:sz w:val="22"/>
          <w:szCs w:val="22"/>
          <w:lang w:val="en-US"/>
        </w:rPr>
        <w:t xml:space="preserve"> should be introduced</w:t>
      </w:r>
      <w:r>
        <w:rPr>
          <w:bCs/>
          <w:color w:val="002060"/>
          <w:sz w:val="22"/>
          <w:szCs w:val="22"/>
          <w:lang w:val="en-US"/>
        </w:rPr>
        <w:t xml:space="preserve"> between the</w:t>
      </w:r>
      <w:r w:rsidR="00EF40C7">
        <w:rPr>
          <w:bCs/>
          <w:color w:val="002060"/>
          <w:sz w:val="22"/>
          <w:szCs w:val="22"/>
          <w:lang w:val="en-US"/>
        </w:rPr>
        <w:t xml:space="preserve"> </w:t>
      </w:r>
      <w:r w:rsidR="00BC233E">
        <w:rPr>
          <w:bCs/>
          <w:color w:val="002060"/>
          <w:sz w:val="22"/>
          <w:szCs w:val="22"/>
          <w:lang w:val="en-US"/>
        </w:rPr>
        <w:t>“</w:t>
      </w:r>
      <w:r w:rsidR="0068664D">
        <w:rPr>
          <w:bCs/>
          <w:color w:val="002060"/>
          <w:sz w:val="22"/>
          <w:szCs w:val="22"/>
          <w:lang w:val="en-US"/>
        </w:rPr>
        <w:t>marketing</w:t>
      </w:r>
      <w:r w:rsidR="00BC233E">
        <w:rPr>
          <w:bCs/>
          <w:color w:val="002060"/>
          <w:sz w:val="22"/>
          <w:szCs w:val="22"/>
          <w:lang w:val="en-US"/>
        </w:rPr>
        <w:t>”</w:t>
      </w:r>
      <w:r w:rsidR="0068664D">
        <w:rPr>
          <w:bCs/>
          <w:color w:val="002060"/>
          <w:sz w:val="22"/>
          <w:szCs w:val="22"/>
          <w:lang w:val="en-US"/>
        </w:rPr>
        <w:t xml:space="preserve"> </w:t>
      </w:r>
      <w:r w:rsidR="00EF40C7">
        <w:rPr>
          <w:bCs/>
          <w:color w:val="002060"/>
          <w:sz w:val="22"/>
          <w:szCs w:val="22"/>
          <w:lang w:val="en-US"/>
        </w:rPr>
        <w:t xml:space="preserve">disclosures of </w:t>
      </w:r>
      <w:r w:rsidR="00BD7E17">
        <w:rPr>
          <w:bCs/>
          <w:color w:val="002060"/>
          <w:sz w:val="22"/>
          <w:szCs w:val="22"/>
          <w:lang w:val="en-US"/>
        </w:rPr>
        <w:t>a financial product</w:t>
      </w:r>
      <w:r w:rsidR="00EF40C7">
        <w:rPr>
          <w:bCs/>
          <w:color w:val="002060"/>
          <w:sz w:val="22"/>
          <w:szCs w:val="22"/>
          <w:lang w:val="en-US"/>
        </w:rPr>
        <w:t xml:space="preserve"> (among which the name) and the </w:t>
      </w:r>
      <w:r w:rsidR="00BC233E">
        <w:rPr>
          <w:bCs/>
          <w:color w:val="002060"/>
          <w:sz w:val="22"/>
          <w:szCs w:val="22"/>
          <w:lang w:val="en-US"/>
        </w:rPr>
        <w:t xml:space="preserve">degree of </w:t>
      </w:r>
      <w:r>
        <w:rPr>
          <w:bCs/>
          <w:color w:val="002060"/>
          <w:sz w:val="22"/>
          <w:szCs w:val="22"/>
          <w:lang w:val="en-US"/>
        </w:rPr>
        <w:t xml:space="preserve">ESG </w:t>
      </w:r>
      <w:r w:rsidR="00BC233E">
        <w:rPr>
          <w:bCs/>
          <w:color w:val="002060"/>
          <w:sz w:val="22"/>
          <w:szCs w:val="22"/>
          <w:lang w:val="en-US"/>
        </w:rPr>
        <w:t xml:space="preserve">commitment </w:t>
      </w:r>
      <w:r w:rsidR="00EF40C7">
        <w:rPr>
          <w:bCs/>
          <w:color w:val="002060"/>
          <w:sz w:val="22"/>
          <w:szCs w:val="22"/>
          <w:lang w:val="en-US"/>
        </w:rPr>
        <w:t xml:space="preserve">and </w:t>
      </w:r>
      <w:r w:rsidR="00BC233E">
        <w:rPr>
          <w:bCs/>
          <w:color w:val="002060"/>
          <w:sz w:val="22"/>
          <w:szCs w:val="22"/>
          <w:lang w:val="en-US"/>
        </w:rPr>
        <w:t xml:space="preserve">related </w:t>
      </w:r>
      <w:r w:rsidR="00EF40C7">
        <w:rPr>
          <w:bCs/>
          <w:color w:val="002060"/>
          <w:sz w:val="22"/>
          <w:szCs w:val="22"/>
          <w:lang w:val="en-US"/>
        </w:rPr>
        <w:t xml:space="preserve">impact </w:t>
      </w:r>
      <w:r w:rsidR="00BC233E">
        <w:rPr>
          <w:bCs/>
          <w:color w:val="002060"/>
          <w:sz w:val="22"/>
          <w:szCs w:val="22"/>
          <w:lang w:val="en-US"/>
        </w:rPr>
        <w:t>in</w:t>
      </w:r>
      <w:r>
        <w:rPr>
          <w:bCs/>
          <w:color w:val="002060"/>
          <w:sz w:val="22"/>
          <w:szCs w:val="22"/>
          <w:lang w:val="en-US"/>
        </w:rPr>
        <w:t xml:space="preserve"> the </w:t>
      </w:r>
      <w:r w:rsidR="00BC233E">
        <w:rPr>
          <w:bCs/>
          <w:color w:val="002060"/>
          <w:sz w:val="22"/>
          <w:szCs w:val="22"/>
          <w:lang w:val="en-US"/>
        </w:rPr>
        <w:t>financial product</w:t>
      </w:r>
      <w:r>
        <w:rPr>
          <w:bCs/>
          <w:color w:val="002060"/>
          <w:sz w:val="22"/>
          <w:szCs w:val="22"/>
          <w:lang w:val="en-US"/>
        </w:rPr>
        <w:t>.</w:t>
      </w:r>
      <w:r w:rsidR="00BD7E17">
        <w:rPr>
          <w:bCs/>
          <w:color w:val="002060"/>
          <w:sz w:val="22"/>
          <w:szCs w:val="22"/>
          <w:lang w:val="en-US"/>
        </w:rPr>
        <w:t xml:space="preserve"> Unlike some national rules (such as the French non</w:t>
      </w:r>
      <w:r w:rsidR="009E2BFB">
        <w:rPr>
          <w:bCs/>
          <w:color w:val="002060"/>
          <w:sz w:val="22"/>
          <w:szCs w:val="22"/>
          <w:lang w:val="en-US"/>
        </w:rPr>
        <w:t>-</w:t>
      </w:r>
      <w:r w:rsidR="00BD7E17">
        <w:rPr>
          <w:bCs/>
          <w:color w:val="002060"/>
          <w:sz w:val="22"/>
          <w:szCs w:val="22"/>
          <w:lang w:val="en-US"/>
        </w:rPr>
        <w:t>financial disclosure rules</w:t>
      </w:r>
      <w:r w:rsidR="002B6EB1">
        <w:rPr>
          <w:bCs/>
          <w:color w:val="002060"/>
          <w:sz w:val="22"/>
          <w:szCs w:val="22"/>
          <w:lang w:val="en-US"/>
        </w:rPr>
        <w:t xml:space="preserve"> </w:t>
      </w:r>
      <w:r w:rsidR="00D5056F">
        <w:rPr>
          <w:bCs/>
          <w:color w:val="002060"/>
          <w:sz w:val="22"/>
          <w:szCs w:val="22"/>
          <w:lang w:val="en-US"/>
        </w:rPr>
        <w:t>or German ones)</w:t>
      </w:r>
      <w:r w:rsidR="00BD7E17">
        <w:rPr>
          <w:bCs/>
          <w:color w:val="002060"/>
          <w:sz w:val="22"/>
          <w:szCs w:val="22"/>
          <w:lang w:val="en-US"/>
        </w:rPr>
        <w:t xml:space="preserve">, </w:t>
      </w:r>
      <w:r w:rsidR="00D5056F">
        <w:rPr>
          <w:bCs/>
          <w:color w:val="002060"/>
          <w:sz w:val="22"/>
          <w:szCs w:val="22"/>
          <w:lang w:val="en-US"/>
        </w:rPr>
        <w:t xml:space="preserve">or label rules in some </w:t>
      </w:r>
      <w:r w:rsidR="002B6EB1">
        <w:rPr>
          <w:bCs/>
          <w:color w:val="002060"/>
          <w:sz w:val="22"/>
          <w:szCs w:val="22"/>
          <w:lang w:val="en-US"/>
        </w:rPr>
        <w:t>M</w:t>
      </w:r>
      <w:r w:rsidR="00D5056F">
        <w:rPr>
          <w:bCs/>
          <w:color w:val="002060"/>
          <w:sz w:val="22"/>
          <w:szCs w:val="22"/>
          <w:lang w:val="en-US"/>
        </w:rPr>
        <w:t xml:space="preserve">embers </w:t>
      </w:r>
      <w:r w:rsidR="002B6EB1">
        <w:rPr>
          <w:bCs/>
          <w:color w:val="002060"/>
          <w:sz w:val="22"/>
          <w:szCs w:val="22"/>
          <w:lang w:val="en-US"/>
        </w:rPr>
        <w:t>S</w:t>
      </w:r>
      <w:r w:rsidR="00D5056F">
        <w:rPr>
          <w:bCs/>
          <w:color w:val="002060"/>
          <w:sz w:val="22"/>
          <w:szCs w:val="22"/>
          <w:lang w:val="en-US"/>
        </w:rPr>
        <w:t xml:space="preserve">tates, </w:t>
      </w:r>
      <w:r w:rsidR="00BD7E17">
        <w:rPr>
          <w:bCs/>
          <w:color w:val="002060"/>
          <w:sz w:val="22"/>
          <w:szCs w:val="22"/>
          <w:lang w:val="en-US"/>
        </w:rPr>
        <w:t>SFDR disclosures</w:t>
      </w:r>
      <w:r w:rsidR="007B477A">
        <w:rPr>
          <w:bCs/>
          <w:color w:val="002060"/>
          <w:sz w:val="22"/>
          <w:szCs w:val="22"/>
          <w:lang w:val="en-US"/>
        </w:rPr>
        <w:t xml:space="preserve"> are not </w:t>
      </w:r>
      <w:r w:rsidR="00D5056F">
        <w:rPr>
          <w:bCs/>
          <w:color w:val="002060"/>
          <w:sz w:val="22"/>
          <w:szCs w:val="22"/>
          <w:lang w:val="en-US"/>
        </w:rPr>
        <w:t>dealing with this issue</w:t>
      </w:r>
      <w:r w:rsidR="007B477A">
        <w:rPr>
          <w:bCs/>
          <w:color w:val="002060"/>
          <w:sz w:val="22"/>
          <w:szCs w:val="22"/>
          <w:lang w:val="en-US"/>
        </w:rPr>
        <w:t>. In July 2021, t</w:t>
      </w:r>
      <w:r w:rsidR="00EF40C7">
        <w:rPr>
          <w:bCs/>
          <w:color w:val="002060"/>
          <w:sz w:val="22"/>
          <w:szCs w:val="22"/>
          <w:lang w:val="en-US"/>
        </w:rPr>
        <w:t xml:space="preserve">he European Commission </w:t>
      </w:r>
      <w:r w:rsidR="001113E5">
        <w:rPr>
          <w:bCs/>
          <w:color w:val="002060"/>
          <w:sz w:val="22"/>
          <w:szCs w:val="22"/>
          <w:lang w:val="en-US"/>
        </w:rPr>
        <w:t xml:space="preserve">(EC) </w:t>
      </w:r>
      <w:r w:rsidR="00EF40C7">
        <w:rPr>
          <w:bCs/>
          <w:color w:val="002060"/>
          <w:sz w:val="22"/>
          <w:szCs w:val="22"/>
          <w:lang w:val="en-US"/>
        </w:rPr>
        <w:t xml:space="preserve">clarified that the definition of funds </w:t>
      </w:r>
      <w:r w:rsidR="007B477A">
        <w:rPr>
          <w:bCs/>
          <w:color w:val="002060"/>
          <w:sz w:val="22"/>
          <w:szCs w:val="22"/>
          <w:lang w:val="en-US"/>
        </w:rPr>
        <w:t xml:space="preserve">disclosing under SFDR art8 </w:t>
      </w:r>
      <w:r w:rsidR="00EF40C7">
        <w:rPr>
          <w:bCs/>
          <w:color w:val="002060"/>
          <w:sz w:val="22"/>
          <w:szCs w:val="22"/>
          <w:lang w:val="en-US"/>
        </w:rPr>
        <w:t xml:space="preserve">is quite large, while </w:t>
      </w:r>
      <w:r w:rsidR="007B477A">
        <w:rPr>
          <w:bCs/>
          <w:color w:val="002060"/>
          <w:sz w:val="22"/>
          <w:szCs w:val="22"/>
          <w:lang w:val="en-US"/>
        </w:rPr>
        <w:t xml:space="preserve">the definition of </w:t>
      </w:r>
      <w:r w:rsidR="00BD7E17">
        <w:rPr>
          <w:bCs/>
          <w:color w:val="002060"/>
          <w:sz w:val="22"/>
          <w:szCs w:val="22"/>
          <w:lang w:val="en-US"/>
        </w:rPr>
        <w:t>funds</w:t>
      </w:r>
      <w:r w:rsidR="007B477A">
        <w:rPr>
          <w:bCs/>
          <w:color w:val="002060"/>
          <w:sz w:val="22"/>
          <w:szCs w:val="22"/>
          <w:lang w:val="en-US"/>
        </w:rPr>
        <w:t xml:space="preserve"> disclosing under art9 has been narrowed due to </w:t>
      </w:r>
      <w:r w:rsidR="00BD7E17">
        <w:rPr>
          <w:bCs/>
          <w:color w:val="002060"/>
          <w:sz w:val="22"/>
          <w:szCs w:val="22"/>
          <w:lang w:val="en-US"/>
        </w:rPr>
        <w:t xml:space="preserve">the </w:t>
      </w:r>
      <w:r w:rsidR="007B477A">
        <w:rPr>
          <w:bCs/>
          <w:color w:val="002060"/>
          <w:sz w:val="22"/>
          <w:szCs w:val="22"/>
          <w:lang w:val="en-US"/>
        </w:rPr>
        <w:t>“</w:t>
      </w:r>
      <w:r w:rsidR="00BD7E17">
        <w:rPr>
          <w:bCs/>
          <w:color w:val="002060"/>
          <w:sz w:val="22"/>
          <w:szCs w:val="22"/>
          <w:lang w:val="en-US"/>
        </w:rPr>
        <w:t>sustainable investments</w:t>
      </w:r>
      <w:r w:rsidR="007B477A">
        <w:rPr>
          <w:bCs/>
          <w:color w:val="002060"/>
          <w:sz w:val="22"/>
          <w:szCs w:val="22"/>
          <w:lang w:val="en-US"/>
        </w:rPr>
        <w:t xml:space="preserve"> only”</w:t>
      </w:r>
      <w:r w:rsidR="00BD7E17">
        <w:rPr>
          <w:bCs/>
          <w:color w:val="002060"/>
          <w:sz w:val="22"/>
          <w:szCs w:val="22"/>
          <w:lang w:val="en-US"/>
        </w:rPr>
        <w:t xml:space="preserve"> </w:t>
      </w:r>
      <w:r w:rsidR="00EF40C7">
        <w:rPr>
          <w:bCs/>
          <w:color w:val="002060"/>
          <w:sz w:val="22"/>
          <w:szCs w:val="22"/>
          <w:lang w:val="en-US"/>
        </w:rPr>
        <w:t>requirement</w:t>
      </w:r>
      <w:r w:rsidR="00E72FA0">
        <w:rPr>
          <w:bCs/>
          <w:color w:val="002060"/>
          <w:sz w:val="22"/>
          <w:szCs w:val="22"/>
          <w:lang w:val="en-US"/>
        </w:rPr>
        <w:t>.</w:t>
      </w:r>
      <w:r w:rsidR="00EF40C7">
        <w:rPr>
          <w:bCs/>
          <w:color w:val="002060"/>
          <w:sz w:val="22"/>
          <w:szCs w:val="22"/>
          <w:lang w:val="en-US"/>
        </w:rPr>
        <w:t xml:space="preserve"> </w:t>
      </w:r>
      <w:r w:rsidR="00BD7E17">
        <w:rPr>
          <w:bCs/>
          <w:color w:val="002060"/>
          <w:sz w:val="22"/>
          <w:szCs w:val="22"/>
          <w:lang w:val="en-US"/>
        </w:rPr>
        <w:t>On this basis,</w:t>
      </w:r>
      <w:r w:rsidR="00EF40C7">
        <w:rPr>
          <w:bCs/>
          <w:color w:val="002060"/>
          <w:sz w:val="22"/>
          <w:szCs w:val="22"/>
          <w:lang w:val="en-US"/>
        </w:rPr>
        <w:t xml:space="preserve"> introducing fund naming rules </w:t>
      </w:r>
      <w:r w:rsidR="00D5056F">
        <w:rPr>
          <w:bCs/>
          <w:color w:val="002060"/>
          <w:sz w:val="22"/>
          <w:szCs w:val="22"/>
          <w:lang w:val="en-US"/>
        </w:rPr>
        <w:t xml:space="preserve">may </w:t>
      </w:r>
      <w:r w:rsidR="00EF40C7">
        <w:rPr>
          <w:bCs/>
          <w:color w:val="002060"/>
          <w:sz w:val="22"/>
          <w:szCs w:val="22"/>
          <w:lang w:val="en-US"/>
        </w:rPr>
        <w:t xml:space="preserve">allow to </w:t>
      </w:r>
      <w:r w:rsidR="00D5056F">
        <w:rPr>
          <w:bCs/>
          <w:color w:val="002060"/>
          <w:sz w:val="22"/>
          <w:szCs w:val="22"/>
          <w:lang w:val="en-US"/>
        </w:rPr>
        <w:t>introduce</w:t>
      </w:r>
      <w:r w:rsidR="00BD7E17">
        <w:rPr>
          <w:bCs/>
          <w:color w:val="002060"/>
          <w:sz w:val="22"/>
          <w:szCs w:val="22"/>
          <w:lang w:val="en-US"/>
        </w:rPr>
        <w:t xml:space="preserve"> some proportionality among the art8 funds.</w:t>
      </w:r>
    </w:p>
    <w:p w14:paraId="41A86D04" w14:textId="65B727EC" w:rsidR="00433C31" w:rsidRDefault="007B477A" w:rsidP="006926E9">
      <w:pPr>
        <w:pStyle w:val="Default"/>
        <w:spacing w:after="175"/>
        <w:jc w:val="both"/>
        <w:rPr>
          <w:bCs/>
          <w:color w:val="002060"/>
          <w:sz w:val="22"/>
          <w:szCs w:val="22"/>
          <w:lang w:val="en-US"/>
        </w:rPr>
      </w:pPr>
      <w:r>
        <w:rPr>
          <w:bCs/>
          <w:color w:val="002060"/>
          <w:sz w:val="22"/>
          <w:szCs w:val="22"/>
          <w:lang w:val="en-US"/>
        </w:rPr>
        <w:t>On top of introducing</w:t>
      </w:r>
      <w:r w:rsidR="00433C31">
        <w:rPr>
          <w:bCs/>
          <w:color w:val="002060"/>
          <w:sz w:val="22"/>
          <w:szCs w:val="22"/>
          <w:lang w:val="en-US"/>
        </w:rPr>
        <w:t xml:space="preserve"> measurable</w:t>
      </w:r>
      <w:r>
        <w:rPr>
          <w:bCs/>
          <w:color w:val="002060"/>
          <w:sz w:val="22"/>
          <w:szCs w:val="22"/>
          <w:lang w:val="en-US"/>
        </w:rPr>
        <w:t xml:space="preserve"> </w:t>
      </w:r>
      <w:r w:rsidRPr="00BC233E">
        <w:rPr>
          <w:b/>
          <w:bCs/>
          <w:color w:val="002060"/>
          <w:sz w:val="22"/>
          <w:szCs w:val="22"/>
          <w:lang w:val="en-US"/>
        </w:rPr>
        <w:t>proportionality</w:t>
      </w:r>
      <w:r>
        <w:rPr>
          <w:bCs/>
          <w:color w:val="002060"/>
          <w:sz w:val="22"/>
          <w:szCs w:val="22"/>
          <w:lang w:val="en-US"/>
        </w:rPr>
        <w:t xml:space="preserve">, </w:t>
      </w:r>
      <w:r w:rsidR="00D5056F">
        <w:rPr>
          <w:bCs/>
          <w:color w:val="002060"/>
          <w:sz w:val="22"/>
          <w:szCs w:val="22"/>
          <w:lang w:val="en-US"/>
        </w:rPr>
        <w:t xml:space="preserve">in theory, </w:t>
      </w:r>
      <w:r w:rsidR="00B0297D">
        <w:rPr>
          <w:bCs/>
          <w:color w:val="002060"/>
          <w:sz w:val="22"/>
          <w:szCs w:val="22"/>
          <w:lang w:val="en-US"/>
        </w:rPr>
        <w:t>q</w:t>
      </w:r>
      <w:r w:rsidR="00E377F7" w:rsidRPr="00B746C2">
        <w:rPr>
          <w:bCs/>
          <w:color w:val="002060"/>
          <w:sz w:val="22"/>
          <w:szCs w:val="22"/>
          <w:lang w:val="en-US"/>
        </w:rPr>
        <w:t>uantitative thresholds</w:t>
      </w:r>
      <w:r w:rsidR="00275468">
        <w:rPr>
          <w:bCs/>
          <w:color w:val="002060"/>
          <w:sz w:val="22"/>
          <w:szCs w:val="22"/>
          <w:lang w:val="en-US"/>
        </w:rPr>
        <w:t xml:space="preserve"> rules</w:t>
      </w:r>
      <w:r w:rsidR="00E377F7" w:rsidRPr="00B746C2">
        <w:rPr>
          <w:bCs/>
          <w:color w:val="002060"/>
          <w:sz w:val="22"/>
          <w:szCs w:val="22"/>
          <w:lang w:val="en-US"/>
        </w:rPr>
        <w:t xml:space="preserve"> </w:t>
      </w:r>
      <w:r w:rsidR="00275468">
        <w:rPr>
          <w:bCs/>
          <w:color w:val="002060"/>
          <w:sz w:val="22"/>
          <w:szCs w:val="22"/>
          <w:lang w:val="en-US"/>
        </w:rPr>
        <w:t xml:space="preserve">have the </w:t>
      </w:r>
      <w:r w:rsidR="00275468" w:rsidRPr="00BC233E">
        <w:rPr>
          <w:b/>
          <w:bCs/>
          <w:color w:val="002060"/>
          <w:sz w:val="22"/>
          <w:szCs w:val="22"/>
          <w:lang w:val="en-US"/>
        </w:rPr>
        <w:t>meri</w:t>
      </w:r>
      <w:r w:rsidR="0076161C" w:rsidRPr="00BC233E">
        <w:rPr>
          <w:b/>
          <w:bCs/>
          <w:color w:val="002060"/>
          <w:sz w:val="22"/>
          <w:szCs w:val="22"/>
          <w:lang w:val="en-US"/>
        </w:rPr>
        <w:t xml:space="preserve">t to be </w:t>
      </w:r>
      <w:r w:rsidR="00930FA2" w:rsidRPr="00BC233E">
        <w:rPr>
          <w:b/>
          <w:bCs/>
          <w:color w:val="002060"/>
          <w:sz w:val="22"/>
          <w:szCs w:val="22"/>
          <w:lang w:val="en-US"/>
        </w:rPr>
        <w:t>simple</w:t>
      </w:r>
      <w:r w:rsidR="00930FA2">
        <w:rPr>
          <w:bCs/>
          <w:color w:val="002060"/>
          <w:sz w:val="22"/>
          <w:szCs w:val="22"/>
          <w:lang w:val="en-US"/>
        </w:rPr>
        <w:t>: based on pre-contractual asset allocation</w:t>
      </w:r>
      <w:r w:rsidR="00275468">
        <w:rPr>
          <w:bCs/>
          <w:color w:val="002060"/>
          <w:sz w:val="22"/>
          <w:szCs w:val="22"/>
          <w:lang w:val="en-US"/>
        </w:rPr>
        <w:t xml:space="preserve">, simple to check </w:t>
      </w:r>
      <w:r w:rsidR="00D5056F">
        <w:rPr>
          <w:bCs/>
          <w:color w:val="002060"/>
          <w:sz w:val="22"/>
          <w:szCs w:val="22"/>
          <w:lang w:val="en-US"/>
        </w:rPr>
        <w:t xml:space="preserve">for the regulator </w:t>
      </w:r>
      <w:r w:rsidR="00275468">
        <w:rPr>
          <w:bCs/>
          <w:color w:val="002060"/>
          <w:sz w:val="22"/>
          <w:szCs w:val="22"/>
          <w:lang w:val="en-US"/>
        </w:rPr>
        <w:t>(against periodic reports)</w:t>
      </w:r>
      <w:r w:rsidR="00E377F7" w:rsidRPr="00B746C2">
        <w:rPr>
          <w:bCs/>
          <w:color w:val="002060"/>
          <w:sz w:val="22"/>
          <w:szCs w:val="22"/>
          <w:lang w:val="en-US"/>
        </w:rPr>
        <w:t xml:space="preserve">. </w:t>
      </w:r>
    </w:p>
    <w:p w14:paraId="756B076B" w14:textId="27EB2A34" w:rsidR="0050664B" w:rsidRPr="0076161C" w:rsidRDefault="00E377F7" w:rsidP="006926E9">
      <w:pPr>
        <w:pStyle w:val="Default"/>
        <w:spacing w:after="175"/>
        <w:jc w:val="both"/>
        <w:rPr>
          <w:bCs/>
          <w:color w:val="002060"/>
          <w:sz w:val="22"/>
          <w:szCs w:val="22"/>
          <w:lang w:val="en-US"/>
        </w:rPr>
      </w:pPr>
      <w:r w:rsidRPr="00B746C2">
        <w:rPr>
          <w:bCs/>
          <w:color w:val="002060"/>
          <w:sz w:val="22"/>
          <w:szCs w:val="22"/>
          <w:lang w:val="en-US"/>
        </w:rPr>
        <w:t xml:space="preserve">But </w:t>
      </w:r>
      <w:r w:rsidRPr="00B746C2">
        <w:rPr>
          <w:b/>
          <w:bCs/>
          <w:color w:val="002060"/>
          <w:sz w:val="22"/>
          <w:szCs w:val="22"/>
          <w:lang w:val="en-US"/>
        </w:rPr>
        <w:t xml:space="preserve">such </w:t>
      </w:r>
      <w:r w:rsidR="00CD0547">
        <w:rPr>
          <w:b/>
          <w:bCs/>
          <w:color w:val="002060"/>
          <w:sz w:val="22"/>
          <w:szCs w:val="22"/>
          <w:lang w:val="en-US"/>
        </w:rPr>
        <w:t xml:space="preserve">apparent </w:t>
      </w:r>
      <w:r w:rsidRPr="00B746C2">
        <w:rPr>
          <w:b/>
          <w:bCs/>
          <w:color w:val="002060"/>
          <w:sz w:val="22"/>
          <w:szCs w:val="22"/>
          <w:lang w:val="en-US"/>
        </w:rPr>
        <w:t>simplicity</w:t>
      </w:r>
      <w:r w:rsidR="001B61BD" w:rsidRPr="00B746C2">
        <w:rPr>
          <w:b/>
          <w:bCs/>
          <w:color w:val="002060"/>
          <w:sz w:val="22"/>
          <w:szCs w:val="22"/>
          <w:lang w:val="en-US"/>
        </w:rPr>
        <w:t xml:space="preserve"> in using</w:t>
      </w:r>
      <w:r w:rsidR="00CD0547">
        <w:rPr>
          <w:b/>
          <w:bCs/>
          <w:color w:val="002060"/>
          <w:sz w:val="22"/>
          <w:szCs w:val="22"/>
          <w:lang w:val="en-US"/>
        </w:rPr>
        <w:t xml:space="preserve"> quantitative</w:t>
      </w:r>
      <w:r w:rsidR="001B61BD" w:rsidRPr="00B746C2">
        <w:rPr>
          <w:b/>
          <w:bCs/>
          <w:color w:val="002060"/>
          <w:sz w:val="22"/>
          <w:szCs w:val="22"/>
          <w:lang w:val="en-US"/>
        </w:rPr>
        <w:t xml:space="preserve"> thresholds</w:t>
      </w:r>
      <w:r w:rsidRPr="00B746C2">
        <w:rPr>
          <w:b/>
          <w:bCs/>
          <w:color w:val="002060"/>
          <w:sz w:val="22"/>
          <w:szCs w:val="22"/>
          <w:lang w:val="en-US"/>
        </w:rPr>
        <w:t xml:space="preserve"> is actually </w:t>
      </w:r>
      <w:r w:rsidR="00CD0547">
        <w:rPr>
          <w:b/>
          <w:bCs/>
          <w:color w:val="002060"/>
          <w:sz w:val="22"/>
          <w:szCs w:val="22"/>
          <w:lang w:val="en-US"/>
        </w:rPr>
        <w:t xml:space="preserve">bringing </w:t>
      </w:r>
      <w:r w:rsidR="0055163F" w:rsidRPr="00B746C2">
        <w:rPr>
          <w:b/>
          <w:bCs/>
          <w:color w:val="002060"/>
          <w:sz w:val="22"/>
          <w:szCs w:val="22"/>
          <w:lang w:val="en-US"/>
        </w:rPr>
        <w:t>confusion</w:t>
      </w:r>
      <w:r w:rsidR="00176555">
        <w:rPr>
          <w:b/>
          <w:bCs/>
          <w:color w:val="002060"/>
          <w:sz w:val="22"/>
          <w:szCs w:val="22"/>
          <w:lang w:val="en-US"/>
        </w:rPr>
        <w:t>:</w:t>
      </w:r>
    </w:p>
    <w:p w14:paraId="26089353" w14:textId="00880207" w:rsidR="00B0297D" w:rsidRDefault="001B61BD" w:rsidP="006926E9">
      <w:pPr>
        <w:pStyle w:val="Default"/>
        <w:numPr>
          <w:ilvl w:val="0"/>
          <w:numId w:val="4"/>
        </w:numPr>
        <w:spacing w:after="175"/>
        <w:ind w:left="426" w:hanging="426"/>
        <w:jc w:val="both"/>
        <w:rPr>
          <w:bCs/>
          <w:color w:val="002060"/>
          <w:sz w:val="22"/>
          <w:szCs w:val="22"/>
          <w:lang w:val="en-US"/>
        </w:rPr>
      </w:pPr>
      <w:r w:rsidRPr="00B746C2">
        <w:rPr>
          <w:bCs/>
          <w:color w:val="002060"/>
          <w:sz w:val="22"/>
          <w:szCs w:val="22"/>
          <w:lang w:val="en-US"/>
        </w:rPr>
        <w:t xml:space="preserve">The most notable confusion </w:t>
      </w:r>
      <w:r w:rsidR="00D5056F">
        <w:rPr>
          <w:bCs/>
          <w:color w:val="002060"/>
          <w:sz w:val="22"/>
          <w:szCs w:val="22"/>
          <w:lang w:val="en-US"/>
        </w:rPr>
        <w:t xml:space="preserve">would </w:t>
      </w:r>
      <w:r w:rsidRPr="00B746C2">
        <w:rPr>
          <w:bCs/>
          <w:color w:val="002060"/>
          <w:sz w:val="22"/>
          <w:szCs w:val="22"/>
          <w:lang w:val="en-US"/>
        </w:rPr>
        <w:t>stem from</w:t>
      </w:r>
      <w:r w:rsidR="008579A5" w:rsidRPr="00B746C2">
        <w:rPr>
          <w:bCs/>
          <w:color w:val="002060"/>
          <w:sz w:val="22"/>
          <w:szCs w:val="22"/>
          <w:lang w:val="en-US"/>
        </w:rPr>
        <w:t xml:space="preserve"> </w:t>
      </w:r>
      <w:r w:rsidR="008579A5" w:rsidRPr="0050664B">
        <w:rPr>
          <w:bCs/>
          <w:color w:val="002060"/>
          <w:sz w:val="22"/>
          <w:szCs w:val="22"/>
          <w:lang w:val="en-US"/>
        </w:rPr>
        <w:t>the</w:t>
      </w:r>
      <w:r w:rsidRPr="0050664B">
        <w:rPr>
          <w:bCs/>
          <w:color w:val="002060"/>
          <w:sz w:val="22"/>
          <w:szCs w:val="22"/>
          <w:lang w:val="en-US"/>
        </w:rPr>
        <w:t xml:space="preserve"> threshold</w:t>
      </w:r>
      <w:r w:rsidR="008579A5" w:rsidRPr="0050664B">
        <w:rPr>
          <w:bCs/>
          <w:color w:val="002060"/>
          <w:sz w:val="22"/>
          <w:szCs w:val="22"/>
          <w:lang w:val="en-US"/>
        </w:rPr>
        <w:t xml:space="preserve"> based</w:t>
      </w:r>
      <w:r w:rsidRPr="0050664B">
        <w:rPr>
          <w:bCs/>
          <w:color w:val="002060"/>
          <w:sz w:val="22"/>
          <w:szCs w:val="22"/>
          <w:lang w:val="en-US"/>
        </w:rPr>
        <w:t xml:space="preserve"> on</w:t>
      </w:r>
      <w:r w:rsidRPr="00B746C2">
        <w:rPr>
          <w:b/>
          <w:bCs/>
          <w:color w:val="002060"/>
          <w:sz w:val="22"/>
          <w:szCs w:val="22"/>
          <w:lang w:val="en-US"/>
        </w:rPr>
        <w:t xml:space="preserve"> “sustainable investment” (SI)</w:t>
      </w:r>
      <w:r w:rsidR="008579A5" w:rsidRPr="00B746C2">
        <w:rPr>
          <w:bCs/>
          <w:color w:val="002060"/>
          <w:sz w:val="22"/>
          <w:szCs w:val="22"/>
          <w:lang w:val="en-US"/>
        </w:rPr>
        <w:t>.</w:t>
      </w:r>
      <w:r w:rsidR="005E3BD3" w:rsidRPr="00B746C2">
        <w:rPr>
          <w:bCs/>
          <w:color w:val="002060"/>
          <w:sz w:val="22"/>
          <w:szCs w:val="22"/>
          <w:lang w:val="en-US"/>
        </w:rPr>
        <w:t xml:space="preserve"> ESAs are fully aware that different methodologies </w:t>
      </w:r>
      <w:r w:rsidR="00CD0547">
        <w:rPr>
          <w:bCs/>
          <w:color w:val="002060"/>
          <w:sz w:val="22"/>
          <w:szCs w:val="22"/>
          <w:lang w:val="en-US"/>
        </w:rPr>
        <w:t xml:space="preserve">to assess SI </w:t>
      </w:r>
      <w:r w:rsidR="005E3BD3" w:rsidRPr="00B746C2">
        <w:rPr>
          <w:bCs/>
          <w:color w:val="002060"/>
          <w:sz w:val="22"/>
          <w:szCs w:val="22"/>
          <w:lang w:val="en-US"/>
        </w:rPr>
        <w:t xml:space="preserve">can lead to </w:t>
      </w:r>
      <w:r w:rsidR="00CD0547">
        <w:rPr>
          <w:bCs/>
          <w:color w:val="002060"/>
          <w:sz w:val="22"/>
          <w:szCs w:val="22"/>
          <w:lang w:val="en-US"/>
        </w:rPr>
        <w:t>quite different</w:t>
      </w:r>
      <w:r w:rsidR="0071667D">
        <w:rPr>
          <w:bCs/>
          <w:color w:val="002060"/>
          <w:sz w:val="22"/>
          <w:szCs w:val="22"/>
          <w:lang w:val="en-US"/>
        </w:rPr>
        <w:t xml:space="preserve"> proportions of SI</w:t>
      </w:r>
      <w:r w:rsidR="00CD0547">
        <w:rPr>
          <w:bCs/>
          <w:color w:val="002060"/>
          <w:sz w:val="22"/>
          <w:szCs w:val="22"/>
          <w:lang w:val="en-US"/>
        </w:rPr>
        <w:t xml:space="preserve"> </w:t>
      </w:r>
      <w:r w:rsidR="005E3BD3" w:rsidRPr="00B746C2">
        <w:rPr>
          <w:bCs/>
          <w:color w:val="002060"/>
          <w:sz w:val="22"/>
          <w:szCs w:val="22"/>
          <w:lang w:val="en-US"/>
        </w:rPr>
        <w:t xml:space="preserve">for one same portfolio. </w:t>
      </w:r>
      <w:r w:rsidR="0071667D">
        <w:rPr>
          <w:bCs/>
          <w:color w:val="002060"/>
          <w:sz w:val="22"/>
          <w:szCs w:val="22"/>
          <w:lang w:val="en-US"/>
        </w:rPr>
        <w:t xml:space="preserve">To this extent, </w:t>
      </w:r>
      <w:r w:rsidR="00D5056F">
        <w:rPr>
          <w:bCs/>
          <w:color w:val="002060"/>
          <w:sz w:val="22"/>
          <w:szCs w:val="22"/>
          <w:lang w:val="en-US"/>
        </w:rPr>
        <w:t>i</w:t>
      </w:r>
      <w:r w:rsidR="0050664B">
        <w:rPr>
          <w:bCs/>
          <w:color w:val="002060"/>
          <w:sz w:val="22"/>
          <w:szCs w:val="22"/>
          <w:lang w:val="en-US"/>
        </w:rPr>
        <w:t xml:space="preserve">n September 2022, </w:t>
      </w:r>
      <w:r w:rsidR="005E3BD3" w:rsidRPr="00B746C2">
        <w:rPr>
          <w:bCs/>
          <w:color w:val="002060"/>
          <w:sz w:val="22"/>
          <w:szCs w:val="22"/>
          <w:lang w:val="en-US"/>
        </w:rPr>
        <w:t>ESAs have duly questioned the European Commission</w:t>
      </w:r>
      <w:r w:rsidR="0050664B">
        <w:rPr>
          <w:rStyle w:val="Appelnotedebasdep"/>
          <w:bCs/>
          <w:color w:val="002060"/>
          <w:sz w:val="22"/>
          <w:szCs w:val="22"/>
          <w:lang w:val="en-US"/>
        </w:rPr>
        <w:footnoteReference w:id="1"/>
      </w:r>
      <w:r w:rsidR="00CD0547">
        <w:rPr>
          <w:bCs/>
          <w:color w:val="002060"/>
          <w:sz w:val="22"/>
          <w:szCs w:val="22"/>
          <w:lang w:val="en-US"/>
        </w:rPr>
        <w:t xml:space="preserve"> to </w:t>
      </w:r>
      <w:r w:rsidR="00635078">
        <w:rPr>
          <w:bCs/>
          <w:color w:val="002060"/>
          <w:sz w:val="22"/>
          <w:szCs w:val="22"/>
          <w:lang w:val="en-US"/>
        </w:rPr>
        <w:t>get</w:t>
      </w:r>
      <w:r w:rsidR="00CD0547">
        <w:rPr>
          <w:bCs/>
          <w:color w:val="002060"/>
          <w:sz w:val="22"/>
          <w:szCs w:val="22"/>
          <w:lang w:val="en-US"/>
        </w:rPr>
        <w:t xml:space="preserve"> more clarity </w:t>
      </w:r>
      <w:r w:rsidR="00635078">
        <w:rPr>
          <w:bCs/>
          <w:color w:val="002060"/>
          <w:sz w:val="22"/>
          <w:szCs w:val="22"/>
          <w:lang w:val="en-US"/>
        </w:rPr>
        <w:t>on how to interpret SFDR’s SI concept (art 2(17))</w:t>
      </w:r>
      <w:r w:rsidR="005E3BD3" w:rsidRPr="00B746C2">
        <w:rPr>
          <w:bCs/>
          <w:color w:val="002060"/>
          <w:sz w:val="22"/>
          <w:szCs w:val="22"/>
          <w:lang w:val="en-US"/>
        </w:rPr>
        <w:t>.</w:t>
      </w:r>
      <w:r w:rsidR="00CD0547">
        <w:rPr>
          <w:bCs/>
          <w:color w:val="002060"/>
          <w:sz w:val="22"/>
          <w:szCs w:val="22"/>
          <w:lang w:val="en-US"/>
        </w:rPr>
        <w:t xml:space="preserve"> </w:t>
      </w:r>
      <w:bookmarkStart w:id="0" w:name="_Hlk125038429"/>
    </w:p>
    <w:bookmarkEnd w:id="0"/>
    <w:p w14:paraId="3208AFF2" w14:textId="05ACA6D0" w:rsidR="0050664B" w:rsidRDefault="00CD0547" w:rsidP="006926E9">
      <w:pPr>
        <w:pStyle w:val="Default"/>
        <w:spacing w:after="175"/>
        <w:ind w:left="426"/>
        <w:jc w:val="both"/>
        <w:rPr>
          <w:bCs/>
          <w:color w:val="002060"/>
          <w:sz w:val="22"/>
          <w:szCs w:val="22"/>
          <w:lang w:val="en-US"/>
        </w:rPr>
      </w:pPr>
      <w:r w:rsidRPr="00B0297D">
        <w:rPr>
          <w:b/>
          <w:bCs/>
          <w:color w:val="002060"/>
          <w:sz w:val="22"/>
          <w:szCs w:val="22"/>
          <w:lang w:val="en-US"/>
        </w:rPr>
        <w:t xml:space="preserve">As long as there is no </w:t>
      </w:r>
      <w:r w:rsidR="0071667D" w:rsidRPr="00B0297D">
        <w:rPr>
          <w:b/>
          <w:bCs/>
          <w:color w:val="002060"/>
          <w:sz w:val="22"/>
          <w:szCs w:val="22"/>
          <w:lang w:val="en-US"/>
        </w:rPr>
        <w:t xml:space="preserve">precise </w:t>
      </w:r>
      <w:r w:rsidRPr="00B0297D">
        <w:rPr>
          <w:b/>
          <w:bCs/>
          <w:color w:val="002060"/>
          <w:sz w:val="22"/>
          <w:szCs w:val="22"/>
          <w:lang w:val="en-US"/>
        </w:rPr>
        <w:t xml:space="preserve">clarification </w:t>
      </w:r>
      <w:r w:rsidR="006816AF">
        <w:rPr>
          <w:b/>
          <w:bCs/>
          <w:color w:val="002060"/>
          <w:sz w:val="22"/>
          <w:szCs w:val="22"/>
          <w:lang w:val="en-US"/>
        </w:rPr>
        <w:t>about</w:t>
      </w:r>
      <w:r w:rsidRPr="00B0297D">
        <w:rPr>
          <w:b/>
          <w:bCs/>
          <w:color w:val="002060"/>
          <w:sz w:val="22"/>
          <w:szCs w:val="22"/>
          <w:lang w:val="en-US"/>
        </w:rPr>
        <w:t xml:space="preserve"> the </w:t>
      </w:r>
      <w:r w:rsidR="00635078">
        <w:rPr>
          <w:b/>
          <w:bCs/>
          <w:color w:val="002060"/>
          <w:sz w:val="22"/>
          <w:szCs w:val="22"/>
          <w:lang w:val="en-US"/>
        </w:rPr>
        <w:t>concept of SI</w:t>
      </w:r>
      <w:r w:rsidRPr="00B0297D">
        <w:rPr>
          <w:bCs/>
          <w:color w:val="002060"/>
          <w:sz w:val="22"/>
          <w:szCs w:val="22"/>
          <w:lang w:val="en-US"/>
        </w:rPr>
        <w:t xml:space="preserve">, </w:t>
      </w:r>
      <w:r w:rsidRPr="00B0297D">
        <w:rPr>
          <w:b/>
          <w:bCs/>
          <w:color w:val="002060"/>
          <w:sz w:val="22"/>
          <w:szCs w:val="22"/>
          <w:lang w:val="en-US"/>
        </w:rPr>
        <w:t>aligning the fund</w:t>
      </w:r>
      <w:r w:rsidR="00D5056F">
        <w:rPr>
          <w:b/>
          <w:bCs/>
          <w:color w:val="002060"/>
          <w:sz w:val="22"/>
          <w:szCs w:val="22"/>
          <w:lang w:val="en-US"/>
        </w:rPr>
        <w:t>’s</w:t>
      </w:r>
      <w:r w:rsidRPr="00B0297D">
        <w:rPr>
          <w:b/>
          <w:bCs/>
          <w:color w:val="002060"/>
          <w:sz w:val="22"/>
          <w:szCs w:val="22"/>
          <w:lang w:val="en-US"/>
        </w:rPr>
        <w:t xml:space="preserve"> name to the proportion of SI in the fund </w:t>
      </w:r>
      <w:r w:rsidR="00D5056F">
        <w:rPr>
          <w:b/>
          <w:bCs/>
          <w:color w:val="002060"/>
          <w:sz w:val="22"/>
          <w:szCs w:val="22"/>
          <w:lang w:val="en-US"/>
        </w:rPr>
        <w:t>may be</w:t>
      </w:r>
      <w:r w:rsidR="00D5056F" w:rsidRPr="00B0297D">
        <w:rPr>
          <w:b/>
          <w:bCs/>
          <w:color w:val="002060"/>
          <w:sz w:val="22"/>
          <w:szCs w:val="22"/>
          <w:lang w:val="en-US"/>
        </w:rPr>
        <w:t xml:space="preserve"> </w:t>
      </w:r>
      <w:r w:rsidRPr="00B0297D">
        <w:rPr>
          <w:b/>
          <w:bCs/>
          <w:color w:val="002060"/>
          <w:sz w:val="22"/>
          <w:szCs w:val="22"/>
          <w:lang w:val="en-US"/>
        </w:rPr>
        <w:t xml:space="preserve">amplifying the impact of </w:t>
      </w:r>
      <w:r w:rsidR="0050664B">
        <w:rPr>
          <w:b/>
          <w:bCs/>
          <w:color w:val="002060"/>
          <w:sz w:val="22"/>
          <w:szCs w:val="22"/>
          <w:lang w:val="en-US"/>
        </w:rPr>
        <w:t>SFDR’s</w:t>
      </w:r>
      <w:r w:rsidRPr="00B0297D">
        <w:rPr>
          <w:b/>
          <w:bCs/>
          <w:color w:val="002060"/>
          <w:sz w:val="22"/>
          <w:szCs w:val="22"/>
          <w:lang w:val="en-US"/>
        </w:rPr>
        <w:t xml:space="preserve"> </w:t>
      </w:r>
      <w:r w:rsidR="00985893">
        <w:rPr>
          <w:b/>
          <w:bCs/>
          <w:color w:val="002060"/>
          <w:sz w:val="22"/>
          <w:szCs w:val="22"/>
          <w:lang w:val="en-US"/>
        </w:rPr>
        <w:t xml:space="preserve">current </w:t>
      </w:r>
      <w:r w:rsidRPr="00B0297D">
        <w:rPr>
          <w:b/>
          <w:bCs/>
          <w:color w:val="002060"/>
          <w:sz w:val="22"/>
          <w:szCs w:val="22"/>
          <w:lang w:val="en-US"/>
        </w:rPr>
        <w:t>lack of clarity</w:t>
      </w:r>
      <w:r w:rsidR="00D16B1C">
        <w:rPr>
          <w:b/>
          <w:bCs/>
          <w:color w:val="002060"/>
          <w:sz w:val="22"/>
          <w:szCs w:val="22"/>
          <w:lang w:val="en-US"/>
        </w:rPr>
        <w:t xml:space="preserve">: </w:t>
      </w:r>
      <w:r w:rsidR="0071667D" w:rsidRPr="00B0297D">
        <w:rPr>
          <w:b/>
          <w:bCs/>
          <w:color w:val="002060"/>
          <w:sz w:val="22"/>
          <w:szCs w:val="22"/>
          <w:lang w:val="en-US"/>
        </w:rPr>
        <w:t>market fragmentation across the EU</w:t>
      </w:r>
      <w:r w:rsidR="00D16B1C">
        <w:rPr>
          <w:b/>
          <w:bCs/>
          <w:color w:val="002060"/>
          <w:sz w:val="22"/>
          <w:szCs w:val="22"/>
          <w:lang w:val="en-US"/>
        </w:rPr>
        <w:t xml:space="preserve">, </w:t>
      </w:r>
      <w:r w:rsidR="00146294">
        <w:rPr>
          <w:b/>
          <w:bCs/>
          <w:color w:val="002060"/>
          <w:sz w:val="22"/>
          <w:szCs w:val="22"/>
          <w:lang w:val="en-US"/>
        </w:rPr>
        <w:t xml:space="preserve">confusion of investors </w:t>
      </w:r>
      <w:r w:rsidR="00D16B1C">
        <w:rPr>
          <w:b/>
          <w:bCs/>
          <w:color w:val="002060"/>
          <w:sz w:val="22"/>
          <w:szCs w:val="22"/>
          <w:lang w:val="en-US"/>
        </w:rPr>
        <w:t>and increase</w:t>
      </w:r>
      <w:r w:rsidR="00146294">
        <w:rPr>
          <w:b/>
          <w:bCs/>
          <w:color w:val="002060"/>
          <w:sz w:val="22"/>
          <w:szCs w:val="22"/>
          <w:lang w:val="en-US"/>
        </w:rPr>
        <w:t xml:space="preserve"> in</w:t>
      </w:r>
      <w:r w:rsidR="00D16B1C">
        <w:rPr>
          <w:b/>
          <w:bCs/>
          <w:color w:val="002060"/>
          <w:sz w:val="22"/>
          <w:szCs w:val="22"/>
          <w:lang w:val="en-US"/>
        </w:rPr>
        <w:t xml:space="preserve"> “greenwashing </w:t>
      </w:r>
      <w:r w:rsidR="00D5056F">
        <w:rPr>
          <w:b/>
          <w:bCs/>
          <w:color w:val="002060"/>
          <w:sz w:val="22"/>
          <w:szCs w:val="22"/>
          <w:lang w:val="en-US"/>
        </w:rPr>
        <w:t xml:space="preserve">allegation </w:t>
      </w:r>
      <w:r w:rsidR="00D16B1C">
        <w:rPr>
          <w:b/>
          <w:bCs/>
          <w:color w:val="002060"/>
          <w:sz w:val="22"/>
          <w:szCs w:val="22"/>
          <w:lang w:val="en-US"/>
        </w:rPr>
        <w:t>risks”.</w:t>
      </w:r>
    </w:p>
    <w:p w14:paraId="4CEE9D2E" w14:textId="530CD095" w:rsidR="00027710" w:rsidRDefault="00027710" w:rsidP="003A5104">
      <w:pPr>
        <w:pStyle w:val="Default"/>
        <w:numPr>
          <w:ilvl w:val="0"/>
          <w:numId w:val="4"/>
        </w:numPr>
        <w:spacing w:after="175"/>
        <w:ind w:left="426" w:hanging="426"/>
        <w:jc w:val="both"/>
        <w:rPr>
          <w:bCs/>
          <w:color w:val="002060"/>
          <w:sz w:val="22"/>
          <w:szCs w:val="22"/>
          <w:lang w:val="en-US"/>
        </w:rPr>
      </w:pPr>
      <w:r>
        <w:rPr>
          <w:bCs/>
          <w:color w:val="002060"/>
          <w:sz w:val="22"/>
          <w:szCs w:val="22"/>
          <w:lang w:val="en-US"/>
        </w:rPr>
        <w:t xml:space="preserve">More confusion is added through the MiFID Delegated Regulation and Directive that define “sustainability preferences” with three different concepts and not only the “sustainable investment” as per SFDR (SI). Founding these guidelines on the SI concept will </w:t>
      </w:r>
      <w:r w:rsidRPr="00B0395A">
        <w:rPr>
          <w:bCs/>
          <w:color w:val="002060"/>
          <w:sz w:val="22"/>
          <w:szCs w:val="22"/>
          <w:lang w:val="en-US"/>
        </w:rPr>
        <w:t xml:space="preserve">bring even more confusion to the </w:t>
      </w:r>
      <w:r>
        <w:rPr>
          <w:bCs/>
          <w:color w:val="002060"/>
          <w:sz w:val="22"/>
          <w:szCs w:val="22"/>
          <w:lang w:val="en-US"/>
        </w:rPr>
        <w:t xml:space="preserve">broad </w:t>
      </w:r>
      <w:r w:rsidRPr="00B0395A">
        <w:rPr>
          <w:bCs/>
          <w:color w:val="002060"/>
          <w:sz w:val="22"/>
          <w:szCs w:val="22"/>
          <w:lang w:val="en-US"/>
        </w:rPr>
        <w:t xml:space="preserve">“sustainable” term. </w:t>
      </w:r>
    </w:p>
    <w:p w14:paraId="62798C95" w14:textId="4451B6D5" w:rsidR="00C45CF8" w:rsidRPr="003A5104" w:rsidRDefault="002B6EB1" w:rsidP="00E30DDE">
      <w:pPr>
        <w:pStyle w:val="Default"/>
        <w:numPr>
          <w:ilvl w:val="0"/>
          <w:numId w:val="4"/>
        </w:numPr>
        <w:spacing w:after="175"/>
        <w:ind w:left="426" w:hanging="426"/>
        <w:jc w:val="both"/>
        <w:rPr>
          <w:bCs/>
          <w:color w:val="002060"/>
          <w:sz w:val="22"/>
          <w:szCs w:val="22"/>
          <w:lang w:val="en-US"/>
        </w:rPr>
      </w:pPr>
      <w:r>
        <w:rPr>
          <w:bCs/>
          <w:color w:val="002060"/>
          <w:sz w:val="22"/>
          <w:szCs w:val="22"/>
          <w:lang w:val="en-US"/>
        </w:rPr>
        <w:t>In addition</w:t>
      </w:r>
      <w:r w:rsidR="00361964" w:rsidRPr="003A5104">
        <w:rPr>
          <w:bCs/>
          <w:color w:val="002060"/>
          <w:sz w:val="22"/>
          <w:szCs w:val="22"/>
          <w:lang w:val="en-US"/>
        </w:rPr>
        <w:t>, t</w:t>
      </w:r>
      <w:r w:rsidR="004E69EA" w:rsidRPr="003A5104">
        <w:rPr>
          <w:bCs/>
          <w:color w:val="002060"/>
          <w:sz w:val="22"/>
          <w:szCs w:val="22"/>
          <w:lang w:val="en-US"/>
        </w:rPr>
        <w:t>he</w:t>
      </w:r>
      <w:r w:rsidR="00D5056F" w:rsidRPr="003A5104">
        <w:rPr>
          <w:bCs/>
          <w:color w:val="002060"/>
          <w:sz w:val="22"/>
          <w:szCs w:val="22"/>
          <w:lang w:val="en-US"/>
        </w:rPr>
        <w:t xml:space="preserve"> proposed</w:t>
      </w:r>
      <w:r w:rsidR="004E69EA" w:rsidRPr="003A5104">
        <w:rPr>
          <w:bCs/>
          <w:color w:val="002060"/>
          <w:sz w:val="22"/>
          <w:szCs w:val="22"/>
          <w:lang w:val="en-US"/>
        </w:rPr>
        <w:t xml:space="preserve"> guidelines </w:t>
      </w:r>
      <w:r>
        <w:rPr>
          <w:bCs/>
          <w:color w:val="002060"/>
          <w:sz w:val="22"/>
          <w:szCs w:val="22"/>
          <w:lang w:val="en-US"/>
        </w:rPr>
        <w:t xml:space="preserve">themselves </w:t>
      </w:r>
      <w:r w:rsidR="00D5056F" w:rsidRPr="003A5104">
        <w:rPr>
          <w:bCs/>
          <w:color w:val="002060"/>
          <w:sz w:val="22"/>
          <w:szCs w:val="22"/>
          <w:lang w:val="en-US"/>
        </w:rPr>
        <w:t xml:space="preserve">require </w:t>
      </w:r>
      <w:r w:rsidR="004E69EA" w:rsidRPr="003A5104">
        <w:rPr>
          <w:b/>
          <w:bCs/>
          <w:color w:val="002060"/>
          <w:sz w:val="22"/>
          <w:szCs w:val="22"/>
          <w:lang w:val="en-US"/>
        </w:rPr>
        <w:t>additional clarity</w:t>
      </w:r>
      <w:r w:rsidR="00375907" w:rsidRPr="003A5104">
        <w:rPr>
          <w:b/>
          <w:bCs/>
          <w:color w:val="002060"/>
          <w:sz w:val="22"/>
          <w:szCs w:val="22"/>
          <w:lang w:val="en-US"/>
        </w:rPr>
        <w:t xml:space="preserve"> </w:t>
      </w:r>
      <w:r w:rsidR="004E69EA" w:rsidRPr="003A5104">
        <w:rPr>
          <w:b/>
          <w:bCs/>
          <w:color w:val="002060"/>
          <w:sz w:val="22"/>
          <w:szCs w:val="22"/>
          <w:lang w:val="en-US"/>
        </w:rPr>
        <w:t>on the threshold calculation methodology (numerator, denominator) prior to determining the level of the thresholds.</w:t>
      </w:r>
      <w:r w:rsidR="004E69EA" w:rsidRPr="003A5104">
        <w:rPr>
          <w:bCs/>
          <w:color w:val="002060"/>
          <w:sz w:val="22"/>
          <w:szCs w:val="22"/>
          <w:lang w:val="en-US"/>
        </w:rPr>
        <w:t xml:space="preserve"> </w:t>
      </w:r>
      <w:r w:rsidR="00331AB8" w:rsidRPr="002B6EB1">
        <w:rPr>
          <w:bCs/>
          <w:color w:val="002060"/>
          <w:sz w:val="22"/>
          <w:szCs w:val="22"/>
          <w:lang w:val="en-US"/>
        </w:rPr>
        <w:t>Typically,</w:t>
      </w:r>
      <w:r w:rsidR="004E69EA" w:rsidRPr="002B6EB1">
        <w:rPr>
          <w:bCs/>
          <w:color w:val="002060"/>
          <w:sz w:val="22"/>
          <w:szCs w:val="22"/>
          <w:lang w:val="en-US"/>
        </w:rPr>
        <w:t xml:space="preserve"> the level of the SI proportion threshold </w:t>
      </w:r>
      <w:r w:rsidR="002F30F7" w:rsidRPr="002B6EB1">
        <w:rPr>
          <w:bCs/>
          <w:color w:val="002060"/>
          <w:sz w:val="22"/>
          <w:szCs w:val="22"/>
          <w:lang w:val="en-US"/>
        </w:rPr>
        <w:t>(</w:t>
      </w:r>
      <w:r w:rsidR="004E69EA" w:rsidRPr="002B6EB1">
        <w:rPr>
          <w:bCs/>
          <w:color w:val="002060"/>
          <w:sz w:val="22"/>
          <w:szCs w:val="22"/>
          <w:lang w:val="en-US"/>
        </w:rPr>
        <w:t xml:space="preserve">50%) cannot be set “in </w:t>
      </w:r>
      <w:proofErr w:type="spellStart"/>
      <w:r w:rsidR="004E69EA" w:rsidRPr="002B6EB1">
        <w:rPr>
          <w:bCs/>
          <w:color w:val="002060"/>
          <w:sz w:val="22"/>
          <w:szCs w:val="22"/>
          <w:lang w:val="en-US"/>
        </w:rPr>
        <w:t>abstracto</w:t>
      </w:r>
      <w:proofErr w:type="spellEnd"/>
      <w:r w:rsidR="004E69EA" w:rsidRPr="002B6EB1">
        <w:rPr>
          <w:bCs/>
          <w:color w:val="002060"/>
          <w:sz w:val="22"/>
          <w:szCs w:val="22"/>
          <w:lang w:val="en-US"/>
        </w:rPr>
        <w:t>” in the absence of a common definition</w:t>
      </w:r>
      <w:r w:rsidR="00375907" w:rsidRPr="002B6EB1">
        <w:rPr>
          <w:bCs/>
          <w:color w:val="002060"/>
          <w:sz w:val="22"/>
          <w:szCs w:val="22"/>
          <w:lang w:val="en-US"/>
        </w:rPr>
        <w:t xml:space="preserve"> of a SI</w:t>
      </w:r>
      <w:r w:rsidR="004E69EA" w:rsidRPr="002B6EB1">
        <w:rPr>
          <w:bCs/>
          <w:color w:val="002060"/>
          <w:sz w:val="22"/>
          <w:szCs w:val="22"/>
          <w:lang w:val="en-US"/>
        </w:rPr>
        <w:t xml:space="preserve">. It should be aligned </w:t>
      </w:r>
      <w:r w:rsidR="00331AB8" w:rsidRPr="002B6EB1">
        <w:rPr>
          <w:bCs/>
          <w:color w:val="002060"/>
          <w:sz w:val="22"/>
          <w:szCs w:val="22"/>
          <w:lang w:val="en-US"/>
        </w:rPr>
        <w:t xml:space="preserve">with </w:t>
      </w:r>
      <w:r w:rsidR="004E69EA" w:rsidRPr="002B6EB1">
        <w:rPr>
          <w:bCs/>
          <w:color w:val="002060"/>
          <w:sz w:val="22"/>
          <w:szCs w:val="22"/>
          <w:lang w:val="en-US"/>
        </w:rPr>
        <w:t>the real economy stan</w:t>
      </w:r>
      <w:r w:rsidR="00331AB8" w:rsidRPr="002B6EB1">
        <w:rPr>
          <w:bCs/>
          <w:color w:val="002060"/>
          <w:sz w:val="22"/>
          <w:szCs w:val="22"/>
          <w:lang w:val="en-US"/>
        </w:rPr>
        <w:t>ce</w:t>
      </w:r>
      <w:r w:rsidR="004E69EA" w:rsidRPr="002B6EB1">
        <w:rPr>
          <w:bCs/>
          <w:color w:val="002060"/>
          <w:sz w:val="22"/>
          <w:szCs w:val="22"/>
          <w:lang w:val="en-US"/>
        </w:rPr>
        <w:t>, and relatively to a</w:t>
      </w:r>
      <w:r w:rsidR="002F30F7" w:rsidRPr="002B6EB1">
        <w:rPr>
          <w:bCs/>
          <w:color w:val="002060"/>
          <w:sz w:val="22"/>
          <w:szCs w:val="22"/>
          <w:lang w:val="en-US"/>
        </w:rPr>
        <w:t xml:space="preserve"> single</w:t>
      </w:r>
      <w:r w:rsidR="004E69EA" w:rsidRPr="002B6EB1">
        <w:rPr>
          <w:bCs/>
          <w:color w:val="002060"/>
          <w:sz w:val="22"/>
          <w:szCs w:val="22"/>
          <w:lang w:val="en-US"/>
        </w:rPr>
        <w:t xml:space="preserve"> common definition. </w:t>
      </w:r>
      <w:r w:rsidR="002F30F7" w:rsidRPr="003A5104">
        <w:rPr>
          <w:bCs/>
          <w:color w:val="002060"/>
          <w:sz w:val="22"/>
          <w:szCs w:val="22"/>
          <w:lang w:val="en-US"/>
        </w:rPr>
        <w:t xml:space="preserve">The </w:t>
      </w:r>
      <w:r w:rsidR="00331AB8" w:rsidRPr="003A5104">
        <w:rPr>
          <w:bCs/>
          <w:color w:val="002060"/>
          <w:sz w:val="22"/>
          <w:szCs w:val="22"/>
          <w:lang w:val="en-US"/>
        </w:rPr>
        <w:t xml:space="preserve">same for the </w:t>
      </w:r>
      <w:r w:rsidR="002F30F7" w:rsidRPr="003A5104">
        <w:rPr>
          <w:bCs/>
          <w:color w:val="002060"/>
          <w:sz w:val="22"/>
          <w:szCs w:val="22"/>
          <w:lang w:val="en-US"/>
        </w:rPr>
        <w:t>80% threshold for an ESG name</w:t>
      </w:r>
      <w:r w:rsidR="00331AB8" w:rsidRPr="003A5104">
        <w:rPr>
          <w:bCs/>
          <w:color w:val="002060"/>
          <w:sz w:val="22"/>
          <w:szCs w:val="22"/>
          <w:lang w:val="en-US"/>
        </w:rPr>
        <w:t xml:space="preserve">, </w:t>
      </w:r>
      <w:r w:rsidR="00331AB8" w:rsidRPr="003A5104">
        <w:rPr>
          <w:bCs/>
          <w:color w:val="002060"/>
          <w:sz w:val="22"/>
          <w:szCs w:val="22"/>
          <w:lang w:val="en-US"/>
        </w:rPr>
        <w:lastRenderedPageBreak/>
        <w:t>which</w:t>
      </w:r>
      <w:r w:rsidR="002F30F7" w:rsidRPr="003A5104">
        <w:rPr>
          <w:bCs/>
          <w:color w:val="002060"/>
          <w:sz w:val="22"/>
          <w:szCs w:val="22"/>
          <w:lang w:val="en-US"/>
        </w:rPr>
        <w:t xml:space="preserve"> is also dependent upon a clear definition </w:t>
      </w:r>
      <w:r w:rsidR="00331AB8" w:rsidRPr="003A5104">
        <w:rPr>
          <w:bCs/>
          <w:color w:val="002060"/>
          <w:sz w:val="22"/>
          <w:szCs w:val="22"/>
          <w:lang w:val="en-US"/>
        </w:rPr>
        <w:t xml:space="preserve">and calculation methodology </w:t>
      </w:r>
      <w:r w:rsidR="002F30F7" w:rsidRPr="003A5104">
        <w:rPr>
          <w:bCs/>
          <w:color w:val="002060"/>
          <w:sz w:val="22"/>
          <w:szCs w:val="22"/>
          <w:lang w:val="en-US"/>
        </w:rPr>
        <w:t>of</w:t>
      </w:r>
      <w:r w:rsidR="00E72FA0" w:rsidRPr="003A5104">
        <w:rPr>
          <w:bCs/>
          <w:color w:val="002060"/>
          <w:sz w:val="22"/>
          <w:szCs w:val="22"/>
          <w:lang w:val="en-US"/>
        </w:rPr>
        <w:t xml:space="preserve"> </w:t>
      </w:r>
      <w:r w:rsidR="000A415B" w:rsidRPr="003A5104">
        <w:rPr>
          <w:bCs/>
          <w:color w:val="002060"/>
          <w:sz w:val="22"/>
          <w:szCs w:val="22"/>
          <w:lang w:val="en-US"/>
        </w:rPr>
        <w:t>such threshold</w:t>
      </w:r>
      <w:r w:rsidR="002F30F7" w:rsidRPr="003A5104">
        <w:rPr>
          <w:bCs/>
          <w:color w:val="002060"/>
          <w:sz w:val="22"/>
          <w:szCs w:val="22"/>
          <w:lang w:val="en-US"/>
        </w:rPr>
        <w:t>.</w:t>
      </w:r>
      <w:r w:rsidR="004E69EA" w:rsidRPr="003A5104">
        <w:rPr>
          <w:bCs/>
          <w:color w:val="002060"/>
          <w:sz w:val="22"/>
          <w:szCs w:val="22"/>
          <w:lang w:val="en-US"/>
        </w:rPr>
        <w:t xml:space="preserve"> </w:t>
      </w:r>
      <w:bookmarkStart w:id="1" w:name="_Hlk125451614"/>
      <w:r w:rsidR="00331AB8" w:rsidRPr="003A5104">
        <w:rPr>
          <w:bCs/>
          <w:color w:val="002060"/>
          <w:sz w:val="22"/>
          <w:szCs w:val="22"/>
          <w:lang w:val="en-US"/>
        </w:rPr>
        <w:t>If an ESG fund holds 20% of cash, which is the maximum ancillary cash a UCITS funds may have in France, the 80% ESG characteristic is already out of reach</w:t>
      </w:r>
      <w:bookmarkEnd w:id="1"/>
      <w:r w:rsidR="00331AB8" w:rsidRPr="003A5104">
        <w:rPr>
          <w:bCs/>
          <w:color w:val="002060"/>
          <w:sz w:val="22"/>
          <w:szCs w:val="22"/>
          <w:lang w:val="en-US"/>
        </w:rPr>
        <w:t xml:space="preserve">. </w:t>
      </w:r>
    </w:p>
    <w:p w14:paraId="35CCBDB9" w14:textId="60B58E27" w:rsidR="00182D2A" w:rsidRDefault="00375907" w:rsidP="003A5104">
      <w:pPr>
        <w:pStyle w:val="Default"/>
        <w:spacing w:after="175"/>
        <w:ind w:left="426"/>
        <w:jc w:val="both"/>
        <w:rPr>
          <w:bCs/>
          <w:color w:val="002060"/>
          <w:sz w:val="22"/>
          <w:szCs w:val="22"/>
          <w:lang w:val="en-US"/>
        </w:rPr>
      </w:pPr>
      <w:r w:rsidRPr="00175302">
        <w:rPr>
          <w:bCs/>
          <w:color w:val="002060"/>
          <w:sz w:val="22"/>
          <w:szCs w:val="22"/>
          <w:lang w:val="en-US"/>
        </w:rPr>
        <w:t xml:space="preserve">Clarity is also expected on other items: what is an “ESG-related” name? What is the </w:t>
      </w:r>
      <w:r w:rsidR="00DF1FEF" w:rsidRPr="00175302">
        <w:rPr>
          <w:bCs/>
          <w:color w:val="002060"/>
          <w:sz w:val="22"/>
          <w:szCs w:val="22"/>
          <w:lang w:val="en-US"/>
        </w:rPr>
        <w:t xml:space="preserve">objective </w:t>
      </w:r>
      <w:r w:rsidRPr="00175302">
        <w:rPr>
          <w:bCs/>
          <w:color w:val="002060"/>
          <w:sz w:val="22"/>
          <w:szCs w:val="22"/>
          <w:lang w:val="en-US"/>
        </w:rPr>
        <w:t xml:space="preserve">of minimum safeguards? </w:t>
      </w:r>
      <w:proofErr w:type="spellStart"/>
      <w:r w:rsidRPr="00175302">
        <w:rPr>
          <w:bCs/>
          <w:color w:val="002060"/>
          <w:sz w:val="22"/>
          <w:szCs w:val="22"/>
          <w:lang w:val="en-US"/>
        </w:rPr>
        <w:t>Etc</w:t>
      </w:r>
      <w:proofErr w:type="spellEnd"/>
      <w:r w:rsidRPr="00175302">
        <w:rPr>
          <w:bCs/>
          <w:color w:val="002060"/>
          <w:sz w:val="22"/>
          <w:szCs w:val="22"/>
          <w:lang w:val="en-US"/>
        </w:rPr>
        <w:t>…</w:t>
      </w:r>
      <w:r w:rsidR="009E2BFB" w:rsidRPr="00175302" w:rsidDel="009E2BFB">
        <w:rPr>
          <w:bCs/>
          <w:color w:val="002060"/>
          <w:sz w:val="22"/>
          <w:szCs w:val="22"/>
          <w:lang w:val="en-US"/>
        </w:rPr>
        <w:t xml:space="preserve"> </w:t>
      </w:r>
      <w:r w:rsidR="00665FAD" w:rsidRPr="00175302">
        <w:rPr>
          <w:bCs/>
          <w:color w:val="002060"/>
          <w:sz w:val="22"/>
          <w:szCs w:val="22"/>
          <w:lang w:val="en-US"/>
        </w:rPr>
        <w:t>In terms of proportionality</w:t>
      </w:r>
      <w:r w:rsidR="00AF7EE7" w:rsidRPr="00175302">
        <w:rPr>
          <w:bCs/>
          <w:color w:val="002060"/>
          <w:sz w:val="22"/>
          <w:szCs w:val="22"/>
          <w:lang w:val="en-US"/>
        </w:rPr>
        <w:t xml:space="preserve"> of disclosures</w:t>
      </w:r>
      <w:r w:rsidR="00665FAD" w:rsidRPr="00175302">
        <w:rPr>
          <w:bCs/>
          <w:color w:val="002060"/>
          <w:sz w:val="22"/>
          <w:szCs w:val="22"/>
          <w:lang w:val="en-US"/>
        </w:rPr>
        <w:t>, w</w:t>
      </w:r>
      <w:r w:rsidR="006816AF" w:rsidRPr="00175302">
        <w:rPr>
          <w:bCs/>
          <w:color w:val="002060"/>
          <w:sz w:val="22"/>
          <w:szCs w:val="22"/>
          <w:lang w:val="en-US"/>
        </w:rPr>
        <w:t xml:space="preserve">e believe that </w:t>
      </w:r>
      <w:r w:rsidR="006816AF" w:rsidRPr="00175302">
        <w:rPr>
          <w:b/>
          <w:bCs/>
          <w:color w:val="002060"/>
          <w:sz w:val="22"/>
          <w:szCs w:val="22"/>
          <w:lang w:val="en-US"/>
        </w:rPr>
        <w:t>what matter</w:t>
      </w:r>
      <w:r w:rsidR="00A87796" w:rsidRPr="00175302">
        <w:rPr>
          <w:b/>
          <w:bCs/>
          <w:color w:val="002060"/>
          <w:sz w:val="22"/>
          <w:szCs w:val="22"/>
          <w:lang w:val="en-US"/>
        </w:rPr>
        <w:t>s</w:t>
      </w:r>
      <w:r w:rsidR="006816AF" w:rsidRPr="00175302">
        <w:rPr>
          <w:b/>
          <w:bCs/>
          <w:color w:val="002060"/>
          <w:sz w:val="22"/>
          <w:szCs w:val="22"/>
          <w:lang w:val="en-US"/>
        </w:rPr>
        <w:t xml:space="preserve"> the most is </w:t>
      </w:r>
      <w:r w:rsidR="006C72B4" w:rsidRPr="00175302">
        <w:rPr>
          <w:b/>
          <w:bCs/>
          <w:color w:val="002060"/>
          <w:sz w:val="22"/>
          <w:szCs w:val="22"/>
          <w:lang w:val="en-US"/>
        </w:rPr>
        <w:t xml:space="preserve">the </w:t>
      </w:r>
      <w:r w:rsidR="00D5097E" w:rsidRPr="00175302">
        <w:rPr>
          <w:b/>
          <w:bCs/>
          <w:color w:val="002060"/>
          <w:sz w:val="22"/>
          <w:szCs w:val="22"/>
          <w:lang w:val="en-US"/>
        </w:rPr>
        <w:t xml:space="preserve">significance of the </w:t>
      </w:r>
      <w:r w:rsidR="00665FAD" w:rsidRPr="00175302">
        <w:rPr>
          <w:b/>
          <w:bCs/>
          <w:color w:val="002060"/>
          <w:sz w:val="22"/>
          <w:szCs w:val="22"/>
          <w:lang w:val="en-US"/>
        </w:rPr>
        <w:t xml:space="preserve">binding </w:t>
      </w:r>
      <w:r w:rsidR="00930FA2" w:rsidRPr="00175302">
        <w:rPr>
          <w:b/>
          <w:bCs/>
          <w:color w:val="002060"/>
          <w:sz w:val="22"/>
          <w:szCs w:val="22"/>
          <w:lang w:val="en-US"/>
        </w:rPr>
        <w:t xml:space="preserve">commitment in terms of </w:t>
      </w:r>
      <w:r w:rsidR="006C72B4" w:rsidRPr="00175302">
        <w:rPr>
          <w:b/>
          <w:bCs/>
          <w:color w:val="002060"/>
          <w:sz w:val="22"/>
          <w:szCs w:val="22"/>
          <w:lang w:val="en-US"/>
        </w:rPr>
        <w:t xml:space="preserve">goal </w:t>
      </w:r>
      <w:r w:rsidR="00930FA2" w:rsidRPr="00175302">
        <w:rPr>
          <w:b/>
          <w:bCs/>
          <w:color w:val="002060"/>
          <w:sz w:val="22"/>
          <w:szCs w:val="22"/>
          <w:lang w:val="en-US"/>
        </w:rPr>
        <w:t>and strategy</w:t>
      </w:r>
      <w:r w:rsidR="006C72B4" w:rsidRPr="00175302">
        <w:rPr>
          <w:bCs/>
          <w:color w:val="002060"/>
          <w:sz w:val="22"/>
          <w:szCs w:val="22"/>
          <w:lang w:val="en-US"/>
        </w:rPr>
        <w:t xml:space="preserve">, and </w:t>
      </w:r>
      <w:r w:rsidR="00665FAD" w:rsidRPr="00175302">
        <w:rPr>
          <w:bCs/>
          <w:color w:val="002060"/>
          <w:sz w:val="22"/>
          <w:szCs w:val="22"/>
          <w:lang w:val="en-US"/>
        </w:rPr>
        <w:t xml:space="preserve">the adherence of </w:t>
      </w:r>
      <w:r w:rsidR="006C72B4" w:rsidRPr="00175302">
        <w:rPr>
          <w:b/>
          <w:bCs/>
          <w:color w:val="002060"/>
          <w:sz w:val="22"/>
          <w:szCs w:val="22"/>
          <w:lang w:val="en-US"/>
        </w:rPr>
        <w:t xml:space="preserve">the investment process </w:t>
      </w:r>
      <w:r w:rsidR="00665FAD" w:rsidRPr="00175302">
        <w:rPr>
          <w:b/>
          <w:bCs/>
          <w:color w:val="002060"/>
          <w:sz w:val="22"/>
          <w:szCs w:val="22"/>
          <w:lang w:val="en-US"/>
        </w:rPr>
        <w:t>to meet</w:t>
      </w:r>
      <w:r w:rsidR="006C72B4" w:rsidRPr="00175302">
        <w:rPr>
          <w:b/>
          <w:bCs/>
          <w:color w:val="002060"/>
          <w:sz w:val="22"/>
          <w:szCs w:val="22"/>
          <w:lang w:val="en-US"/>
        </w:rPr>
        <w:t xml:space="preserve"> this objective</w:t>
      </w:r>
      <w:r w:rsidR="006C72B4" w:rsidRPr="00175302">
        <w:rPr>
          <w:bCs/>
          <w:color w:val="002060"/>
          <w:sz w:val="22"/>
          <w:szCs w:val="22"/>
          <w:lang w:val="en-US"/>
        </w:rPr>
        <w:t xml:space="preserve"> [ex ante and ex post]. If </w:t>
      </w:r>
      <w:r w:rsidR="00330CAC" w:rsidRPr="00175302">
        <w:rPr>
          <w:bCs/>
          <w:color w:val="002060"/>
          <w:sz w:val="22"/>
          <w:szCs w:val="22"/>
          <w:lang w:val="en-US"/>
        </w:rPr>
        <w:t>set too high</w:t>
      </w:r>
      <w:r w:rsidR="006C72B4" w:rsidRPr="00175302">
        <w:rPr>
          <w:bCs/>
          <w:color w:val="002060"/>
          <w:sz w:val="22"/>
          <w:szCs w:val="22"/>
          <w:lang w:val="en-US"/>
        </w:rPr>
        <w:t>, quantitative thresholds may put aside some strategies</w:t>
      </w:r>
      <w:r w:rsidR="000D3169" w:rsidRPr="00175302">
        <w:rPr>
          <w:bCs/>
          <w:color w:val="002060"/>
          <w:sz w:val="22"/>
          <w:szCs w:val="22"/>
          <w:lang w:val="en-US"/>
        </w:rPr>
        <w:t>, asset classes</w:t>
      </w:r>
      <w:r w:rsidR="00172D3B" w:rsidRPr="00175302">
        <w:rPr>
          <w:bCs/>
          <w:color w:val="002060"/>
          <w:sz w:val="22"/>
          <w:szCs w:val="22"/>
          <w:lang w:val="en-US"/>
        </w:rPr>
        <w:t xml:space="preserve"> or</w:t>
      </w:r>
      <w:r w:rsidR="000D3169" w:rsidRPr="00175302">
        <w:rPr>
          <w:bCs/>
          <w:color w:val="002060"/>
          <w:sz w:val="22"/>
          <w:szCs w:val="22"/>
          <w:lang w:val="en-US"/>
        </w:rPr>
        <w:t xml:space="preserve"> geographical areas </w:t>
      </w:r>
      <w:r w:rsidR="006C72B4" w:rsidRPr="00175302">
        <w:rPr>
          <w:bCs/>
          <w:color w:val="002060"/>
          <w:sz w:val="22"/>
          <w:szCs w:val="22"/>
          <w:lang w:val="en-US"/>
        </w:rPr>
        <w:t>whi</w:t>
      </w:r>
      <w:r w:rsidR="0017138D" w:rsidRPr="00175302">
        <w:rPr>
          <w:bCs/>
          <w:color w:val="002060"/>
          <w:sz w:val="22"/>
          <w:szCs w:val="22"/>
          <w:lang w:val="en-US"/>
        </w:rPr>
        <w:t xml:space="preserve">le they </w:t>
      </w:r>
      <w:r w:rsidR="00172D3B" w:rsidRPr="00175302">
        <w:rPr>
          <w:bCs/>
          <w:color w:val="002060"/>
          <w:sz w:val="22"/>
          <w:szCs w:val="22"/>
          <w:lang w:val="en-US"/>
        </w:rPr>
        <w:t>could</w:t>
      </w:r>
      <w:r w:rsidR="0017138D" w:rsidRPr="00175302">
        <w:rPr>
          <w:bCs/>
          <w:color w:val="002060"/>
          <w:sz w:val="22"/>
          <w:szCs w:val="22"/>
          <w:lang w:val="en-US"/>
        </w:rPr>
        <w:t xml:space="preserve"> contribute to enhance </w:t>
      </w:r>
      <w:r w:rsidR="00C23796" w:rsidRPr="00175302">
        <w:rPr>
          <w:bCs/>
          <w:color w:val="002060"/>
          <w:sz w:val="22"/>
          <w:szCs w:val="22"/>
          <w:lang w:val="en-US"/>
        </w:rPr>
        <w:t xml:space="preserve">the </w:t>
      </w:r>
      <w:r w:rsidR="00330CAC" w:rsidRPr="00175302">
        <w:rPr>
          <w:bCs/>
          <w:color w:val="002060"/>
          <w:sz w:val="22"/>
          <w:szCs w:val="22"/>
          <w:lang w:val="en-US"/>
        </w:rPr>
        <w:t>ESG/</w:t>
      </w:r>
      <w:r w:rsidR="006C72B4" w:rsidRPr="00175302">
        <w:rPr>
          <w:bCs/>
          <w:color w:val="002060"/>
          <w:sz w:val="22"/>
          <w:szCs w:val="22"/>
          <w:lang w:val="en-US"/>
        </w:rPr>
        <w:t>sustainability features</w:t>
      </w:r>
      <w:r w:rsidR="00330CAC" w:rsidRPr="00175302">
        <w:rPr>
          <w:bCs/>
          <w:color w:val="002060"/>
          <w:sz w:val="22"/>
          <w:szCs w:val="22"/>
          <w:lang w:val="en-US"/>
        </w:rPr>
        <w:t xml:space="preserve"> </w:t>
      </w:r>
      <w:r w:rsidR="00C23796" w:rsidRPr="00175302">
        <w:rPr>
          <w:bCs/>
          <w:color w:val="002060"/>
          <w:sz w:val="22"/>
          <w:szCs w:val="22"/>
          <w:lang w:val="en-US"/>
        </w:rPr>
        <w:t xml:space="preserve">of the fund and </w:t>
      </w:r>
      <w:r w:rsidR="00322DD7" w:rsidRPr="00175302">
        <w:rPr>
          <w:bCs/>
          <w:color w:val="002060"/>
          <w:sz w:val="22"/>
          <w:szCs w:val="22"/>
          <w:lang w:val="en-US"/>
        </w:rPr>
        <w:t>most importantly finance</w:t>
      </w:r>
      <w:r w:rsidR="00330CAC" w:rsidRPr="00175302">
        <w:rPr>
          <w:bCs/>
          <w:color w:val="002060"/>
          <w:sz w:val="22"/>
          <w:szCs w:val="22"/>
          <w:lang w:val="en-US"/>
        </w:rPr>
        <w:t xml:space="preserve"> the transition of </w:t>
      </w:r>
      <w:r w:rsidR="00322DD7" w:rsidRPr="00175302">
        <w:rPr>
          <w:bCs/>
          <w:color w:val="002060"/>
          <w:sz w:val="22"/>
          <w:szCs w:val="22"/>
          <w:lang w:val="en-US"/>
        </w:rPr>
        <w:t xml:space="preserve">a more sustainable </w:t>
      </w:r>
      <w:r w:rsidR="00330CAC" w:rsidRPr="00175302">
        <w:rPr>
          <w:bCs/>
          <w:color w:val="002060"/>
          <w:sz w:val="22"/>
          <w:szCs w:val="22"/>
          <w:lang w:val="en-US"/>
        </w:rPr>
        <w:t>economy</w:t>
      </w:r>
      <w:r w:rsidR="006C72B4" w:rsidRPr="00175302">
        <w:rPr>
          <w:bCs/>
          <w:color w:val="002060"/>
          <w:sz w:val="22"/>
          <w:szCs w:val="22"/>
          <w:lang w:val="en-US"/>
        </w:rPr>
        <w:t>.</w:t>
      </w:r>
      <w:r w:rsidR="00330CAC" w:rsidRPr="00175302">
        <w:rPr>
          <w:bCs/>
          <w:color w:val="002060"/>
          <w:sz w:val="22"/>
          <w:szCs w:val="22"/>
          <w:lang w:val="en-US"/>
        </w:rPr>
        <w:t xml:space="preserve"> This could lead to some </w:t>
      </w:r>
      <w:r w:rsidR="00330CAC" w:rsidRPr="00175302">
        <w:rPr>
          <w:b/>
          <w:bCs/>
          <w:color w:val="002060"/>
          <w:sz w:val="22"/>
          <w:szCs w:val="22"/>
          <w:lang w:val="en-US"/>
        </w:rPr>
        <w:t>confusion in the readability of the product range</w:t>
      </w:r>
      <w:r w:rsidR="00330CAC" w:rsidRPr="00175302">
        <w:rPr>
          <w:bCs/>
          <w:color w:val="002060"/>
          <w:sz w:val="22"/>
          <w:szCs w:val="22"/>
          <w:lang w:val="en-US"/>
        </w:rPr>
        <w:t xml:space="preserve"> offered to clients </w:t>
      </w:r>
      <w:r w:rsidR="000D3169" w:rsidRPr="00175302">
        <w:rPr>
          <w:bCs/>
          <w:color w:val="002060"/>
          <w:sz w:val="22"/>
          <w:szCs w:val="22"/>
          <w:lang w:val="en-US"/>
        </w:rPr>
        <w:t>having s</w:t>
      </w:r>
      <w:r w:rsidR="00330CAC" w:rsidRPr="00175302">
        <w:rPr>
          <w:bCs/>
          <w:color w:val="002060"/>
          <w:sz w:val="22"/>
          <w:szCs w:val="22"/>
          <w:lang w:val="en-US"/>
        </w:rPr>
        <w:t>ustainability preferences</w:t>
      </w:r>
      <w:r w:rsidR="006816AF" w:rsidRPr="00175302">
        <w:rPr>
          <w:bCs/>
          <w:color w:val="002060"/>
          <w:sz w:val="22"/>
          <w:szCs w:val="22"/>
          <w:lang w:val="en-US"/>
        </w:rPr>
        <w:t>.</w:t>
      </w:r>
      <w:r w:rsidR="00DD4492" w:rsidRPr="00175302">
        <w:rPr>
          <w:bCs/>
          <w:color w:val="002060"/>
          <w:sz w:val="22"/>
          <w:szCs w:val="22"/>
          <w:lang w:val="en-US"/>
        </w:rPr>
        <w:t xml:space="preserve"> </w:t>
      </w:r>
    </w:p>
    <w:p w14:paraId="301B5BCA" w14:textId="16564334" w:rsidR="00175302" w:rsidRPr="00175302" w:rsidRDefault="00175302" w:rsidP="00D91733">
      <w:pPr>
        <w:pStyle w:val="Default"/>
        <w:numPr>
          <w:ilvl w:val="0"/>
          <w:numId w:val="4"/>
        </w:numPr>
        <w:spacing w:after="175"/>
        <w:ind w:left="426" w:hanging="426"/>
        <w:jc w:val="both"/>
        <w:rPr>
          <w:bCs/>
          <w:color w:val="002060"/>
          <w:sz w:val="22"/>
          <w:szCs w:val="22"/>
          <w:lang w:val="en-US"/>
        </w:rPr>
      </w:pPr>
      <w:r>
        <w:rPr>
          <w:bCs/>
          <w:color w:val="002060"/>
          <w:sz w:val="22"/>
          <w:szCs w:val="22"/>
          <w:lang w:val="en-US"/>
        </w:rPr>
        <w:t>At last</w:t>
      </w:r>
      <w:r w:rsidRPr="00175302">
        <w:rPr>
          <w:bCs/>
          <w:color w:val="002060"/>
          <w:sz w:val="22"/>
          <w:szCs w:val="22"/>
          <w:lang w:val="en-US"/>
        </w:rPr>
        <w:t xml:space="preserve">, we believe that introducing two different thresholds for the use of “ESG” and “sustainable” may bring more confusion and complexity </w:t>
      </w:r>
      <w:r w:rsidR="00D60141">
        <w:rPr>
          <w:bCs/>
          <w:color w:val="002060"/>
          <w:sz w:val="22"/>
          <w:szCs w:val="22"/>
          <w:lang w:val="en-US"/>
        </w:rPr>
        <w:t xml:space="preserve">of understanding </w:t>
      </w:r>
      <w:r w:rsidRPr="00175302">
        <w:rPr>
          <w:bCs/>
          <w:color w:val="002060"/>
          <w:sz w:val="22"/>
          <w:szCs w:val="22"/>
          <w:lang w:val="en-US"/>
        </w:rPr>
        <w:t xml:space="preserve">for retail investors. </w:t>
      </w:r>
      <w:r w:rsidR="00D60141" w:rsidRPr="00D60141">
        <w:rPr>
          <w:bCs/>
          <w:color w:val="002060"/>
          <w:sz w:val="22"/>
          <w:szCs w:val="22"/>
          <w:lang w:val="en-US"/>
        </w:rPr>
        <w:t>In addition, there is no reason to treat “sustainable” differently than other “ESG” terms, investors do not perceive a strong difference between these two terms. In other jurisdictions, like UK or USA, the use of “sustainable” does not have a special treatment. This is not the case for “impact”, a word that investors do perceive differently compared to other ESG/sustainable terms.</w:t>
      </w:r>
    </w:p>
    <w:p w14:paraId="0A9738E7" w14:textId="6762D8A5" w:rsidR="00176555" w:rsidRDefault="00814AD8" w:rsidP="006926E9">
      <w:pPr>
        <w:pStyle w:val="Default"/>
        <w:spacing w:after="175"/>
        <w:jc w:val="both"/>
        <w:rPr>
          <w:bCs/>
          <w:color w:val="002060"/>
          <w:sz w:val="22"/>
          <w:szCs w:val="22"/>
          <w:lang w:val="en-US"/>
        </w:rPr>
      </w:pPr>
      <w:r>
        <w:rPr>
          <w:bCs/>
          <w:color w:val="002060"/>
          <w:sz w:val="22"/>
          <w:szCs w:val="22"/>
          <w:lang w:val="en-US"/>
        </w:rPr>
        <w:t>GROUPAMA AM</w:t>
      </w:r>
      <w:r w:rsidR="00B607F9">
        <w:rPr>
          <w:bCs/>
          <w:color w:val="002060"/>
          <w:sz w:val="22"/>
          <w:szCs w:val="22"/>
          <w:lang w:val="en-US"/>
        </w:rPr>
        <w:t xml:space="preserve"> </w:t>
      </w:r>
      <w:r w:rsidR="003A5104">
        <w:rPr>
          <w:bCs/>
          <w:color w:val="002060"/>
          <w:sz w:val="22"/>
          <w:szCs w:val="22"/>
          <w:lang w:val="en-US"/>
        </w:rPr>
        <w:t>therefore:</w:t>
      </w:r>
    </w:p>
    <w:p w14:paraId="666EAF76" w14:textId="5A7480CB" w:rsidR="00C23796" w:rsidRPr="00125B1F" w:rsidRDefault="0071667D" w:rsidP="006926E9">
      <w:pPr>
        <w:pStyle w:val="Default"/>
        <w:numPr>
          <w:ilvl w:val="0"/>
          <w:numId w:val="5"/>
        </w:numPr>
        <w:spacing w:after="175"/>
        <w:jc w:val="both"/>
        <w:rPr>
          <w:bCs/>
          <w:color w:val="ED7D31" w:themeColor="accent2"/>
          <w:sz w:val="22"/>
          <w:szCs w:val="22"/>
          <w:lang w:val="en-US"/>
        </w:rPr>
      </w:pPr>
      <w:r w:rsidRPr="00D14F6C">
        <w:rPr>
          <w:bCs/>
          <w:color w:val="002060"/>
          <w:sz w:val="22"/>
          <w:szCs w:val="22"/>
          <w:lang w:val="en-US"/>
        </w:rPr>
        <w:t>urge</w:t>
      </w:r>
      <w:r w:rsidR="00B607F9">
        <w:rPr>
          <w:bCs/>
          <w:color w:val="002060"/>
          <w:sz w:val="22"/>
          <w:szCs w:val="22"/>
          <w:lang w:val="en-US"/>
        </w:rPr>
        <w:t>s</w:t>
      </w:r>
      <w:r w:rsidRPr="00D14F6C">
        <w:rPr>
          <w:bCs/>
          <w:color w:val="002060"/>
          <w:sz w:val="22"/>
          <w:szCs w:val="22"/>
          <w:lang w:val="en-US"/>
        </w:rPr>
        <w:t xml:space="preserve"> </w:t>
      </w:r>
      <w:r w:rsidR="009B20A1">
        <w:rPr>
          <w:bCs/>
          <w:color w:val="002060"/>
          <w:sz w:val="22"/>
          <w:szCs w:val="22"/>
          <w:lang w:val="en-US"/>
        </w:rPr>
        <w:t>ESMA</w:t>
      </w:r>
      <w:r w:rsidRPr="00D14F6C">
        <w:rPr>
          <w:bCs/>
          <w:color w:val="002060"/>
          <w:sz w:val="22"/>
          <w:szCs w:val="22"/>
          <w:lang w:val="en-US"/>
        </w:rPr>
        <w:t xml:space="preserve"> to </w:t>
      </w:r>
      <w:r w:rsidR="005C3926">
        <w:rPr>
          <w:bCs/>
          <w:color w:val="002060"/>
          <w:sz w:val="22"/>
          <w:szCs w:val="22"/>
          <w:lang w:val="en-US"/>
        </w:rPr>
        <w:t xml:space="preserve">consider that a pre-requisite to </w:t>
      </w:r>
      <w:r w:rsidR="00146294">
        <w:rPr>
          <w:bCs/>
          <w:color w:val="002060"/>
          <w:sz w:val="22"/>
          <w:szCs w:val="22"/>
          <w:lang w:val="en-US"/>
        </w:rPr>
        <w:t>any guideline based upon SI</w:t>
      </w:r>
      <w:r w:rsidR="005C3926" w:rsidRPr="00D14F6C">
        <w:rPr>
          <w:bCs/>
          <w:color w:val="002060"/>
          <w:sz w:val="22"/>
          <w:szCs w:val="22"/>
          <w:lang w:val="en-US"/>
        </w:rPr>
        <w:t xml:space="preserve"> </w:t>
      </w:r>
      <w:r w:rsidR="00433C31">
        <w:rPr>
          <w:bCs/>
          <w:color w:val="002060"/>
          <w:sz w:val="22"/>
          <w:szCs w:val="22"/>
          <w:lang w:val="en-US"/>
        </w:rPr>
        <w:t xml:space="preserve">proportions </w:t>
      </w:r>
      <w:r w:rsidR="00146294">
        <w:rPr>
          <w:bCs/>
          <w:color w:val="002060"/>
          <w:sz w:val="22"/>
          <w:szCs w:val="22"/>
          <w:lang w:val="en-US"/>
        </w:rPr>
        <w:t xml:space="preserve">should be </w:t>
      </w:r>
      <w:r w:rsidRPr="00D14F6C">
        <w:rPr>
          <w:bCs/>
          <w:color w:val="002060"/>
          <w:sz w:val="22"/>
          <w:szCs w:val="22"/>
          <w:lang w:val="en-US"/>
        </w:rPr>
        <w:t xml:space="preserve">a sufficiently precise </w:t>
      </w:r>
      <w:r w:rsidR="00380770">
        <w:rPr>
          <w:bCs/>
          <w:color w:val="002060"/>
          <w:sz w:val="22"/>
          <w:szCs w:val="22"/>
          <w:lang w:val="en-US"/>
        </w:rPr>
        <w:t>set of rules to assess</w:t>
      </w:r>
      <w:r w:rsidR="00176555">
        <w:rPr>
          <w:bCs/>
          <w:color w:val="002060"/>
          <w:sz w:val="22"/>
          <w:szCs w:val="22"/>
          <w:lang w:val="en-US"/>
        </w:rPr>
        <w:t xml:space="preserve"> “sustainable investments” which would not leave room for too much diverging interpretations</w:t>
      </w:r>
      <w:r w:rsidR="005C3926">
        <w:rPr>
          <w:bCs/>
          <w:color w:val="002060"/>
          <w:sz w:val="22"/>
          <w:szCs w:val="22"/>
          <w:lang w:val="en-US"/>
        </w:rPr>
        <w:t xml:space="preserve">. </w:t>
      </w:r>
      <w:r w:rsidR="00322DD7">
        <w:rPr>
          <w:bCs/>
          <w:color w:val="002060"/>
          <w:sz w:val="22"/>
          <w:szCs w:val="22"/>
          <w:lang w:val="en-US"/>
        </w:rPr>
        <w:t>Unless the reference to SI is removed, t</w:t>
      </w:r>
      <w:r w:rsidR="00C23796">
        <w:rPr>
          <w:bCs/>
          <w:color w:val="002060"/>
          <w:sz w:val="22"/>
          <w:szCs w:val="22"/>
          <w:lang w:val="en-US"/>
        </w:rPr>
        <w:t xml:space="preserve">hese </w:t>
      </w:r>
      <w:r w:rsidR="00D5097E">
        <w:rPr>
          <w:bCs/>
          <w:color w:val="002060"/>
          <w:sz w:val="22"/>
          <w:szCs w:val="22"/>
          <w:lang w:val="en-US"/>
        </w:rPr>
        <w:t xml:space="preserve">draft </w:t>
      </w:r>
      <w:r w:rsidR="00C23796">
        <w:rPr>
          <w:bCs/>
          <w:color w:val="002060"/>
          <w:sz w:val="22"/>
          <w:szCs w:val="22"/>
          <w:lang w:val="en-US"/>
        </w:rPr>
        <w:t xml:space="preserve">guidelines should be </w:t>
      </w:r>
      <w:r w:rsidR="00C73B10">
        <w:rPr>
          <w:bCs/>
          <w:color w:val="002060"/>
          <w:sz w:val="22"/>
          <w:szCs w:val="22"/>
          <w:lang w:val="en-US"/>
        </w:rPr>
        <w:t>on hold</w:t>
      </w:r>
      <w:r w:rsidR="00C23796">
        <w:rPr>
          <w:bCs/>
          <w:color w:val="002060"/>
          <w:sz w:val="22"/>
          <w:szCs w:val="22"/>
          <w:lang w:val="en-US"/>
        </w:rPr>
        <w:t xml:space="preserve"> until a </w:t>
      </w:r>
      <w:r w:rsidR="00C23796" w:rsidRPr="00D638C2">
        <w:rPr>
          <w:bCs/>
          <w:i/>
          <w:color w:val="002060"/>
          <w:sz w:val="22"/>
          <w:szCs w:val="22"/>
          <w:lang w:val="en-US"/>
        </w:rPr>
        <w:t>precise</w:t>
      </w:r>
      <w:r w:rsidR="00C23796">
        <w:rPr>
          <w:bCs/>
          <w:color w:val="002060"/>
          <w:sz w:val="22"/>
          <w:szCs w:val="22"/>
          <w:lang w:val="en-US"/>
        </w:rPr>
        <w:t xml:space="preserve"> definition is obtained and the threshold </w:t>
      </w:r>
      <w:r w:rsidR="00D638C2">
        <w:rPr>
          <w:bCs/>
          <w:color w:val="002060"/>
          <w:sz w:val="22"/>
          <w:szCs w:val="22"/>
          <w:lang w:val="en-US"/>
        </w:rPr>
        <w:t xml:space="preserve">can be </w:t>
      </w:r>
      <w:r w:rsidR="00D5097E">
        <w:rPr>
          <w:bCs/>
          <w:color w:val="002060"/>
          <w:sz w:val="22"/>
          <w:szCs w:val="22"/>
          <w:lang w:val="en-US"/>
        </w:rPr>
        <w:t>revis</w:t>
      </w:r>
      <w:r w:rsidR="00D638C2">
        <w:rPr>
          <w:bCs/>
          <w:color w:val="002060"/>
          <w:sz w:val="22"/>
          <w:szCs w:val="22"/>
          <w:lang w:val="en-US"/>
        </w:rPr>
        <w:t xml:space="preserve">ed </w:t>
      </w:r>
      <w:r w:rsidR="00C23796">
        <w:rPr>
          <w:bCs/>
          <w:color w:val="002060"/>
          <w:sz w:val="22"/>
          <w:szCs w:val="22"/>
          <w:lang w:val="en-US"/>
        </w:rPr>
        <w:t>accordingly.</w:t>
      </w:r>
      <w:r w:rsidR="00125B1F">
        <w:rPr>
          <w:bCs/>
          <w:color w:val="002060"/>
          <w:sz w:val="22"/>
          <w:szCs w:val="22"/>
          <w:lang w:val="en-US"/>
        </w:rPr>
        <w:t xml:space="preserve"> </w:t>
      </w:r>
      <w:r w:rsidR="00125B1F" w:rsidRPr="003A5104">
        <w:rPr>
          <w:bCs/>
          <w:color w:val="002060"/>
          <w:sz w:val="22"/>
          <w:szCs w:val="22"/>
          <w:lang w:val="en-US"/>
        </w:rPr>
        <w:t>More generally, we call for more clarity in these guidelines.</w:t>
      </w:r>
      <w:r w:rsidR="00331AB8" w:rsidRPr="003A5104">
        <w:rPr>
          <w:bCs/>
          <w:color w:val="002060"/>
          <w:sz w:val="22"/>
          <w:szCs w:val="22"/>
          <w:lang w:val="en-US"/>
        </w:rPr>
        <w:t xml:space="preserve"> </w:t>
      </w:r>
      <w:r w:rsidR="00814AD8">
        <w:rPr>
          <w:bCs/>
          <w:color w:val="002060"/>
          <w:sz w:val="22"/>
          <w:szCs w:val="22"/>
          <w:lang w:val="en-US"/>
        </w:rPr>
        <w:t>GROUPAMA AM</w:t>
      </w:r>
      <w:r w:rsidR="00331AB8" w:rsidRPr="003A5104">
        <w:rPr>
          <w:bCs/>
          <w:color w:val="002060"/>
          <w:sz w:val="22"/>
          <w:szCs w:val="22"/>
          <w:lang w:val="en-US"/>
        </w:rPr>
        <w:t xml:space="preserve"> also advises that Authorities should take into account the available data</w:t>
      </w:r>
      <w:r w:rsidR="00DD3751" w:rsidRPr="003A5104">
        <w:rPr>
          <w:bCs/>
          <w:color w:val="002060"/>
          <w:sz w:val="22"/>
          <w:szCs w:val="22"/>
          <w:lang w:val="en-US"/>
        </w:rPr>
        <w:t>, the status of the alignment of the economy and the EC’s long term Sustainable finance objectives like the financing of the transition.</w:t>
      </w:r>
    </w:p>
    <w:p w14:paraId="3F4E2EE3" w14:textId="6D7C63E3" w:rsidR="0071667D" w:rsidRPr="00D638C2" w:rsidRDefault="00433C31" w:rsidP="006926E9">
      <w:pPr>
        <w:pStyle w:val="Default"/>
        <w:numPr>
          <w:ilvl w:val="0"/>
          <w:numId w:val="5"/>
        </w:numPr>
        <w:spacing w:after="175"/>
        <w:jc w:val="both"/>
        <w:rPr>
          <w:bCs/>
          <w:color w:val="002060"/>
          <w:sz w:val="22"/>
          <w:szCs w:val="22"/>
          <w:lang w:val="en-US"/>
        </w:rPr>
      </w:pPr>
      <w:r>
        <w:rPr>
          <w:bCs/>
          <w:color w:val="002060"/>
          <w:sz w:val="22"/>
          <w:szCs w:val="22"/>
          <w:lang w:val="en-US"/>
        </w:rPr>
        <w:t>b</w:t>
      </w:r>
      <w:r w:rsidR="00100A0E">
        <w:rPr>
          <w:bCs/>
          <w:color w:val="002060"/>
          <w:sz w:val="22"/>
          <w:szCs w:val="22"/>
          <w:lang w:val="en-US"/>
        </w:rPr>
        <w:t>elieve</w:t>
      </w:r>
      <w:r w:rsidR="00B607F9">
        <w:rPr>
          <w:bCs/>
          <w:color w:val="002060"/>
          <w:sz w:val="22"/>
          <w:szCs w:val="22"/>
          <w:lang w:val="en-US"/>
        </w:rPr>
        <w:t>s</w:t>
      </w:r>
      <w:r w:rsidR="00100A0E">
        <w:rPr>
          <w:bCs/>
          <w:color w:val="002060"/>
          <w:sz w:val="22"/>
          <w:szCs w:val="22"/>
          <w:lang w:val="en-US"/>
        </w:rPr>
        <w:t xml:space="preserve"> there are alternative </w:t>
      </w:r>
      <w:r w:rsidR="008A4E76">
        <w:rPr>
          <w:bCs/>
          <w:color w:val="002060"/>
          <w:sz w:val="22"/>
          <w:szCs w:val="22"/>
          <w:lang w:val="en-US"/>
        </w:rPr>
        <w:t>approaches</w:t>
      </w:r>
      <w:r w:rsidR="00C73B10">
        <w:rPr>
          <w:bCs/>
          <w:color w:val="002060"/>
          <w:sz w:val="22"/>
          <w:szCs w:val="22"/>
          <w:lang w:val="en-US"/>
        </w:rPr>
        <w:t xml:space="preserve"> </w:t>
      </w:r>
      <w:r w:rsidR="009E2BFB">
        <w:rPr>
          <w:bCs/>
          <w:color w:val="002060"/>
          <w:sz w:val="22"/>
          <w:szCs w:val="22"/>
          <w:lang w:val="en-US"/>
        </w:rPr>
        <w:t xml:space="preserve">and to this extent </w:t>
      </w:r>
      <w:r w:rsidR="00814AD8">
        <w:rPr>
          <w:bCs/>
          <w:color w:val="002060"/>
          <w:sz w:val="22"/>
          <w:szCs w:val="22"/>
          <w:lang w:val="en-US"/>
        </w:rPr>
        <w:t>GROUPAMA AM</w:t>
      </w:r>
      <w:r w:rsidR="009E2BFB">
        <w:rPr>
          <w:bCs/>
          <w:color w:val="002060"/>
          <w:sz w:val="22"/>
          <w:szCs w:val="22"/>
          <w:lang w:val="en-US"/>
        </w:rPr>
        <w:t xml:space="preserve"> has done its best effort in the limited consultation timeframe to propose definitions and alternatives in the subsequent answers. </w:t>
      </w:r>
    </w:p>
    <w:p w14:paraId="3011D300" w14:textId="77777777" w:rsidR="00D638C2" w:rsidRDefault="00FB6E58" w:rsidP="006926E9">
      <w:pPr>
        <w:pStyle w:val="Default"/>
        <w:spacing w:after="175"/>
        <w:jc w:val="both"/>
        <w:rPr>
          <w:b/>
          <w:bCs/>
          <w:sz w:val="22"/>
          <w:szCs w:val="22"/>
          <w:lang w:val="en-US"/>
        </w:rPr>
      </w:pPr>
      <w:r w:rsidRPr="00FB6E58">
        <w:rPr>
          <w:b/>
          <w:bCs/>
          <w:sz w:val="22"/>
          <w:szCs w:val="22"/>
          <w:lang w:val="en-US"/>
        </w:rPr>
        <w:t>Q2. Do you agree with the proposed threshold of 80% of the minimum proportion of investments for the use of any ESG-, or impact-related words in the name of a fund? If not, please explain why and provide an alternative proposal.</w:t>
      </w:r>
    </w:p>
    <w:p w14:paraId="79D5CCC2" w14:textId="1C20FD10" w:rsidR="008B565D" w:rsidRPr="009E2BFB" w:rsidRDefault="00814AD8" w:rsidP="00AE31EF">
      <w:pPr>
        <w:pStyle w:val="Default"/>
        <w:spacing w:after="175"/>
        <w:jc w:val="both"/>
        <w:rPr>
          <w:bCs/>
          <w:color w:val="002060"/>
          <w:sz w:val="22"/>
          <w:szCs w:val="22"/>
          <w:lang w:val="en-US"/>
        </w:rPr>
      </w:pPr>
      <w:r>
        <w:rPr>
          <w:bCs/>
          <w:color w:val="002060"/>
          <w:sz w:val="22"/>
          <w:szCs w:val="22"/>
          <w:lang w:val="en-US"/>
        </w:rPr>
        <w:t>GROUPAMA AM</w:t>
      </w:r>
      <w:r w:rsidR="00B607F9">
        <w:rPr>
          <w:bCs/>
          <w:color w:val="002060"/>
          <w:sz w:val="22"/>
          <w:szCs w:val="22"/>
          <w:lang w:val="en-US"/>
        </w:rPr>
        <w:t xml:space="preserve"> </w:t>
      </w:r>
      <w:r w:rsidR="00433C31">
        <w:rPr>
          <w:bCs/>
          <w:color w:val="002060"/>
          <w:sz w:val="22"/>
          <w:szCs w:val="22"/>
          <w:lang w:val="en-US"/>
        </w:rPr>
        <w:t>believe</w:t>
      </w:r>
      <w:r w:rsidR="00B607F9">
        <w:rPr>
          <w:bCs/>
          <w:color w:val="002060"/>
          <w:sz w:val="22"/>
          <w:szCs w:val="22"/>
          <w:lang w:val="en-US"/>
        </w:rPr>
        <w:t>s</w:t>
      </w:r>
      <w:r w:rsidR="00433C31">
        <w:rPr>
          <w:bCs/>
          <w:color w:val="002060"/>
          <w:sz w:val="22"/>
          <w:szCs w:val="22"/>
          <w:lang w:val="en-US"/>
        </w:rPr>
        <w:t xml:space="preserve"> the draft</w:t>
      </w:r>
      <w:r w:rsidR="00253D1A">
        <w:rPr>
          <w:bCs/>
          <w:color w:val="002060"/>
          <w:sz w:val="22"/>
          <w:szCs w:val="22"/>
          <w:lang w:val="en-US"/>
        </w:rPr>
        <w:t xml:space="preserve"> </w:t>
      </w:r>
      <w:r w:rsidR="00433C31">
        <w:rPr>
          <w:bCs/>
          <w:color w:val="002060"/>
          <w:sz w:val="22"/>
          <w:szCs w:val="22"/>
          <w:lang w:val="en-US"/>
        </w:rPr>
        <w:t xml:space="preserve">guideline relating to the 80% </w:t>
      </w:r>
      <w:r w:rsidR="00657A62">
        <w:rPr>
          <w:bCs/>
          <w:color w:val="002060"/>
          <w:sz w:val="22"/>
          <w:szCs w:val="22"/>
          <w:lang w:val="en-US"/>
        </w:rPr>
        <w:t xml:space="preserve">minimum proportion of investments </w:t>
      </w:r>
      <w:r w:rsidR="00253D1A">
        <w:rPr>
          <w:bCs/>
          <w:color w:val="002060"/>
          <w:sz w:val="22"/>
          <w:szCs w:val="22"/>
          <w:lang w:val="en-US"/>
        </w:rPr>
        <w:t>used to meet the E/S characteristics of the product</w:t>
      </w:r>
      <w:r w:rsidR="000F5A3E">
        <w:rPr>
          <w:bCs/>
          <w:color w:val="002060"/>
          <w:sz w:val="22"/>
          <w:szCs w:val="22"/>
          <w:lang w:val="en-US"/>
        </w:rPr>
        <w:t xml:space="preserve"> </w:t>
      </w:r>
      <w:r w:rsidR="00B839EE">
        <w:rPr>
          <w:bCs/>
          <w:color w:val="002060"/>
          <w:sz w:val="22"/>
          <w:szCs w:val="22"/>
          <w:lang w:val="en-US"/>
        </w:rPr>
        <w:t xml:space="preserve">should bring more clarity </w:t>
      </w:r>
      <w:r w:rsidR="00460505" w:rsidRPr="009E2BFB">
        <w:rPr>
          <w:bCs/>
          <w:color w:val="002060"/>
          <w:sz w:val="22"/>
          <w:szCs w:val="22"/>
          <w:lang w:val="en-US"/>
        </w:rPr>
        <w:t>to assess whether the 80% is appropriate</w:t>
      </w:r>
      <w:r w:rsidR="00253D1A" w:rsidRPr="009E2BFB">
        <w:rPr>
          <w:bCs/>
          <w:color w:val="002060"/>
          <w:sz w:val="22"/>
          <w:szCs w:val="22"/>
          <w:lang w:val="en-US"/>
        </w:rPr>
        <w:t xml:space="preserve">. </w:t>
      </w:r>
    </w:p>
    <w:p w14:paraId="1D4C3812" w14:textId="12B73E8C" w:rsidR="008B565D" w:rsidRDefault="00263024" w:rsidP="003A5104">
      <w:pPr>
        <w:pStyle w:val="Default"/>
        <w:spacing w:after="175"/>
        <w:jc w:val="both"/>
        <w:rPr>
          <w:bCs/>
          <w:color w:val="002060"/>
          <w:sz w:val="22"/>
          <w:szCs w:val="22"/>
          <w:lang w:val="en-US"/>
        </w:rPr>
      </w:pPr>
      <w:r>
        <w:rPr>
          <w:bCs/>
          <w:color w:val="002060"/>
          <w:sz w:val="22"/>
          <w:szCs w:val="22"/>
          <w:lang w:val="en-US"/>
        </w:rPr>
        <w:t xml:space="preserve">We understand the objective of ESMA to set ambitious thresholds to </w:t>
      </w:r>
      <w:r w:rsidRPr="00263024">
        <w:rPr>
          <w:bCs/>
          <w:color w:val="002060"/>
          <w:sz w:val="22"/>
          <w:szCs w:val="22"/>
          <w:lang w:val="en-US"/>
        </w:rPr>
        <w:t>limit greenwashing allegations risks and avoid misleading information for investors</w:t>
      </w:r>
      <w:r>
        <w:rPr>
          <w:bCs/>
          <w:color w:val="002060"/>
          <w:sz w:val="22"/>
          <w:szCs w:val="22"/>
          <w:lang w:val="en-US"/>
        </w:rPr>
        <w:t>. Nevertheless, we believe that requirements should be further clarified.</w:t>
      </w:r>
    </w:p>
    <w:p w14:paraId="0B56D645" w14:textId="645ADBA0" w:rsidR="00263024" w:rsidRDefault="009C34A5" w:rsidP="00AE31EF">
      <w:pPr>
        <w:pStyle w:val="Default"/>
        <w:numPr>
          <w:ilvl w:val="0"/>
          <w:numId w:val="28"/>
        </w:numPr>
        <w:spacing w:after="175"/>
        <w:jc w:val="both"/>
        <w:rPr>
          <w:bCs/>
          <w:color w:val="002060"/>
          <w:sz w:val="22"/>
          <w:szCs w:val="22"/>
          <w:lang w:val="en-US"/>
        </w:rPr>
      </w:pPr>
      <w:r w:rsidRPr="007E2EAD">
        <w:rPr>
          <w:bCs/>
          <w:color w:val="002060"/>
          <w:sz w:val="22"/>
          <w:szCs w:val="22"/>
          <w:lang w:val="en-US"/>
        </w:rPr>
        <w:t xml:space="preserve">Indeed, </w:t>
      </w:r>
      <w:r w:rsidR="00814AD8">
        <w:rPr>
          <w:bCs/>
          <w:color w:val="002060"/>
          <w:sz w:val="22"/>
          <w:szCs w:val="22"/>
          <w:lang w:val="en-US"/>
        </w:rPr>
        <w:t>GROUPAMA AM</w:t>
      </w:r>
      <w:r w:rsidR="00B607F9" w:rsidRPr="007E2EAD">
        <w:rPr>
          <w:bCs/>
          <w:color w:val="002060"/>
          <w:sz w:val="22"/>
          <w:szCs w:val="22"/>
          <w:lang w:val="en-US"/>
        </w:rPr>
        <w:t xml:space="preserve"> </w:t>
      </w:r>
      <w:r w:rsidR="00253D1A" w:rsidRPr="007E2EAD">
        <w:rPr>
          <w:bCs/>
          <w:color w:val="002060"/>
          <w:sz w:val="22"/>
          <w:szCs w:val="22"/>
          <w:lang w:val="en-US"/>
        </w:rPr>
        <w:t>believe</w:t>
      </w:r>
      <w:r w:rsidR="00B607F9">
        <w:rPr>
          <w:bCs/>
          <w:color w:val="002060"/>
          <w:sz w:val="22"/>
          <w:szCs w:val="22"/>
          <w:lang w:val="en-US"/>
        </w:rPr>
        <w:t>s</w:t>
      </w:r>
      <w:r w:rsidR="00253D1A" w:rsidRPr="007E2EAD">
        <w:rPr>
          <w:bCs/>
          <w:color w:val="002060"/>
          <w:sz w:val="22"/>
          <w:szCs w:val="22"/>
          <w:lang w:val="en-US"/>
        </w:rPr>
        <w:t xml:space="preserve"> </w:t>
      </w:r>
      <w:r w:rsidR="00263024">
        <w:rPr>
          <w:bCs/>
          <w:color w:val="002060"/>
          <w:sz w:val="22"/>
          <w:szCs w:val="22"/>
          <w:lang w:val="en-US"/>
        </w:rPr>
        <w:t xml:space="preserve">that there </w:t>
      </w:r>
      <w:r w:rsidR="000F5A3E">
        <w:rPr>
          <w:bCs/>
          <w:color w:val="002060"/>
          <w:sz w:val="22"/>
          <w:szCs w:val="22"/>
          <w:lang w:val="en-US"/>
        </w:rPr>
        <w:t>could be</w:t>
      </w:r>
      <w:r w:rsidR="00263024">
        <w:rPr>
          <w:bCs/>
          <w:color w:val="002060"/>
          <w:sz w:val="22"/>
          <w:szCs w:val="22"/>
          <w:lang w:val="en-US"/>
        </w:rPr>
        <w:t xml:space="preserve"> an inconsistency between the proposed level of the threshold (i.e. 80%) and the </w:t>
      </w:r>
      <w:r w:rsidR="00DD7A82">
        <w:rPr>
          <w:bCs/>
          <w:color w:val="002060"/>
          <w:sz w:val="22"/>
          <w:szCs w:val="22"/>
          <w:lang w:val="en-US"/>
        </w:rPr>
        <w:t>methodology</w:t>
      </w:r>
    </w:p>
    <w:p w14:paraId="376696B5" w14:textId="437FB597" w:rsidR="00263024" w:rsidRDefault="00263024" w:rsidP="008B565D">
      <w:pPr>
        <w:pStyle w:val="Default"/>
        <w:spacing w:after="175"/>
        <w:jc w:val="both"/>
        <w:rPr>
          <w:bCs/>
          <w:color w:val="002060"/>
          <w:sz w:val="22"/>
          <w:szCs w:val="22"/>
          <w:lang w:val="en-US"/>
        </w:rPr>
      </w:pPr>
      <w:r>
        <w:rPr>
          <w:bCs/>
          <w:color w:val="002060"/>
          <w:sz w:val="22"/>
          <w:szCs w:val="22"/>
          <w:lang w:val="en-US"/>
        </w:rPr>
        <w:t xml:space="preserve">If ESMA </w:t>
      </w:r>
      <w:r w:rsidR="000F5A3E">
        <w:rPr>
          <w:bCs/>
          <w:color w:val="002060"/>
          <w:sz w:val="22"/>
          <w:szCs w:val="22"/>
          <w:lang w:val="en-US"/>
        </w:rPr>
        <w:t>was</w:t>
      </w:r>
      <w:r>
        <w:rPr>
          <w:bCs/>
          <w:color w:val="002060"/>
          <w:sz w:val="22"/>
          <w:szCs w:val="22"/>
          <w:lang w:val="en-US"/>
        </w:rPr>
        <w:t xml:space="preserve"> to keep the level of the threshold at 80%, it should be clarified that cash and derivatives should be excluded from the ratio calculation. </w:t>
      </w:r>
      <w:r w:rsidR="00091AE0">
        <w:rPr>
          <w:bCs/>
          <w:color w:val="002060"/>
          <w:sz w:val="22"/>
          <w:szCs w:val="22"/>
          <w:lang w:val="en-US"/>
        </w:rPr>
        <w:t xml:space="preserve">Indeed, in France, UCITS </w:t>
      </w:r>
      <w:r w:rsidR="00091AE0" w:rsidRPr="00091AE0">
        <w:rPr>
          <w:bCs/>
          <w:color w:val="002060"/>
          <w:sz w:val="22"/>
          <w:szCs w:val="22"/>
          <w:lang w:val="en-US"/>
        </w:rPr>
        <w:t>fund</w:t>
      </w:r>
      <w:r w:rsidR="00091AE0">
        <w:rPr>
          <w:bCs/>
          <w:color w:val="002060"/>
          <w:sz w:val="22"/>
          <w:szCs w:val="22"/>
          <w:lang w:val="en-US"/>
        </w:rPr>
        <w:t>s</w:t>
      </w:r>
      <w:r w:rsidR="00091AE0" w:rsidRPr="00091AE0">
        <w:rPr>
          <w:bCs/>
          <w:color w:val="002060"/>
          <w:sz w:val="22"/>
          <w:szCs w:val="22"/>
          <w:lang w:val="en-US"/>
        </w:rPr>
        <w:t xml:space="preserve"> </w:t>
      </w:r>
      <w:r w:rsidR="00091AE0">
        <w:rPr>
          <w:bCs/>
          <w:color w:val="002060"/>
          <w:sz w:val="22"/>
          <w:szCs w:val="22"/>
          <w:lang w:val="en-US"/>
        </w:rPr>
        <w:t xml:space="preserve">can </w:t>
      </w:r>
      <w:r w:rsidR="00091AE0" w:rsidRPr="00091AE0">
        <w:rPr>
          <w:bCs/>
          <w:color w:val="002060"/>
          <w:sz w:val="22"/>
          <w:szCs w:val="22"/>
          <w:lang w:val="en-US"/>
        </w:rPr>
        <w:t>hold</w:t>
      </w:r>
      <w:r w:rsidR="00091AE0">
        <w:rPr>
          <w:bCs/>
          <w:color w:val="002060"/>
          <w:sz w:val="22"/>
          <w:szCs w:val="22"/>
          <w:lang w:val="en-US"/>
        </w:rPr>
        <w:t xml:space="preserve"> up to </w:t>
      </w:r>
      <w:r w:rsidR="00091AE0" w:rsidRPr="00091AE0">
        <w:rPr>
          <w:bCs/>
          <w:color w:val="002060"/>
          <w:sz w:val="22"/>
          <w:szCs w:val="22"/>
          <w:lang w:val="en-US"/>
        </w:rPr>
        <w:t>20% of cash</w:t>
      </w:r>
      <w:r w:rsidR="00091AE0">
        <w:rPr>
          <w:bCs/>
          <w:color w:val="002060"/>
          <w:sz w:val="22"/>
          <w:szCs w:val="22"/>
          <w:lang w:val="en-US"/>
        </w:rPr>
        <w:t xml:space="preserve"> (</w:t>
      </w:r>
      <w:r w:rsidR="00091AE0" w:rsidRPr="00091AE0">
        <w:rPr>
          <w:bCs/>
          <w:color w:val="002060"/>
          <w:sz w:val="22"/>
          <w:szCs w:val="22"/>
          <w:lang w:val="en-US"/>
        </w:rPr>
        <w:t>the maximum ancillary cash a UCITS funds may have in France</w:t>
      </w:r>
      <w:r w:rsidR="00091AE0">
        <w:rPr>
          <w:bCs/>
          <w:color w:val="002060"/>
          <w:sz w:val="22"/>
          <w:szCs w:val="22"/>
          <w:lang w:val="en-US"/>
        </w:rPr>
        <w:t>)</w:t>
      </w:r>
      <w:r w:rsidR="00091AE0" w:rsidRPr="00091AE0">
        <w:rPr>
          <w:bCs/>
          <w:color w:val="002060"/>
          <w:sz w:val="22"/>
          <w:szCs w:val="22"/>
          <w:lang w:val="en-US"/>
        </w:rPr>
        <w:t xml:space="preserve">, </w:t>
      </w:r>
      <w:r w:rsidR="00091AE0">
        <w:rPr>
          <w:bCs/>
          <w:color w:val="002060"/>
          <w:sz w:val="22"/>
          <w:szCs w:val="22"/>
          <w:lang w:val="en-US"/>
        </w:rPr>
        <w:t xml:space="preserve">in that sense </w:t>
      </w:r>
      <w:r w:rsidR="00091AE0" w:rsidRPr="00091AE0">
        <w:rPr>
          <w:bCs/>
          <w:color w:val="002060"/>
          <w:sz w:val="22"/>
          <w:szCs w:val="22"/>
          <w:lang w:val="en-US"/>
        </w:rPr>
        <w:t>the 80% ESG characteristic is already out of reach</w:t>
      </w:r>
      <w:r w:rsidR="00F14A9A">
        <w:rPr>
          <w:bCs/>
          <w:color w:val="002060"/>
          <w:sz w:val="22"/>
          <w:szCs w:val="22"/>
          <w:lang w:val="en-US"/>
        </w:rPr>
        <w:t>. This threshold would also be incompatible with asset classes that cannot be compliant with ESG characteristics (portfolio diversification as well as multi-asset portfolios)</w:t>
      </w:r>
      <w:r w:rsidR="00091AE0">
        <w:rPr>
          <w:bCs/>
          <w:color w:val="002060"/>
          <w:sz w:val="22"/>
          <w:szCs w:val="22"/>
          <w:lang w:val="en-US"/>
        </w:rPr>
        <w:t>.</w:t>
      </w:r>
      <w:r w:rsidR="00F14A9A">
        <w:rPr>
          <w:bCs/>
          <w:color w:val="002060"/>
          <w:sz w:val="22"/>
          <w:szCs w:val="22"/>
          <w:lang w:val="en-US"/>
        </w:rPr>
        <w:t xml:space="preserve"> </w:t>
      </w:r>
      <w:r w:rsidR="000F5A3E">
        <w:rPr>
          <w:bCs/>
          <w:color w:val="002060"/>
          <w:sz w:val="22"/>
          <w:szCs w:val="22"/>
          <w:lang w:val="en-US"/>
        </w:rPr>
        <w:t>In addition, this level can depend up</w:t>
      </w:r>
      <w:r w:rsidR="00B839EE">
        <w:rPr>
          <w:bCs/>
          <w:color w:val="002060"/>
          <w:sz w:val="22"/>
          <w:szCs w:val="22"/>
          <w:lang w:val="en-US"/>
        </w:rPr>
        <w:t>on the category of assets (OECD vs</w:t>
      </w:r>
      <w:r w:rsidR="000F5A3E">
        <w:rPr>
          <w:bCs/>
          <w:color w:val="002060"/>
          <w:sz w:val="22"/>
          <w:szCs w:val="22"/>
          <w:lang w:val="en-US"/>
        </w:rPr>
        <w:t xml:space="preserve"> emerging,…).</w:t>
      </w:r>
    </w:p>
    <w:p w14:paraId="0F57D34C" w14:textId="36AC6414" w:rsidR="000418A2" w:rsidRDefault="002C6BFC" w:rsidP="008B565D">
      <w:pPr>
        <w:pStyle w:val="Default"/>
        <w:spacing w:after="175"/>
        <w:jc w:val="both"/>
        <w:rPr>
          <w:bCs/>
          <w:color w:val="002060"/>
          <w:sz w:val="22"/>
          <w:szCs w:val="22"/>
          <w:lang w:val="en-US"/>
        </w:rPr>
      </w:pPr>
      <w:r>
        <w:rPr>
          <w:bCs/>
          <w:color w:val="002060"/>
          <w:sz w:val="22"/>
          <w:szCs w:val="22"/>
          <w:lang w:val="en-US"/>
        </w:rPr>
        <w:t>Therefore,</w:t>
      </w:r>
      <w:r w:rsidR="00DD7A82">
        <w:rPr>
          <w:bCs/>
          <w:color w:val="002060"/>
          <w:sz w:val="22"/>
          <w:szCs w:val="22"/>
          <w:lang w:val="en-US"/>
        </w:rPr>
        <w:t xml:space="preserve"> </w:t>
      </w:r>
      <w:r w:rsidR="00814AD8">
        <w:rPr>
          <w:bCs/>
          <w:color w:val="002060"/>
          <w:sz w:val="22"/>
          <w:szCs w:val="22"/>
          <w:lang w:val="en-US"/>
        </w:rPr>
        <w:t>GROUPAMA AM</w:t>
      </w:r>
      <w:r w:rsidR="00DD7A82">
        <w:rPr>
          <w:bCs/>
          <w:color w:val="002060"/>
          <w:sz w:val="22"/>
          <w:szCs w:val="22"/>
          <w:lang w:val="en-US"/>
        </w:rPr>
        <w:t xml:space="preserve"> proposes the following: </w:t>
      </w:r>
    </w:p>
    <w:p w14:paraId="297E0C04" w14:textId="7471722F" w:rsidR="000418A2" w:rsidRDefault="00683330" w:rsidP="000418A2">
      <w:pPr>
        <w:pStyle w:val="Default"/>
        <w:numPr>
          <w:ilvl w:val="0"/>
          <w:numId w:val="5"/>
        </w:numPr>
        <w:spacing w:after="175"/>
        <w:jc w:val="both"/>
        <w:rPr>
          <w:b/>
          <w:color w:val="002060"/>
          <w:sz w:val="22"/>
          <w:szCs w:val="22"/>
          <w:lang w:val="en-US"/>
        </w:rPr>
      </w:pPr>
      <w:r>
        <w:rPr>
          <w:b/>
          <w:color w:val="002060"/>
          <w:sz w:val="22"/>
          <w:szCs w:val="22"/>
          <w:lang w:val="en-US"/>
        </w:rPr>
        <w:t>T</w:t>
      </w:r>
      <w:r w:rsidR="000418A2" w:rsidRPr="003A5104">
        <w:rPr>
          <w:b/>
          <w:color w:val="002060"/>
          <w:sz w:val="22"/>
          <w:szCs w:val="22"/>
          <w:lang w:val="en-US"/>
        </w:rPr>
        <w:t>he denominator</w:t>
      </w:r>
      <w:r w:rsidR="000418A2">
        <w:rPr>
          <w:b/>
          <w:color w:val="002060"/>
          <w:sz w:val="22"/>
          <w:szCs w:val="22"/>
          <w:lang w:val="en-US"/>
        </w:rPr>
        <w:t xml:space="preserve"> </w:t>
      </w:r>
      <w:r w:rsidR="000418A2" w:rsidRPr="003A5104">
        <w:rPr>
          <w:bCs/>
          <w:color w:val="002060"/>
          <w:sz w:val="22"/>
          <w:szCs w:val="22"/>
          <w:lang w:val="en-US"/>
        </w:rPr>
        <w:t>would be the exposure without cash and derivatives</w:t>
      </w:r>
      <w:r w:rsidR="000F5A3E">
        <w:rPr>
          <w:bCs/>
          <w:color w:val="002060"/>
          <w:sz w:val="22"/>
          <w:szCs w:val="22"/>
          <w:lang w:val="en-US"/>
        </w:rPr>
        <w:t xml:space="preserve"> (</w:t>
      </w:r>
      <w:proofErr w:type="spellStart"/>
      <w:r w:rsidR="000F5A3E">
        <w:rPr>
          <w:bCs/>
          <w:color w:val="002060"/>
          <w:sz w:val="22"/>
          <w:szCs w:val="22"/>
          <w:lang w:val="en-US"/>
        </w:rPr>
        <w:t>e.g</w:t>
      </w:r>
      <w:proofErr w:type="spellEnd"/>
      <w:r w:rsidR="000F5A3E">
        <w:rPr>
          <w:bCs/>
          <w:color w:val="002060"/>
          <w:sz w:val="22"/>
          <w:szCs w:val="22"/>
          <w:lang w:val="en-US"/>
        </w:rPr>
        <w:t xml:space="preserve"> FX </w:t>
      </w:r>
      <w:r w:rsidR="009F76E8">
        <w:rPr>
          <w:bCs/>
          <w:color w:val="002060"/>
          <w:sz w:val="22"/>
          <w:szCs w:val="22"/>
          <w:lang w:val="en-US"/>
        </w:rPr>
        <w:t>or market risk hedging)</w:t>
      </w:r>
      <w:r w:rsidR="000418A2" w:rsidRPr="003A5104">
        <w:rPr>
          <w:bCs/>
          <w:color w:val="002060"/>
          <w:sz w:val="22"/>
          <w:szCs w:val="22"/>
          <w:lang w:val="en-US"/>
        </w:rPr>
        <w:t>.</w:t>
      </w:r>
    </w:p>
    <w:p w14:paraId="7E2E2046" w14:textId="77777777" w:rsidR="00D5054A" w:rsidRDefault="000418A2" w:rsidP="000418A2">
      <w:pPr>
        <w:pStyle w:val="Default"/>
        <w:numPr>
          <w:ilvl w:val="0"/>
          <w:numId w:val="5"/>
        </w:numPr>
        <w:spacing w:after="175"/>
        <w:jc w:val="both"/>
        <w:rPr>
          <w:bCs/>
          <w:color w:val="002060"/>
          <w:sz w:val="22"/>
          <w:szCs w:val="22"/>
          <w:lang w:val="en-US"/>
        </w:rPr>
      </w:pPr>
      <w:r>
        <w:rPr>
          <w:b/>
          <w:color w:val="002060"/>
          <w:sz w:val="22"/>
          <w:szCs w:val="22"/>
          <w:lang w:val="en-US"/>
        </w:rPr>
        <w:lastRenderedPageBreak/>
        <w:t xml:space="preserve">The numerator </w:t>
      </w:r>
      <w:r w:rsidRPr="003A5104">
        <w:rPr>
          <w:bCs/>
          <w:color w:val="002060"/>
          <w:sz w:val="22"/>
          <w:szCs w:val="22"/>
          <w:lang w:val="en-US"/>
        </w:rPr>
        <w:t xml:space="preserve">would be the </w:t>
      </w:r>
      <w:r w:rsidRPr="000418A2">
        <w:rPr>
          <w:b/>
          <w:color w:val="002060"/>
          <w:sz w:val="22"/>
          <w:szCs w:val="22"/>
          <w:lang w:val="en-US"/>
        </w:rPr>
        <w:t>exposure that contribute</w:t>
      </w:r>
      <w:r w:rsidR="000F5A3E">
        <w:rPr>
          <w:b/>
          <w:color w:val="002060"/>
          <w:sz w:val="22"/>
          <w:szCs w:val="22"/>
          <w:lang w:val="en-US"/>
        </w:rPr>
        <w:t>s</w:t>
      </w:r>
      <w:r w:rsidRPr="000418A2">
        <w:rPr>
          <w:b/>
          <w:color w:val="002060"/>
          <w:sz w:val="22"/>
          <w:szCs w:val="22"/>
          <w:lang w:val="en-US"/>
        </w:rPr>
        <w:t xml:space="preserve"> to </w:t>
      </w:r>
      <w:r w:rsidR="00D5054A">
        <w:rPr>
          <w:b/>
          <w:color w:val="002060"/>
          <w:sz w:val="22"/>
          <w:szCs w:val="22"/>
          <w:lang w:val="en-US"/>
        </w:rPr>
        <w:t xml:space="preserve">meet </w:t>
      </w:r>
      <w:r w:rsidRPr="000418A2">
        <w:rPr>
          <w:b/>
          <w:color w:val="002060"/>
          <w:sz w:val="22"/>
          <w:szCs w:val="22"/>
          <w:lang w:val="en-US"/>
        </w:rPr>
        <w:t xml:space="preserve">the ESG </w:t>
      </w:r>
      <w:r w:rsidR="00D5054A">
        <w:rPr>
          <w:b/>
          <w:color w:val="002060"/>
          <w:sz w:val="22"/>
          <w:szCs w:val="22"/>
          <w:lang w:val="en-US"/>
        </w:rPr>
        <w:t>characteristics of the fund</w:t>
      </w:r>
      <w:r w:rsidRPr="003A5104">
        <w:rPr>
          <w:bCs/>
          <w:color w:val="002060"/>
          <w:sz w:val="22"/>
          <w:szCs w:val="22"/>
          <w:lang w:val="en-US"/>
        </w:rPr>
        <w:t xml:space="preserve">. For instance, depending on </w:t>
      </w:r>
      <w:r>
        <w:rPr>
          <w:bCs/>
          <w:color w:val="002060"/>
          <w:sz w:val="22"/>
          <w:szCs w:val="22"/>
          <w:lang w:val="en-US"/>
        </w:rPr>
        <w:t>the</w:t>
      </w:r>
      <w:r w:rsidRPr="003A5104">
        <w:rPr>
          <w:bCs/>
          <w:color w:val="002060"/>
          <w:sz w:val="22"/>
          <w:szCs w:val="22"/>
          <w:lang w:val="en-US"/>
        </w:rPr>
        <w:t xml:space="preserve"> ESG objective/strategy, this could mean all assets and </w:t>
      </w:r>
      <w:proofErr w:type="spellStart"/>
      <w:r w:rsidRPr="000418A2">
        <w:rPr>
          <w:bCs/>
          <w:color w:val="002060"/>
          <w:sz w:val="22"/>
          <w:szCs w:val="22"/>
          <w:lang w:val="en-US"/>
        </w:rPr>
        <w:t>underl</w:t>
      </w:r>
      <w:r w:rsidR="00D5054A">
        <w:rPr>
          <w:bCs/>
          <w:color w:val="002060"/>
          <w:sz w:val="22"/>
          <w:szCs w:val="22"/>
          <w:lang w:val="en-US"/>
        </w:rPr>
        <w:t>y</w:t>
      </w:r>
      <w:r w:rsidRPr="000418A2">
        <w:rPr>
          <w:bCs/>
          <w:color w:val="002060"/>
          <w:sz w:val="22"/>
          <w:szCs w:val="22"/>
          <w:lang w:val="en-US"/>
        </w:rPr>
        <w:t>ings</w:t>
      </w:r>
      <w:proofErr w:type="spellEnd"/>
      <w:r w:rsidRPr="003A5104">
        <w:rPr>
          <w:bCs/>
          <w:color w:val="002060"/>
          <w:sz w:val="22"/>
          <w:szCs w:val="22"/>
          <w:lang w:val="en-US"/>
        </w:rPr>
        <w:t xml:space="preserve"> that are </w:t>
      </w:r>
      <w:r w:rsidR="00D5054A" w:rsidRPr="00D5054A">
        <w:rPr>
          <w:bCs/>
          <w:color w:val="002060"/>
          <w:sz w:val="22"/>
          <w:szCs w:val="22"/>
          <w:lang w:val="en-US"/>
        </w:rPr>
        <w:t>subject to the assessment of a non-financial analysis or rating or ESG indicator in line with the strategy of the fund</w:t>
      </w:r>
      <w:r w:rsidR="00D5054A">
        <w:rPr>
          <w:bCs/>
          <w:color w:val="002060"/>
          <w:sz w:val="22"/>
          <w:szCs w:val="22"/>
          <w:lang w:val="en-US"/>
        </w:rPr>
        <w:t>.</w:t>
      </w:r>
    </w:p>
    <w:p w14:paraId="2B1E8FCB" w14:textId="1828D233" w:rsidR="000418A2" w:rsidRPr="002C6BFC" w:rsidRDefault="000418A2" w:rsidP="000418A2">
      <w:pPr>
        <w:pStyle w:val="Default"/>
        <w:numPr>
          <w:ilvl w:val="0"/>
          <w:numId w:val="5"/>
        </w:numPr>
        <w:spacing w:after="175"/>
        <w:jc w:val="both"/>
        <w:rPr>
          <w:bCs/>
          <w:color w:val="002060"/>
          <w:sz w:val="22"/>
          <w:szCs w:val="22"/>
          <w:lang w:val="en-US"/>
        </w:rPr>
      </w:pPr>
      <w:bookmarkStart w:id="2" w:name="_Hlk126920330"/>
      <w:r w:rsidRPr="00B839EE">
        <w:rPr>
          <w:color w:val="002060"/>
          <w:sz w:val="22"/>
          <w:szCs w:val="22"/>
          <w:lang w:val="en-US"/>
        </w:rPr>
        <w:t xml:space="preserve">This </w:t>
      </w:r>
      <w:r w:rsidR="00D5054A" w:rsidRPr="009F76E8">
        <w:rPr>
          <w:color w:val="002060"/>
          <w:sz w:val="22"/>
          <w:szCs w:val="22"/>
          <w:lang w:val="en-US"/>
        </w:rPr>
        <w:t xml:space="preserve">ratio </w:t>
      </w:r>
      <w:r w:rsidR="009F76E8" w:rsidRPr="009F76E8">
        <w:rPr>
          <w:color w:val="002060"/>
          <w:sz w:val="22"/>
          <w:szCs w:val="22"/>
          <w:lang w:val="en-US"/>
        </w:rPr>
        <w:t xml:space="preserve">requirement </w:t>
      </w:r>
      <w:r w:rsidRPr="00B839EE">
        <w:rPr>
          <w:color w:val="002060"/>
          <w:sz w:val="22"/>
          <w:szCs w:val="22"/>
          <w:lang w:val="en-US"/>
        </w:rPr>
        <w:t>should be</w:t>
      </w:r>
      <w:r w:rsidRPr="003A5104">
        <w:rPr>
          <w:b/>
          <w:color w:val="002060"/>
          <w:sz w:val="22"/>
          <w:szCs w:val="22"/>
          <w:lang w:val="en-US"/>
        </w:rPr>
        <w:t xml:space="preserve"> </w:t>
      </w:r>
      <w:r w:rsidR="009F76E8">
        <w:rPr>
          <w:b/>
          <w:color w:val="002060"/>
          <w:sz w:val="22"/>
          <w:szCs w:val="22"/>
          <w:lang w:val="en-US"/>
        </w:rPr>
        <w:t>coupled</w:t>
      </w:r>
      <w:r w:rsidR="00D5054A">
        <w:rPr>
          <w:b/>
          <w:color w:val="002060"/>
          <w:sz w:val="22"/>
          <w:szCs w:val="22"/>
          <w:lang w:val="en-US"/>
        </w:rPr>
        <w:t xml:space="preserve"> </w:t>
      </w:r>
      <w:r w:rsidRPr="003A5104">
        <w:rPr>
          <w:b/>
          <w:color w:val="002060"/>
          <w:sz w:val="22"/>
          <w:szCs w:val="22"/>
          <w:lang w:val="en-US"/>
        </w:rPr>
        <w:t>with</w:t>
      </w:r>
      <w:r w:rsidR="00D5054A">
        <w:rPr>
          <w:b/>
          <w:color w:val="002060"/>
          <w:sz w:val="22"/>
          <w:szCs w:val="22"/>
          <w:lang w:val="en-US"/>
        </w:rPr>
        <w:t xml:space="preserve"> </w:t>
      </w:r>
      <w:r w:rsidRPr="003A5104">
        <w:rPr>
          <w:b/>
          <w:color w:val="002060"/>
          <w:sz w:val="22"/>
          <w:szCs w:val="22"/>
          <w:lang w:val="en-US"/>
        </w:rPr>
        <w:t>a</w:t>
      </w:r>
      <w:r w:rsidR="00D5054A">
        <w:rPr>
          <w:b/>
          <w:color w:val="002060"/>
          <w:sz w:val="22"/>
          <w:szCs w:val="22"/>
          <w:lang w:val="en-US"/>
        </w:rPr>
        <w:t>n explicit</w:t>
      </w:r>
      <w:r w:rsidRPr="003A5104">
        <w:rPr>
          <w:b/>
          <w:color w:val="002060"/>
          <w:sz w:val="22"/>
          <w:szCs w:val="22"/>
          <w:lang w:val="en-US"/>
        </w:rPr>
        <w:t xml:space="preserve"> </w:t>
      </w:r>
      <w:r w:rsidR="009F76E8">
        <w:rPr>
          <w:b/>
          <w:color w:val="002060"/>
          <w:sz w:val="22"/>
          <w:szCs w:val="22"/>
          <w:lang w:val="en-US"/>
        </w:rPr>
        <w:t xml:space="preserve">ESG </w:t>
      </w:r>
      <w:r w:rsidRPr="003A5104">
        <w:rPr>
          <w:b/>
          <w:color w:val="002060"/>
          <w:sz w:val="22"/>
          <w:szCs w:val="22"/>
          <w:lang w:val="en-US"/>
        </w:rPr>
        <w:t>binding and measurable objective</w:t>
      </w:r>
      <w:r w:rsidR="009F76E8">
        <w:rPr>
          <w:b/>
          <w:color w:val="002060"/>
          <w:sz w:val="22"/>
          <w:szCs w:val="22"/>
          <w:lang w:val="en-US"/>
        </w:rPr>
        <w:t xml:space="preserve"> of the </w:t>
      </w:r>
      <w:r w:rsidR="009F76E8" w:rsidRPr="002C6BFC">
        <w:rPr>
          <w:b/>
          <w:color w:val="002060"/>
          <w:sz w:val="22"/>
          <w:szCs w:val="22"/>
          <w:lang w:val="en-US"/>
        </w:rPr>
        <w:t>fund</w:t>
      </w:r>
      <w:r w:rsidRPr="002C6BFC">
        <w:rPr>
          <w:bCs/>
          <w:color w:val="002060"/>
          <w:sz w:val="22"/>
          <w:szCs w:val="22"/>
          <w:lang w:val="en-US"/>
        </w:rPr>
        <w:t xml:space="preserve">. </w:t>
      </w:r>
      <w:r w:rsidR="00A51428" w:rsidRPr="002C6BFC">
        <w:rPr>
          <w:bCs/>
          <w:color w:val="002060"/>
          <w:sz w:val="22"/>
          <w:szCs w:val="22"/>
          <w:lang w:val="en-US"/>
        </w:rPr>
        <w:t>For example, t</w:t>
      </w:r>
      <w:r w:rsidR="00B365B7" w:rsidRPr="002C6BFC">
        <w:rPr>
          <w:bCs/>
          <w:color w:val="002060"/>
          <w:sz w:val="22"/>
          <w:szCs w:val="22"/>
          <w:lang w:val="en-US"/>
        </w:rPr>
        <w:t xml:space="preserve">he asset manager </w:t>
      </w:r>
      <w:r w:rsidR="003F6F13" w:rsidRPr="002C6BFC">
        <w:rPr>
          <w:bCs/>
          <w:color w:val="002060"/>
          <w:sz w:val="22"/>
          <w:szCs w:val="22"/>
          <w:lang w:val="en-US"/>
        </w:rPr>
        <w:t>could</w:t>
      </w:r>
      <w:r w:rsidR="00B365B7" w:rsidRPr="002C6BFC">
        <w:rPr>
          <w:bCs/>
          <w:color w:val="002060"/>
          <w:sz w:val="22"/>
          <w:szCs w:val="22"/>
          <w:lang w:val="en-US"/>
        </w:rPr>
        <w:t xml:space="preserve"> be able to demonstrate that the fund has a better ESG profile than its investment universe / benchmark (</w:t>
      </w:r>
      <w:r w:rsidR="003F6F13" w:rsidRPr="002C6BFC">
        <w:rPr>
          <w:bCs/>
          <w:color w:val="002060"/>
          <w:sz w:val="22"/>
          <w:szCs w:val="22"/>
          <w:lang w:val="en-US"/>
        </w:rPr>
        <w:t xml:space="preserve">e.g. </w:t>
      </w:r>
      <w:r w:rsidR="00B365B7" w:rsidRPr="002C6BFC">
        <w:rPr>
          <w:bCs/>
          <w:color w:val="002060"/>
          <w:sz w:val="22"/>
          <w:szCs w:val="22"/>
          <w:lang w:val="en-US"/>
        </w:rPr>
        <w:t xml:space="preserve">ESG score of the fund versus benchmark, carbon footprint of the fund versus benchmark, or any other ESG KPI relevant for this strategy). In case the fund uses exclusion strategy, the asset manager </w:t>
      </w:r>
      <w:r w:rsidR="003F6F13" w:rsidRPr="002C6BFC">
        <w:rPr>
          <w:bCs/>
          <w:color w:val="002060"/>
          <w:sz w:val="22"/>
          <w:szCs w:val="22"/>
          <w:lang w:val="en-US"/>
        </w:rPr>
        <w:t xml:space="preserve">could </w:t>
      </w:r>
      <w:r w:rsidR="00B365B7" w:rsidRPr="002C6BFC">
        <w:rPr>
          <w:bCs/>
          <w:color w:val="002060"/>
          <w:sz w:val="22"/>
          <w:szCs w:val="22"/>
          <w:lang w:val="en-US"/>
        </w:rPr>
        <w:t>be able to demonstrate that the exclusions are relevant to this strategy and material compared to the investment universe.</w:t>
      </w:r>
    </w:p>
    <w:p w14:paraId="526EE1B4" w14:textId="38317F55" w:rsidR="000418A2" w:rsidRPr="002C6BFC" w:rsidRDefault="000418A2" w:rsidP="000418A2">
      <w:pPr>
        <w:pStyle w:val="Default"/>
        <w:spacing w:after="175"/>
        <w:jc w:val="both"/>
        <w:rPr>
          <w:bCs/>
          <w:color w:val="002060"/>
          <w:sz w:val="22"/>
          <w:szCs w:val="22"/>
          <w:lang w:val="en-US"/>
        </w:rPr>
      </w:pPr>
      <w:r w:rsidRPr="002C6BFC">
        <w:rPr>
          <w:b/>
          <w:color w:val="002060"/>
          <w:sz w:val="22"/>
          <w:szCs w:val="22"/>
          <w:lang w:val="en-US"/>
        </w:rPr>
        <w:t>This approach would be in line with ESMA interpretation of SFDR</w:t>
      </w:r>
      <w:r w:rsidRPr="002C6BFC">
        <w:rPr>
          <w:bCs/>
          <w:color w:val="002060"/>
          <w:sz w:val="22"/>
          <w:szCs w:val="22"/>
          <w:lang w:val="en-US"/>
        </w:rPr>
        <w:t xml:space="preserve">. </w:t>
      </w:r>
      <w:r w:rsidR="00683330" w:rsidRPr="002C6BFC">
        <w:rPr>
          <w:bCs/>
          <w:color w:val="002060"/>
          <w:sz w:val="22"/>
          <w:szCs w:val="22"/>
          <w:lang w:val="en-US"/>
        </w:rPr>
        <w:t xml:space="preserve">Indeed, during the hearing held by </w:t>
      </w:r>
      <w:r w:rsidRPr="002C6BFC">
        <w:rPr>
          <w:bCs/>
          <w:color w:val="002060"/>
          <w:sz w:val="22"/>
          <w:szCs w:val="22"/>
          <w:lang w:val="en-US"/>
        </w:rPr>
        <w:t>ESMA on 23</w:t>
      </w:r>
      <w:r w:rsidRPr="002C6BFC">
        <w:rPr>
          <w:bCs/>
          <w:color w:val="002060"/>
          <w:sz w:val="22"/>
          <w:szCs w:val="22"/>
          <w:vertAlign w:val="superscript"/>
          <w:lang w:val="en-US"/>
        </w:rPr>
        <w:t>rd</w:t>
      </w:r>
      <w:r w:rsidRPr="002C6BFC">
        <w:rPr>
          <w:bCs/>
          <w:color w:val="002060"/>
          <w:sz w:val="22"/>
          <w:szCs w:val="22"/>
          <w:lang w:val="en-US"/>
        </w:rPr>
        <w:t xml:space="preserve"> January</w:t>
      </w:r>
      <w:r w:rsidR="00683330" w:rsidRPr="002C6BFC">
        <w:rPr>
          <w:bCs/>
          <w:color w:val="002060"/>
          <w:sz w:val="22"/>
          <w:szCs w:val="22"/>
          <w:lang w:val="en-US"/>
        </w:rPr>
        <w:t xml:space="preserve">, ESMA indicated that </w:t>
      </w:r>
      <w:r w:rsidRPr="002C6BFC">
        <w:rPr>
          <w:bCs/>
          <w:color w:val="002060"/>
          <w:sz w:val="22"/>
          <w:szCs w:val="22"/>
          <w:lang w:val="en-US"/>
        </w:rPr>
        <w:t xml:space="preserve">E/S characteristics </w:t>
      </w:r>
      <w:r w:rsidR="00683330" w:rsidRPr="002C6BFC">
        <w:rPr>
          <w:bCs/>
          <w:color w:val="002060"/>
          <w:sz w:val="22"/>
          <w:szCs w:val="22"/>
          <w:lang w:val="en-US"/>
        </w:rPr>
        <w:t xml:space="preserve">can refer to </w:t>
      </w:r>
      <w:r w:rsidRPr="002C6BFC">
        <w:rPr>
          <w:bCs/>
          <w:color w:val="002060"/>
          <w:sz w:val="22"/>
          <w:szCs w:val="22"/>
          <w:lang w:val="en-US"/>
        </w:rPr>
        <w:t>the underlying investments (</w:t>
      </w:r>
      <w:proofErr w:type="spellStart"/>
      <w:r w:rsidRPr="002C6BFC">
        <w:rPr>
          <w:bCs/>
          <w:color w:val="002060"/>
          <w:sz w:val="22"/>
          <w:szCs w:val="22"/>
          <w:lang w:val="en-US"/>
        </w:rPr>
        <w:t>eg.</w:t>
      </w:r>
      <w:proofErr w:type="spellEnd"/>
      <w:r w:rsidRPr="002C6BFC">
        <w:rPr>
          <w:bCs/>
          <w:color w:val="002060"/>
          <w:sz w:val="22"/>
          <w:szCs w:val="22"/>
          <w:lang w:val="en-US"/>
        </w:rPr>
        <w:t xml:space="preserve"> investee companies have a net zero target) </w:t>
      </w:r>
      <w:r w:rsidR="00683330" w:rsidRPr="002C6BFC">
        <w:rPr>
          <w:bCs/>
          <w:color w:val="002060"/>
          <w:sz w:val="22"/>
          <w:szCs w:val="22"/>
          <w:lang w:val="en-US"/>
        </w:rPr>
        <w:t>and/</w:t>
      </w:r>
      <w:r w:rsidRPr="002C6BFC">
        <w:rPr>
          <w:bCs/>
          <w:color w:val="002060"/>
          <w:sz w:val="22"/>
          <w:szCs w:val="22"/>
          <w:lang w:val="en-US"/>
        </w:rPr>
        <w:t xml:space="preserve">or </w:t>
      </w:r>
      <w:r w:rsidR="00683330" w:rsidRPr="002C6BFC">
        <w:rPr>
          <w:bCs/>
          <w:color w:val="002060"/>
          <w:sz w:val="22"/>
          <w:szCs w:val="22"/>
          <w:lang w:val="en-US"/>
        </w:rPr>
        <w:t xml:space="preserve">the </w:t>
      </w:r>
      <w:r w:rsidRPr="002C6BFC">
        <w:rPr>
          <w:bCs/>
          <w:color w:val="002060"/>
          <w:sz w:val="22"/>
          <w:szCs w:val="22"/>
          <w:lang w:val="en-US"/>
        </w:rPr>
        <w:t>characteristics of the investment process</w:t>
      </w:r>
      <w:r w:rsidR="00683330" w:rsidRPr="002C6BFC">
        <w:rPr>
          <w:bCs/>
          <w:color w:val="002060"/>
          <w:sz w:val="22"/>
          <w:szCs w:val="22"/>
          <w:lang w:val="en-US"/>
        </w:rPr>
        <w:t xml:space="preserve">. </w:t>
      </w:r>
    </w:p>
    <w:p w14:paraId="7CE3CAB2" w14:textId="36BD2958" w:rsidR="00683330" w:rsidRPr="002C6BFC" w:rsidRDefault="00683330" w:rsidP="000418A2">
      <w:pPr>
        <w:pStyle w:val="Default"/>
        <w:spacing w:after="175"/>
        <w:jc w:val="both"/>
        <w:rPr>
          <w:b/>
          <w:color w:val="002060"/>
          <w:sz w:val="22"/>
          <w:szCs w:val="22"/>
          <w:lang w:val="en-US"/>
        </w:rPr>
      </w:pPr>
      <w:r w:rsidRPr="002C6BFC">
        <w:rPr>
          <w:bCs/>
          <w:color w:val="002060"/>
          <w:sz w:val="22"/>
          <w:szCs w:val="22"/>
          <w:lang w:val="en-US"/>
        </w:rPr>
        <w:t xml:space="preserve">Moreover, </w:t>
      </w:r>
      <w:r w:rsidRPr="002C6BFC">
        <w:rPr>
          <w:b/>
          <w:color w:val="002060"/>
          <w:sz w:val="22"/>
          <w:szCs w:val="22"/>
          <w:lang w:val="en-US"/>
        </w:rPr>
        <w:t xml:space="preserve">the inclusion of a “binding and measurable objective” will tackle criticisms made towards the </w:t>
      </w:r>
      <w:r w:rsidR="00E26AE8" w:rsidRPr="002C6BFC">
        <w:rPr>
          <w:b/>
          <w:color w:val="002060"/>
          <w:sz w:val="22"/>
          <w:szCs w:val="22"/>
          <w:lang w:val="en-US"/>
        </w:rPr>
        <w:t xml:space="preserve">SFDR </w:t>
      </w:r>
      <w:r w:rsidRPr="002C6BFC">
        <w:rPr>
          <w:b/>
          <w:color w:val="002060"/>
          <w:sz w:val="22"/>
          <w:szCs w:val="22"/>
          <w:lang w:val="en-US"/>
        </w:rPr>
        <w:t>definition of “</w:t>
      </w:r>
      <w:r w:rsidR="00E26AE8" w:rsidRPr="002C6BFC">
        <w:rPr>
          <w:b/>
          <w:color w:val="002060"/>
          <w:sz w:val="22"/>
          <w:szCs w:val="22"/>
          <w:lang w:val="en-US"/>
        </w:rPr>
        <w:t xml:space="preserve">promotion of </w:t>
      </w:r>
      <w:r w:rsidRPr="002C6BFC">
        <w:rPr>
          <w:b/>
          <w:color w:val="002060"/>
          <w:sz w:val="22"/>
          <w:szCs w:val="22"/>
          <w:lang w:val="en-US"/>
        </w:rPr>
        <w:t>ESG characteristics”</w:t>
      </w:r>
      <w:r w:rsidR="00E26AE8" w:rsidRPr="002C6BFC">
        <w:rPr>
          <w:b/>
          <w:color w:val="002060"/>
          <w:sz w:val="22"/>
          <w:szCs w:val="22"/>
          <w:lang w:val="en-US"/>
        </w:rPr>
        <w:t xml:space="preserve"> that is very wide.</w:t>
      </w:r>
    </w:p>
    <w:p w14:paraId="11E7D2CA" w14:textId="545E6429" w:rsidR="003307B9" w:rsidRPr="002C6BFC" w:rsidRDefault="00603727" w:rsidP="000418A2">
      <w:pPr>
        <w:pStyle w:val="Default"/>
        <w:spacing w:after="175"/>
        <w:jc w:val="both"/>
        <w:rPr>
          <w:bCs/>
          <w:color w:val="002060"/>
          <w:sz w:val="22"/>
          <w:szCs w:val="22"/>
          <w:lang w:val="en-US"/>
        </w:rPr>
      </w:pPr>
      <w:r w:rsidRPr="002C6BFC">
        <w:rPr>
          <w:bCs/>
          <w:color w:val="002060"/>
          <w:sz w:val="22"/>
          <w:szCs w:val="22"/>
          <w:lang w:val="en-US"/>
        </w:rPr>
        <w:t>Would this approach not be retained by ESMA, a</w:t>
      </w:r>
      <w:r w:rsidR="000E1233" w:rsidRPr="002C6BFC">
        <w:rPr>
          <w:bCs/>
          <w:color w:val="002060"/>
          <w:sz w:val="22"/>
          <w:szCs w:val="22"/>
          <w:lang w:val="en-US"/>
        </w:rPr>
        <w:t xml:space="preserve"> relative approach could also be considered </w:t>
      </w:r>
      <w:r w:rsidR="00F450CA" w:rsidRPr="002C6BFC">
        <w:rPr>
          <w:bCs/>
          <w:color w:val="002060"/>
          <w:sz w:val="22"/>
          <w:szCs w:val="22"/>
          <w:lang w:val="en-US"/>
        </w:rPr>
        <w:t>instead</w:t>
      </w:r>
      <w:r w:rsidR="000E1233" w:rsidRPr="002C6BFC">
        <w:rPr>
          <w:bCs/>
          <w:color w:val="002060"/>
          <w:sz w:val="22"/>
          <w:szCs w:val="22"/>
          <w:lang w:val="en-US"/>
        </w:rPr>
        <w:t xml:space="preserve"> of </w:t>
      </w:r>
      <w:r w:rsidR="00F450CA" w:rsidRPr="002C6BFC">
        <w:rPr>
          <w:bCs/>
          <w:color w:val="002060"/>
          <w:sz w:val="22"/>
          <w:szCs w:val="22"/>
          <w:lang w:val="en-US"/>
        </w:rPr>
        <w:t>an absolute ratio (e.g.</w:t>
      </w:r>
      <w:r w:rsidRPr="002C6BFC">
        <w:rPr>
          <w:bCs/>
          <w:color w:val="002060"/>
          <w:sz w:val="22"/>
          <w:szCs w:val="22"/>
          <w:lang w:val="en-US"/>
        </w:rPr>
        <w:t xml:space="preserve"> ensure that the ESG score of the fund is above its benchmark or its investment universe</w:t>
      </w:r>
      <w:r w:rsidR="00F450CA" w:rsidRPr="002C6BFC">
        <w:rPr>
          <w:bCs/>
          <w:color w:val="002060"/>
          <w:sz w:val="22"/>
          <w:szCs w:val="22"/>
          <w:lang w:val="en-US"/>
        </w:rPr>
        <w:t>)</w:t>
      </w:r>
      <w:r w:rsidRPr="002C6BFC">
        <w:rPr>
          <w:bCs/>
          <w:color w:val="002060"/>
          <w:sz w:val="22"/>
          <w:szCs w:val="22"/>
          <w:lang w:val="en-US"/>
        </w:rPr>
        <w:t>.</w:t>
      </w:r>
    </w:p>
    <w:p w14:paraId="18377B76" w14:textId="6FE4B664" w:rsidR="004610F3" w:rsidRDefault="004610F3" w:rsidP="008B565D">
      <w:pPr>
        <w:pStyle w:val="Default"/>
        <w:spacing w:after="175"/>
        <w:jc w:val="both"/>
        <w:rPr>
          <w:bCs/>
          <w:color w:val="002060"/>
          <w:sz w:val="22"/>
          <w:szCs w:val="22"/>
          <w:lang w:val="en-US"/>
        </w:rPr>
      </w:pPr>
      <w:bookmarkStart w:id="3" w:name="_Hlk125559448"/>
      <w:bookmarkEnd w:id="2"/>
      <w:r>
        <w:rPr>
          <w:bCs/>
          <w:color w:val="002060"/>
          <w:sz w:val="22"/>
          <w:szCs w:val="22"/>
          <w:lang w:val="en-US"/>
        </w:rPr>
        <w:t>The following points should also be taken into consideration:</w:t>
      </w:r>
    </w:p>
    <w:bookmarkEnd w:id="3"/>
    <w:p w14:paraId="749C9223" w14:textId="07DE42C6" w:rsidR="009A0B33" w:rsidRPr="009A0B33" w:rsidRDefault="00E26AE8" w:rsidP="000D2857">
      <w:pPr>
        <w:pStyle w:val="Default"/>
        <w:numPr>
          <w:ilvl w:val="0"/>
          <w:numId w:val="5"/>
        </w:numPr>
        <w:spacing w:after="60"/>
        <w:ind w:hanging="219"/>
        <w:jc w:val="both"/>
        <w:rPr>
          <w:bCs/>
          <w:color w:val="002060"/>
          <w:sz w:val="22"/>
          <w:szCs w:val="22"/>
          <w:lang w:val="en-US"/>
        </w:rPr>
      </w:pPr>
      <w:r>
        <w:rPr>
          <w:bCs/>
          <w:color w:val="002060"/>
          <w:sz w:val="22"/>
          <w:szCs w:val="22"/>
          <w:lang w:val="en-US"/>
        </w:rPr>
        <w:t xml:space="preserve">When it comes </w:t>
      </w:r>
      <w:r w:rsidRPr="00B839EE">
        <w:rPr>
          <w:bCs/>
          <w:color w:val="002060"/>
          <w:sz w:val="22"/>
          <w:szCs w:val="22"/>
          <w:lang w:val="en-US"/>
        </w:rPr>
        <w:t xml:space="preserve">to </w:t>
      </w:r>
      <w:r w:rsidRPr="003A5104">
        <w:rPr>
          <w:b/>
          <w:bCs/>
          <w:color w:val="002060"/>
          <w:sz w:val="22"/>
          <w:szCs w:val="22"/>
          <w:lang w:val="en-US"/>
        </w:rPr>
        <w:t>debt funds and private equity funds</w:t>
      </w:r>
      <w:r w:rsidRPr="00B839EE">
        <w:rPr>
          <w:bCs/>
          <w:color w:val="002060"/>
          <w:sz w:val="22"/>
          <w:szCs w:val="22"/>
          <w:lang w:val="en-US"/>
        </w:rPr>
        <w:t xml:space="preserve">, it should be made clear that the ratio </w:t>
      </w:r>
      <w:r w:rsidR="009F76E8">
        <w:rPr>
          <w:bCs/>
          <w:color w:val="002060"/>
          <w:sz w:val="22"/>
          <w:szCs w:val="22"/>
          <w:lang w:val="en-US"/>
        </w:rPr>
        <w:t>to be</w:t>
      </w:r>
      <w:r w:rsidRPr="00B839EE">
        <w:rPr>
          <w:bCs/>
          <w:color w:val="002060"/>
          <w:sz w:val="22"/>
          <w:szCs w:val="22"/>
          <w:lang w:val="en-US"/>
        </w:rPr>
        <w:t xml:space="preserve"> considered </w:t>
      </w:r>
      <w:r w:rsidR="009F76E8">
        <w:rPr>
          <w:bCs/>
          <w:color w:val="002060"/>
          <w:sz w:val="22"/>
          <w:szCs w:val="22"/>
          <w:lang w:val="en-US"/>
        </w:rPr>
        <w:t xml:space="preserve">for the name is the committed ratio at the end of the </w:t>
      </w:r>
      <w:r w:rsidRPr="00B839EE">
        <w:rPr>
          <w:bCs/>
          <w:color w:val="002060"/>
          <w:sz w:val="22"/>
          <w:szCs w:val="22"/>
          <w:lang w:val="en-US"/>
        </w:rPr>
        <w:t xml:space="preserve">“investment period”. </w:t>
      </w:r>
    </w:p>
    <w:p w14:paraId="136B9F63" w14:textId="7F9489E8" w:rsidR="006711B9" w:rsidRPr="003A5104" w:rsidRDefault="006711B9" w:rsidP="003A5104">
      <w:pPr>
        <w:pStyle w:val="Default"/>
        <w:spacing w:after="60"/>
        <w:jc w:val="both"/>
        <w:rPr>
          <w:rFonts w:asciiTheme="minorHAnsi" w:hAnsiTheme="minorHAnsi" w:cstheme="minorHAnsi"/>
          <w:bCs/>
          <w:color w:val="auto"/>
          <w:sz w:val="22"/>
          <w:szCs w:val="22"/>
          <w:lang w:val="en-GB"/>
        </w:rPr>
      </w:pPr>
    </w:p>
    <w:p w14:paraId="4F8344BB" w14:textId="77777777" w:rsidR="00361964" w:rsidRDefault="00C90833" w:rsidP="00361964">
      <w:pPr>
        <w:pStyle w:val="Default"/>
        <w:numPr>
          <w:ilvl w:val="0"/>
          <w:numId w:val="5"/>
        </w:numPr>
        <w:spacing w:after="60"/>
        <w:ind w:hanging="219"/>
        <w:jc w:val="both"/>
        <w:rPr>
          <w:bCs/>
          <w:color w:val="002060"/>
          <w:sz w:val="22"/>
          <w:szCs w:val="22"/>
          <w:lang w:val="en-US"/>
        </w:rPr>
      </w:pPr>
      <w:r w:rsidRPr="00361964">
        <w:rPr>
          <w:bCs/>
          <w:color w:val="002060"/>
          <w:sz w:val="22"/>
          <w:szCs w:val="22"/>
          <w:lang w:val="en-US"/>
        </w:rPr>
        <w:t>I</w:t>
      </w:r>
      <w:r w:rsidR="0076161C" w:rsidRPr="00361964">
        <w:rPr>
          <w:bCs/>
          <w:color w:val="002060"/>
          <w:sz w:val="22"/>
          <w:szCs w:val="22"/>
          <w:lang w:val="en-US"/>
        </w:rPr>
        <w:t xml:space="preserve">t </w:t>
      </w:r>
      <w:r w:rsidR="002D1D49" w:rsidRPr="00361964">
        <w:rPr>
          <w:bCs/>
          <w:color w:val="002060"/>
          <w:sz w:val="22"/>
          <w:szCs w:val="22"/>
          <w:lang w:val="en-US"/>
        </w:rPr>
        <w:t>should be</w:t>
      </w:r>
      <w:r w:rsidR="0076161C" w:rsidRPr="00361964">
        <w:rPr>
          <w:bCs/>
          <w:color w:val="002060"/>
          <w:sz w:val="22"/>
          <w:szCs w:val="22"/>
          <w:lang w:val="en-US"/>
        </w:rPr>
        <w:t xml:space="preserve"> made clear that </w:t>
      </w:r>
      <w:r w:rsidR="00BC233E" w:rsidRPr="00361964">
        <w:rPr>
          <w:b/>
          <w:bCs/>
          <w:color w:val="002060"/>
          <w:sz w:val="22"/>
          <w:szCs w:val="22"/>
          <w:lang w:val="en-US"/>
        </w:rPr>
        <w:t>indicators</w:t>
      </w:r>
      <w:r w:rsidR="007E2EAD" w:rsidRPr="00361964">
        <w:rPr>
          <w:b/>
          <w:bCs/>
          <w:color w:val="002060"/>
          <w:sz w:val="22"/>
          <w:szCs w:val="22"/>
          <w:lang w:val="en-US"/>
        </w:rPr>
        <w:t xml:space="preserve"> </w:t>
      </w:r>
      <w:r w:rsidR="007E2EAD" w:rsidRPr="00361964">
        <w:rPr>
          <w:bCs/>
          <w:color w:val="002060"/>
          <w:sz w:val="22"/>
          <w:szCs w:val="22"/>
          <w:lang w:val="en-US"/>
        </w:rPr>
        <w:t>on the basis of which the investments have been selected to meet the E/S requirements of the fund</w:t>
      </w:r>
      <w:r w:rsidR="00BC233E" w:rsidRPr="00361964">
        <w:rPr>
          <w:bCs/>
          <w:color w:val="002060"/>
          <w:sz w:val="22"/>
          <w:szCs w:val="22"/>
          <w:lang w:val="en-US"/>
        </w:rPr>
        <w:t xml:space="preserve"> can be </w:t>
      </w:r>
      <w:r w:rsidR="00085E92" w:rsidRPr="00361964">
        <w:rPr>
          <w:b/>
          <w:bCs/>
          <w:color w:val="002060"/>
          <w:sz w:val="22"/>
          <w:szCs w:val="22"/>
          <w:lang w:val="en-US"/>
        </w:rPr>
        <w:t xml:space="preserve">reasonably </w:t>
      </w:r>
      <w:r w:rsidR="00BC233E" w:rsidRPr="00361964">
        <w:rPr>
          <w:b/>
          <w:bCs/>
          <w:color w:val="002060"/>
          <w:sz w:val="22"/>
          <w:szCs w:val="22"/>
          <w:lang w:val="en-US"/>
        </w:rPr>
        <w:t>estimated</w:t>
      </w:r>
      <w:r w:rsidR="00BC233E" w:rsidRPr="00361964">
        <w:rPr>
          <w:bCs/>
          <w:color w:val="002060"/>
          <w:sz w:val="22"/>
          <w:szCs w:val="22"/>
          <w:lang w:val="en-US"/>
        </w:rPr>
        <w:t xml:space="preserve"> </w:t>
      </w:r>
      <w:r w:rsidR="00085E92" w:rsidRPr="00361964">
        <w:rPr>
          <w:bCs/>
          <w:color w:val="002060"/>
          <w:sz w:val="22"/>
          <w:szCs w:val="22"/>
          <w:lang w:val="en-US"/>
        </w:rPr>
        <w:t>data</w:t>
      </w:r>
      <w:r w:rsidR="007E2EAD" w:rsidRPr="00361964">
        <w:rPr>
          <w:bCs/>
          <w:color w:val="002060"/>
          <w:sz w:val="22"/>
          <w:szCs w:val="22"/>
          <w:lang w:val="en-US"/>
        </w:rPr>
        <w:t>,</w:t>
      </w:r>
      <w:r w:rsidR="00085E92" w:rsidRPr="00361964">
        <w:rPr>
          <w:bCs/>
          <w:color w:val="002060"/>
          <w:sz w:val="22"/>
          <w:szCs w:val="22"/>
          <w:lang w:val="en-US"/>
        </w:rPr>
        <w:t xml:space="preserve"> or </w:t>
      </w:r>
      <w:r w:rsidR="007E2EAD" w:rsidRPr="00361964">
        <w:rPr>
          <w:bCs/>
          <w:color w:val="002060"/>
          <w:sz w:val="22"/>
          <w:szCs w:val="22"/>
          <w:lang w:val="en-US"/>
        </w:rPr>
        <w:t>based on estimated data</w:t>
      </w:r>
      <w:r w:rsidR="00085E92" w:rsidRPr="00361964">
        <w:rPr>
          <w:bCs/>
          <w:color w:val="002060"/>
          <w:sz w:val="22"/>
          <w:szCs w:val="22"/>
          <w:lang w:val="en-US"/>
        </w:rPr>
        <w:t xml:space="preserve"> (such as rating</w:t>
      </w:r>
      <w:r w:rsidR="007E2EAD" w:rsidRPr="00361964">
        <w:rPr>
          <w:bCs/>
          <w:color w:val="002060"/>
          <w:sz w:val="22"/>
          <w:szCs w:val="22"/>
          <w:lang w:val="en-US"/>
        </w:rPr>
        <w:t>s</w:t>
      </w:r>
      <w:r w:rsidR="00085E92" w:rsidRPr="00361964">
        <w:rPr>
          <w:bCs/>
          <w:color w:val="002060"/>
          <w:sz w:val="22"/>
          <w:szCs w:val="22"/>
          <w:lang w:val="en-US"/>
        </w:rPr>
        <w:t>)</w:t>
      </w:r>
    </w:p>
    <w:p w14:paraId="79F09E43" w14:textId="77777777" w:rsidR="00361964" w:rsidRPr="00361964" w:rsidRDefault="00361964" w:rsidP="00361964">
      <w:pPr>
        <w:pStyle w:val="Default"/>
        <w:spacing w:after="60"/>
        <w:ind w:left="786"/>
        <w:jc w:val="both"/>
        <w:rPr>
          <w:bCs/>
          <w:color w:val="002060"/>
          <w:sz w:val="22"/>
          <w:szCs w:val="22"/>
          <w:lang w:val="en-US"/>
        </w:rPr>
      </w:pPr>
    </w:p>
    <w:p w14:paraId="21802267" w14:textId="67ACB6B4" w:rsidR="00361964" w:rsidRPr="007E2EAD" w:rsidRDefault="00B839EE" w:rsidP="00361964">
      <w:pPr>
        <w:pStyle w:val="Default"/>
        <w:spacing w:after="175"/>
        <w:ind w:left="786"/>
        <w:jc w:val="both"/>
        <w:rPr>
          <w:bCs/>
          <w:color w:val="808080" w:themeColor="background1" w:themeShade="80"/>
          <w:sz w:val="22"/>
          <w:szCs w:val="22"/>
          <w:lang w:val="en-US"/>
        </w:rPr>
      </w:pPr>
      <w:r w:rsidRPr="00B839EE">
        <w:rPr>
          <w:bCs/>
          <w:color w:val="002060"/>
          <w:sz w:val="22"/>
          <w:szCs w:val="22"/>
          <w:lang w:val="en-US"/>
        </w:rPr>
        <w:t xml:space="preserve">As per guideline § 21, it is important </w:t>
      </w:r>
      <w:r w:rsidR="00671A87">
        <w:rPr>
          <w:bCs/>
          <w:color w:val="002060"/>
          <w:sz w:val="22"/>
          <w:szCs w:val="22"/>
          <w:lang w:val="en-US"/>
        </w:rPr>
        <w:t xml:space="preserve">to clarify </w:t>
      </w:r>
      <w:r w:rsidRPr="00B839EE">
        <w:rPr>
          <w:bCs/>
          <w:color w:val="002060"/>
          <w:sz w:val="22"/>
          <w:szCs w:val="22"/>
          <w:lang w:val="en-US"/>
        </w:rPr>
        <w:t xml:space="preserve">that </w:t>
      </w:r>
      <w:r w:rsidR="00C90833" w:rsidRPr="00B839EE">
        <w:rPr>
          <w:bCs/>
          <w:color w:val="002060"/>
          <w:sz w:val="22"/>
          <w:szCs w:val="22"/>
          <w:lang w:val="en-US"/>
        </w:rPr>
        <w:t xml:space="preserve">the threshold would </w:t>
      </w:r>
      <w:r w:rsidRPr="00B839EE">
        <w:rPr>
          <w:bCs/>
          <w:color w:val="002060"/>
          <w:sz w:val="22"/>
          <w:szCs w:val="22"/>
          <w:lang w:val="en-US"/>
        </w:rPr>
        <w:t>apply in “normal circumstances” and t</w:t>
      </w:r>
      <w:r w:rsidR="00671A87">
        <w:rPr>
          <w:bCs/>
          <w:color w:val="002060"/>
          <w:sz w:val="22"/>
          <w:szCs w:val="22"/>
          <w:lang w:val="en-US"/>
        </w:rPr>
        <w:t>hus</w:t>
      </w:r>
      <w:r w:rsidRPr="00B839EE">
        <w:rPr>
          <w:bCs/>
          <w:color w:val="002060"/>
          <w:sz w:val="22"/>
          <w:szCs w:val="22"/>
          <w:lang w:val="en-US"/>
        </w:rPr>
        <w:t xml:space="preserve"> a “passive breach” process </w:t>
      </w:r>
      <w:r w:rsidR="00671A87">
        <w:rPr>
          <w:bCs/>
          <w:color w:val="002060"/>
          <w:sz w:val="22"/>
          <w:szCs w:val="22"/>
          <w:lang w:val="en-US"/>
        </w:rPr>
        <w:t xml:space="preserve">would be applicable </w:t>
      </w:r>
      <w:r w:rsidRPr="00B839EE">
        <w:rPr>
          <w:bCs/>
          <w:color w:val="002060"/>
          <w:sz w:val="22"/>
          <w:szCs w:val="22"/>
          <w:lang w:val="en-US"/>
        </w:rPr>
        <w:t xml:space="preserve">otherwise. </w:t>
      </w:r>
      <w:r w:rsidR="00671A87">
        <w:rPr>
          <w:bCs/>
          <w:color w:val="002060"/>
          <w:sz w:val="22"/>
          <w:szCs w:val="22"/>
          <w:lang w:val="en-US"/>
        </w:rPr>
        <w:t xml:space="preserve">This is in line with </w:t>
      </w:r>
      <w:r>
        <w:rPr>
          <w:bCs/>
          <w:color w:val="002060"/>
          <w:sz w:val="22"/>
          <w:szCs w:val="22"/>
          <w:lang w:val="en-US"/>
        </w:rPr>
        <w:t xml:space="preserve">any other </w:t>
      </w:r>
      <w:r w:rsidR="00671A87">
        <w:rPr>
          <w:bCs/>
          <w:color w:val="002060"/>
          <w:sz w:val="22"/>
          <w:szCs w:val="22"/>
          <w:lang w:val="en-US"/>
        </w:rPr>
        <w:t xml:space="preserve">regulatory </w:t>
      </w:r>
      <w:r>
        <w:rPr>
          <w:bCs/>
          <w:color w:val="002060"/>
          <w:sz w:val="22"/>
          <w:szCs w:val="22"/>
          <w:lang w:val="en-US"/>
        </w:rPr>
        <w:t xml:space="preserve">ratio </w:t>
      </w:r>
      <w:r w:rsidR="00671A87">
        <w:rPr>
          <w:bCs/>
          <w:color w:val="002060"/>
          <w:sz w:val="22"/>
          <w:szCs w:val="22"/>
          <w:lang w:val="en-US"/>
        </w:rPr>
        <w:t>applicable</w:t>
      </w:r>
      <w:r>
        <w:rPr>
          <w:bCs/>
          <w:color w:val="002060"/>
          <w:sz w:val="22"/>
          <w:szCs w:val="22"/>
          <w:lang w:val="en-US"/>
        </w:rPr>
        <w:t xml:space="preserve"> to UCITS and AIFs.</w:t>
      </w:r>
    </w:p>
    <w:p w14:paraId="4BB48729" w14:textId="408D198E" w:rsidR="00C90833" w:rsidRPr="00671A87" w:rsidRDefault="00AE31EF" w:rsidP="004610F3">
      <w:pPr>
        <w:pStyle w:val="Default"/>
        <w:numPr>
          <w:ilvl w:val="0"/>
          <w:numId w:val="28"/>
        </w:numPr>
        <w:spacing w:after="175"/>
        <w:jc w:val="both"/>
        <w:rPr>
          <w:bCs/>
          <w:color w:val="002060"/>
          <w:sz w:val="22"/>
          <w:szCs w:val="22"/>
          <w:lang w:val="en-US"/>
        </w:rPr>
      </w:pPr>
      <w:r w:rsidRPr="00AE31EF">
        <w:rPr>
          <w:bCs/>
          <w:color w:val="002060"/>
          <w:sz w:val="22"/>
          <w:szCs w:val="22"/>
          <w:lang w:val="en-US"/>
        </w:rPr>
        <w:t>In addition, guidelines</w:t>
      </w:r>
      <w:r>
        <w:rPr>
          <w:bCs/>
          <w:color w:val="002060"/>
          <w:sz w:val="22"/>
          <w:szCs w:val="22"/>
          <w:u w:val="single"/>
          <w:lang w:val="en-US"/>
        </w:rPr>
        <w:t xml:space="preserve"> </w:t>
      </w:r>
      <w:r>
        <w:rPr>
          <w:bCs/>
          <w:color w:val="002060"/>
          <w:sz w:val="22"/>
          <w:szCs w:val="22"/>
          <w:lang w:val="en-US"/>
        </w:rPr>
        <w:t>s</w:t>
      </w:r>
      <w:r w:rsidR="00C90833" w:rsidRPr="00671A87">
        <w:rPr>
          <w:bCs/>
          <w:color w:val="002060"/>
          <w:sz w:val="22"/>
          <w:szCs w:val="22"/>
          <w:lang w:val="en-US"/>
        </w:rPr>
        <w:t xml:space="preserve">hould define </w:t>
      </w:r>
      <w:r w:rsidR="00C90833" w:rsidRPr="00671A87">
        <w:rPr>
          <w:b/>
          <w:bCs/>
          <w:color w:val="002060"/>
          <w:sz w:val="22"/>
          <w:szCs w:val="22"/>
          <w:lang w:val="en-US"/>
        </w:rPr>
        <w:t>what an “ESG-related” name means</w:t>
      </w:r>
      <w:r w:rsidR="00C90833" w:rsidRPr="00671A87">
        <w:rPr>
          <w:bCs/>
          <w:color w:val="002060"/>
          <w:sz w:val="22"/>
          <w:szCs w:val="22"/>
          <w:lang w:val="en-US"/>
        </w:rPr>
        <w:t xml:space="preserve">. To this extent we propose the following : </w:t>
      </w:r>
    </w:p>
    <w:p w14:paraId="67B1FD25" w14:textId="6D5C3695" w:rsidR="00361964" w:rsidRPr="00671A87" w:rsidRDefault="00361964" w:rsidP="00361964">
      <w:pPr>
        <w:pStyle w:val="Default"/>
        <w:numPr>
          <w:ilvl w:val="0"/>
          <w:numId w:val="5"/>
        </w:numPr>
        <w:spacing w:after="175"/>
        <w:ind w:hanging="219"/>
        <w:jc w:val="both"/>
        <w:rPr>
          <w:bCs/>
          <w:color w:val="002060"/>
          <w:sz w:val="22"/>
          <w:szCs w:val="22"/>
          <w:lang w:val="en-US"/>
        </w:rPr>
      </w:pPr>
      <w:r w:rsidRPr="00671A87">
        <w:rPr>
          <w:bCs/>
          <w:color w:val="002060"/>
          <w:sz w:val="22"/>
          <w:szCs w:val="22"/>
          <w:lang w:val="en-US"/>
        </w:rPr>
        <w:t xml:space="preserve">By default an “ESG-related” word would allude to any environmental and/or social and/or governance theme in the name other than “sustainable” [translations in MS’ language to be agreed upon] or “impact”. </w:t>
      </w:r>
    </w:p>
    <w:p w14:paraId="0B2A1322" w14:textId="77777777" w:rsidR="00AE31EF" w:rsidRDefault="00E26AE8" w:rsidP="00AE31EF">
      <w:pPr>
        <w:pStyle w:val="Default"/>
        <w:numPr>
          <w:ilvl w:val="0"/>
          <w:numId w:val="5"/>
        </w:numPr>
        <w:spacing w:after="175"/>
        <w:ind w:hanging="219"/>
        <w:jc w:val="both"/>
        <w:rPr>
          <w:b/>
          <w:color w:val="002060"/>
          <w:sz w:val="22"/>
          <w:szCs w:val="22"/>
          <w:lang w:val="en-US"/>
        </w:rPr>
      </w:pPr>
      <w:r w:rsidRPr="00671A87">
        <w:rPr>
          <w:bCs/>
          <w:color w:val="002060"/>
          <w:sz w:val="22"/>
          <w:szCs w:val="22"/>
          <w:lang w:val="en-US"/>
        </w:rPr>
        <w:t xml:space="preserve">Moreover, in order </w:t>
      </w:r>
      <w:r w:rsidRPr="003A5104">
        <w:rPr>
          <w:b/>
          <w:color w:val="002060"/>
          <w:sz w:val="22"/>
          <w:szCs w:val="22"/>
          <w:lang w:val="en-US"/>
        </w:rPr>
        <w:t>to avoid discrepancies between NCAs</w:t>
      </w:r>
      <w:r w:rsidR="0019331A" w:rsidRPr="003A5104">
        <w:rPr>
          <w:b/>
          <w:color w:val="002060"/>
          <w:sz w:val="22"/>
          <w:szCs w:val="22"/>
          <w:lang w:val="en-US"/>
        </w:rPr>
        <w:t>’</w:t>
      </w:r>
      <w:r w:rsidRPr="003A5104">
        <w:rPr>
          <w:b/>
          <w:color w:val="002060"/>
          <w:sz w:val="22"/>
          <w:szCs w:val="22"/>
          <w:lang w:val="en-US"/>
        </w:rPr>
        <w:t xml:space="preserve"> interpretations and to allow</w:t>
      </w:r>
      <w:r w:rsidR="0019331A" w:rsidRPr="003A5104">
        <w:rPr>
          <w:b/>
          <w:color w:val="002060"/>
          <w:sz w:val="22"/>
          <w:szCs w:val="22"/>
          <w:lang w:val="en-US"/>
        </w:rPr>
        <w:t xml:space="preserve"> a</w:t>
      </w:r>
      <w:r w:rsidRPr="003A5104">
        <w:rPr>
          <w:b/>
          <w:color w:val="002060"/>
          <w:sz w:val="22"/>
          <w:szCs w:val="22"/>
          <w:lang w:val="en-US"/>
        </w:rPr>
        <w:t xml:space="preserve"> level playing field in cross-border distribution</w:t>
      </w:r>
      <w:r w:rsidR="0019331A" w:rsidRPr="00671A87">
        <w:rPr>
          <w:bCs/>
          <w:color w:val="002060"/>
          <w:sz w:val="22"/>
          <w:szCs w:val="22"/>
          <w:lang w:val="en-US"/>
        </w:rPr>
        <w:t>, we believe</w:t>
      </w:r>
      <w:r w:rsidRPr="00671A87">
        <w:rPr>
          <w:bCs/>
          <w:color w:val="002060"/>
          <w:sz w:val="22"/>
          <w:szCs w:val="22"/>
          <w:lang w:val="en-US"/>
        </w:rPr>
        <w:t xml:space="preserve"> </w:t>
      </w:r>
      <w:r w:rsidRPr="003A5104">
        <w:rPr>
          <w:b/>
          <w:color w:val="002060"/>
          <w:sz w:val="22"/>
          <w:szCs w:val="22"/>
          <w:lang w:val="en-US"/>
        </w:rPr>
        <w:t>that ESMA should publish a list of “ESG related” terms</w:t>
      </w:r>
      <w:r w:rsidR="0019331A" w:rsidRPr="00671A87">
        <w:rPr>
          <w:b/>
          <w:color w:val="002060"/>
          <w:sz w:val="22"/>
          <w:szCs w:val="22"/>
          <w:lang w:val="en-US"/>
        </w:rPr>
        <w:t>,</w:t>
      </w:r>
      <w:r w:rsidRPr="003A5104">
        <w:rPr>
          <w:b/>
          <w:color w:val="002060"/>
          <w:sz w:val="22"/>
          <w:szCs w:val="22"/>
          <w:lang w:val="en-US"/>
        </w:rPr>
        <w:t xml:space="preserve"> even</w:t>
      </w:r>
      <w:r w:rsidR="0019331A" w:rsidRPr="00671A87">
        <w:rPr>
          <w:b/>
          <w:color w:val="002060"/>
          <w:sz w:val="22"/>
          <w:szCs w:val="22"/>
          <w:lang w:val="en-US"/>
        </w:rPr>
        <w:t xml:space="preserve"> </w:t>
      </w:r>
      <w:r w:rsidRPr="003A5104">
        <w:rPr>
          <w:b/>
          <w:color w:val="002060"/>
          <w:sz w:val="22"/>
          <w:szCs w:val="22"/>
          <w:lang w:val="en-US"/>
        </w:rPr>
        <w:t>if no</w:t>
      </w:r>
      <w:r w:rsidR="0019331A" w:rsidRPr="00671A87">
        <w:rPr>
          <w:b/>
          <w:color w:val="002060"/>
          <w:sz w:val="22"/>
          <w:szCs w:val="22"/>
          <w:lang w:val="en-US"/>
        </w:rPr>
        <w:t>n-</w:t>
      </w:r>
      <w:r w:rsidRPr="003A5104">
        <w:rPr>
          <w:b/>
          <w:color w:val="002060"/>
          <w:sz w:val="22"/>
          <w:szCs w:val="22"/>
          <w:lang w:val="en-US"/>
        </w:rPr>
        <w:t xml:space="preserve">exhaustive. </w:t>
      </w:r>
    </w:p>
    <w:p w14:paraId="0BDC189A" w14:textId="0466411C" w:rsidR="009E656E" w:rsidRPr="004311AF" w:rsidRDefault="009E656E" w:rsidP="006926E9">
      <w:pPr>
        <w:pStyle w:val="Default"/>
        <w:spacing w:after="175"/>
        <w:jc w:val="both"/>
        <w:rPr>
          <w:sz w:val="22"/>
          <w:szCs w:val="22"/>
          <w:lang w:val="en-GB"/>
        </w:rPr>
      </w:pPr>
    </w:p>
    <w:p w14:paraId="2021AA36" w14:textId="77777777" w:rsidR="00FB6E58" w:rsidRDefault="00FB6E58" w:rsidP="006926E9">
      <w:pPr>
        <w:pStyle w:val="Default"/>
        <w:spacing w:after="175"/>
        <w:jc w:val="both"/>
        <w:rPr>
          <w:b/>
          <w:bCs/>
          <w:sz w:val="22"/>
          <w:szCs w:val="22"/>
          <w:lang w:val="en-US"/>
        </w:rPr>
      </w:pPr>
      <w:r w:rsidRPr="00FB6E58">
        <w:rPr>
          <w:b/>
          <w:bCs/>
          <w:sz w:val="22"/>
          <w:szCs w:val="22"/>
          <w:lang w:val="en-US"/>
        </w:rPr>
        <w:t>Q3. 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468B8F31" w14:textId="337064C9" w:rsidR="000545BE" w:rsidRPr="004610F3" w:rsidRDefault="000545BE" w:rsidP="006926E9">
      <w:pPr>
        <w:pStyle w:val="Default"/>
        <w:spacing w:after="175"/>
        <w:jc w:val="both"/>
        <w:rPr>
          <w:bCs/>
          <w:color w:val="002060"/>
          <w:sz w:val="22"/>
          <w:szCs w:val="22"/>
          <w:lang w:val="en-US"/>
        </w:rPr>
      </w:pPr>
      <w:r w:rsidRPr="004311AF">
        <w:rPr>
          <w:bCs/>
          <w:color w:val="002060"/>
          <w:sz w:val="22"/>
          <w:szCs w:val="22"/>
          <w:lang w:val="en-US"/>
        </w:rPr>
        <w:t xml:space="preserve">First, </w:t>
      </w:r>
      <w:r w:rsidR="003A169D" w:rsidRPr="004311AF">
        <w:rPr>
          <w:bCs/>
          <w:color w:val="002060"/>
          <w:sz w:val="22"/>
          <w:szCs w:val="22"/>
          <w:lang w:val="en-US"/>
        </w:rPr>
        <w:t xml:space="preserve">as a general comment, </w:t>
      </w:r>
      <w:r w:rsidRPr="002C6BFC">
        <w:rPr>
          <w:b/>
          <w:color w:val="002060"/>
          <w:sz w:val="22"/>
          <w:szCs w:val="22"/>
          <w:lang w:val="en-US"/>
        </w:rPr>
        <w:t xml:space="preserve">we </w:t>
      </w:r>
      <w:r w:rsidR="004311AF" w:rsidRPr="002C6BFC">
        <w:rPr>
          <w:b/>
          <w:color w:val="002060"/>
          <w:sz w:val="22"/>
          <w:szCs w:val="22"/>
          <w:lang w:val="en-US"/>
        </w:rPr>
        <w:t>do not agree with the introduction of a minimum proportion of sustainable investment to be able to use “sustainable” related terms.</w:t>
      </w:r>
      <w:r w:rsidR="004311AF" w:rsidRPr="004311AF">
        <w:rPr>
          <w:bCs/>
          <w:color w:val="002060"/>
          <w:sz w:val="22"/>
          <w:szCs w:val="22"/>
          <w:lang w:val="en-US"/>
        </w:rPr>
        <w:t xml:space="preserve"> </w:t>
      </w:r>
      <w:r w:rsidR="001D4146" w:rsidRPr="004610F3">
        <w:rPr>
          <w:bCs/>
          <w:color w:val="002060"/>
          <w:sz w:val="22"/>
          <w:szCs w:val="22"/>
          <w:lang w:val="en-US"/>
        </w:rPr>
        <w:t>Indeed, an ESG strategy is</w:t>
      </w:r>
      <w:r w:rsidR="00671A87" w:rsidRPr="004610F3">
        <w:rPr>
          <w:bCs/>
          <w:color w:val="002060"/>
          <w:sz w:val="22"/>
          <w:szCs w:val="22"/>
          <w:lang w:val="en-US"/>
        </w:rPr>
        <w:t xml:space="preserve"> meant to be « sustainable ». In</w:t>
      </w:r>
      <w:r w:rsidR="001D4146" w:rsidRPr="004610F3">
        <w:rPr>
          <w:bCs/>
          <w:color w:val="002060"/>
          <w:sz w:val="22"/>
          <w:szCs w:val="22"/>
          <w:lang w:val="en-US"/>
        </w:rPr>
        <w:t xml:space="preserve"> addition, </w:t>
      </w:r>
      <w:r w:rsidR="004610F3">
        <w:rPr>
          <w:bCs/>
          <w:color w:val="002060"/>
          <w:sz w:val="22"/>
          <w:szCs w:val="22"/>
          <w:lang w:val="en-US"/>
        </w:rPr>
        <w:t>MiFID</w:t>
      </w:r>
      <w:r w:rsidR="001D4146" w:rsidRPr="004610F3">
        <w:rPr>
          <w:bCs/>
          <w:color w:val="002060"/>
          <w:sz w:val="22"/>
          <w:szCs w:val="22"/>
          <w:lang w:val="en-US"/>
        </w:rPr>
        <w:t xml:space="preserve"> </w:t>
      </w:r>
      <w:r w:rsidR="00494193" w:rsidRPr="004610F3">
        <w:rPr>
          <w:bCs/>
          <w:color w:val="002060"/>
          <w:sz w:val="22"/>
          <w:szCs w:val="22"/>
          <w:lang w:val="en-US"/>
        </w:rPr>
        <w:t>deals with</w:t>
      </w:r>
      <w:r w:rsidR="001D4146" w:rsidRPr="004610F3">
        <w:rPr>
          <w:bCs/>
          <w:color w:val="002060"/>
          <w:sz w:val="22"/>
          <w:szCs w:val="22"/>
          <w:lang w:val="en-US"/>
        </w:rPr>
        <w:t xml:space="preserve"> « sustainab</w:t>
      </w:r>
      <w:r w:rsidR="003A169D" w:rsidRPr="004610F3">
        <w:rPr>
          <w:bCs/>
          <w:color w:val="002060"/>
          <w:sz w:val="22"/>
          <w:szCs w:val="22"/>
          <w:lang w:val="en-US"/>
        </w:rPr>
        <w:t>ility</w:t>
      </w:r>
      <w:r w:rsidR="001D4146" w:rsidRPr="004610F3">
        <w:rPr>
          <w:bCs/>
          <w:color w:val="002060"/>
          <w:sz w:val="22"/>
          <w:szCs w:val="22"/>
          <w:lang w:val="en-US"/>
        </w:rPr>
        <w:t xml:space="preserve"> preferences »</w:t>
      </w:r>
      <w:r w:rsidR="00494193" w:rsidRPr="004610F3">
        <w:rPr>
          <w:bCs/>
          <w:color w:val="002060"/>
          <w:sz w:val="22"/>
          <w:szCs w:val="22"/>
          <w:lang w:val="en-US"/>
        </w:rPr>
        <w:t xml:space="preserve"> which is another concept (based on taxonomy, SFDR SI and PAI)</w:t>
      </w:r>
      <w:r w:rsidR="001D4146" w:rsidRPr="004610F3">
        <w:rPr>
          <w:bCs/>
          <w:color w:val="002060"/>
          <w:sz w:val="22"/>
          <w:szCs w:val="22"/>
          <w:lang w:val="en-US"/>
        </w:rPr>
        <w:t>. It might bring even more confusion to link the b</w:t>
      </w:r>
      <w:r w:rsidR="003A169D" w:rsidRPr="004610F3">
        <w:rPr>
          <w:bCs/>
          <w:color w:val="002060"/>
          <w:sz w:val="22"/>
          <w:szCs w:val="22"/>
          <w:lang w:val="en-US"/>
        </w:rPr>
        <w:t>r</w:t>
      </w:r>
      <w:r w:rsidR="001D4146" w:rsidRPr="004610F3">
        <w:rPr>
          <w:bCs/>
          <w:color w:val="002060"/>
          <w:sz w:val="22"/>
          <w:szCs w:val="22"/>
          <w:lang w:val="en-US"/>
        </w:rPr>
        <w:t>oad “sustainable” term to the SFDR fund applicable SI concept. Which is the level playing field with a sustainable EMTN? Or with a regulated “sustainable and solidarity development deposit account” (in France)?</w:t>
      </w:r>
    </w:p>
    <w:p w14:paraId="1E5F0604" w14:textId="5AE513B3" w:rsidR="009A0B33" w:rsidRDefault="00494193" w:rsidP="009A0B33">
      <w:pPr>
        <w:pStyle w:val="Default"/>
        <w:spacing w:after="175"/>
        <w:jc w:val="both"/>
        <w:rPr>
          <w:bCs/>
          <w:color w:val="002060"/>
          <w:sz w:val="22"/>
          <w:szCs w:val="22"/>
          <w:lang w:val="en-US"/>
        </w:rPr>
      </w:pPr>
      <w:r>
        <w:rPr>
          <w:bCs/>
          <w:color w:val="002060"/>
          <w:sz w:val="22"/>
          <w:szCs w:val="22"/>
          <w:lang w:val="en-US"/>
        </w:rPr>
        <w:lastRenderedPageBreak/>
        <w:t>Second</w:t>
      </w:r>
      <w:r w:rsidR="001D4146">
        <w:rPr>
          <w:bCs/>
          <w:color w:val="002060"/>
          <w:sz w:val="22"/>
          <w:szCs w:val="22"/>
          <w:lang w:val="en-US"/>
        </w:rPr>
        <w:t>, a</w:t>
      </w:r>
      <w:r w:rsidR="00100A0E">
        <w:rPr>
          <w:bCs/>
          <w:color w:val="002060"/>
          <w:sz w:val="22"/>
          <w:szCs w:val="22"/>
          <w:lang w:val="en-US"/>
        </w:rPr>
        <w:t>s</w:t>
      </w:r>
      <w:r w:rsidR="0025130D">
        <w:rPr>
          <w:bCs/>
          <w:color w:val="002060"/>
          <w:sz w:val="22"/>
          <w:szCs w:val="22"/>
          <w:lang w:val="en-US"/>
        </w:rPr>
        <w:t xml:space="preserve"> already explained in our previous answers, </w:t>
      </w:r>
      <w:r w:rsidR="0025130D" w:rsidRPr="002C6BFC">
        <w:rPr>
          <w:b/>
          <w:color w:val="002060"/>
          <w:sz w:val="22"/>
          <w:szCs w:val="22"/>
          <w:lang w:val="en-US"/>
        </w:rPr>
        <w:t>at this stage, the definition of SI is unclear and lead</w:t>
      </w:r>
      <w:r w:rsidR="001D4146" w:rsidRPr="002C6BFC">
        <w:rPr>
          <w:b/>
          <w:color w:val="002060"/>
          <w:sz w:val="22"/>
          <w:szCs w:val="22"/>
          <w:lang w:val="en-US"/>
        </w:rPr>
        <w:t>s</w:t>
      </w:r>
      <w:r w:rsidR="0025130D" w:rsidRPr="002C6BFC">
        <w:rPr>
          <w:b/>
          <w:color w:val="002060"/>
          <w:sz w:val="22"/>
          <w:szCs w:val="22"/>
          <w:lang w:val="en-US"/>
        </w:rPr>
        <w:t xml:space="preserve"> to quite different interpretations and methodologies in the market</w:t>
      </w:r>
      <w:r w:rsidR="0025130D">
        <w:rPr>
          <w:bCs/>
          <w:color w:val="002060"/>
          <w:sz w:val="22"/>
          <w:szCs w:val="22"/>
          <w:lang w:val="en-US"/>
        </w:rPr>
        <w:t xml:space="preserve">. </w:t>
      </w:r>
      <w:r w:rsidR="00112B3D">
        <w:rPr>
          <w:bCs/>
          <w:color w:val="002060"/>
          <w:sz w:val="22"/>
          <w:szCs w:val="22"/>
          <w:lang w:val="en-US"/>
        </w:rPr>
        <w:t xml:space="preserve">We hence believe that </w:t>
      </w:r>
      <w:r w:rsidR="00112B3D" w:rsidRPr="002C6BFC">
        <w:rPr>
          <w:b/>
          <w:color w:val="002060"/>
          <w:sz w:val="22"/>
          <w:szCs w:val="22"/>
          <w:lang w:val="en-US"/>
        </w:rPr>
        <w:t xml:space="preserve">as </w:t>
      </w:r>
      <w:r w:rsidR="00100A0E" w:rsidRPr="002C6BFC">
        <w:rPr>
          <w:b/>
          <w:color w:val="002060"/>
          <w:sz w:val="22"/>
          <w:szCs w:val="22"/>
          <w:lang w:val="en-US"/>
        </w:rPr>
        <w:t xml:space="preserve">long as the regulator has not </w:t>
      </w:r>
      <w:r w:rsidR="005E1977" w:rsidRPr="002C6BFC">
        <w:rPr>
          <w:b/>
          <w:i/>
          <w:color w:val="002060"/>
          <w:sz w:val="22"/>
          <w:szCs w:val="22"/>
          <w:lang w:val="en-US"/>
        </w:rPr>
        <w:t>precisely</w:t>
      </w:r>
      <w:r w:rsidR="005E1977" w:rsidRPr="002C6BFC">
        <w:rPr>
          <w:b/>
          <w:color w:val="002060"/>
          <w:sz w:val="22"/>
          <w:szCs w:val="22"/>
          <w:lang w:val="en-US"/>
        </w:rPr>
        <w:t xml:space="preserve"> </w:t>
      </w:r>
      <w:r w:rsidR="00100A0E" w:rsidRPr="002C6BFC">
        <w:rPr>
          <w:b/>
          <w:color w:val="002060"/>
          <w:sz w:val="22"/>
          <w:szCs w:val="22"/>
          <w:lang w:val="en-US"/>
        </w:rPr>
        <w:t xml:space="preserve">clarified the assessment of a sustainable investment, we </w:t>
      </w:r>
      <w:r w:rsidR="002D7951" w:rsidRPr="002C6BFC">
        <w:rPr>
          <w:b/>
          <w:color w:val="002060"/>
          <w:sz w:val="22"/>
          <w:szCs w:val="22"/>
          <w:lang w:val="en-US"/>
        </w:rPr>
        <w:t>strongly disagree</w:t>
      </w:r>
      <w:r w:rsidR="00100A0E" w:rsidRPr="002C6BFC">
        <w:rPr>
          <w:b/>
          <w:color w:val="002060"/>
          <w:sz w:val="22"/>
          <w:szCs w:val="22"/>
          <w:lang w:val="en-US"/>
        </w:rPr>
        <w:t xml:space="preserve"> </w:t>
      </w:r>
      <w:r w:rsidR="00C23796" w:rsidRPr="002C6BFC">
        <w:rPr>
          <w:b/>
          <w:color w:val="002060"/>
          <w:sz w:val="22"/>
          <w:szCs w:val="22"/>
          <w:lang w:val="en-US"/>
        </w:rPr>
        <w:t xml:space="preserve">to include such a threshold based on </w:t>
      </w:r>
      <w:r w:rsidR="00100A0E" w:rsidRPr="002C6BFC">
        <w:rPr>
          <w:b/>
          <w:color w:val="002060"/>
          <w:sz w:val="22"/>
          <w:szCs w:val="22"/>
          <w:lang w:val="en-US"/>
        </w:rPr>
        <w:t>a concept subject to many interpretations</w:t>
      </w:r>
      <w:r w:rsidR="000545BE">
        <w:rPr>
          <w:bCs/>
          <w:color w:val="002060"/>
          <w:sz w:val="22"/>
          <w:szCs w:val="22"/>
          <w:lang w:val="en-US"/>
        </w:rPr>
        <w:t>. Neither do we agree</w:t>
      </w:r>
      <w:r w:rsidR="00100A0E">
        <w:rPr>
          <w:bCs/>
          <w:color w:val="002060"/>
          <w:sz w:val="22"/>
          <w:szCs w:val="22"/>
          <w:lang w:val="en-US"/>
        </w:rPr>
        <w:t xml:space="preserve"> with a level (50%) that i</w:t>
      </w:r>
      <w:r w:rsidR="001D4146">
        <w:rPr>
          <w:bCs/>
          <w:color w:val="002060"/>
          <w:sz w:val="22"/>
          <w:szCs w:val="22"/>
          <w:lang w:val="en-US"/>
        </w:rPr>
        <w:t>t may be seen as</w:t>
      </w:r>
      <w:r w:rsidR="00100A0E">
        <w:rPr>
          <w:bCs/>
          <w:color w:val="002060"/>
          <w:sz w:val="22"/>
          <w:szCs w:val="22"/>
          <w:lang w:val="en-US"/>
        </w:rPr>
        <w:t xml:space="preserve"> “arbitrary”</w:t>
      </w:r>
      <w:r w:rsidR="001113E5">
        <w:rPr>
          <w:bCs/>
          <w:color w:val="002060"/>
          <w:sz w:val="22"/>
          <w:szCs w:val="22"/>
          <w:lang w:val="en-US"/>
        </w:rPr>
        <w:t xml:space="preserve"> in the absence of comparison due to the lack of a common definition.</w:t>
      </w:r>
      <w:r w:rsidR="00C465EE">
        <w:rPr>
          <w:bCs/>
          <w:color w:val="002060"/>
          <w:sz w:val="22"/>
          <w:szCs w:val="22"/>
          <w:lang w:val="en-US"/>
        </w:rPr>
        <w:t xml:space="preserve"> </w:t>
      </w:r>
      <w:r w:rsidR="001D4146">
        <w:rPr>
          <w:bCs/>
          <w:color w:val="002060"/>
          <w:sz w:val="22"/>
          <w:szCs w:val="22"/>
          <w:lang w:val="en-US"/>
        </w:rPr>
        <w:t>I</w:t>
      </w:r>
      <w:r w:rsidR="00100A0E">
        <w:rPr>
          <w:bCs/>
          <w:color w:val="002060"/>
          <w:sz w:val="22"/>
          <w:szCs w:val="22"/>
          <w:lang w:val="en-US"/>
        </w:rPr>
        <w:t>ncluding such a threshold would amplify market fragmentation, end investors’ confusion and possibly the risk of greenwashing.</w:t>
      </w:r>
    </w:p>
    <w:p w14:paraId="0D2CA1A9" w14:textId="193A165B" w:rsidR="00D73A4F" w:rsidRDefault="001D4146" w:rsidP="00D73A4F">
      <w:pPr>
        <w:pStyle w:val="Default"/>
        <w:spacing w:after="175"/>
        <w:jc w:val="both"/>
        <w:rPr>
          <w:bCs/>
          <w:color w:val="002060"/>
          <w:sz w:val="22"/>
          <w:szCs w:val="22"/>
          <w:lang w:val="en-US"/>
        </w:rPr>
      </w:pPr>
      <w:r w:rsidRPr="003A5104">
        <w:rPr>
          <w:bCs/>
          <w:color w:val="002060"/>
          <w:sz w:val="22"/>
          <w:szCs w:val="22"/>
          <w:lang w:val="en-US"/>
        </w:rPr>
        <w:t xml:space="preserve">If ESMA still wants to proceed, </w:t>
      </w:r>
      <w:r w:rsidR="00814AD8">
        <w:rPr>
          <w:bCs/>
          <w:color w:val="002060"/>
          <w:sz w:val="22"/>
          <w:szCs w:val="22"/>
          <w:lang w:val="en-US"/>
        </w:rPr>
        <w:t>GROUPAMA AM</w:t>
      </w:r>
      <w:r w:rsidRPr="003A5104">
        <w:rPr>
          <w:bCs/>
          <w:color w:val="002060"/>
          <w:sz w:val="22"/>
          <w:szCs w:val="22"/>
          <w:lang w:val="en-US"/>
        </w:rPr>
        <w:t xml:space="preserve"> suggests an</w:t>
      </w:r>
      <w:r w:rsidR="00833A1E" w:rsidRPr="00410728">
        <w:rPr>
          <w:bCs/>
          <w:color w:val="002060"/>
          <w:sz w:val="22"/>
          <w:szCs w:val="22"/>
          <w:lang w:val="en-US"/>
        </w:rPr>
        <w:t xml:space="preserve"> </w:t>
      </w:r>
      <w:r w:rsidR="00833A1E" w:rsidRPr="00D73A4F">
        <w:rPr>
          <w:bCs/>
          <w:color w:val="002060"/>
          <w:sz w:val="22"/>
          <w:szCs w:val="22"/>
          <w:lang w:val="en-US"/>
        </w:rPr>
        <w:t>alternative</w:t>
      </w:r>
      <w:r>
        <w:rPr>
          <w:bCs/>
          <w:color w:val="002060"/>
          <w:sz w:val="22"/>
          <w:szCs w:val="22"/>
          <w:lang w:val="en-US"/>
        </w:rPr>
        <w:t xml:space="preserve"> that may solve the definition problem:</w:t>
      </w:r>
      <w:r w:rsidR="00833A1E" w:rsidRPr="00D73A4F">
        <w:rPr>
          <w:bCs/>
          <w:color w:val="002060"/>
          <w:sz w:val="22"/>
          <w:szCs w:val="22"/>
          <w:lang w:val="en-US"/>
        </w:rPr>
        <w:t xml:space="preserve"> measure the SI proportion of the fund </w:t>
      </w:r>
      <w:r w:rsidR="00833A1E" w:rsidRPr="00D73A4F">
        <w:rPr>
          <w:b/>
          <w:bCs/>
          <w:color w:val="002060"/>
          <w:sz w:val="22"/>
          <w:szCs w:val="22"/>
          <w:lang w:val="en-US"/>
        </w:rPr>
        <w:t>relative to</w:t>
      </w:r>
      <w:r w:rsidR="00833A1E" w:rsidRPr="00D73A4F">
        <w:rPr>
          <w:bCs/>
          <w:color w:val="002060"/>
          <w:sz w:val="22"/>
          <w:szCs w:val="22"/>
          <w:lang w:val="en-US"/>
        </w:rPr>
        <w:t xml:space="preserve"> </w:t>
      </w:r>
      <w:r w:rsidR="00722D64" w:rsidRPr="00D73A4F">
        <w:rPr>
          <w:bCs/>
          <w:color w:val="002060"/>
          <w:sz w:val="22"/>
          <w:szCs w:val="22"/>
          <w:lang w:val="en-US"/>
        </w:rPr>
        <w:t xml:space="preserve">the SI proportion of </w:t>
      </w:r>
      <w:r w:rsidR="00833A1E" w:rsidRPr="00D73A4F">
        <w:rPr>
          <w:b/>
          <w:bCs/>
          <w:color w:val="002060"/>
          <w:sz w:val="22"/>
          <w:szCs w:val="22"/>
          <w:lang w:val="en-US"/>
        </w:rPr>
        <w:t>its benchmark</w:t>
      </w:r>
      <w:r w:rsidR="00494193">
        <w:rPr>
          <w:b/>
          <w:bCs/>
          <w:color w:val="002060"/>
          <w:sz w:val="22"/>
          <w:szCs w:val="22"/>
          <w:lang w:val="en-US"/>
        </w:rPr>
        <w:t xml:space="preserve"> or its </w:t>
      </w:r>
      <w:r w:rsidR="000328FA">
        <w:rPr>
          <w:b/>
          <w:bCs/>
          <w:color w:val="002060"/>
          <w:sz w:val="22"/>
          <w:szCs w:val="22"/>
          <w:lang w:val="en-US"/>
        </w:rPr>
        <w:t>investment</w:t>
      </w:r>
      <w:r w:rsidR="003A169D">
        <w:rPr>
          <w:b/>
          <w:bCs/>
          <w:color w:val="002060"/>
          <w:sz w:val="22"/>
          <w:szCs w:val="22"/>
          <w:lang w:val="en-US"/>
        </w:rPr>
        <w:t xml:space="preserve"> universe</w:t>
      </w:r>
      <w:r w:rsidR="00833A1E" w:rsidRPr="00D73A4F">
        <w:rPr>
          <w:bCs/>
          <w:color w:val="002060"/>
          <w:sz w:val="22"/>
          <w:szCs w:val="22"/>
          <w:lang w:val="en-US"/>
        </w:rPr>
        <w:t>, using the same assessment methodology</w:t>
      </w:r>
      <w:r w:rsidR="00722D64" w:rsidRPr="00D73A4F">
        <w:rPr>
          <w:bCs/>
          <w:color w:val="002060"/>
          <w:sz w:val="22"/>
          <w:szCs w:val="22"/>
          <w:lang w:val="en-US"/>
        </w:rPr>
        <w:t xml:space="preserve">. </w:t>
      </w:r>
      <w:r w:rsidR="002D7951" w:rsidRPr="00D73A4F">
        <w:rPr>
          <w:bCs/>
          <w:color w:val="002060"/>
          <w:sz w:val="22"/>
          <w:szCs w:val="22"/>
          <w:lang w:val="en-US"/>
        </w:rPr>
        <w:t xml:space="preserve">In such a case, the word “sustainable” could be used provided that the fund commits to have a % SI </w:t>
      </w:r>
      <w:r w:rsidR="002D7951" w:rsidRPr="00494193">
        <w:rPr>
          <w:bCs/>
          <w:color w:val="002060"/>
          <w:sz w:val="22"/>
          <w:szCs w:val="22"/>
          <w:lang w:val="en-US"/>
        </w:rPr>
        <w:t>exceeding</w:t>
      </w:r>
      <w:r w:rsidR="00A74F40" w:rsidRPr="00494193">
        <w:rPr>
          <w:bCs/>
          <w:color w:val="002060"/>
          <w:sz w:val="22"/>
          <w:szCs w:val="22"/>
          <w:lang w:val="en-US"/>
        </w:rPr>
        <w:t xml:space="preserve"> significantly</w:t>
      </w:r>
      <w:r w:rsidR="002D7951" w:rsidRPr="00494193">
        <w:rPr>
          <w:bCs/>
          <w:color w:val="002060"/>
          <w:sz w:val="22"/>
          <w:szCs w:val="22"/>
          <w:lang w:val="en-US"/>
        </w:rPr>
        <w:t xml:space="preserve"> </w:t>
      </w:r>
      <w:r w:rsidR="002D7951" w:rsidRPr="00D73A4F">
        <w:rPr>
          <w:bCs/>
          <w:color w:val="002060"/>
          <w:sz w:val="22"/>
          <w:szCs w:val="22"/>
          <w:lang w:val="en-US"/>
        </w:rPr>
        <w:t xml:space="preserve">the % SI of </w:t>
      </w:r>
      <w:r w:rsidR="001113E5" w:rsidRPr="00D73A4F">
        <w:rPr>
          <w:bCs/>
          <w:color w:val="002060"/>
          <w:sz w:val="22"/>
          <w:szCs w:val="22"/>
          <w:lang w:val="en-US"/>
        </w:rPr>
        <w:t>its</w:t>
      </w:r>
      <w:r w:rsidR="002D7951" w:rsidRPr="00D73A4F">
        <w:rPr>
          <w:bCs/>
          <w:color w:val="002060"/>
          <w:sz w:val="22"/>
          <w:szCs w:val="22"/>
          <w:lang w:val="en-US"/>
        </w:rPr>
        <w:t xml:space="preserve"> </w:t>
      </w:r>
      <w:r w:rsidR="00494193">
        <w:rPr>
          <w:bCs/>
          <w:color w:val="002060"/>
          <w:sz w:val="22"/>
          <w:szCs w:val="22"/>
          <w:lang w:val="en-US"/>
        </w:rPr>
        <w:t>investment universe</w:t>
      </w:r>
      <w:r w:rsidR="00BA5BC9">
        <w:rPr>
          <w:bCs/>
          <w:color w:val="002060"/>
          <w:sz w:val="22"/>
          <w:szCs w:val="22"/>
          <w:lang w:val="en-US"/>
        </w:rPr>
        <w:t xml:space="preserve"> (but in no case as high as 50%)</w:t>
      </w:r>
      <w:r w:rsidR="002D7951" w:rsidRPr="00D73A4F">
        <w:rPr>
          <w:bCs/>
          <w:color w:val="002060"/>
          <w:sz w:val="22"/>
          <w:szCs w:val="22"/>
          <w:lang w:val="en-US"/>
        </w:rPr>
        <w:t>.</w:t>
      </w:r>
    </w:p>
    <w:p w14:paraId="6FB2A571" w14:textId="47DBD013" w:rsidR="000F2232" w:rsidRPr="003A5104" w:rsidRDefault="000F2232" w:rsidP="00D73A4F">
      <w:pPr>
        <w:pStyle w:val="Default"/>
        <w:spacing w:after="175"/>
        <w:jc w:val="both"/>
        <w:rPr>
          <w:bCs/>
          <w:color w:val="002060"/>
          <w:sz w:val="22"/>
          <w:szCs w:val="22"/>
          <w:lang w:val="en-US"/>
        </w:rPr>
      </w:pPr>
      <w:r w:rsidRPr="003A5104">
        <w:rPr>
          <w:bCs/>
          <w:color w:val="002060"/>
          <w:sz w:val="22"/>
          <w:szCs w:val="22"/>
          <w:lang w:val="en-US"/>
        </w:rPr>
        <w:t>For funds</w:t>
      </w:r>
      <w:r w:rsidR="00494193">
        <w:rPr>
          <w:bCs/>
          <w:color w:val="002060"/>
          <w:sz w:val="22"/>
          <w:szCs w:val="22"/>
          <w:lang w:val="en-US"/>
        </w:rPr>
        <w:t xml:space="preserve"> without a reference benchmark or investment universe</w:t>
      </w:r>
      <w:r w:rsidRPr="003A5104">
        <w:rPr>
          <w:bCs/>
          <w:color w:val="002060"/>
          <w:sz w:val="22"/>
          <w:szCs w:val="22"/>
          <w:lang w:val="en-US"/>
        </w:rPr>
        <w:t xml:space="preserve">, the fund could identify a proxy </w:t>
      </w:r>
      <w:r w:rsidR="00494193">
        <w:rPr>
          <w:bCs/>
          <w:color w:val="002060"/>
          <w:sz w:val="22"/>
          <w:szCs w:val="22"/>
          <w:lang w:val="en-US"/>
        </w:rPr>
        <w:t>reference</w:t>
      </w:r>
      <w:r w:rsidRPr="003A5104">
        <w:rPr>
          <w:bCs/>
          <w:color w:val="002060"/>
          <w:sz w:val="22"/>
          <w:szCs w:val="22"/>
          <w:lang w:val="en-US"/>
        </w:rPr>
        <w:t xml:space="preserve"> to be in line with this requirement. It should be made clear that such option</w:t>
      </w:r>
      <w:r w:rsidR="00494193">
        <w:rPr>
          <w:bCs/>
          <w:color w:val="002060"/>
          <w:sz w:val="22"/>
          <w:szCs w:val="22"/>
          <w:lang w:val="en-US"/>
        </w:rPr>
        <w:t xml:space="preserve"> would apply as long as </w:t>
      </w:r>
      <w:r w:rsidR="0001680A" w:rsidRPr="003A5104">
        <w:rPr>
          <w:bCs/>
          <w:color w:val="002060"/>
          <w:sz w:val="22"/>
          <w:szCs w:val="22"/>
          <w:lang w:val="en-US"/>
        </w:rPr>
        <w:t xml:space="preserve">the European Commission </w:t>
      </w:r>
      <w:r w:rsidR="00494193">
        <w:rPr>
          <w:bCs/>
          <w:color w:val="002060"/>
          <w:sz w:val="22"/>
          <w:szCs w:val="22"/>
          <w:lang w:val="en-US"/>
        </w:rPr>
        <w:t xml:space="preserve">has not </w:t>
      </w:r>
      <w:r w:rsidR="00494193" w:rsidRPr="00494193">
        <w:rPr>
          <w:bCs/>
          <w:i/>
          <w:color w:val="002060"/>
          <w:sz w:val="22"/>
          <w:szCs w:val="22"/>
          <w:lang w:val="en-US"/>
        </w:rPr>
        <w:t xml:space="preserve">precisely </w:t>
      </w:r>
      <w:r w:rsidR="00494193">
        <w:rPr>
          <w:bCs/>
          <w:color w:val="002060"/>
          <w:sz w:val="22"/>
          <w:szCs w:val="22"/>
          <w:lang w:val="en-US"/>
        </w:rPr>
        <w:t>clarified</w:t>
      </w:r>
      <w:r w:rsidR="0001680A" w:rsidRPr="003A5104">
        <w:rPr>
          <w:bCs/>
          <w:color w:val="002060"/>
          <w:sz w:val="22"/>
          <w:szCs w:val="22"/>
          <w:lang w:val="en-US"/>
        </w:rPr>
        <w:t xml:space="preserve"> the definition of “SI”.</w:t>
      </w:r>
    </w:p>
    <w:p w14:paraId="6D2016B6" w14:textId="5808368F" w:rsidR="00F93D8A" w:rsidRPr="003A5104" w:rsidRDefault="00F93D8A" w:rsidP="00D73A4F">
      <w:pPr>
        <w:pStyle w:val="Default"/>
        <w:spacing w:after="175"/>
        <w:jc w:val="both"/>
        <w:rPr>
          <w:bCs/>
          <w:color w:val="002060"/>
          <w:sz w:val="22"/>
          <w:szCs w:val="22"/>
          <w:lang w:val="en-US"/>
        </w:rPr>
      </w:pPr>
      <w:r w:rsidRPr="004311AF">
        <w:rPr>
          <w:bCs/>
          <w:color w:val="002060"/>
          <w:sz w:val="22"/>
          <w:szCs w:val="22"/>
          <w:lang w:val="en-US"/>
        </w:rPr>
        <w:t xml:space="preserve">For the avoidance of any doubts, </w:t>
      </w:r>
      <w:r w:rsidR="00E9250C" w:rsidRPr="004311AF">
        <w:rPr>
          <w:bCs/>
          <w:color w:val="002060"/>
          <w:sz w:val="22"/>
          <w:szCs w:val="22"/>
          <w:lang w:val="en-US"/>
        </w:rPr>
        <w:t>t</w:t>
      </w:r>
      <w:r w:rsidRPr="004311AF">
        <w:rPr>
          <w:bCs/>
          <w:color w:val="002060"/>
          <w:sz w:val="22"/>
          <w:szCs w:val="22"/>
          <w:lang w:val="en-US"/>
        </w:rPr>
        <w:t>he invest</w:t>
      </w:r>
      <w:r w:rsidR="005019A8" w:rsidRPr="004311AF">
        <w:rPr>
          <w:bCs/>
          <w:color w:val="002060"/>
          <w:sz w:val="22"/>
          <w:szCs w:val="22"/>
          <w:lang w:val="en-US"/>
        </w:rPr>
        <w:t>ment</w:t>
      </w:r>
      <w:r w:rsidRPr="004311AF">
        <w:rPr>
          <w:bCs/>
          <w:color w:val="002060"/>
          <w:sz w:val="22"/>
          <w:szCs w:val="22"/>
          <w:lang w:val="en-US"/>
        </w:rPr>
        <w:t xml:space="preserve"> universe </w:t>
      </w:r>
      <w:r w:rsidR="00E9250C" w:rsidRPr="004311AF">
        <w:rPr>
          <w:bCs/>
          <w:color w:val="002060"/>
          <w:sz w:val="22"/>
          <w:szCs w:val="22"/>
          <w:lang w:val="en-US"/>
        </w:rPr>
        <w:t xml:space="preserve">should be </w:t>
      </w:r>
      <w:r w:rsidRPr="004311AF">
        <w:rPr>
          <w:bCs/>
          <w:color w:val="002060"/>
          <w:sz w:val="22"/>
          <w:szCs w:val="22"/>
          <w:lang w:val="en-US"/>
        </w:rPr>
        <w:t>clearly defined in the fund’s prospectus.</w:t>
      </w:r>
    </w:p>
    <w:p w14:paraId="06A1957F" w14:textId="6A0FEEEE" w:rsidR="002D7951" w:rsidRDefault="001113E5" w:rsidP="00722D64">
      <w:pPr>
        <w:pStyle w:val="Default"/>
        <w:spacing w:after="175"/>
        <w:jc w:val="both"/>
        <w:rPr>
          <w:bCs/>
          <w:color w:val="002060"/>
          <w:sz w:val="22"/>
          <w:szCs w:val="22"/>
          <w:lang w:val="en-US"/>
        </w:rPr>
      </w:pPr>
      <w:r>
        <w:rPr>
          <w:bCs/>
          <w:color w:val="002060"/>
          <w:sz w:val="22"/>
          <w:szCs w:val="22"/>
          <w:lang w:val="en-US"/>
        </w:rPr>
        <w:t>In any</w:t>
      </w:r>
      <w:r w:rsidR="00C73B10">
        <w:rPr>
          <w:bCs/>
          <w:color w:val="002060"/>
          <w:sz w:val="22"/>
          <w:szCs w:val="22"/>
          <w:lang w:val="en-US"/>
        </w:rPr>
        <w:t xml:space="preserve"> </w:t>
      </w:r>
      <w:r>
        <w:rPr>
          <w:bCs/>
          <w:color w:val="002060"/>
          <w:sz w:val="22"/>
          <w:szCs w:val="22"/>
          <w:lang w:val="en-US"/>
        </w:rPr>
        <w:t>case</w:t>
      </w:r>
      <w:r w:rsidR="005A52EB">
        <w:rPr>
          <w:bCs/>
          <w:color w:val="002060"/>
          <w:sz w:val="22"/>
          <w:szCs w:val="22"/>
          <w:lang w:val="en-US"/>
        </w:rPr>
        <w:t>, should a SI threshold be set</w:t>
      </w:r>
      <w:r>
        <w:rPr>
          <w:bCs/>
          <w:color w:val="002060"/>
          <w:sz w:val="22"/>
          <w:szCs w:val="22"/>
          <w:lang w:val="en-US"/>
        </w:rPr>
        <w:t xml:space="preserve"> (in absolute after a common SI definition is determined by the EC</w:t>
      </w:r>
      <w:r w:rsidR="001E4AF1">
        <w:rPr>
          <w:bCs/>
          <w:color w:val="002060"/>
          <w:sz w:val="22"/>
          <w:szCs w:val="22"/>
          <w:lang w:val="en-US"/>
        </w:rPr>
        <w:t>,</w:t>
      </w:r>
      <w:r>
        <w:rPr>
          <w:bCs/>
          <w:color w:val="002060"/>
          <w:sz w:val="22"/>
          <w:szCs w:val="22"/>
          <w:lang w:val="en-US"/>
        </w:rPr>
        <w:t xml:space="preserve"> or in relative terms)</w:t>
      </w:r>
      <w:r w:rsidR="005A52EB">
        <w:rPr>
          <w:bCs/>
          <w:color w:val="002060"/>
          <w:sz w:val="22"/>
          <w:szCs w:val="22"/>
          <w:lang w:val="en-US"/>
        </w:rPr>
        <w:t>, the same provisions as in our response in Q2 would apply:</w:t>
      </w:r>
    </w:p>
    <w:p w14:paraId="5920A41E" w14:textId="310E758E" w:rsidR="005A52EB" w:rsidRPr="003A5104" w:rsidRDefault="005A52EB" w:rsidP="009C0558">
      <w:pPr>
        <w:pStyle w:val="Default"/>
        <w:numPr>
          <w:ilvl w:val="0"/>
          <w:numId w:val="9"/>
        </w:numPr>
        <w:spacing w:after="175"/>
        <w:ind w:left="426" w:hanging="426"/>
        <w:jc w:val="both"/>
        <w:rPr>
          <w:bCs/>
          <w:color w:val="002060"/>
          <w:sz w:val="22"/>
          <w:szCs w:val="22"/>
          <w:lang w:val="en-GB"/>
        </w:rPr>
      </w:pPr>
      <w:r w:rsidRPr="003A5104">
        <w:rPr>
          <w:bCs/>
          <w:color w:val="002060"/>
          <w:sz w:val="22"/>
          <w:szCs w:val="22"/>
          <w:lang w:val="en-GB"/>
        </w:rPr>
        <w:t xml:space="preserve">clarity is needed </w:t>
      </w:r>
      <w:r w:rsidR="007D288C">
        <w:rPr>
          <w:bCs/>
          <w:color w:val="002060"/>
          <w:sz w:val="22"/>
          <w:szCs w:val="22"/>
          <w:lang w:val="en-GB"/>
        </w:rPr>
        <w:t>o</w:t>
      </w:r>
      <w:r w:rsidR="00F93D8A" w:rsidRPr="003A5104">
        <w:rPr>
          <w:bCs/>
          <w:color w:val="002060"/>
          <w:sz w:val="22"/>
          <w:szCs w:val="22"/>
          <w:lang w:val="en-GB"/>
        </w:rPr>
        <w:t>n the calcula</w:t>
      </w:r>
      <w:r w:rsidR="00F93D8A">
        <w:rPr>
          <w:bCs/>
          <w:color w:val="002060"/>
          <w:sz w:val="22"/>
          <w:szCs w:val="22"/>
          <w:lang w:val="en-GB"/>
        </w:rPr>
        <w:t>tion of the ratio (in line with comments provided in Q2 with regards cash and derivatives</w:t>
      </w:r>
      <w:r w:rsidR="007D288C">
        <w:rPr>
          <w:bCs/>
          <w:color w:val="002060"/>
          <w:sz w:val="22"/>
          <w:szCs w:val="22"/>
          <w:lang w:val="en-GB"/>
        </w:rPr>
        <w:t>)</w:t>
      </w:r>
      <w:r w:rsidR="00F93D8A">
        <w:rPr>
          <w:bCs/>
          <w:color w:val="002060"/>
          <w:sz w:val="22"/>
          <w:szCs w:val="22"/>
          <w:lang w:val="en-GB"/>
        </w:rPr>
        <w:t>.</w:t>
      </w:r>
      <w:r w:rsidR="000328FA" w:rsidRPr="000328FA" w:rsidDel="000328FA">
        <w:rPr>
          <w:bCs/>
          <w:color w:val="FF0000"/>
          <w:sz w:val="22"/>
          <w:szCs w:val="22"/>
          <w:lang w:val="en-GB"/>
        </w:rPr>
        <w:t xml:space="preserve"> </w:t>
      </w:r>
    </w:p>
    <w:p w14:paraId="5444E9BD" w14:textId="4450BE95" w:rsidR="00C465EE" w:rsidRDefault="00C465EE" w:rsidP="009C0558">
      <w:pPr>
        <w:pStyle w:val="Default"/>
        <w:numPr>
          <w:ilvl w:val="0"/>
          <w:numId w:val="9"/>
        </w:numPr>
        <w:spacing w:after="175"/>
        <w:ind w:left="426" w:hanging="426"/>
        <w:jc w:val="both"/>
        <w:rPr>
          <w:bCs/>
          <w:color w:val="002060"/>
          <w:sz w:val="22"/>
          <w:szCs w:val="22"/>
          <w:lang w:val="en-US"/>
        </w:rPr>
      </w:pPr>
      <w:r>
        <w:rPr>
          <w:bCs/>
          <w:color w:val="002060"/>
          <w:sz w:val="22"/>
          <w:szCs w:val="22"/>
          <w:lang w:val="en-US"/>
        </w:rPr>
        <w:t>the level of the threshold would need to be assessed</w:t>
      </w:r>
      <w:r w:rsidR="001113E5">
        <w:rPr>
          <w:bCs/>
          <w:color w:val="002060"/>
          <w:sz w:val="22"/>
          <w:szCs w:val="22"/>
          <w:lang w:val="en-US"/>
        </w:rPr>
        <w:t xml:space="preserve"> based upon a common SI definition and the “sustainability” of the real economy.</w:t>
      </w:r>
    </w:p>
    <w:p w14:paraId="68AC2A3A" w14:textId="193B75FC" w:rsidR="004311AF" w:rsidRPr="002C6BFC" w:rsidRDefault="009D7305" w:rsidP="004311AF">
      <w:pPr>
        <w:pStyle w:val="Default"/>
        <w:spacing w:after="175"/>
        <w:jc w:val="both"/>
        <w:rPr>
          <w:b/>
          <w:color w:val="002060"/>
          <w:sz w:val="22"/>
          <w:szCs w:val="22"/>
          <w:lang w:val="en-US"/>
        </w:rPr>
      </w:pPr>
      <w:r w:rsidRPr="002C6BFC">
        <w:rPr>
          <w:b/>
          <w:color w:val="002060"/>
          <w:sz w:val="22"/>
          <w:szCs w:val="22"/>
          <w:lang w:val="en-US"/>
        </w:rPr>
        <w:t>As a conclusion, we would like to reiterate our concerns about setting a threshold on a notion that is not clearly defined by the regulation.</w:t>
      </w:r>
    </w:p>
    <w:p w14:paraId="4F32F632" w14:textId="77777777" w:rsidR="008014EE" w:rsidRPr="005A52EB" w:rsidRDefault="008014EE" w:rsidP="008014EE">
      <w:pPr>
        <w:pStyle w:val="Default"/>
        <w:spacing w:after="175"/>
        <w:ind w:left="426"/>
        <w:jc w:val="both"/>
        <w:rPr>
          <w:bCs/>
          <w:color w:val="002060"/>
          <w:sz w:val="22"/>
          <w:szCs w:val="22"/>
          <w:lang w:val="en-US"/>
        </w:rPr>
      </w:pPr>
    </w:p>
    <w:p w14:paraId="79BC6AA3" w14:textId="77777777" w:rsidR="00FB6E58" w:rsidRPr="00FB6E58" w:rsidRDefault="00FB6E58" w:rsidP="006926E9">
      <w:pPr>
        <w:pStyle w:val="Default"/>
        <w:spacing w:after="175"/>
        <w:jc w:val="both"/>
        <w:rPr>
          <w:sz w:val="22"/>
          <w:szCs w:val="22"/>
          <w:lang w:val="en-US"/>
        </w:rPr>
      </w:pPr>
      <w:r w:rsidRPr="00FB6E58">
        <w:rPr>
          <w:b/>
          <w:bCs/>
          <w:sz w:val="22"/>
          <w:szCs w:val="22"/>
          <w:lang w:val="en-US"/>
        </w:rPr>
        <w:t>Q4. Do you think that there are alternative ways to construct the threshold mechanism? If yes, please explain your alternative proposal.</w:t>
      </w:r>
    </w:p>
    <w:p w14:paraId="6F38D830" w14:textId="4DA41DCE" w:rsidR="008014EE" w:rsidRDefault="008014EE" w:rsidP="008229BE">
      <w:pPr>
        <w:pStyle w:val="Default"/>
        <w:spacing w:after="175"/>
        <w:jc w:val="both"/>
        <w:rPr>
          <w:bCs/>
          <w:color w:val="002060"/>
          <w:sz w:val="22"/>
          <w:szCs w:val="22"/>
          <w:lang w:val="en-US"/>
        </w:rPr>
      </w:pPr>
      <w:r>
        <w:rPr>
          <w:bCs/>
          <w:color w:val="002060"/>
          <w:sz w:val="22"/>
          <w:szCs w:val="22"/>
          <w:lang w:val="en-US"/>
        </w:rPr>
        <w:t xml:space="preserve">Please refer to our answer to Q2 for the “ESG” threshold and </w:t>
      </w:r>
      <w:r w:rsidR="001D5C44">
        <w:rPr>
          <w:bCs/>
          <w:color w:val="002060"/>
          <w:sz w:val="22"/>
          <w:szCs w:val="22"/>
          <w:lang w:val="en-US"/>
        </w:rPr>
        <w:t>alternative proposals of clarification</w:t>
      </w:r>
    </w:p>
    <w:p w14:paraId="4C53FB41" w14:textId="131E56E6" w:rsidR="000545BE" w:rsidRPr="008229BE" w:rsidRDefault="004A37D4" w:rsidP="008229BE">
      <w:pPr>
        <w:pStyle w:val="Default"/>
        <w:spacing w:after="175"/>
        <w:jc w:val="both"/>
        <w:rPr>
          <w:bCs/>
          <w:color w:val="002060"/>
          <w:sz w:val="22"/>
          <w:szCs w:val="22"/>
          <w:lang w:val="en-US"/>
        </w:rPr>
      </w:pPr>
      <w:r w:rsidRPr="008229BE">
        <w:rPr>
          <w:bCs/>
          <w:color w:val="002060"/>
          <w:sz w:val="22"/>
          <w:szCs w:val="22"/>
          <w:lang w:val="en-US"/>
        </w:rPr>
        <w:t xml:space="preserve">Please refer to </w:t>
      </w:r>
      <w:r w:rsidR="001E4AF1" w:rsidRPr="008229BE">
        <w:rPr>
          <w:bCs/>
          <w:color w:val="002060"/>
          <w:sz w:val="22"/>
          <w:szCs w:val="22"/>
          <w:lang w:val="en-US"/>
        </w:rPr>
        <w:t xml:space="preserve">our answer to </w:t>
      </w:r>
      <w:r w:rsidRPr="008229BE">
        <w:rPr>
          <w:bCs/>
          <w:color w:val="002060"/>
          <w:sz w:val="22"/>
          <w:szCs w:val="22"/>
          <w:lang w:val="en-US"/>
        </w:rPr>
        <w:t>Q3</w:t>
      </w:r>
      <w:r w:rsidR="001E4AF1" w:rsidRPr="008229BE">
        <w:rPr>
          <w:bCs/>
          <w:color w:val="002060"/>
          <w:sz w:val="22"/>
          <w:szCs w:val="22"/>
          <w:lang w:val="en-US"/>
        </w:rPr>
        <w:t xml:space="preserve"> for the “SI” threshold alternative approach (</w:t>
      </w:r>
      <w:r w:rsidR="008014EE">
        <w:rPr>
          <w:bCs/>
          <w:color w:val="002060"/>
          <w:sz w:val="22"/>
          <w:szCs w:val="22"/>
          <w:lang w:val="en-US"/>
        </w:rPr>
        <w:t xml:space="preserve">relative ratio instead of absolute ratio, </w:t>
      </w:r>
      <w:r w:rsidR="001E4AF1" w:rsidRPr="008229BE">
        <w:rPr>
          <w:bCs/>
          <w:color w:val="002060"/>
          <w:sz w:val="22"/>
          <w:szCs w:val="22"/>
          <w:lang w:val="en-US"/>
        </w:rPr>
        <w:t xml:space="preserve">with the </w:t>
      </w:r>
      <w:r w:rsidR="008014EE">
        <w:rPr>
          <w:bCs/>
          <w:color w:val="002060"/>
          <w:sz w:val="22"/>
          <w:szCs w:val="22"/>
          <w:lang w:val="en-US"/>
        </w:rPr>
        <w:t>investment universe</w:t>
      </w:r>
      <w:r w:rsidR="001E4AF1" w:rsidRPr="008229BE">
        <w:rPr>
          <w:bCs/>
          <w:color w:val="002060"/>
          <w:sz w:val="22"/>
          <w:szCs w:val="22"/>
          <w:lang w:val="en-US"/>
        </w:rPr>
        <w:t>)</w:t>
      </w:r>
      <w:r w:rsidR="00F93D8A">
        <w:rPr>
          <w:bCs/>
          <w:color w:val="002060"/>
          <w:sz w:val="22"/>
          <w:szCs w:val="22"/>
          <w:lang w:val="en-US"/>
        </w:rPr>
        <w:t>.</w:t>
      </w:r>
    </w:p>
    <w:p w14:paraId="3D92908B" w14:textId="77777777" w:rsidR="009E656E" w:rsidRPr="003A5104" w:rsidRDefault="009E656E" w:rsidP="006926E9">
      <w:pPr>
        <w:pStyle w:val="Default"/>
        <w:spacing w:after="175"/>
        <w:jc w:val="both"/>
        <w:rPr>
          <w:b/>
          <w:bCs/>
          <w:sz w:val="22"/>
          <w:szCs w:val="22"/>
          <w:lang w:val="en-GB"/>
        </w:rPr>
      </w:pPr>
    </w:p>
    <w:p w14:paraId="376D6A9E" w14:textId="77777777" w:rsidR="00FB6E58" w:rsidRDefault="00FB6E58" w:rsidP="006926E9">
      <w:pPr>
        <w:pStyle w:val="Default"/>
        <w:spacing w:after="175"/>
        <w:jc w:val="both"/>
        <w:rPr>
          <w:b/>
          <w:bCs/>
          <w:sz w:val="22"/>
          <w:szCs w:val="22"/>
          <w:lang w:val="en-US"/>
        </w:rPr>
      </w:pPr>
      <w:r w:rsidRPr="00FB6E58">
        <w:rPr>
          <w:b/>
          <w:bCs/>
          <w:sz w:val="22"/>
          <w:szCs w:val="22"/>
          <w:lang w:val="en-US"/>
        </w:rPr>
        <w:t>Q5. Do you think that there are other ways than the proposed thresholds to achieve the supervisory aim of ensuring that ESG or sustainability-related names of funds are aligned with their investment characteristics and objectives? If yes, please explain your alternative proposal.</w:t>
      </w:r>
    </w:p>
    <w:p w14:paraId="6170B76A" w14:textId="79BD5EE8" w:rsidR="001D5C44" w:rsidRDefault="001D5C44" w:rsidP="000328FA">
      <w:pPr>
        <w:pStyle w:val="Default"/>
        <w:spacing w:after="175"/>
        <w:jc w:val="both"/>
        <w:rPr>
          <w:bCs/>
          <w:color w:val="002060"/>
          <w:sz w:val="22"/>
          <w:szCs w:val="22"/>
          <w:lang w:val="en-US"/>
        </w:rPr>
      </w:pPr>
      <w:r>
        <w:rPr>
          <w:bCs/>
          <w:color w:val="002060"/>
          <w:sz w:val="22"/>
          <w:szCs w:val="22"/>
          <w:lang w:val="en-GB"/>
        </w:rPr>
        <w:t xml:space="preserve">We believe that </w:t>
      </w:r>
      <w:r>
        <w:rPr>
          <w:bCs/>
          <w:color w:val="002060"/>
          <w:sz w:val="22"/>
          <w:szCs w:val="22"/>
          <w:lang w:val="en-US"/>
        </w:rPr>
        <w:t>t</w:t>
      </w:r>
      <w:r w:rsidRPr="007D288C">
        <w:rPr>
          <w:bCs/>
          <w:color w:val="002060"/>
          <w:sz w:val="22"/>
          <w:szCs w:val="22"/>
          <w:lang w:val="en-US"/>
        </w:rPr>
        <w:t>aking into account the assets</w:t>
      </w:r>
      <w:r w:rsidR="009F0209">
        <w:rPr>
          <w:bCs/>
          <w:color w:val="002060"/>
          <w:sz w:val="22"/>
          <w:szCs w:val="22"/>
          <w:lang w:val="en-US"/>
        </w:rPr>
        <w:t xml:space="preserve"> covered by a non</w:t>
      </w:r>
      <w:r w:rsidR="00E9250C">
        <w:rPr>
          <w:bCs/>
          <w:color w:val="002060"/>
          <w:sz w:val="22"/>
          <w:szCs w:val="22"/>
          <w:lang w:val="en-US"/>
        </w:rPr>
        <w:t>-</w:t>
      </w:r>
      <w:r w:rsidR="009F0209">
        <w:rPr>
          <w:bCs/>
          <w:color w:val="002060"/>
          <w:sz w:val="22"/>
          <w:szCs w:val="22"/>
          <w:lang w:val="en-US"/>
        </w:rPr>
        <w:t xml:space="preserve">financial analysis, rating </w:t>
      </w:r>
      <w:r w:rsidRPr="007D288C">
        <w:rPr>
          <w:bCs/>
          <w:color w:val="002060"/>
          <w:sz w:val="22"/>
          <w:szCs w:val="22"/>
          <w:lang w:val="en-US"/>
        </w:rPr>
        <w:t xml:space="preserve">, </w:t>
      </w:r>
      <w:r w:rsidR="00AE31EF">
        <w:rPr>
          <w:bCs/>
          <w:color w:val="002060"/>
          <w:sz w:val="22"/>
          <w:szCs w:val="22"/>
          <w:lang w:val="en-US"/>
        </w:rPr>
        <w:t>indicator, and adding a requirement by which the fund should have</w:t>
      </w:r>
      <w:r w:rsidRPr="007D288C">
        <w:rPr>
          <w:bCs/>
          <w:color w:val="002060"/>
          <w:sz w:val="22"/>
          <w:szCs w:val="22"/>
          <w:lang w:val="en-US"/>
        </w:rPr>
        <w:t xml:space="preserve"> </w:t>
      </w:r>
      <w:r w:rsidR="009F0209">
        <w:rPr>
          <w:bCs/>
          <w:color w:val="002060"/>
          <w:sz w:val="22"/>
          <w:szCs w:val="22"/>
          <w:lang w:val="en-US"/>
        </w:rPr>
        <w:t>a</w:t>
      </w:r>
      <w:r w:rsidR="00AE31EF">
        <w:rPr>
          <w:bCs/>
          <w:color w:val="002060"/>
          <w:sz w:val="22"/>
          <w:szCs w:val="22"/>
          <w:lang w:val="en-US"/>
        </w:rPr>
        <w:t>n explicit</w:t>
      </w:r>
      <w:r w:rsidR="009F0209">
        <w:rPr>
          <w:bCs/>
          <w:color w:val="002060"/>
          <w:sz w:val="22"/>
          <w:szCs w:val="22"/>
          <w:lang w:val="en-US"/>
        </w:rPr>
        <w:t xml:space="preserve"> measurable</w:t>
      </w:r>
      <w:r w:rsidR="00AE31EF">
        <w:rPr>
          <w:bCs/>
          <w:color w:val="002060"/>
          <w:sz w:val="22"/>
          <w:szCs w:val="22"/>
          <w:lang w:val="en-US"/>
        </w:rPr>
        <w:t xml:space="preserve"> </w:t>
      </w:r>
      <w:r w:rsidR="00410728">
        <w:rPr>
          <w:bCs/>
          <w:color w:val="002060"/>
          <w:sz w:val="22"/>
          <w:szCs w:val="22"/>
          <w:lang w:val="en-US"/>
        </w:rPr>
        <w:t xml:space="preserve">(KPI) </w:t>
      </w:r>
      <w:r w:rsidR="00AE31EF">
        <w:rPr>
          <w:bCs/>
          <w:color w:val="002060"/>
          <w:sz w:val="22"/>
          <w:szCs w:val="22"/>
          <w:lang w:val="en-US"/>
        </w:rPr>
        <w:t>and binding</w:t>
      </w:r>
      <w:r w:rsidR="009F0209">
        <w:rPr>
          <w:bCs/>
          <w:color w:val="002060"/>
          <w:sz w:val="22"/>
          <w:szCs w:val="22"/>
          <w:lang w:val="en-US"/>
        </w:rPr>
        <w:t xml:space="preserve"> </w:t>
      </w:r>
      <w:r w:rsidRPr="007D288C">
        <w:rPr>
          <w:bCs/>
          <w:color w:val="002060"/>
          <w:sz w:val="22"/>
          <w:szCs w:val="22"/>
          <w:lang w:val="en-US"/>
        </w:rPr>
        <w:t xml:space="preserve">ESG </w:t>
      </w:r>
      <w:r w:rsidR="00AE31EF">
        <w:rPr>
          <w:bCs/>
          <w:color w:val="002060"/>
          <w:sz w:val="22"/>
          <w:szCs w:val="22"/>
          <w:lang w:val="en-US"/>
        </w:rPr>
        <w:t>objective</w:t>
      </w:r>
      <w:r w:rsidRPr="007D288C">
        <w:rPr>
          <w:bCs/>
          <w:color w:val="002060"/>
          <w:sz w:val="22"/>
          <w:szCs w:val="22"/>
          <w:lang w:val="en-US"/>
        </w:rPr>
        <w:t xml:space="preserve"> is a solid alternative</w:t>
      </w:r>
      <w:r w:rsidR="00AE31EF">
        <w:rPr>
          <w:bCs/>
          <w:color w:val="002060"/>
          <w:sz w:val="22"/>
          <w:szCs w:val="22"/>
          <w:lang w:val="en-US"/>
        </w:rPr>
        <w:t xml:space="preserve"> (see our response in Q2)</w:t>
      </w:r>
      <w:r w:rsidRPr="007D288C">
        <w:rPr>
          <w:bCs/>
          <w:color w:val="002060"/>
          <w:sz w:val="22"/>
          <w:szCs w:val="22"/>
          <w:lang w:val="en-US"/>
        </w:rPr>
        <w:t xml:space="preserve">. </w:t>
      </w:r>
    </w:p>
    <w:p w14:paraId="0EF33E59" w14:textId="43DAA85D" w:rsidR="000328FA" w:rsidRPr="007D288C" w:rsidRDefault="000328FA" w:rsidP="000328FA">
      <w:pPr>
        <w:pStyle w:val="Default"/>
        <w:spacing w:after="175"/>
        <w:jc w:val="both"/>
        <w:rPr>
          <w:bCs/>
          <w:color w:val="002060"/>
          <w:sz w:val="22"/>
          <w:szCs w:val="22"/>
          <w:lang w:val="en-US"/>
        </w:rPr>
      </w:pPr>
      <w:r w:rsidRPr="007D288C">
        <w:rPr>
          <w:bCs/>
          <w:color w:val="002060"/>
          <w:sz w:val="22"/>
          <w:szCs w:val="22"/>
          <w:lang w:val="en-US"/>
        </w:rPr>
        <w:t xml:space="preserve">For instance, strategies that are compliant with the approaches proposed by the French Market Authorities (AMF) in its doctrine could be considered as alternative to the </w:t>
      </w:r>
      <w:r w:rsidR="001D5C44">
        <w:rPr>
          <w:bCs/>
          <w:color w:val="002060"/>
          <w:sz w:val="22"/>
          <w:szCs w:val="22"/>
          <w:lang w:val="en-US"/>
        </w:rPr>
        <w:t>threshold mechanisms</w:t>
      </w:r>
      <w:r w:rsidRPr="007D288C">
        <w:rPr>
          <w:bCs/>
          <w:color w:val="002060"/>
          <w:sz w:val="22"/>
          <w:szCs w:val="22"/>
          <w:lang w:val="en-US"/>
        </w:rPr>
        <w:t xml:space="preserve">. “Selectivity” i.e. exclusion of at least 20% of the worst ESG performers in a universe definition, or “rating upgrade” approach, after eliminating at least 20% of the worst ESG performers in a universe definition could be used. The same with a ESG KPI minimum level strategy. </w:t>
      </w:r>
    </w:p>
    <w:p w14:paraId="4D9D4282" w14:textId="2F6EEB09" w:rsidR="00FB317B" w:rsidRDefault="00966F68" w:rsidP="006926E9">
      <w:pPr>
        <w:pStyle w:val="Default"/>
        <w:spacing w:after="175"/>
        <w:jc w:val="both"/>
        <w:rPr>
          <w:bCs/>
          <w:color w:val="002060"/>
          <w:sz w:val="22"/>
          <w:szCs w:val="22"/>
          <w:lang w:val="en-US"/>
        </w:rPr>
      </w:pPr>
      <w:r>
        <w:rPr>
          <w:bCs/>
          <w:color w:val="002060"/>
          <w:sz w:val="22"/>
          <w:szCs w:val="22"/>
          <w:lang w:val="en-US"/>
        </w:rPr>
        <w:t>It is important that any alternative approach should</w:t>
      </w:r>
      <w:r w:rsidR="009F0FDA">
        <w:rPr>
          <w:bCs/>
          <w:color w:val="002060"/>
          <w:sz w:val="22"/>
          <w:szCs w:val="22"/>
          <w:lang w:val="en-US"/>
        </w:rPr>
        <w:t xml:space="preserve"> (</w:t>
      </w:r>
      <w:proofErr w:type="spellStart"/>
      <w:r w:rsidR="009F0FDA">
        <w:rPr>
          <w:bCs/>
          <w:color w:val="002060"/>
          <w:sz w:val="22"/>
          <w:szCs w:val="22"/>
          <w:lang w:val="en-US"/>
        </w:rPr>
        <w:t>i</w:t>
      </w:r>
      <w:proofErr w:type="spellEnd"/>
      <w:r w:rsidR="009F0FDA">
        <w:rPr>
          <w:bCs/>
          <w:color w:val="002060"/>
          <w:sz w:val="22"/>
          <w:szCs w:val="22"/>
          <w:lang w:val="en-US"/>
        </w:rPr>
        <w:t xml:space="preserve">) apply proportionality </w:t>
      </w:r>
      <w:r w:rsidR="008751E2">
        <w:rPr>
          <w:bCs/>
          <w:color w:val="002060"/>
          <w:sz w:val="22"/>
          <w:szCs w:val="22"/>
          <w:lang w:val="en-US"/>
        </w:rPr>
        <w:t xml:space="preserve">(the name being granted only if there is a sufficiently significant commitment) (ii) be measurable and, (iii) fit </w:t>
      </w:r>
      <w:r w:rsidR="00692E72">
        <w:rPr>
          <w:bCs/>
          <w:color w:val="002060"/>
          <w:sz w:val="22"/>
          <w:szCs w:val="22"/>
          <w:lang w:val="en-US"/>
        </w:rPr>
        <w:t xml:space="preserve">with many </w:t>
      </w:r>
      <w:r w:rsidR="008751E2">
        <w:rPr>
          <w:bCs/>
          <w:color w:val="002060"/>
          <w:sz w:val="22"/>
          <w:szCs w:val="22"/>
          <w:lang w:val="en-US"/>
        </w:rPr>
        <w:t>type</w:t>
      </w:r>
      <w:r w:rsidR="00692E72">
        <w:rPr>
          <w:bCs/>
          <w:color w:val="002060"/>
          <w:sz w:val="22"/>
          <w:szCs w:val="22"/>
          <w:lang w:val="en-US"/>
        </w:rPr>
        <w:t>s</w:t>
      </w:r>
      <w:r w:rsidR="008751E2">
        <w:rPr>
          <w:bCs/>
          <w:color w:val="002060"/>
          <w:sz w:val="22"/>
          <w:szCs w:val="22"/>
          <w:lang w:val="en-US"/>
        </w:rPr>
        <w:t xml:space="preserve"> of strategies</w:t>
      </w:r>
      <w:r w:rsidR="00692E72">
        <w:rPr>
          <w:bCs/>
          <w:color w:val="002060"/>
          <w:sz w:val="22"/>
          <w:szCs w:val="22"/>
          <w:lang w:val="en-US"/>
        </w:rPr>
        <w:t xml:space="preserve"> as long as there is a clear “ESG objective”</w:t>
      </w:r>
      <w:r w:rsidR="008751E2">
        <w:rPr>
          <w:bCs/>
          <w:color w:val="002060"/>
          <w:sz w:val="22"/>
          <w:szCs w:val="22"/>
          <w:lang w:val="en-US"/>
        </w:rPr>
        <w:t>.</w:t>
      </w:r>
    </w:p>
    <w:p w14:paraId="102947A9" w14:textId="77777777" w:rsidR="00410728" w:rsidRDefault="00410728" w:rsidP="006926E9">
      <w:pPr>
        <w:pStyle w:val="Default"/>
        <w:spacing w:after="175"/>
        <w:jc w:val="both"/>
        <w:rPr>
          <w:bCs/>
          <w:color w:val="002060"/>
          <w:sz w:val="22"/>
          <w:szCs w:val="22"/>
          <w:lang w:val="en-US"/>
        </w:rPr>
      </w:pPr>
    </w:p>
    <w:p w14:paraId="2302231E" w14:textId="2C192685" w:rsidR="006926E9" w:rsidRPr="00007A29" w:rsidRDefault="005019A8" w:rsidP="00007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20"/>
          <w:szCs w:val="20"/>
          <w:lang w:val="en-US"/>
        </w:rPr>
      </w:pPr>
      <w:r w:rsidRPr="00FB317B">
        <w:rPr>
          <w:b/>
          <w:bCs/>
          <w:color w:val="ED7D31" w:themeColor="accent2"/>
          <w:lang w:val="en-US"/>
        </w:rPr>
        <w:lastRenderedPageBreak/>
        <w:t> </w:t>
      </w:r>
      <w:r w:rsidR="006926E9" w:rsidRPr="006926E9">
        <w:rPr>
          <w:rFonts w:ascii="Arial" w:hAnsi="Arial" w:cs="Arial"/>
          <w:color w:val="000000"/>
          <w:sz w:val="20"/>
          <w:szCs w:val="20"/>
          <w:lang w:val="en-US"/>
        </w:rPr>
        <w:t>18. Minimum safeguards including exclusion criteria as defined in the Benchmark Regulation Delegated Regulation (Commission Delegated Regulation (EU) 2020/1818) Article 12(1)-(2), are recommended for all investment funds using an ESG- or sustainability-related term in their name.</w:t>
      </w:r>
    </w:p>
    <w:p w14:paraId="240A0673" w14:textId="77777777" w:rsidR="00007A29" w:rsidRDefault="00007A29" w:rsidP="006926E9">
      <w:pPr>
        <w:pStyle w:val="Default"/>
        <w:spacing w:after="175"/>
        <w:jc w:val="both"/>
        <w:rPr>
          <w:b/>
          <w:bCs/>
          <w:sz w:val="22"/>
          <w:szCs w:val="22"/>
          <w:lang w:val="en-US"/>
        </w:rPr>
      </w:pPr>
    </w:p>
    <w:p w14:paraId="2FA6275F" w14:textId="77777777" w:rsidR="00FB6E58" w:rsidRDefault="00FB6E58" w:rsidP="006926E9">
      <w:pPr>
        <w:pStyle w:val="Default"/>
        <w:spacing w:after="175"/>
        <w:jc w:val="both"/>
        <w:rPr>
          <w:b/>
          <w:bCs/>
          <w:sz w:val="22"/>
          <w:szCs w:val="22"/>
          <w:lang w:val="en-US"/>
        </w:rPr>
      </w:pPr>
      <w:r w:rsidRPr="00FB6E58">
        <w:rPr>
          <w:b/>
          <w:bCs/>
          <w:sz w:val="22"/>
          <w:szCs w:val="22"/>
          <w:lang w:val="en-US"/>
        </w:rPr>
        <w:t>Q6. 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5461FFFC" w14:textId="0A8FD6EB" w:rsidR="00C7483C" w:rsidRDefault="005019A8" w:rsidP="006926E9">
      <w:pPr>
        <w:pStyle w:val="Default"/>
        <w:spacing w:after="175"/>
        <w:jc w:val="both"/>
        <w:rPr>
          <w:bCs/>
          <w:color w:val="002060"/>
          <w:sz w:val="22"/>
          <w:szCs w:val="22"/>
          <w:lang w:val="en-US"/>
        </w:rPr>
      </w:pPr>
      <w:r>
        <w:rPr>
          <w:bCs/>
          <w:color w:val="002060"/>
          <w:sz w:val="22"/>
          <w:szCs w:val="22"/>
          <w:lang w:val="en-US"/>
        </w:rPr>
        <w:t xml:space="preserve">As a general comment, we believe that exclusions are </w:t>
      </w:r>
      <w:r w:rsidR="0078104F">
        <w:rPr>
          <w:bCs/>
          <w:color w:val="002060"/>
          <w:sz w:val="22"/>
          <w:szCs w:val="22"/>
          <w:lang w:val="en-US"/>
        </w:rPr>
        <w:t xml:space="preserve">not </w:t>
      </w:r>
      <w:r>
        <w:rPr>
          <w:bCs/>
          <w:color w:val="002060"/>
          <w:sz w:val="22"/>
          <w:szCs w:val="22"/>
          <w:lang w:val="en-US"/>
        </w:rPr>
        <w:t xml:space="preserve">appropriate </w:t>
      </w:r>
      <w:r w:rsidR="0078104F">
        <w:rPr>
          <w:bCs/>
          <w:color w:val="002060"/>
          <w:sz w:val="22"/>
          <w:szCs w:val="22"/>
          <w:lang w:val="en-US"/>
        </w:rPr>
        <w:t xml:space="preserve">as </w:t>
      </w:r>
      <w:r>
        <w:rPr>
          <w:bCs/>
          <w:color w:val="002060"/>
          <w:sz w:val="22"/>
          <w:szCs w:val="22"/>
          <w:lang w:val="en-US"/>
        </w:rPr>
        <w:t>minimum safeguards for investment funds.</w:t>
      </w:r>
    </w:p>
    <w:p w14:paraId="227B5927" w14:textId="76A08554" w:rsidR="00816D53" w:rsidRDefault="00814AD8" w:rsidP="006926E9">
      <w:pPr>
        <w:pStyle w:val="Default"/>
        <w:spacing w:after="175"/>
        <w:jc w:val="both"/>
        <w:rPr>
          <w:bCs/>
          <w:color w:val="002060"/>
          <w:sz w:val="22"/>
          <w:szCs w:val="22"/>
          <w:lang w:val="en-US"/>
        </w:rPr>
      </w:pPr>
      <w:r>
        <w:rPr>
          <w:bCs/>
          <w:color w:val="002060"/>
          <w:sz w:val="22"/>
          <w:szCs w:val="22"/>
          <w:lang w:val="en-US"/>
        </w:rPr>
        <w:t>GROUPAMA AM</w:t>
      </w:r>
      <w:r w:rsidR="00FC4B3F">
        <w:rPr>
          <w:bCs/>
          <w:color w:val="002060"/>
          <w:sz w:val="22"/>
          <w:szCs w:val="22"/>
          <w:lang w:val="en-US"/>
        </w:rPr>
        <w:t xml:space="preserve"> strongly </w:t>
      </w:r>
      <w:r w:rsidR="00816D53">
        <w:rPr>
          <w:bCs/>
          <w:color w:val="002060"/>
          <w:sz w:val="22"/>
          <w:szCs w:val="22"/>
          <w:lang w:val="en-US"/>
        </w:rPr>
        <w:t>disagree</w:t>
      </w:r>
      <w:r w:rsidR="00FC4B3F">
        <w:rPr>
          <w:bCs/>
          <w:color w:val="002060"/>
          <w:sz w:val="22"/>
          <w:szCs w:val="22"/>
          <w:lang w:val="en-US"/>
        </w:rPr>
        <w:t>s</w:t>
      </w:r>
      <w:r w:rsidR="00816D53">
        <w:rPr>
          <w:bCs/>
          <w:color w:val="002060"/>
          <w:sz w:val="22"/>
          <w:szCs w:val="22"/>
          <w:lang w:val="en-US"/>
        </w:rPr>
        <w:t xml:space="preserve"> </w:t>
      </w:r>
      <w:r w:rsidR="000F6DFA">
        <w:rPr>
          <w:bCs/>
          <w:color w:val="002060"/>
          <w:sz w:val="22"/>
          <w:szCs w:val="22"/>
          <w:lang w:val="en-US"/>
        </w:rPr>
        <w:t xml:space="preserve">with using </w:t>
      </w:r>
      <w:r w:rsidR="00587C72">
        <w:rPr>
          <w:bCs/>
          <w:color w:val="002060"/>
          <w:sz w:val="22"/>
          <w:szCs w:val="22"/>
          <w:lang w:val="en-US"/>
        </w:rPr>
        <w:t>Paris Aligned Benchmark (</w:t>
      </w:r>
      <w:r w:rsidR="000F6DFA">
        <w:rPr>
          <w:bCs/>
          <w:color w:val="002060"/>
          <w:sz w:val="22"/>
          <w:szCs w:val="22"/>
          <w:lang w:val="en-US"/>
        </w:rPr>
        <w:t>PAB</w:t>
      </w:r>
      <w:r w:rsidR="00587C72">
        <w:rPr>
          <w:bCs/>
          <w:color w:val="002060"/>
          <w:sz w:val="22"/>
          <w:szCs w:val="22"/>
          <w:lang w:val="en-US"/>
        </w:rPr>
        <w:t>)</w:t>
      </w:r>
      <w:r w:rsidR="000F6DFA">
        <w:rPr>
          <w:bCs/>
          <w:color w:val="002060"/>
          <w:sz w:val="22"/>
          <w:szCs w:val="22"/>
          <w:lang w:val="en-US"/>
        </w:rPr>
        <w:t xml:space="preserve">’s exclusions </w:t>
      </w:r>
      <w:r w:rsidR="004C752A">
        <w:rPr>
          <w:bCs/>
          <w:color w:val="002060"/>
          <w:sz w:val="22"/>
          <w:szCs w:val="22"/>
          <w:lang w:val="en-US"/>
        </w:rPr>
        <w:t>listed in</w:t>
      </w:r>
      <w:r w:rsidR="000F6DFA">
        <w:rPr>
          <w:bCs/>
          <w:color w:val="002060"/>
          <w:sz w:val="22"/>
          <w:szCs w:val="22"/>
          <w:lang w:val="en-US"/>
        </w:rPr>
        <w:t xml:space="preserve"> art 12(1) and 12(2) </w:t>
      </w:r>
      <w:r w:rsidR="004C752A">
        <w:rPr>
          <w:bCs/>
          <w:color w:val="002060"/>
          <w:sz w:val="22"/>
          <w:szCs w:val="22"/>
          <w:lang w:val="en-US"/>
        </w:rPr>
        <w:t xml:space="preserve">of the </w:t>
      </w:r>
      <w:r w:rsidR="000F6DFA">
        <w:rPr>
          <w:bCs/>
          <w:color w:val="002060"/>
          <w:sz w:val="22"/>
          <w:szCs w:val="22"/>
          <w:lang w:val="en-US"/>
        </w:rPr>
        <w:t xml:space="preserve">BMR delegated regulation 2020/1818 </w:t>
      </w:r>
      <w:r w:rsidR="00816D53">
        <w:rPr>
          <w:bCs/>
          <w:color w:val="002060"/>
          <w:sz w:val="22"/>
          <w:szCs w:val="22"/>
          <w:lang w:val="en-US"/>
        </w:rPr>
        <w:t>for the following reasons :</w:t>
      </w:r>
    </w:p>
    <w:p w14:paraId="7117E13E" w14:textId="6A0BD307" w:rsidR="001E658A" w:rsidRDefault="001E658A" w:rsidP="003A5104">
      <w:pPr>
        <w:pStyle w:val="Default"/>
        <w:numPr>
          <w:ilvl w:val="0"/>
          <w:numId w:val="26"/>
        </w:numPr>
        <w:spacing w:after="175"/>
        <w:jc w:val="both"/>
        <w:rPr>
          <w:bCs/>
          <w:color w:val="002060"/>
          <w:sz w:val="22"/>
          <w:szCs w:val="22"/>
          <w:lang w:val="en-US"/>
        </w:rPr>
      </w:pPr>
      <w:r>
        <w:rPr>
          <w:bCs/>
          <w:color w:val="002060"/>
          <w:sz w:val="22"/>
          <w:szCs w:val="22"/>
          <w:lang w:val="en-US"/>
        </w:rPr>
        <w:t>SFDR art. 8 funds already have some “good governance</w:t>
      </w:r>
      <w:r w:rsidR="00C558EA">
        <w:rPr>
          <w:bCs/>
          <w:color w:val="002060"/>
          <w:sz w:val="22"/>
          <w:szCs w:val="22"/>
          <w:lang w:val="en-US"/>
        </w:rPr>
        <w:t xml:space="preserve"> practices</w:t>
      </w:r>
      <w:r>
        <w:rPr>
          <w:bCs/>
          <w:color w:val="002060"/>
          <w:sz w:val="22"/>
          <w:szCs w:val="22"/>
          <w:lang w:val="en-US"/>
        </w:rPr>
        <w:t>” safeguards as a minimum standard. In addition, if they hold SI, then investments are subject to SFDR’s DNSH</w:t>
      </w:r>
      <w:r w:rsidR="00C7483C" w:rsidRPr="009D7305">
        <w:rPr>
          <w:lang w:val="en-GB"/>
        </w:rPr>
        <w:t xml:space="preserve"> </w:t>
      </w:r>
      <w:r w:rsidR="00C7483C">
        <w:rPr>
          <w:bCs/>
          <w:color w:val="002060"/>
          <w:sz w:val="22"/>
          <w:szCs w:val="22"/>
          <w:lang w:val="en-US"/>
        </w:rPr>
        <w:t>a</w:t>
      </w:r>
      <w:r w:rsidR="00C7483C" w:rsidRPr="00C7483C">
        <w:rPr>
          <w:bCs/>
          <w:color w:val="002060"/>
          <w:sz w:val="22"/>
          <w:szCs w:val="22"/>
          <w:lang w:val="en-US"/>
        </w:rPr>
        <w:t>nd those are related to PAI which don’t only cover Environmental criteria</w:t>
      </w:r>
      <w:r w:rsidR="00C7483C">
        <w:rPr>
          <w:bCs/>
          <w:color w:val="002060"/>
          <w:sz w:val="22"/>
          <w:szCs w:val="22"/>
          <w:lang w:val="en-US"/>
        </w:rPr>
        <w:t>.</w:t>
      </w:r>
    </w:p>
    <w:p w14:paraId="3C28EA94" w14:textId="7C3425C2" w:rsidR="0018640F" w:rsidRDefault="009F0FDA" w:rsidP="003A5104">
      <w:pPr>
        <w:pStyle w:val="Default"/>
        <w:numPr>
          <w:ilvl w:val="0"/>
          <w:numId w:val="26"/>
        </w:numPr>
        <w:spacing w:after="175"/>
        <w:jc w:val="both"/>
        <w:rPr>
          <w:bCs/>
          <w:color w:val="002060"/>
          <w:sz w:val="22"/>
          <w:szCs w:val="22"/>
          <w:lang w:val="en-US"/>
        </w:rPr>
      </w:pPr>
      <w:r w:rsidRPr="00175460">
        <w:rPr>
          <w:b/>
          <w:bCs/>
          <w:color w:val="002060"/>
          <w:sz w:val="22"/>
          <w:szCs w:val="22"/>
          <w:lang w:val="en-US"/>
        </w:rPr>
        <w:t xml:space="preserve">The </w:t>
      </w:r>
      <w:r w:rsidR="00816D53" w:rsidRPr="00175460">
        <w:rPr>
          <w:b/>
          <w:bCs/>
          <w:color w:val="002060"/>
          <w:sz w:val="22"/>
          <w:szCs w:val="22"/>
          <w:lang w:val="en-US"/>
        </w:rPr>
        <w:t xml:space="preserve">PAB is a label </w:t>
      </w:r>
      <w:r w:rsidR="0018640F" w:rsidRPr="00175460">
        <w:rPr>
          <w:b/>
          <w:bCs/>
          <w:color w:val="002060"/>
          <w:sz w:val="22"/>
          <w:szCs w:val="22"/>
          <w:lang w:val="en-US"/>
        </w:rPr>
        <w:t>dedicated to Paris aligned targets</w:t>
      </w:r>
      <w:r w:rsidR="00816D53">
        <w:rPr>
          <w:bCs/>
          <w:color w:val="002060"/>
          <w:sz w:val="22"/>
          <w:szCs w:val="22"/>
          <w:lang w:val="en-US"/>
        </w:rPr>
        <w:t xml:space="preserve">-  </w:t>
      </w:r>
      <w:r w:rsidR="0018640F">
        <w:rPr>
          <w:bCs/>
          <w:color w:val="002060"/>
          <w:sz w:val="22"/>
          <w:szCs w:val="22"/>
          <w:lang w:val="en-US"/>
        </w:rPr>
        <w:t>E</w:t>
      </w:r>
      <w:r w:rsidR="001E658A">
        <w:rPr>
          <w:bCs/>
          <w:color w:val="002060"/>
          <w:sz w:val="22"/>
          <w:szCs w:val="22"/>
          <w:lang w:val="en-US"/>
        </w:rPr>
        <w:t xml:space="preserve">xclusion </w:t>
      </w:r>
      <w:r w:rsidR="00816D53">
        <w:rPr>
          <w:bCs/>
          <w:color w:val="002060"/>
          <w:sz w:val="22"/>
          <w:szCs w:val="22"/>
          <w:lang w:val="en-US"/>
        </w:rPr>
        <w:t xml:space="preserve">criteria in art 12(1) </w:t>
      </w:r>
      <w:r w:rsidR="001E658A">
        <w:rPr>
          <w:bCs/>
          <w:color w:val="002060"/>
          <w:sz w:val="22"/>
          <w:szCs w:val="22"/>
          <w:lang w:val="en-US"/>
        </w:rPr>
        <w:t xml:space="preserve">are </w:t>
      </w:r>
      <w:r w:rsidR="00816D53">
        <w:rPr>
          <w:bCs/>
          <w:color w:val="002060"/>
          <w:sz w:val="22"/>
          <w:szCs w:val="22"/>
          <w:lang w:val="en-US"/>
        </w:rPr>
        <w:t xml:space="preserve">mainly </w:t>
      </w:r>
      <w:r w:rsidR="00816D53" w:rsidRPr="00B11ECA">
        <w:rPr>
          <w:b/>
          <w:bCs/>
          <w:color w:val="002060"/>
          <w:sz w:val="22"/>
          <w:szCs w:val="22"/>
          <w:lang w:val="en-US"/>
        </w:rPr>
        <w:t>climate focus</w:t>
      </w:r>
      <w:r w:rsidR="00B11ECA" w:rsidRPr="00B11ECA">
        <w:rPr>
          <w:b/>
          <w:bCs/>
          <w:color w:val="002060"/>
          <w:sz w:val="22"/>
          <w:szCs w:val="22"/>
          <w:lang w:val="en-US"/>
        </w:rPr>
        <w:t>ed</w:t>
      </w:r>
      <w:r w:rsidR="00816D53">
        <w:rPr>
          <w:bCs/>
          <w:color w:val="002060"/>
          <w:sz w:val="22"/>
          <w:szCs w:val="22"/>
          <w:lang w:val="en-US"/>
        </w:rPr>
        <w:t xml:space="preserve"> </w:t>
      </w:r>
      <w:r w:rsidR="001E658A">
        <w:rPr>
          <w:bCs/>
          <w:color w:val="002060"/>
          <w:sz w:val="22"/>
          <w:szCs w:val="22"/>
          <w:lang w:val="en-US"/>
        </w:rPr>
        <w:t>and the high level of exclusions is specifically fitting this label</w:t>
      </w:r>
      <w:r>
        <w:rPr>
          <w:bCs/>
          <w:color w:val="002060"/>
          <w:sz w:val="22"/>
          <w:szCs w:val="22"/>
          <w:lang w:val="en-US"/>
        </w:rPr>
        <w:t xml:space="preserve"> and the PAB</w:t>
      </w:r>
      <w:r w:rsidR="001E658A">
        <w:rPr>
          <w:bCs/>
          <w:color w:val="002060"/>
          <w:sz w:val="22"/>
          <w:szCs w:val="22"/>
          <w:lang w:val="en-US"/>
        </w:rPr>
        <w:t xml:space="preserve"> objective; it is neither suitable </w:t>
      </w:r>
      <w:r w:rsidR="00816D53">
        <w:rPr>
          <w:bCs/>
          <w:color w:val="002060"/>
          <w:sz w:val="22"/>
          <w:szCs w:val="22"/>
          <w:lang w:val="en-US"/>
        </w:rPr>
        <w:t xml:space="preserve">for </w:t>
      </w:r>
      <w:r w:rsidR="001E658A">
        <w:rPr>
          <w:bCs/>
          <w:color w:val="002060"/>
          <w:sz w:val="22"/>
          <w:szCs w:val="22"/>
          <w:lang w:val="en-US"/>
        </w:rPr>
        <w:t xml:space="preserve">other labels nor for </w:t>
      </w:r>
      <w:r w:rsidR="00816D53">
        <w:rPr>
          <w:bCs/>
          <w:color w:val="002060"/>
          <w:sz w:val="22"/>
          <w:szCs w:val="22"/>
          <w:lang w:val="en-US"/>
        </w:rPr>
        <w:t>strategies</w:t>
      </w:r>
      <w:r w:rsidR="001E658A">
        <w:rPr>
          <w:bCs/>
          <w:color w:val="002060"/>
          <w:sz w:val="22"/>
          <w:szCs w:val="22"/>
          <w:lang w:val="en-US"/>
        </w:rPr>
        <w:t xml:space="preserve"> which are not fully climate oriented.</w:t>
      </w:r>
      <w:r w:rsidR="00C7483C">
        <w:rPr>
          <w:bCs/>
          <w:color w:val="002060"/>
          <w:sz w:val="22"/>
          <w:szCs w:val="22"/>
          <w:lang w:val="en-US"/>
        </w:rPr>
        <w:t xml:space="preserve"> </w:t>
      </w:r>
      <w:r w:rsidR="00C7483C" w:rsidRPr="009D7305">
        <w:rPr>
          <w:b/>
          <w:color w:val="002060"/>
          <w:sz w:val="22"/>
          <w:szCs w:val="22"/>
          <w:lang w:val="en-US"/>
        </w:rPr>
        <w:t>The approach should not only focus on climate.</w:t>
      </w:r>
      <w:r w:rsidRPr="009D7305">
        <w:rPr>
          <w:b/>
          <w:bCs/>
          <w:color w:val="002060"/>
          <w:sz w:val="22"/>
          <w:szCs w:val="22"/>
          <w:lang w:val="en-US"/>
        </w:rPr>
        <w:t xml:space="preserve">  </w:t>
      </w:r>
      <w:r w:rsidRPr="00175460">
        <w:rPr>
          <w:b/>
          <w:bCs/>
          <w:color w:val="002060"/>
          <w:sz w:val="22"/>
          <w:szCs w:val="22"/>
          <w:lang w:val="en-US"/>
        </w:rPr>
        <w:t>It largely exceeds a notion of “minimum” safeguards</w:t>
      </w:r>
      <w:r w:rsidR="004C752A">
        <w:rPr>
          <w:b/>
          <w:bCs/>
          <w:color w:val="002060"/>
          <w:sz w:val="22"/>
          <w:szCs w:val="22"/>
          <w:lang w:val="en-US"/>
        </w:rPr>
        <w:t xml:space="preserve"> and would be disproportionate</w:t>
      </w:r>
      <w:r>
        <w:rPr>
          <w:bCs/>
          <w:color w:val="002060"/>
          <w:sz w:val="22"/>
          <w:szCs w:val="22"/>
          <w:lang w:val="en-US"/>
        </w:rPr>
        <w:t>.</w:t>
      </w:r>
      <w:r w:rsidR="00175460">
        <w:rPr>
          <w:bCs/>
          <w:color w:val="002060"/>
          <w:sz w:val="22"/>
          <w:szCs w:val="22"/>
          <w:lang w:val="en-US"/>
        </w:rPr>
        <w:t xml:space="preserve"> </w:t>
      </w:r>
    </w:p>
    <w:p w14:paraId="2F5C4B63" w14:textId="22208D82" w:rsidR="005019A8" w:rsidRDefault="005019A8" w:rsidP="003A5104">
      <w:pPr>
        <w:pStyle w:val="Default"/>
        <w:numPr>
          <w:ilvl w:val="0"/>
          <w:numId w:val="26"/>
        </w:numPr>
        <w:spacing w:after="175"/>
        <w:jc w:val="both"/>
        <w:rPr>
          <w:bCs/>
          <w:color w:val="002060"/>
          <w:sz w:val="22"/>
          <w:szCs w:val="22"/>
          <w:lang w:val="en-US"/>
        </w:rPr>
      </w:pPr>
      <w:r w:rsidRPr="003A5104">
        <w:rPr>
          <w:bCs/>
          <w:color w:val="002060"/>
          <w:sz w:val="22"/>
          <w:szCs w:val="22"/>
          <w:lang w:val="en-US"/>
        </w:rPr>
        <w:t xml:space="preserve">Article 12(2) </w:t>
      </w:r>
      <w:r w:rsidR="00375D63" w:rsidRPr="003A5104">
        <w:rPr>
          <w:bCs/>
          <w:color w:val="002060"/>
          <w:sz w:val="22"/>
          <w:szCs w:val="22"/>
          <w:lang w:val="en-US"/>
        </w:rPr>
        <w:t>states that companies that “</w:t>
      </w:r>
      <w:r w:rsidRPr="003A5104">
        <w:rPr>
          <w:bCs/>
          <w:i/>
          <w:iCs/>
          <w:color w:val="002060"/>
          <w:sz w:val="22"/>
          <w:szCs w:val="22"/>
          <w:lang w:val="en-US"/>
        </w:rPr>
        <w:t>significantly harm</w:t>
      </w:r>
      <w:r w:rsidR="00375D63" w:rsidRPr="003A5104">
        <w:rPr>
          <w:bCs/>
          <w:i/>
          <w:iCs/>
          <w:color w:val="002060"/>
          <w:sz w:val="22"/>
          <w:szCs w:val="22"/>
          <w:lang w:val="en-US"/>
        </w:rPr>
        <w:t xml:space="preserve"> one or more of the environmental objectives referred to in Article 9 of Regulation (EU) 2020/852</w:t>
      </w:r>
      <w:r w:rsidR="00375D63" w:rsidRPr="003A5104">
        <w:rPr>
          <w:bCs/>
          <w:color w:val="002060"/>
          <w:sz w:val="22"/>
          <w:szCs w:val="22"/>
          <w:lang w:val="en-US"/>
        </w:rPr>
        <w:t>” should be excluded. The notion of DNSH is not clearly defined and</w:t>
      </w:r>
      <w:r w:rsidR="00FB317B" w:rsidRPr="003A5104">
        <w:rPr>
          <w:bCs/>
          <w:color w:val="002060"/>
          <w:sz w:val="22"/>
          <w:szCs w:val="22"/>
          <w:lang w:val="en-US"/>
        </w:rPr>
        <w:t>,</w:t>
      </w:r>
      <w:r w:rsidR="00375D63" w:rsidRPr="003A5104">
        <w:rPr>
          <w:bCs/>
          <w:color w:val="002060"/>
          <w:sz w:val="22"/>
          <w:szCs w:val="22"/>
          <w:lang w:val="en-US"/>
        </w:rPr>
        <w:t xml:space="preserve"> </w:t>
      </w:r>
      <w:r w:rsidR="00FB317B" w:rsidRPr="003A5104">
        <w:rPr>
          <w:bCs/>
          <w:color w:val="002060"/>
          <w:sz w:val="22"/>
          <w:szCs w:val="22"/>
          <w:lang w:val="en-US"/>
        </w:rPr>
        <w:t xml:space="preserve">in SFDR, </w:t>
      </w:r>
      <w:r w:rsidR="00375D63" w:rsidRPr="003A5104">
        <w:rPr>
          <w:bCs/>
          <w:color w:val="002060"/>
          <w:sz w:val="22"/>
          <w:szCs w:val="22"/>
          <w:lang w:val="en-US"/>
        </w:rPr>
        <w:t xml:space="preserve">such notion </w:t>
      </w:r>
      <w:r w:rsidR="00E12355">
        <w:rPr>
          <w:bCs/>
          <w:color w:val="002060"/>
          <w:sz w:val="22"/>
          <w:szCs w:val="22"/>
          <w:lang w:val="en-US"/>
        </w:rPr>
        <w:t>applies to</w:t>
      </w:r>
      <w:r w:rsidR="00375D63" w:rsidRPr="003A5104">
        <w:rPr>
          <w:bCs/>
          <w:color w:val="002060"/>
          <w:sz w:val="22"/>
          <w:szCs w:val="22"/>
          <w:lang w:val="en-US"/>
        </w:rPr>
        <w:t xml:space="preserve"> “sustainable investment</w:t>
      </w:r>
      <w:r w:rsidR="00FB317B" w:rsidRPr="003A5104">
        <w:rPr>
          <w:bCs/>
          <w:color w:val="002060"/>
          <w:sz w:val="22"/>
          <w:szCs w:val="22"/>
          <w:lang w:val="en-US"/>
        </w:rPr>
        <w:t>s</w:t>
      </w:r>
      <w:r w:rsidR="00375D63" w:rsidRPr="003A5104">
        <w:rPr>
          <w:bCs/>
          <w:color w:val="002060"/>
          <w:sz w:val="22"/>
          <w:szCs w:val="22"/>
          <w:lang w:val="en-US"/>
        </w:rPr>
        <w:t>”.</w:t>
      </w:r>
    </w:p>
    <w:p w14:paraId="55E16AEC" w14:textId="12ACA77F" w:rsidR="00682026" w:rsidRPr="003A5104" w:rsidRDefault="00682026" w:rsidP="003A5104">
      <w:pPr>
        <w:pStyle w:val="Default"/>
        <w:numPr>
          <w:ilvl w:val="0"/>
          <w:numId w:val="26"/>
        </w:numPr>
        <w:spacing w:after="175"/>
        <w:jc w:val="both"/>
        <w:rPr>
          <w:bCs/>
          <w:color w:val="002060"/>
          <w:sz w:val="22"/>
          <w:szCs w:val="22"/>
          <w:lang w:val="en-US"/>
        </w:rPr>
      </w:pPr>
      <w:r>
        <w:rPr>
          <w:bCs/>
          <w:color w:val="002060"/>
          <w:sz w:val="22"/>
          <w:szCs w:val="22"/>
          <w:lang w:val="en-US"/>
        </w:rPr>
        <w:t xml:space="preserve">It is impossible to apply these criteria to cash. </w:t>
      </w:r>
    </w:p>
    <w:p w14:paraId="00E8A724" w14:textId="5F3AC61A" w:rsidR="00B11ECA" w:rsidRPr="00D73A4F" w:rsidRDefault="00B11ECA" w:rsidP="00587C72">
      <w:pPr>
        <w:pStyle w:val="Default"/>
        <w:spacing w:after="175"/>
        <w:jc w:val="both"/>
        <w:rPr>
          <w:bCs/>
          <w:color w:val="002060"/>
          <w:sz w:val="22"/>
          <w:szCs w:val="22"/>
          <w:lang w:val="en-US"/>
        </w:rPr>
      </w:pPr>
      <w:r w:rsidRPr="00D73A4F">
        <w:rPr>
          <w:bCs/>
          <w:color w:val="002060"/>
          <w:sz w:val="22"/>
          <w:szCs w:val="22"/>
          <w:lang w:val="en-US"/>
        </w:rPr>
        <w:t>In the current transitioning state of the real economy, applying all the PAB min. standards of art 12(1) and 12(2) would disqualify many funds from an “ESG” related name and create major confusion</w:t>
      </w:r>
      <w:r w:rsidR="004C752A" w:rsidRPr="00D73A4F">
        <w:rPr>
          <w:bCs/>
          <w:color w:val="002060"/>
          <w:sz w:val="22"/>
          <w:szCs w:val="22"/>
          <w:lang w:val="en-US"/>
        </w:rPr>
        <w:t xml:space="preserve"> with end investors</w:t>
      </w:r>
      <w:r w:rsidRPr="00D73A4F">
        <w:rPr>
          <w:bCs/>
          <w:color w:val="002060"/>
          <w:sz w:val="22"/>
          <w:szCs w:val="22"/>
          <w:lang w:val="en-US"/>
        </w:rPr>
        <w:t xml:space="preserve">. </w:t>
      </w:r>
    </w:p>
    <w:p w14:paraId="7860D16A" w14:textId="361BF8A8" w:rsidR="00587C72" w:rsidRDefault="004C752A" w:rsidP="00587C72">
      <w:pPr>
        <w:pStyle w:val="Default"/>
        <w:spacing w:after="175"/>
        <w:jc w:val="both"/>
        <w:rPr>
          <w:bCs/>
          <w:color w:val="002060"/>
          <w:sz w:val="22"/>
          <w:szCs w:val="22"/>
          <w:lang w:val="en-US"/>
        </w:rPr>
      </w:pPr>
      <w:r>
        <w:rPr>
          <w:bCs/>
          <w:color w:val="002060"/>
          <w:sz w:val="22"/>
          <w:szCs w:val="22"/>
          <w:lang w:val="en-US"/>
        </w:rPr>
        <w:t>So as to enhance the minim</w:t>
      </w:r>
      <w:r w:rsidR="008229BE">
        <w:rPr>
          <w:bCs/>
          <w:color w:val="002060"/>
          <w:sz w:val="22"/>
          <w:szCs w:val="22"/>
          <w:lang w:val="en-US"/>
        </w:rPr>
        <w:t>um</w:t>
      </w:r>
      <w:r>
        <w:rPr>
          <w:bCs/>
          <w:color w:val="002060"/>
          <w:sz w:val="22"/>
          <w:szCs w:val="22"/>
          <w:lang w:val="en-US"/>
        </w:rPr>
        <w:t xml:space="preserve"> standards of art8 funds qualifying for an ESG-related name</w:t>
      </w:r>
      <w:r w:rsidR="008A69E2">
        <w:rPr>
          <w:bCs/>
          <w:color w:val="002060"/>
          <w:sz w:val="22"/>
          <w:szCs w:val="22"/>
          <w:lang w:val="en-US"/>
        </w:rPr>
        <w:t xml:space="preserve"> in a proportionate manner</w:t>
      </w:r>
      <w:r>
        <w:rPr>
          <w:bCs/>
          <w:color w:val="002060"/>
          <w:sz w:val="22"/>
          <w:szCs w:val="22"/>
          <w:lang w:val="en-US"/>
        </w:rPr>
        <w:t xml:space="preserve">, </w:t>
      </w:r>
      <w:r w:rsidR="008A69E2">
        <w:rPr>
          <w:bCs/>
          <w:color w:val="002060"/>
          <w:sz w:val="22"/>
          <w:szCs w:val="22"/>
          <w:lang w:val="en-US"/>
        </w:rPr>
        <w:t xml:space="preserve">an </w:t>
      </w:r>
      <w:r>
        <w:rPr>
          <w:bCs/>
          <w:color w:val="002060"/>
          <w:sz w:val="22"/>
          <w:szCs w:val="22"/>
          <w:lang w:val="en-US"/>
        </w:rPr>
        <w:t>a</w:t>
      </w:r>
      <w:r w:rsidR="00587C72" w:rsidRPr="00587C72">
        <w:rPr>
          <w:bCs/>
          <w:color w:val="002060"/>
          <w:sz w:val="22"/>
          <w:szCs w:val="22"/>
          <w:lang w:val="en-US"/>
        </w:rPr>
        <w:t xml:space="preserve">lternative </w:t>
      </w:r>
      <w:r w:rsidR="00FB317B">
        <w:rPr>
          <w:bCs/>
          <w:color w:val="002060"/>
          <w:sz w:val="22"/>
          <w:szCs w:val="22"/>
          <w:u w:val="single"/>
          <w:lang w:val="en-US"/>
        </w:rPr>
        <w:t xml:space="preserve">proposal </w:t>
      </w:r>
      <w:r w:rsidR="00587C72">
        <w:rPr>
          <w:bCs/>
          <w:color w:val="002060"/>
          <w:sz w:val="22"/>
          <w:szCs w:val="22"/>
          <w:lang w:val="en-US"/>
        </w:rPr>
        <w:t>could be the following:</w:t>
      </w:r>
    </w:p>
    <w:p w14:paraId="47814240" w14:textId="624281E9" w:rsidR="00375D63" w:rsidRPr="00B825F1" w:rsidRDefault="00B825F1" w:rsidP="00B825F1">
      <w:pPr>
        <w:pStyle w:val="Default"/>
        <w:numPr>
          <w:ilvl w:val="0"/>
          <w:numId w:val="27"/>
        </w:numPr>
        <w:spacing w:after="175"/>
        <w:jc w:val="both"/>
        <w:rPr>
          <w:bCs/>
          <w:color w:val="002060"/>
          <w:sz w:val="22"/>
          <w:szCs w:val="22"/>
          <w:lang w:val="en-US"/>
        </w:rPr>
      </w:pPr>
      <w:r w:rsidRPr="00B825F1">
        <w:rPr>
          <w:bCs/>
          <w:color w:val="002060"/>
          <w:sz w:val="22"/>
          <w:szCs w:val="22"/>
          <w:lang w:val="en-US"/>
        </w:rPr>
        <w:t>No investment can be made in the production of weapons prohibited by the Oslo Convention on Cluster</w:t>
      </w:r>
      <w:r>
        <w:rPr>
          <w:bCs/>
          <w:color w:val="002060"/>
          <w:sz w:val="22"/>
          <w:szCs w:val="22"/>
          <w:lang w:val="en-US"/>
        </w:rPr>
        <w:t xml:space="preserve"> </w:t>
      </w:r>
      <w:r w:rsidRPr="00B825F1">
        <w:rPr>
          <w:bCs/>
          <w:color w:val="002060"/>
          <w:sz w:val="22"/>
          <w:szCs w:val="22"/>
          <w:lang w:val="en-US"/>
        </w:rPr>
        <w:t>Munitions and the Ottawa Treaty on Anti-Personnel Mines.</w:t>
      </w:r>
    </w:p>
    <w:p w14:paraId="6DFE8493" w14:textId="61200B71" w:rsidR="00C7483C" w:rsidRPr="00682026" w:rsidRDefault="00B825F1" w:rsidP="00682026">
      <w:pPr>
        <w:pStyle w:val="Default"/>
        <w:numPr>
          <w:ilvl w:val="0"/>
          <w:numId w:val="27"/>
        </w:numPr>
        <w:spacing w:after="175"/>
        <w:jc w:val="both"/>
        <w:rPr>
          <w:bCs/>
          <w:color w:val="002060"/>
          <w:sz w:val="22"/>
          <w:szCs w:val="22"/>
          <w:lang w:val="en-US"/>
        </w:rPr>
      </w:pPr>
      <w:r>
        <w:rPr>
          <w:bCs/>
          <w:color w:val="002060"/>
          <w:sz w:val="22"/>
          <w:szCs w:val="22"/>
          <w:lang w:val="en-US"/>
        </w:rPr>
        <w:t>The product consider</w:t>
      </w:r>
      <w:r w:rsidR="00FB317B">
        <w:rPr>
          <w:bCs/>
          <w:color w:val="002060"/>
          <w:sz w:val="22"/>
          <w:szCs w:val="22"/>
          <w:lang w:val="en-US"/>
        </w:rPr>
        <w:t xml:space="preserve">s the SFDR </w:t>
      </w:r>
      <w:r w:rsidR="0078104F">
        <w:rPr>
          <w:bCs/>
          <w:color w:val="002060"/>
          <w:sz w:val="22"/>
          <w:szCs w:val="22"/>
          <w:lang w:val="en-US"/>
        </w:rPr>
        <w:t>mandatory</w:t>
      </w:r>
      <w:r>
        <w:rPr>
          <w:bCs/>
          <w:color w:val="002060"/>
          <w:sz w:val="22"/>
          <w:szCs w:val="22"/>
          <w:lang w:val="en-US"/>
        </w:rPr>
        <w:t xml:space="preserve"> PAI in a quantitative or qualitative manner. </w:t>
      </w:r>
    </w:p>
    <w:p w14:paraId="43AD5F98" w14:textId="77777777" w:rsidR="00007A29" w:rsidRPr="002C6BFC" w:rsidRDefault="00BB3237" w:rsidP="00BB323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20"/>
          <w:szCs w:val="20"/>
          <w:lang w:val="en-GB"/>
        </w:rPr>
      </w:pPr>
      <w:r w:rsidRPr="002C6BFC">
        <w:rPr>
          <w:rFonts w:ascii="Arial" w:hAnsi="Arial" w:cs="Arial"/>
          <w:i/>
          <w:iCs/>
          <w:color w:val="000000"/>
          <w:sz w:val="20"/>
          <w:szCs w:val="20"/>
          <w:lang w:val="en-GB"/>
        </w:rPr>
        <w:t xml:space="preserve">Derivatives </w:t>
      </w:r>
    </w:p>
    <w:p w14:paraId="6D39167E" w14:textId="77777777" w:rsidR="00007A29" w:rsidRPr="002C6BFC" w:rsidRDefault="00007A29" w:rsidP="006926E9">
      <w:pPr>
        <w:pStyle w:val="Default"/>
        <w:spacing w:after="175"/>
        <w:jc w:val="both"/>
        <w:rPr>
          <w:bCs/>
          <w:color w:val="002060"/>
          <w:sz w:val="22"/>
          <w:szCs w:val="22"/>
          <w:lang w:val="en-GB"/>
        </w:rPr>
      </w:pPr>
    </w:p>
    <w:p w14:paraId="4220DC87" w14:textId="26A8579C" w:rsidR="00FB6E58" w:rsidRDefault="00FB6E58" w:rsidP="006926E9">
      <w:pPr>
        <w:pStyle w:val="Default"/>
        <w:spacing w:after="175"/>
        <w:jc w:val="both"/>
        <w:rPr>
          <w:b/>
          <w:bCs/>
          <w:sz w:val="22"/>
          <w:szCs w:val="22"/>
          <w:lang w:val="en-US"/>
        </w:rPr>
      </w:pPr>
      <w:r w:rsidRPr="008229BE">
        <w:rPr>
          <w:b/>
          <w:bCs/>
          <w:sz w:val="22"/>
          <w:szCs w:val="22"/>
          <w:lang w:val="en-US"/>
        </w:rPr>
        <w:t xml:space="preserve">Q7. Do you think that, for the purpose of these Guidelines, </w:t>
      </w:r>
      <w:r w:rsidRPr="008229BE">
        <w:rPr>
          <w:b/>
          <w:bCs/>
          <w:sz w:val="22"/>
          <w:szCs w:val="22"/>
          <w:highlight w:val="cyan"/>
          <w:lang w:val="en-US"/>
        </w:rPr>
        <w:t>derivatives</w:t>
      </w:r>
      <w:r w:rsidRPr="008229BE">
        <w:rPr>
          <w:b/>
          <w:bCs/>
          <w:sz w:val="22"/>
          <w:szCs w:val="22"/>
          <w:lang w:val="en-US"/>
        </w:rPr>
        <w:t xml:space="preserve"> should be subject to specific provisions for calculating thresholds?</w:t>
      </w:r>
    </w:p>
    <w:p w14:paraId="03EA84E9" w14:textId="77777777" w:rsidR="0068518D" w:rsidRPr="004610F3" w:rsidRDefault="0068518D" w:rsidP="0068518D">
      <w:pPr>
        <w:jc w:val="both"/>
        <w:rPr>
          <w:rFonts w:ascii="Arial" w:hAnsi="Arial" w:cs="Arial"/>
          <w:color w:val="002060"/>
          <w:lang w:val="en-GB"/>
        </w:rPr>
      </w:pPr>
      <w:r w:rsidRPr="004610F3">
        <w:rPr>
          <w:rFonts w:ascii="Arial" w:hAnsi="Arial" w:cs="Arial"/>
          <w:color w:val="002060"/>
          <w:lang w:val="en-US"/>
        </w:rPr>
        <w:t>Asset managers act in the best interest of the unitholders by fulfilling the fund’s investment promise, that includes the financial and non-financial objectives of the fund. Derivatives are essential tools to hedge fund’s risks, like market risks, raising interest rates, currency, inflationary, volatility risks etc. and therefore should continue to be allowed in any fund, having an ESG profile or not.</w:t>
      </w:r>
    </w:p>
    <w:p w14:paraId="56F97F2A" w14:textId="77777777" w:rsidR="0068518D" w:rsidRPr="004610F3" w:rsidRDefault="0068518D" w:rsidP="0068518D">
      <w:pPr>
        <w:jc w:val="both"/>
        <w:rPr>
          <w:rFonts w:ascii="Arial" w:hAnsi="Arial" w:cs="Arial"/>
          <w:color w:val="002060"/>
          <w:lang w:val="en-GB"/>
        </w:rPr>
      </w:pPr>
    </w:p>
    <w:p w14:paraId="053383E1" w14:textId="1E4DCDE9" w:rsidR="0068518D" w:rsidRPr="004610F3" w:rsidRDefault="00814AD8" w:rsidP="0068518D">
      <w:pPr>
        <w:jc w:val="both"/>
        <w:rPr>
          <w:rFonts w:ascii="Arial" w:hAnsi="Arial" w:cs="Arial"/>
          <w:color w:val="002060"/>
          <w:lang w:val="en-GB"/>
        </w:rPr>
      </w:pPr>
      <w:r>
        <w:rPr>
          <w:rFonts w:ascii="Arial" w:hAnsi="Arial" w:cs="Arial"/>
          <w:color w:val="002060"/>
          <w:lang w:val="en-US"/>
        </w:rPr>
        <w:t>GROUPAMA AM</w:t>
      </w:r>
      <w:r w:rsidR="0068518D" w:rsidRPr="004610F3">
        <w:rPr>
          <w:rFonts w:ascii="Arial" w:hAnsi="Arial" w:cs="Arial"/>
          <w:color w:val="002060"/>
          <w:lang w:val="en-US"/>
        </w:rPr>
        <w:t xml:space="preserve"> believes that derivatives should be taken into account for the calculation of the minimum proportion of investments used to meet the environmental or social characteristics or sustainable investment objectives.</w:t>
      </w:r>
    </w:p>
    <w:p w14:paraId="24570AE8" w14:textId="77777777" w:rsidR="0068518D" w:rsidRPr="004610F3" w:rsidRDefault="0068518D" w:rsidP="0068518D">
      <w:pPr>
        <w:jc w:val="both"/>
        <w:rPr>
          <w:rFonts w:ascii="Arial" w:hAnsi="Arial" w:cs="Arial"/>
          <w:color w:val="002060"/>
          <w:lang w:val="en-US"/>
        </w:rPr>
      </w:pPr>
      <w:r w:rsidRPr="004610F3">
        <w:rPr>
          <w:rFonts w:ascii="Arial" w:hAnsi="Arial" w:cs="Arial"/>
          <w:color w:val="002060"/>
          <w:lang w:val="en-US"/>
        </w:rPr>
        <w:t xml:space="preserve">Asset management strategies can use derivatives to attain their investment objective since more than 30 years. It is unconceivable today to erase value added portfolio management techniques that the </w:t>
      </w:r>
      <w:r w:rsidRPr="004610F3">
        <w:rPr>
          <w:rFonts w:ascii="Arial" w:hAnsi="Arial" w:cs="Arial"/>
          <w:color w:val="002060"/>
          <w:lang w:val="en-US"/>
        </w:rPr>
        <w:lastRenderedPageBreak/>
        <w:t>founding European Directives (like the UCITS Directive) authorize since 1985. As a reminder, the use of derivatives is regulated through the global risk exposure rules and limits as well as other pieces of regulation (EMIR, CCP Recovery and Resolution Regulations, SFTR…).</w:t>
      </w:r>
    </w:p>
    <w:p w14:paraId="3A4A3AA7" w14:textId="77777777" w:rsidR="0068518D" w:rsidRPr="004610F3" w:rsidRDefault="0068518D" w:rsidP="0068518D">
      <w:pPr>
        <w:jc w:val="both"/>
        <w:rPr>
          <w:rFonts w:ascii="Arial" w:hAnsi="Arial" w:cs="Arial"/>
          <w:color w:val="002060"/>
          <w:lang w:val="en-GB"/>
        </w:rPr>
      </w:pPr>
      <w:r w:rsidRPr="004610F3">
        <w:rPr>
          <w:rFonts w:ascii="Arial" w:hAnsi="Arial" w:cs="Arial"/>
          <w:b/>
          <w:bCs/>
          <w:color w:val="002060"/>
          <w:lang w:val="en-US"/>
        </w:rPr>
        <w:t> </w:t>
      </w:r>
    </w:p>
    <w:p w14:paraId="4CB8E060" w14:textId="77777777" w:rsidR="0068518D" w:rsidRPr="004610F3" w:rsidRDefault="0068518D" w:rsidP="0068518D">
      <w:pPr>
        <w:jc w:val="both"/>
        <w:rPr>
          <w:rFonts w:ascii="Arial" w:hAnsi="Arial" w:cs="Arial"/>
          <w:b/>
          <w:bCs/>
          <w:color w:val="002060"/>
          <w:lang w:val="en-US"/>
        </w:rPr>
      </w:pPr>
      <w:r w:rsidRPr="004610F3">
        <w:rPr>
          <w:rFonts w:ascii="Arial" w:hAnsi="Arial" w:cs="Arial"/>
          <w:b/>
          <w:bCs/>
          <w:color w:val="002060"/>
          <w:lang w:val="en-US"/>
        </w:rPr>
        <w:t xml:space="preserve">The founding principle is: </w:t>
      </w:r>
    </w:p>
    <w:p w14:paraId="49DB4CDE" w14:textId="11B6B5CB" w:rsidR="004610F3" w:rsidRDefault="0068518D" w:rsidP="0068518D">
      <w:pPr>
        <w:pStyle w:val="Paragraphedeliste"/>
        <w:numPr>
          <w:ilvl w:val="0"/>
          <w:numId w:val="21"/>
        </w:numPr>
        <w:spacing w:after="0" w:line="240" w:lineRule="auto"/>
        <w:jc w:val="both"/>
        <w:rPr>
          <w:rFonts w:ascii="Arial" w:hAnsi="Arial" w:cs="Arial"/>
          <w:b/>
          <w:bCs/>
          <w:color w:val="002060"/>
          <w:lang w:val="en-US"/>
        </w:rPr>
      </w:pPr>
      <w:r w:rsidRPr="004610F3">
        <w:rPr>
          <w:rFonts w:ascii="Arial" w:hAnsi="Arial" w:cs="Arial"/>
          <w:b/>
          <w:bCs/>
          <w:color w:val="002060"/>
          <w:lang w:val="en-US"/>
        </w:rPr>
        <w:t>If the derivative is meant to help attain the ESG investment objective, it should be taken it into account as it is in other investment ratios</w:t>
      </w:r>
      <w:r w:rsidR="00FE7E41">
        <w:rPr>
          <w:rFonts w:ascii="Arial" w:hAnsi="Arial" w:cs="Arial"/>
          <w:b/>
          <w:bCs/>
          <w:color w:val="002060"/>
          <w:lang w:val="en-US"/>
        </w:rPr>
        <w:t xml:space="preserve"> (eligibility, diversification, concentration)</w:t>
      </w:r>
      <w:r w:rsidRPr="004610F3">
        <w:rPr>
          <w:rFonts w:ascii="Arial" w:hAnsi="Arial" w:cs="Arial"/>
          <w:b/>
          <w:bCs/>
          <w:color w:val="002060"/>
          <w:lang w:val="en-US"/>
        </w:rPr>
        <w:t>.</w:t>
      </w:r>
    </w:p>
    <w:p w14:paraId="5882D567" w14:textId="6CF77753" w:rsidR="0068518D" w:rsidRPr="004610F3" w:rsidRDefault="0068518D" w:rsidP="0068518D">
      <w:pPr>
        <w:pStyle w:val="Paragraphedeliste"/>
        <w:numPr>
          <w:ilvl w:val="0"/>
          <w:numId w:val="21"/>
        </w:numPr>
        <w:spacing w:after="0" w:line="240" w:lineRule="auto"/>
        <w:jc w:val="both"/>
        <w:rPr>
          <w:rFonts w:ascii="Arial" w:hAnsi="Arial" w:cs="Arial"/>
          <w:b/>
          <w:bCs/>
          <w:color w:val="002060"/>
          <w:lang w:val="en-US"/>
        </w:rPr>
      </w:pPr>
      <w:r w:rsidRPr="004610F3">
        <w:rPr>
          <w:rFonts w:ascii="Arial" w:hAnsi="Arial" w:cs="Arial"/>
          <w:b/>
          <w:bCs/>
          <w:color w:val="002060"/>
          <w:lang w:val="en-US"/>
        </w:rPr>
        <w:t xml:space="preserve">The derivative should be disregarded if its use is not meant to attain the ESG objective </w:t>
      </w:r>
      <w:r w:rsidR="00FE7E41">
        <w:rPr>
          <w:rFonts w:ascii="Arial" w:hAnsi="Arial" w:cs="Arial"/>
          <w:b/>
          <w:bCs/>
          <w:color w:val="002060"/>
          <w:lang w:val="en-US"/>
        </w:rPr>
        <w:t xml:space="preserve">as its use is purely financial </w:t>
      </w:r>
      <w:r w:rsidRPr="004610F3">
        <w:rPr>
          <w:rFonts w:ascii="Arial" w:hAnsi="Arial" w:cs="Arial"/>
          <w:b/>
          <w:bCs/>
          <w:color w:val="002060"/>
          <w:lang w:val="en-US"/>
        </w:rPr>
        <w:t>(i.e. for example if it is used for instance as tactical derivative and/or temporary for market (beta) hedging/exposure [</w:t>
      </w:r>
      <w:r w:rsidRPr="004610F3">
        <w:rPr>
          <w:rFonts w:ascii="Arial" w:hAnsi="Arial" w:cs="Arial"/>
          <w:b/>
          <w:bCs/>
          <w:i/>
          <w:iCs/>
          <w:color w:val="002060"/>
          <w:lang w:val="en-US"/>
        </w:rPr>
        <w:t>non ESG-related</w:t>
      </w:r>
      <w:r w:rsidRPr="004610F3">
        <w:rPr>
          <w:rFonts w:ascii="Arial" w:hAnsi="Arial" w:cs="Arial"/>
          <w:b/>
          <w:bCs/>
          <w:color w:val="002060"/>
          <w:lang w:val="en-US"/>
        </w:rPr>
        <w:t>] purposes, or for FX or duration purposes, to manage subscriptions...).</w:t>
      </w:r>
    </w:p>
    <w:p w14:paraId="2E41B725" w14:textId="77777777" w:rsidR="0068518D" w:rsidRPr="004610F3" w:rsidRDefault="0068518D" w:rsidP="0068518D">
      <w:pPr>
        <w:jc w:val="both"/>
        <w:rPr>
          <w:rFonts w:ascii="Arial" w:hAnsi="Arial" w:cs="Arial"/>
          <w:color w:val="002060"/>
          <w:lang w:val="en-GB"/>
        </w:rPr>
      </w:pPr>
      <w:r w:rsidRPr="004610F3">
        <w:rPr>
          <w:rFonts w:ascii="Arial" w:hAnsi="Arial" w:cs="Arial"/>
          <w:color w:val="002060"/>
          <w:lang w:val="en-US"/>
        </w:rPr>
        <w:t> </w:t>
      </w:r>
    </w:p>
    <w:p w14:paraId="2A1BE168" w14:textId="77777777" w:rsidR="0068518D" w:rsidRPr="004610F3" w:rsidRDefault="0068518D" w:rsidP="0068518D">
      <w:pPr>
        <w:jc w:val="both"/>
        <w:rPr>
          <w:rFonts w:ascii="Arial" w:hAnsi="Arial" w:cs="Arial"/>
          <w:color w:val="002060"/>
          <w:lang w:val="en-US"/>
        </w:rPr>
      </w:pPr>
      <w:r w:rsidRPr="004610F3">
        <w:rPr>
          <w:rFonts w:ascii="Arial" w:hAnsi="Arial" w:cs="Arial"/>
          <w:color w:val="002060"/>
          <w:lang w:val="en-US"/>
        </w:rPr>
        <w:t>Importantly, the use of derivatives must not distort the ESG objective or the main ESG features of the fund, whether the derivative is taken into account or disregarded for the purpose of exposure ratios</w:t>
      </w:r>
    </w:p>
    <w:p w14:paraId="0AA319E4" w14:textId="77777777" w:rsidR="0068518D" w:rsidRPr="004610F3" w:rsidRDefault="0068518D" w:rsidP="0068518D">
      <w:pPr>
        <w:jc w:val="both"/>
        <w:rPr>
          <w:rFonts w:ascii="Arial" w:hAnsi="Arial" w:cs="Arial"/>
          <w:color w:val="002060"/>
          <w:lang w:val="en-US"/>
        </w:rPr>
      </w:pPr>
    </w:p>
    <w:p w14:paraId="2E2501C4" w14:textId="18A0BA11" w:rsidR="0068518D" w:rsidRPr="004610F3" w:rsidRDefault="0068518D" w:rsidP="0068518D">
      <w:pPr>
        <w:pStyle w:val="Paragraphedeliste"/>
        <w:numPr>
          <w:ilvl w:val="0"/>
          <w:numId w:val="22"/>
        </w:numPr>
        <w:spacing w:after="0" w:line="240" w:lineRule="auto"/>
        <w:jc w:val="both"/>
        <w:rPr>
          <w:rFonts w:ascii="Arial" w:hAnsi="Arial" w:cs="Arial"/>
          <w:color w:val="002060"/>
          <w:lang w:val="en-US"/>
        </w:rPr>
      </w:pPr>
      <w:r w:rsidRPr="004610F3">
        <w:rPr>
          <w:rFonts w:ascii="Arial" w:hAnsi="Arial" w:cs="Arial"/>
          <w:color w:val="002060"/>
          <w:lang w:val="en-US"/>
        </w:rPr>
        <w:t xml:space="preserve">When the derivative is taken into account by transparency of an index (or basket of assets) for instance, the prospectus should set strict limits on the indirect resulting proportion of assets that are contrary to the ESG characteristics of the fund, for instance in contradiction to the fossil fuels strategy, (it is intended to be </w:t>
      </w:r>
      <w:r w:rsidR="00FE7E41">
        <w:rPr>
          <w:rFonts w:ascii="Arial" w:hAnsi="Arial" w:cs="Arial"/>
          <w:color w:val="002060"/>
          <w:lang w:val="en-US"/>
        </w:rPr>
        <w:t xml:space="preserve">strictly limited to </w:t>
      </w:r>
      <w:r w:rsidRPr="004610F3">
        <w:rPr>
          <w:rFonts w:ascii="Arial" w:hAnsi="Arial" w:cs="Arial"/>
          <w:color w:val="002060"/>
          <w:lang w:val="en-US"/>
        </w:rPr>
        <w:t>a negligible proportion</w:t>
      </w:r>
      <w:r w:rsidR="00FE7E41">
        <w:rPr>
          <w:rFonts w:ascii="Arial" w:hAnsi="Arial" w:cs="Arial"/>
          <w:color w:val="002060"/>
          <w:lang w:val="en-US"/>
        </w:rPr>
        <w:t>, in general</w:t>
      </w:r>
      <w:r w:rsidRPr="004610F3">
        <w:rPr>
          <w:rFonts w:ascii="Arial" w:hAnsi="Arial" w:cs="Arial"/>
          <w:color w:val="002060"/>
          <w:lang w:val="en-US"/>
        </w:rPr>
        <w:t xml:space="preserve"> </w:t>
      </w:r>
      <w:r w:rsidR="00FE7E41">
        <w:rPr>
          <w:rFonts w:ascii="Arial" w:hAnsi="Arial" w:cs="Arial"/>
          <w:color w:val="002060"/>
          <w:lang w:val="en-US"/>
        </w:rPr>
        <w:t xml:space="preserve">no more </w:t>
      </w:r>
      <w:r w:rsidRPr="004610F3">
        <w:rPr>
          <w:rFonts w:ascii="Arial" w:hAnsi="Arial" w:cs="Arial"/>
          <w:color w:val="002060"/>
          <w:lang w:val="en-US"/>
        </w:rPr>
        <w:t>than 1 or 2%).</w:t>
      </w:r>
    </w:p>
    <w:p w14:paraId="5CC1900C" w14:textId="77777777" w:rsidR="0068518D" w:rsidRPr="004610F3" w:rsidRDefault="0068518D" w:rsidP="0068518D">
      <w:pPr>
        <w:pStyle w:val="Paragraphedeliste"/>
        <w:jc w:val="both"/>
        <w:rPr>
          <w:rFonts w:ascii="Arial" w:hAnsi="Arial" w:cs="Arial"/>
          <w:color w:val="002060"/>
          <w:lang w:val="en-US"/>
        </w:rPr>
      </w:pPr>
    </w:p>
    <w:p w14:paraId="08C00005" w14:textId="77777777" w:rsidR="0068518D" w:rsidRPr="004610F3" w:rsidRDefault="0068518D" w:rsidP="0068518D">
      <w:pPr>
        <w:jc w:val="both"/>
        <w:rPr>
          <w:rFonts w:ascii="Arial" w:hAnsi="Arial" w:cs="Arial"/>
          <w:color w:val="002060"/>
          <w:lang w:val="en-US"/>
        </w:rPr>
      </w:pPr>
      <w:r w:rsidRPr="004610F3">
        <w:rPr>
          <w:rFonts w:ascii="Arial" w:hAnsi="Arial" w:cs="Arial"/>
          <w:color w:val="002060"/>
          <w:lang w:val="en-US"/>
        </w:rPr>
        <w:t xml:space="preserve">When the derivative is not taken into account, the asset manager has the responsibility to ensure that the derivative uses are not interfering with the ESG objective or strategy of the fund. </w:t>
      </w:r>
    </w:p>
    <w:p w14:paraId="0A65B199" w14:textId="240B0E81" w:rsidR="0068518D" w:rsidRPr="0051572B" w:rsidRDefault="0068518D" w:rsidP="0068518D">
      <w:pPr>
        <w:jc w:val="both"/>
        <w:rPr>
          <w:rFonts w:ascii="Arial" w:hAnsi="Arial" w:cs="Arial"/>
          <w:color w:val="002060"/>
          <w:lang w:val="en-US"/>
        </w:rPr>
      </w:pPr>
      <w:r w:rsidRPr="004610F3">
        <w:rPr>
          <w:rFonts w:ascii="Arial" w:hAnsi="Arial" w:cs="Arial"/>
          <w:color w:val="002060"/>
          <w:lang w:val="en-US"/>
        </w:rPr>
        <w:t xml:space="preserve">In the fund’s ex ante implementing strategy disclosure, detailed transparency should be given by each fund on each type of derivatives it may have to use, what types of usages it may implement (market hedging, exposure, forex hedging, yield curve management, risk neutrality to benchmark setting, volatility target management, stop loss controls, CPPI management, monetization, </w:t>
      </w:r>
      <w:proofErr w:type="spellStart"/>
      <w:r w:rsidRPr="004610F3">
        <w:rPr>
          <w:rFonts w:ascii="Arial" w:hAnsi="Arial" w:cs="Arial"/>
          <w:color w:val="002060"/>
          <w:lang w:val="en-US"/>
        </w:rPr>
        <w:t>etc</w:t>
      </w:r>
      <w:proofErr w:type="spellEnd"/>
      <w:r w:rsidRPr="004610F3">
        <w:rPr>
          <w:rFonts w:ascii="Arial" w:hAnsi="Arial" w:cs="Arial"/>
          <w:color w:val="002060"/>
          <w:lang w:val="en-US"/>
        </w:rPr>
        <w:t xml:space="preserve">) and the conditions under which they are meant to contribute to attain the ESG strategy/characteristics or conversely, if they are not meant to contribute. </w:t>
      </w:r>
    </w:p>
    <w:p w14:paraId="7A5AED28" w14:textId="77777777" w:rsidR="0068518D" w:rsidRPr="004610F3" w:rsidRDefault="0068518D" w:rsidP="0068518D">
      <w:pPr>
        <w:jc w:val="both"/>
        <w:rPr>
          <w:rFonts w:ascii="Arial" w:hAnsi="Arial" w:cs="Arial"/>
          <w:color w:val="002060"/>
          <w:lang w:val="en-GB"/>
        </w:rPr>
      </w:pPr>
      <w:r w:rsidRPr="004610F3">
        <w:rPr>
          <w:rFonts w:ascii="Arial" w:hAnsi="Arial" w:cs="Arial"/>
          <w:color w:val="002060"/>
          <w:lang w:val="en-US"/>
        </w:rPr>
        <w:t>The philosophy of the proposed approach is based on (1) a similar approach with cash investing when the use of derivatives is rather structural (targets single-underlying derivatives, ESG indices and the transparency of non-ESG indices or baskets) and (2) in addition the acknowledgment of a tactical use and or temporary use (temporary period to be further defined and less than one year in a any case), both types of use being useful for the effective management of the portfolio.</w:t>
      </w:r>
    </w:p>
    <w:p w14:paraId="0D4908AD" w14:textId="77777777" w:rsidR="0068518D" w:rsidRPr="004610F3" w:rsidRDefault="0068518D" w:rsidP="0068518D">
      <w:pPr>
        <w:jc w:val="both"/>
        <w:rPr>
          <w:rFonts w:ascii="Arial" w:hAnsi="Arial" w:cs="Arial"/>
          <w:color w:val="002060"/>
          <w:lang w:val="en-GB"/>
        </w:rPr>
      </w:pPr>
      <w:r w:rsidRPr="004610F3">
        <w:rPr>
          <w:rFonts w:ascii="Arial" w:hAnsi="Arial" w:cs="Arial"/>
          <w:color w:val="002060"/>
          <w:lang w:val="en-US"/>
        </w:rPr>
        <w:t> </w:t>
      </w:r>
    </w:p>
    <w:p w14:paraId="45DE931D" w14:textId="3C96E28B" w:rsidR="0068518D" w:rsidRPr="004610F3" w:rsidRDefault="0068518D" w:rsidP="0068518D">
      <w:pPr>
        <w:jc w:val="both"/>
        <w:rPr>
          <w:rFonts w:ascii="Arial" w:hAnsi="Arial" w:cs="Arial"/>
          <w:color w:val="002060"/>
          <w:lang w:val="en-GB"/>
        </w:rPr>
      </w:pPr>
      <w:r w:rsidRPr="004610F3">
        <w:rPr>
          <w:rFonts w:ascii="Arial" w:hAnsi="Arial" w:cs="Arial"/>
          <w:color w:val="002060"/>
          <w:lang w:val="en-US"/>
        </w:rPr>
        <w:t xml:space="preserve">Very simply, </w:t>
      </w:r>
      <w:r w:rsidR="00814AD8">
        <w:rPr>
          <w:rFonts w:ascii="Arial" w:hAnsi="Arial" w:cs="Arial"/>
          <w:color w:val="002060"/>
          <w:lang w:val="en-US"/>
        </w:rPr>
        <w:t>GROUPAMA AM</w:t>
      </w:r>
      <w:r w:rsidRPr="004610F3">
        <w:rPr>
          <w:rFonts w:ascii="Arial" w:hAnsi="Arial" w:cs="Arial"/>
          <w:color w:val="002060"/>
          <w:lang w:val="en-US"/>
        </w:rPr>
        <w:t xml:space="preserve"> suggest dividing derivatives into two categories: </w:t>
      </w:r>
    </w:p>
    <w:p w14:paraId="06BE9735" w14:textId="05C555C0" w:rsidR="0068518D" w:rsidRPr="004610F3" w:rsidRDefault="0068518D" w:rsidP="0068518D">
      <w:pPr>
        <w:numPr>
          <w:ilvl w:val="0"/>
          <w:numId w:val="19"/>
        </w:numPr>
        <w:spacing w:after="0" w:line="240" w:lineRule="auto"/>
        <w:jc w:val="both"/>
        <w:rPr>
          <w:rFonts w:ascii="Arial" w:eastAsia="Times New Roman" w:hAnsi="Arial" w:cs="Arial"/>
          <w:color w:val="002060"/>
        </w:rPr>
      </w:pPr>
      <w:r w:rsidRPr="004610F3">
        <w:rPr>
          <w:rFonts w:ascii="Arial" w:eastAsia="Times New Roman" w:hAnsi="Arial" w:cs="Arial"/>
          <w:color w:val="002060"/>
          <w:lang w:val="en-US"/>
        </w:rPr>
        <w:t>Single-underlying derivatives</w:t>
      </w:r>
    </w:p>
    <w:p w14:paraId="58BB6D4C" w14:textId="7E776277" w:rsidR="0068518D" w:rsidRPr="004610F3" w:rsidRDefault="0068518D" w:rsidP="0068518D">
      <w:pPr>
        <w:numPr>
          <w:ilvl w:val="0"/>
          <w:numId w:val="19"/>
        </w:numPr>
        <w:spacing w:after="0" w:line="240" w:lineRule="auto"/>
        <w:jc w:val="both"/>
        <w:rPr>
          <w:rFonts w:ascii="Arial" w:eastAsia="Times New Roman" w:hAnsi="Arial" w:cs="Arial"/>
          <w:color w:val="002060"/>
        </w:rPr>
      </w:pPr>
      <w:r w:rsidRPr="004610F3">
        <w:rPr>
          <w:rFonts w:ascii="Arial" w:eastAsia="Times New Roman" w:hAnsi="Arial" w:cs="Arial"/>
          <w:color w:val="002060"/>
          <w:lang w:val="en-US"/>
        </w:rPr>
        <w:t>versus index/basket derivatives</w:t>
      </w:r>
    </w:p>
    <w:p w14:paraId="295CDA6C" w14:textId="77777777" w:rsidR="0068518D" w:rsidRPr="004610F3" w:rsidRDefault="0068518D" w:rsidP="0068518D">
      <w:pPr>
        <w:jc w:val="both"/>
        <w:rPr>
          <w:rFonts w:ascii="Arial" w:hAnsi="Arial" w:cs="Arial"/>
          <w:color w:val="002060"/>
        </w:rPr>
      </w:pPr>
      <w:r w:rsidRPr="004610F3">
        <w:rPr>
          <w:rFonts w:ascii="Arial" w:hAnsi="Arial" w:cs="Arial"/>
          <w:color w:val="002060"/>
          <w:lang w:val="en-US"/>
        </w:rPr>
        <w:t> </w:t>
      </w:r>
    </w:p>
    <w:p w14:paraId="6A342498" w14:textId="77777777" w:rsidR="0068518D" w:rsidRPr="004610F3" w:rsidRDefault="0068518D" w:rsidP="0068518D">
      <w:pPr>
        <w:numPr>
          <w:ilvl w:val="0"/>
          <w:numId w:val="20"/>
        </w:numPr>
        <w:spacing w:after="0" w:line="240" w:lineRule="auto"/>
        <w:contextualSpacing/>
        <w:jc w:val="both"/>
        <w:rPr>
          <w:rFonts w:ascii="Arial" w:eastAsia="Times New Roman" w:hAnsi="Arial" w:cs="Arial"/>
          <w:color w:val="002060"/>
          <w:lang w:val="en-GB"/>
        </w:rPr>
      </w:pPr>
      <w:r w:rsidRPr="004610F3">
        <w:rPr>
          <w:rFonts w:ascii="Arial" w:eastAsia="Times New Roman" w:hAnsi="Arial" w:cs="Arial"/>
          <w:color w:val="002060"/>
          <w:lang w:val="en-US"/>
        </w:rPr>
        <w:t xml:space="preserve">On a single-underlying derivative, the approach and use are the same as on the cash asset. </w:t>
      </w:r>
    </w:p>
    <w:p w14:paraId="6D6CC05F" w14:textId="77777777" w:rsidR="0068518D" w:rsidRPr="004610F3" w:rsidRDefault="0068518D" w:rsidP="0068518D">
      <w:pPr>
        <w:jc w:val="both"/>
        <w:rPr>
          <w:rFonts w:ascii="Arial" w:hAnsi="Arial" w:cs="Arial"/>
          <w:color w:val="002060"/>
          <w:lang w:val="en-GB"/>
        </w:rPr>
      </w:pPr>
      <w:r w:rsidRPr="004610F3">
        <w:rPr>
          <w:rFonts w:ascii="Arial" w:hAnsi="Arial" w:cs="Arial"/>
          <w:color w:val="002060"/>
          <w:lang w:val="en-US"/>
        </w:rPr>
        <w:t> </w:t>
      </w:r>
    </w:p>
    <w:p w14:paraId="001CDE99" w14:textId="77777777" w:rsidR="0068518D" w:rsidRPr="004610F3" w:rsidRDefault="0068518D" w:rsidP="0068518D">
      <w:pPr>
        <w:numPr>
          <w:ilvl w:val="0"/>
          <w:numId w:val="20"/>
        </w:numPr>
        <w:spacing w:after="0" w:line="240" w:lineRule="auto"/>
        <w:contextualSpacing/>
        <w:jc w:val="both"/>
        <w:rPr>
          <w:rFonts w:ascii="Arial" w:eastAsia="Times New Roman" w:hAnsi="Arial" w:cs="Arial"/>
          <w:color w:val="002060"/>
          <w:lang w:val="en-GB"/>
        </w:rPr>
      </w:pPr>
      <w:r w:rsidRPr="004610F3">
        <w:rPr>
          <w:rFonts w:ascii="Arial" w:eastAsia="Times New Roman" w:hAnsi="Arial" w:cs="Arial"/>
          <w:color w:val="002060"/>
          <w:lang w:val="en-US"/>
        </w:rPr>
        <w:t xml:space="preserve">On index/basket derivatives, there are 2 situations: </w:t>
      </w:r>
    </w:p>
    <w:p w14:paraId="6E943E37" w14:textId="77777777" w:rsidR="0068518D" w:rsidRPr="004610F3" w:rsidRDefault="0068518D" w:rsidP="0068518D">
      <w:pPr>
        <w:pStyle w:val="Paragraphedeliste"/>
        <w:jc w:val="both"/>
        <w:rPr>
          <w:rFonts w:ascii="Arial" w:hAnsi="Arial" w:cs="Arial"/>
          <w:color w:val="002060"/>
          <w:lang w:val="en-GB"/>
        </w:rPr>
      </w:pPr>
      <w:r w:rsidRPr="004610F3">
        <w:rPr>
          <w:rFonts w:ascii="Arial" w:hAnsi="Arial" w:cs="Arial"/>
          <w:color w:val="002060"/>
          <w:lang w:val="en-US"/>
        </w:rPr>
        <w:t> </w:t>
      </w:r>
    </w:p>
    <w:p w14:paraId="4823AB62" w14:textId="77777777" w:rsidR="0068518D" w:rsidRPr="004610F3" w:rsidRDefault="0068518D" w:rsidP="0068518D">
      <w:pPr>
        <w:pStyle w:val="Paragraphedeliste"/>
        <w:numPr>
          <w:ilvl w:val="1"/>
          <w:numId w:val="20"/>
        </w:numPr>
        <w:spacing w:after="0" w:line="240" w:lineRule="auto"/>
        <w:jc w:val="both"/>
        <w:rPr>
          <w:rFonts w:ascii="Arial" w:hAnsi="Arial" w:cs="Arial"/>
          <w:color w:val="002060"/>
          <w:lang w:val="en-GB"/>
        </w:rPr>
      </w:pPr>
      <w:r w:rsidRPr="004610F3">
        <w:rPr>
          <w:rFonts w:ascii="Arial" w:hAnsi="Arial" w:cs="Arial"/>
          <w:color w:val="002060"/>
          <w:lang w:val="en-US"/>
        </w:rPr>
        <w:t xml:space="preserve">when used for market hedging/market exposure tactical purposes or when the impact on real economy (real investment flows) of the exposure through derivatives is negligible, the exposure is not taken into account. </w:t>
      </w:r>
    </w:p>
    <w:p w14:paraId="1B72A9F1" w14:textId="77777777" w:rsidR="0068518D" w:rsidRPr="004610F3" w:rsidRDefault="0068518D" w:rsidP="0068518D">
      <w:pPr>
        <w:pStyle w:val="Paragraphedeliste"/>
        <w:numPr>
          <w:ilvl w:val="1"/>
          <w:numId w:val="20"/>
        </w:numPr>
        <w:spacing w:after="0" w:line="240" w:lineRule="auto"/>
        <w:jc w:val="both"/>
        <w:rPr>
          <w:rFonts w:ascii="Arial" w:hAnsi="Arial" w:cs="Arial"/>
          <w:color w:val="002060"/>
          <w:lang w:val="en-GB"/>
        </w:rPr>
      </w:pPr>
      <w:r w:rsidRPr="004610F3">
        <w:rPr>
          <w:rFonts w:ascii="Arial" w:hAnsi="Arial" w:cs="Arial"/>
          <w:color w:val="002060"/>
          <w:lang w:val="en-US"/>
        </w:rPr>
        <w:lastRenderedPageBreak/>
        <w:t xml:space="preserve">Otherwise, and unless they are already based on an ESG index* (or basket of ESG assets), then the index is </w:t>
      </w:r>
      <w:proofErr w:type="spellStart"/>
      <w:r w:rsidRPr="004610F3">
        <w:rPr>
          <w:rFonts w:ascii="Arial" w:hAnsi="Arial" w:cs="Arial"/>
          <w:color w:val="002060"/>
          <w:lang w:val="en-US"/>
        </w:rPr>
        <w:t>transparised</w:t>
      </w:r>
      <w:proofErr w:type="spellEnd"/>
      <w:r w:rsidRPr="004610F3">
        <w:rPr>
          <w:rFonts w:ascii="Arial" w:hAnsi="Arial" w:cs="Arial"/>
          <w:color w:val="002060"/>
          <w:lang w:val="en-US"/>
        </w:rPr>
        <w:t>, underlying by underlying. It should be mentioned that transparency requires a sufficient period of time for proper implementation**.</w:t>
      </w:r>
    </w:p>
    <w:p w14:paraId="18EE4624" w14:textId="77777777" w:rsidR="0068518D" w:rsidRPr="004610F3" w:rsidRDefault="0068518D" w:rsidP="0068518D">
      <w:pPr>
        <w:jc w:val="both"/>
        <w:rPr>
          <w:rFonts w:ascii="Arial" w:hAnsi="Arial" w:cs="Arial"/>
          <w:color w:val="002060"/>
          <w:lang w:val="en-US"/>
        </w:rPr>
      </w:pPr>
    </w:p>
    <w:p w14:paraId="0805806A" w14:textId="77777777" w:rsidR="0068518D" w:rsidRPr="004610F3" w:rsidRDefault="0068518D" w:rsidP="0068518D">
      <w:pPr>
        <w:jc w:val="both"/>
        <w:rPr>
          <w:rFonts w:ascii="Arial" w:hAnsi="Arial" w:cs="Arial"/>
          <w:color w:val="002060"/>
          <w:lang w:val="en-US"/>
        </w:rPr>
      </w:pPr>
      <w:r w:rsidRPr="004610F3">
        <w:rPr>
          <w:rFonts w:ascii="Arial" w:hAnsi="Arial" w:cs="Arial"/>
          <w:color w:val="002060"/>
          <w:lang w:val="en-US"/>
        </w:rPr>
        <w:t>*It should be clarified that the ESG index market is not yet mature and liquid enough to switch from current index derivative market to an ESG derivative market. This market continues to be in progress for several years from now on.</w:t>
      </w:r>
    </w:p>
    <w:p w14:paraId="561C11DD" w14:textId="77777777" w:rsidR="0068518D" w:rsidRPr="004610F3" w:rsidRDefault="0068518D" w:rsidP="0068518D">
      <w:pPr>
        <w:jc w:val="both"/>
        <w:rPr>
          <w:rFonts w:ascii="Arial" w:hAnsi="Arial" w:cs="Arial"/>
          <w:color w:val="002060"/>
          <w:lang w:val="en-US"/>
        </w:rPr>
      </w:pPr>
    </w:p>
    <w:p w14:paraId="0DE61D56" w14:textId="1B7942B9" w:rsidR="0068518D" w:rsidRPr="004610F3" w:rsidRDefault="0068518D" w:rsidP="0068518D">
      <w:pPr>
        <w:jc w:val="both"/>
        <w:rPr>
          <w:rFonts w:ascii="Arial" w:hAnsi="Arial" w:cs="Arial"/>
          <w:color w:val="002060"/>
          <w:lang w:val="en-GB"/>
        </w:rPr>
      </w:pPr>
      <w:r w:rsidRPr="004610F3">
        <w:rPr>
          <w:rFonts w:ascii="Arial" w:hAnsi="Arial" w:cs="Arial"/>
          <w:color w:val="002060"/>
          <w:lang w:val="en-US"/>
        </w:rPr>
        <w:t>**It should be clarified that transparency proposal is right but authorities should be aware that is not going to be easy and achievable every time because for instance access to granular data is limited and/or very expensive and would require specific management and IT tools to manage exclusions in particular. This is even more applicable on non-European exposure indices, owners of local stock exchanges on which asset managers do not have access to the exact composition.</w:t>
      </w:r>
      <w:r w:rsidR="00FE7E41">
        <w:rPr>
          <w:rFonts w:ascii="Arial" w:hAnsi="Arial" w:cs="Arial"/>
          <w:color w:val="002060"/>
          <w:lang w:val="en-US"/>
        </w:rPr>
        <w:t xml:space="preserve"> Therefore, in some limited cases and on a temporary stance, funds could</w:t>
      </w:r>
      <w:r w:rsidR="00FE7E41" w:rsidRPr="001F5452">
        <w:rPr>
          <w:rFonts w:ascii="Arial" w:hAnsi="Arial" w:cs="Arial"/>
          <w:color w:val="002060"/>
          <w:lang w:val="en-US"/>
        </w:rPr>
        <w:t xml:space="preserve"> apply </w:t>
      </w:r>
      <w:r w:rsidR="00FE7E41">
        <w:rPr>
          <w:rFonts w:ascii="Arial" w:hAnsi="Arial" w:cs="Arial"/>
          <w:color w:val="002060"/>
          <w:lang w:val="en-US"/>
        </w:rPr>
        <w:t>ex-ante</w:t>
      </w:r>
      <w:r w:rsidR="00FE7E41" w:rsidRPr="001F5452">
        <w:rPr>
          <w:rFonts w:ascii="Arial" w:hAnsi="Arial" w:cs="Arial"/>
          <w:color w:val="002060"/>
          <w:lang w:val="en-US"/>
        </w:rPr>
        <w:t xml:space="preserve"> </w:t>
      </w:r>
      <w:r w:rsidR="00FE7E41">
        <w:rPr>
          <w:rFonts w:ascii="Arial" w:hAnsi="Arial" w:cs="Arial"/>
          <w:color w:val="002060"/>
          <w:lang w:val="en-US"/>
        </w:rPr>
        <w:t>cautious</w:t>
      </w:r>
      <w:r w:rsidR="00FE7E41" w:rsidRPr="001F5452">
        <w:rPr>
          <w:rFonts w:ascii="Arial" w:hAnsi="Arial" w:cs="Arial"/>
          <w:color w:val="002060"/>
          <w:lang w:val="en-US"/>
        </w:rPr>
        <w:t xml:space="preserve"> ESG rules</w:t>
      </w:r>
      <w:r w:rsidR="00FE7E41">
        <w:rPr>
          <w:rFonts w:ascii="Arial" w:hAnsi="Arial" w:cs="Arial"/>
          <w:color w:val="002060"/>
          <w:lang w:val="en-US"/>
        </w:rPr>
        <w:t>/limitations</w:t>
      </w:r>
      <w:r w:rsidR="00FE7E41" w:rsidRPr="001F5452">
        <w:rPr>
          <w:rFonts w:ascii="Arial" w:hAnsi="Arial" w:cs="Arial"/>
          <w:color w:val="002060"/>
          <w:lang w:val="en-US"/>
        </w:rPr>
        <w:t xml:space="preserve"> to take into account the derivative index </w:t>
      </w:r>
      <w:r w:rsidR="00FE7E41">
        <w:rPr>
          <w:rFonts w:ascii="Arial" w:hAnsi="Arial" w:cs="Arial"/>
          <w:color w:val="002060"/>
          <w:lang w:val="en-US"/>
        </w:rPr>
        <w:t xml:space="preserve">underlying </w:t>
      </w:r>
      <w:r w:rsidR="00FE7E41" w:rsidRPr="001F5452">
        <w:rPr>
          <w:rFonts w:ascii="Arial" w:hAnsi="Arial" w:cs="Arial"/>
          <w:color w:val="002060"/>
          <w:lang w:val="en-US"/>
        </w:rPr>
        <w:t>position</w:t>
      </w:r>
      <w:r w:rsidR="00FE7E41">
        <w:rPr>
          <w:rFonts w:ascii="Arial" w:hAnsi="Arial" w:cs="Arial"/>
          <w:color w:val="002060"/>
          <w:lang w:val="en-US"/>
        </w:rPr>
        <w:t>s</w:t>
      </w:r>
      <w:r w:rsidR="00FE7E41" w:rsidRPr="001F5452">
        <w:rPr>
          <w:rFonts w:ascii="Arial" w:hAnsi="Arial" w:cs="Arial"/>
          <w:color w:val="002060"/>
          <w:lang w:val="en-US"/>
        </w:rPr>
        <w:t xml:space="preserve"> on ESG without having to </w:t>
      </w:r>
      <w:r w:rsidR="00FE7E41">
        <w:rPr>
          <w:rFonts w:ascii="Arial" w:hAnsi="Arial" w:cs="Arial"/>
          <w:color w:val="002060"/>
          <w:lang w:val="en-US"/>
        </w:rPr>
        <w:t>perform the</w:t>
      </w:r>
      <w:r w:rsidR="00FE7E41" w:rsidRPr="001F5452">
        <w:rPr>
          <w:rFonts w:ascii="Arial" w:hAnsi="Arial" w:cs="Arial"/>
          <w:color w:val="002060"/>
          <w:lang w:val="en-US"/>
        </w:rPr>
        <w:t xml:space="preserve"> transparency</w:t>
      </w:r>
      <w:r w:rsidR="00FE7E41">
        <w:rPr>
          <w:rFonts w:ascii="Arial" w:hAnsi="Arial" w:cs="Arial"/>
          <w:color w:val="002060"/>
          <w:lang w:val="en-US"/>
        </w:rPr>
        <w:t xml:space="preserve"> line by line</w:t>
      </w:r>
      <w:r w:rsidR="00FE7E41" w:rsidRPr="001F5452">
        <w:rPr>
          <w:rFonts w:ascii="Arial" w:hAnsi="Arial" w:cs="Arial"/>
          <w:color w:val="002060"/>
          <w:lang w:val="en-US"/>
        </w:rPr>
        <w:t>.</w:t>
      </w:r>
    </w:p>
    <w:p w14:paraId="50001BBF" w14:textId="77777777" w:rsidR="0068518D" w:rsidRPr="004610F3" w:rsidRDefault="0068518D" w:rsidP="0068518D">
      <w:pPr>
        <w:jc w:val="both"/>
        <w:rPr>
          <w:rFonts w:ascii="Arial" w:hAnsi="Arial" w:cs="Arial"/>
          <w:color w:val="002060"/>
          <w:lang w:val="en-GB"/>
        </w:rPr>
      </w:pPr>
      <w:r w:rsidRPr="004610F3">
        <w:rPr>
          <w:rFonts w:ascii="Arial" w:hAnsi="Arial" w:cs="Arial"/>
          <w:color w:val="002060"/>
          <w:lang w:val="en-US"/>
        </w:rPr>
        <w:t> </w:t>
      </w:r>
    </w:p>
    <w:p w14:paraId="2F354E5F" w14:textId="77777777" w:rsidR="0068518D" w:rsidRPr="004610F3" w:rsidRDefault="0068518D" w:rsidP="0068518D">
      <w:pPr>
        <w:jc w:val="both"/>
        <w:rPr>
          <w:rFonts w:ascii="Arial" w:hAnsi="Arial" w:cs="Arial"/>
          <w:color w:val="002060"/>
          <w:lang w:val="en-GB"/>
        </w:rPr>
      </w:pPr>
      <w:r w:rsidRPr="004610F3">
        <w:rPr>
          <w:rFonts w:ascii="Arial" w:hAnsi="Arial" w:cs="Arial"/>
          <w:color w:val="002060"/>
          <w:lang w:val="en-US"/>
        </w:rPr>
        <w:t>It is important to remind that investors should continue to benefit from both effective portfolio and risk management (Efficient Portfolio Management techniques - EPM) and ESG management in a same investment. Investors both financial and non-financial needs and preferences must be considered in this derivative and ESG discussion.</w:t>
      </w:r>
    </w:p>
    <w:p w14:paraId="44577510" w14:textId="77777777" w:rsidR="009E656E" w:rsidRPr="009E656E" w:rsidRDefault="009E656E" w:rsidP="006926E9">
      <w:pPr>
        <w:pStyle w:val="Default"/>
        <w:spacing w:after="175"/>
        <w:jc w:val="both"/>
        <w:rPr>
          <w:color w:val="808080" w:themeColor="background1" w:themeShade="80"/>
          <w:sz w:val="22"/>
          <w:szCs w:val="22"/>
          <w:lang w:val="en-GB"/>
        </w:rPr>
      </w:pPr>
    </w:p>
    <w:p w14:paraId="55059FC4" w14:textId="187A8378" w:rsidR="00FB6E58" w:rsidRDefault="00FB6E58" w:rsidP="003A5104">
      <w:pPr>
        <w:pStyle w:val="Default"/>
        <w:numPr>
          <w:ilvl w:val="0"/>
          <w:numId w:val="23"/>
        </w:numPr>
        <w:spacing w:after="175"/>
        <w:jc w:val="both"/>
        <w:rPr>
          <w:b/>
          <w:bCs/>
          <w:sz w:val="22"/>
          <w:szCs w:val="22"/>
          <w:lang w:val="en-US"/>
        </w:rPr>
      </w:pPr>
      <w:r w:rsidRPr="008229BE">
        <w:rPr>
          <w:b/>
          <w:bCs/>
          <w:sz w:val="22"/>
          <w:szCs w:val="22"/>
          <w:lang w:val="en-US"/>
        </w:rPr>
        <w:t>Would you suggest the use of the notional value or the market value for the purpose of the calculation of the minimum proportion of investment?</w:t>
      </w:r>
    </w:p>
    <w:p w14:paraId="27AA164B" w14:textId="0CA92F57" w:rsidR="0068518D" w:rsidRPr="0051572B" w:rsidRDefault="00814AD8" w:rsidP="003A5104">
      <w:pPr>
        <w:jc w:val="both"/>
        <w:rPr>
          <w:rFonts w:ascii="Arial" w:hAnsi="Arial" w:cs="Arial"/>
          <w:color w:val="002060"/>
          <w:lang w:val="en-US"/>
        </w:rPr>
      </w:pPr>
      <w:r>
        <w:rPr>
          <w:rFonts w:ascii="Arial" w:hAnsi="Arial" w:cs="Arial"/>
          <w:color w:val="002060"/>
          <w:lang w:val="en-US"/>
        </w:rPr>
        <w:t>GROUPAMA AM</w:t>
      </w:r>
      <w:r w:rsidR="0068518D" w:rsidRPr="0051572B">
        <w:rPr>
          <w:rFonts w:ascii="Arial" w:hAnsi="Arial" w:cs="Arial"/>
          <w:color w:val="002060"/>
          <w:lang w:val="en-US"/>
        </w:rPr>
        <w:t xml:space="preserve"> suggests the use of the exposure value</w:t>
      </w:r>
      <w:r w:rsidR="00FE7E41" w:rsidRPr="00FE7E41">
        <w:rPr>
          <w:rFonts w:ascii="Arial" w:hAnsi="Arial" w:cs="Arial"/>
          <w:color w:val="002060"/>
          <w:lang w:val="en-US"/>
        </w:rPr>
        <w:t>, i.e. the one referring to the delta approach which reflects the economic exposure that the derivative provides to the underlying asset(s) / companies.</w:t>
      </w:r>
      <w:r w:rsidR="0068518D" w:rsidRPr="0051572B">
        <w:rPr>
          <w:rFonts w:ascii="Arial" w:hAnsi="Arial" w:cs="Arial"/>
          <w:color w:val="002060"/>
          <w:lang w:val="en-US"/>
        </w:rPr>
        <w:t xml:space="preserve"> We propose to refer to the CESR 10-788 conversion methodologies.</w:t>
      </w:r>
    </w:p>
    <w:p w14:paraId="30513561" w14:textId="77777777" w:rsidR="0068518D" w:rsidRPr="008229BE" w:rsidRDefault="0068518D" w:rsidP="0068518D">
      <w:pPr>
        <w:pStyle w:val="Default"/>
        <w:spacing w:after="175"/>
        <w:jc w:val="both"/>
        <w:rPr>
          <w:sz w:val="22"/>
          <w:szCs w:val="22"/>
          <w:lang w:val="en-US"/>
        </w:rPr>
      </w:pPr>
    </w:p>
    <w:p w14:paraId="53CEF8BF" w14:textId="77777777" w:rsidR="00FB6E58" w:rsidRPr="008229BE" w:rsidRDefault="00FB6E58" w:rsidP="006926E9">
      <w:pPr>
        <w:pStyle w:val="Default"/>
        <w:spacing w:after="175"/>
        <w:jc w:val="both"/>
        <w:rPr>
          <w:sz w:val="22"/>
          <w:szCs w:val="22"/>
          <w:lang w:val="en-US"/>
        </w:rPr>
      </w:pPr>
      <w:r w:rsidRPr="008229BE">
        <w:rPr>
          <w:b/>
          <w:bCs/>
          <w:sz w:val="22"/>
          <w:szCs w:val="22"/>
          <w:lang w:val="en-US"/>
        </w:rPr>
        <w:t>b) Are there any other measures you would recommend for derivatives for the calculation of the minimum proportion of investments?</w:t>
      </w:r>
    </w:p>
    <w:p w14:paraId="5D69DAE4" w14:textId="2D543A92" w:rsidR="0068518D" w:rsidRPr="0051572B" w:rsidRDefault="00814AD8" w:rsidP="0051572B">
      <w:pPr>
        <w:pStyle w:val="Default"/>
        <w:jc w:val="both"/>
        <w:rPr>
          <w:color w:val="002060"/>
          <w:lang w:val="en-GB"/>
        </w:rPr>
      </w:pPr>
      <w:r>
        <w:rPr>
          <w:color w:val="002060"/>
          <w:sz w:val="22"/>
          <w:szCs w:val="22"/>
          <w:lang w:val="en-US"/>
        </w:rPr>
        <w:t>GROUPAMA AM</w:t>
      </w:r>
      <w:r w:rsidR="0068518D" w:rsidRPr="0051572B">
        <w:rPr>
          <w:color w:val="002060"/>
          <w:sz w:val="22"/>
          <w:szCs w:val="22"/>
          <w:lang w:val="en-US"/>
        </w:rPr>
        <w:t xml:space="preserve"> suggests that the following principle should be respected: derivatives should not be used in contradiction with the ESG objective or the main ESG features of the fund. </w:t>
      </w:r>
    </w:p>
    <w:p w14:paraId="40FF3791" w14:textId="77777777" w:rsidR="0068518D" w:rsidRPr="0051572B" w:rsidRDefault="0068518D" w:rsidP="0068518D">
      <w:pPr>
        <w:pStyle w:val="Default"/>
        <w:rPr>
          <w:color w:val="002060"/>
          <w:lang w:val="en-GB"/>
        </w:rPr>
      </w:pPr>
      <w:r w:rsidRPr="0051572B">
        <w:rPr>
          <w:color w:val="002060"/>
          <w:sz w:val="22"/>
          <w:szCs w:val="22"/>
          <w:lang w:val="en-GB"/>
        </w:rPr>
        <w:t> </w:t>
      </w:r>
    </w:p>
    <w:p w14:paraId="698D79DD" w14:textId="2E821363" w:rsidR="00727F72" w:rsidRPr="0051572B" w:rsidRDefault="00727F72" w:rsidP="003A5104">
      <w:pPr>
        <w:pStyle w:val="Default"/>
        <w:jc w:val="both"/>
        <w:rPr>
          <w:strike/>
          <w:color w:val="002060"/>
          <w:sz w:val="22"/>
          <w:szCs w:val="22"/>
          <w:lang w:val="en-US"/>
        </w:rPr>
      </w:pPr>
      <w:r w:rsidRPr="0051572B">
        <w:rPr>
          <w:color w:val="002060"/>
          <w:sz w:val="22"/>
          <w:szCs w:val="22"/>
          <w:lang w:val="en-US"/>
        </w:rPr>
        <w:t xml:space="preserve">Counterparty: Although there is not directly linked to the issue discussed, </w:t>
      </w:r>
      <w:r w:rsidR="00814AD8">
        <w:rPr>
          <w:color w:val="002060"/>
          <w:sz w:val="22"/>
          <w:szCs w:val="22"/>
          <w:lang w:val="en-US"/>
        </w:rPr>
        <w:t>GROUPAMA AM</w:t>
      </w:r>
      <w:r w:rsidRPr="0051572B">
        <w:rPr>
          <w:color w:val="002060"/>
          <w:sz w:val="22"/>
          <w:szCs w:val="22"/>
          <w:lang w:val="en-US"/>
        </w:rPr>
        <w:t xml:space="preserve"> suggests an additional safeguard on a different level, i.e. linked to the counterparty risk. </w:t>
      </w:r>
      <w:r w:rsidR="00814AD8">
        <w:rPr>
          <w:color w:val="002060"/>
          <w:sz w:val="22"/>
          <w:szCs w:val="22"/>
          <w:lang w:val="en-US"/>
        </w:rPr>
        <w:t>GROUPAMA AM</w:t>
      </w:r>
      <w:r w:rsidRPr="0051572B">
        <w:rPr>
          <w:color w:val="002060"/>
          <w:sz w:val="22"/>
          <w:szCs w:val="22"/>
          <w:lang w:val="en-US"/>
        </w:rPr>
        <w:t xml:space="preserve"> suggests that listed derivatives be considered compliant form an ESG standpoint and that OTC derivatives’ use require that the asset manager applies ESG guidance’s in his counterparties’ selection process. </w:t>
      </w:r>
    </w:p>
    <w:p w14:paraId="4629895C" w14:textId="77777777" w:rsidR="00BB3237" w:rsidRDefault="00BB3237" w:rsidP="00BB3237">
      <w:pPr>
        <w:pStyle w:val="Default"/>
        <w:spacing w:after="175"/>
        <w:jc w:val="both"/>
        <w:rPr>
          <w:bCs/>
          <w:color w:val="002060"/>
          <w:sz w:val="22"/>
          <w:szCs w:val="22"/>
          <w:lang w:val="en-US"/>
        </w:rPr>
      </w:pPr>
    </w:p>
    <w:p w14:paraId="42875D52" w14:textId="77777777" w:rsidR="00BB3237" w:rsidRPr="00007A29" w:rsidRDefault="00BB3237" w:rsidP="00BB323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20"/>
          <w:szCs w:val="20"/>
          <w:lang w:val="en-US"/>
        </w:rPr>
      </w:pPr>
      <w:r w:rsidRPr="00007A29">
        <w:rPr>
          <w:rFonts w:ascii="Arial" w:hAnsi="Arial" w:cs="Arial"/>
          <w:i/>
          <w:iCs/>
          <w:color w:val="000000"/>
          <w:sz w:val="20"/>
          <w:szCs w:val="20"/>
          <w:lang w:val="en-US"/>
        </w:rPr>
        <w:t xml:space="preserve">Further recommendations for specific type of funds </w:t>
      </w:r>
    </w:p>
    <w:p w14:paraId="5E13F6E4" w14:textId="77777777" w:rsidR="00BB3237" w:rsidRPr="00007A29" w:rsidRDefault="00BB3237" w:rsidP="00BB3237">
      <w:pPr>
        <w:pBdr>
          <w:top w:val="single" w:sz="4" w:space="1" w:color="auto"/>
          <w:left w:val="single" w:sz="4" w:space="4" w:color="auto"/>
          <w:bottom w:val="single" w:sz="4" w:space="1" w:color="auto"/>
          <w:right w:val="single" w:sz="4" w:space="4" w:color="auto"/>
        </w:pBdr>
        <w:autoSpaceDE w:val="0"/>
        <w:autoSpaceDN w:val="0"/>
        <w:adjustRightInd w:val="0"/>
        <w:spacing w:after="302" w:line="240" w:lineRule="auto"/>
        <w:rPr>
          <w:rFonts w:ascii="Arial" w:hAnsi="Arial" w:cs="Arial"/>
          <w:color w:val="000000"/>
          <w:sz w:val="20"/>
          <w:szCs w:val="20"/>
          <w:lang w:val="en-US"/>
        </w:rPr>
      </w:pPr>
      <w:r w:rsidRPr="00007A29">
        <w:rPr>
          <w:rFonts w:ascii="Arial" w:hAnsi="Arial" w:cs="Arial"/>
          <w:color w:val="000000"/>
          <w:sz w:val="20"/>
          <w:szCs w:val="20"/>
          <w:lang w:val="en-US"/>
        </w:rPr>
        <w:t xml:space="preserve">19. Funds designating an index as a reference benchmark could use ESG- and sustainability- related words in their name only if the guidance under paragraphs 16 and 17 are fulfilled by the fund. </w:t>
      </w:r>
    </w:p>
    <w:p w14:paraId="3EF37C71" w14:textId="77777777" w:rsidR="00BB3237" w:rsidRPr="00007A29" w:rsidRDefault="00BB3237" w:rsidP="00BB323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20"/>
          <w:szCs w:val="20"/>
          <w:lang w:val="en-US"/>
        </w:rPr>
      </w:pPr>
      <w:r w:rsidRPr="00007A29">
        <w:rPr>
          <w:rFonts w:ascii="Arial" w:hAnsi="Arial" w:cs="Arial"/>
          <w:color w:val="000000"/>
          <w:sz w:val="20"/>
          <w:szCs w:val="20"/>
          <w:lang w:val="en-US"/>
        </w:rPr>
        <w:t xml:space="preserve">20. The use of the word “impact” or “impact investing” or any other impact-related term should be used only by funds meeting the quantitative thresholds set out in paragraphs 16 and 17, and additionally whose investments under the minimum proportions mentioned in those paragraphs are made with the intention to generate positive, measurable social or environmental impact alongside a financial return. </w:t>
      </w:r>
    </w:p>
    <w:p w14:paraId="1DF9DF4F" w14:textId="77777777" w:rsidR="00BB3237" w:rsidRPr="00B929B8" w:rsidRDefault="00BB3237" w:rsidP="00BB3237">
      <w:pPr>
        <w:pStyle w:val="Default"/>
        <w:spacing w:after="175"/>
        <w:jc w:val="both"/>
        <w:rPr>
          <w:bCs/>
          <w:color w:val="002060"/>
          <w:sz w:val="22"/>
          <w:szCs w:val="22"/>
          <w:lang w:val="en-US"/>
        </w:rPr>
      </w:pPr>
    </w:p>
    <w:p w14:paraId="21E9B0D8" w14:textId="25FC8A7F" w:rsidR="0051572B" w:rsidRPr="0051572B" w:rsidRDefault="00FB6E58" w:rsidP="006926E9">
      <w:pPr>
        <w:pStyle w:val="Default"/>
        <w:spacing w:after="175"/>
        <w:jc w:val="both"/>
        <w:rPr>
          <w:sz w:val="22"/>
          <w:szCs w:val="22"/>
          <w:lang w:val="en-US"/>
        </w:rPr>
      </w:pPr>
      <w:r w:rsidRPr="00007A29">
        <w:rPr>
          <w:b/>
          <w:bCs/>
          <w:sz w:val="22"/>
          <w:szCs w:val="22"/>
          <w:lang w:val="en-US"/>
        </w:rPr>
        <w:lastRenderedPageBreak/>
        <w:t>Q8. Do you agree that funds designating an index as a reference benchmark should also consider the same requirements for funds’ names as any other fund? If not, explain why and provide an alternative proposal.</w:t>
      </w:r>
    </w:p>
    <w:p w14:paraId="72AFE7E8" w14:textId="77777777" w:rsidR="0068518D" w:rsidRPr="0051572B" w:rsidRDefault="0068518D" w:rsidP="0068518D">
      <w:pPr>
        <w:jc w:val="both"/>
        <w:rPr>
          <w:rFonts w:ascii="Arial" w:hAnsi="Arial" w:cs="Arial"/>
          <w:color w:val="002060"/>
          <w:lang w:val="en-GB"/>
        </w:rPr>
      </w:pPr>
      <w:r w:rsidRPr="0051572B">
        <w:rPr>
          <w:rFonts w:ascii="Arial" w:hAnsi="Arial" w:cs="Arial"/>
          <w:color w:val="002060"/>
          <w:lang w:val="en-US"/>
        </w:rPr>
        <w:t xml:space="preserve">Is this question related to index funds? In this case, the question is very relevant indeed. </w:t>
      </w:r>
    </w:p>
    <w:p w14:paraId="564FCD2C" w14:textId="0210022A" w:rsidR="0068518D" w:rsidRPr="0051572B" w:rsidRDefault="0068518D" w:rsidP="0068518D">
      <w:pPr>
        <w:jc w:val="both"/>
        <w:rPr>
          <w:rFonts w:ascii="Arial" w:hAnsi="Arial" w:cs="Arial"/>
          <w:color w:val="002060"/>
          <w:lang w:val="en-US"/>
        </w:rPr>
      </w:pPr>
      <w:r w:rsidRPr="0051572B">
        <w:rPr>
          <w:rFonts w:ascii="Arial" w:hAnsi="Arial" w:cs="Arial"/>
          <w:color w:val="002060"/>
          <w:lang w:val="en-US"/>
        </w:rPr>
        <w:t xml:space="preserve">It should be noted that index providers are not in the SFDR’s scope and that BMR only gives criteria for CTB and PAB indices with only some transparency asked for other ESG benchmarks. Asset managers agree that the same requirements should apply as soon as index providers are in the scope too. For the time being, they are not in the SFDR’s scope and not in these Guidelines’ scope. From an ecosystem point of view, there is thus a regulatory mismatch between index funds and their indices’ regulations in terms of ESG rules. The same applies for other products than funds marketed to retail clients, like structured notes for instance, which are not subject to the same rules. Regulators have a global responsibility of bringing forward a coherent ESG approach towards retail, whatever the investment product they are proposed. </w:t>
      </w:r>
    </w:p>
    <w:p w14:paraId="4E7F00A1" w14:textId="48D51496" w:rsidR="0068518D" w:rsidRPr="0051572B" w:rsidRDefault="0068518D" w:rsidP="0068518D">
      <w:pPr>
        <w:jc w:val="both"/>
        <w:rPr>
          <w:rFonts w:ascii="Arial" w:hAnsi="Arial" w:cs="Arial"/>
          <w:color w:val="002060"/>
          <w:lang w:val="en-US"/>
        </w:rPr>
      </w:pPr>
      <w:r w:rsidRPr="0051572B">
        <w:rPr>
          <w:rFonts w:ascii="Arial" w:hAnsi="Arial" w:cs="Arial"/>
          <w:color w:val="002060"/>
          <w:lang w:val="en-US"/>
        </w:rPr>
        <w:t xml:space="preserve">Thus, taking into account the current context is of </w:t>
      </w:r>
      <w:r w:rsidRPr="009D7305">
        <w:rPr>
          <w:rFonts w:ascii="Arial" w:hAnsi="Arial" w:cs="Arial"/>
          <w:color w:val="002060"/>
          <w:lang w:val="en-US"/>
        </w:rPr>
        <w:t xml:space="preserve">utmost importance. Therefore, </w:t>
      </w:r>
      <w:r w:rsidR="00AA1558" w:rsidRPr="009D7305">
        <w:rPr>
          <w:rFonts w:ascii="Arial" w:hAnsi="Arial" w:cs="Arial"/>
          <w:color w:val="002060"/>
          <w:lang w:val="en-US"/>
        </w:rPr>
        <w:t xml:space="preserve">some members of </w:t>
      </w:r>
      <w:r w:rsidR="00814AD8">
        <w:rPr>
          <w:rFonts w:ascii="Arial" w:hAnsi="Arial" w:cs="Arial"/>
          <w:color w:val="002060"/>
          <w:lang w:val="en-US"/>
        </w:rPr>
        <w:t>GROUPAMA AM</w:t>
      </w:r>
      <w:r w:rsidRPr="009D7305">
        <w:rPr>
          <w:rFonts w:ascii="Arial" w:hAnsi="Arial" w:cs="Arial"/>
          <w:color w:val="002060"/>
          <w:lang w:val="en-US"/>
        </w:rPr>
        <w:t xml:space="preserve"> believes that index and structured funds should for the time being be granted a temporary exemption. </w:t>
      </w:r>
      <w:r w:rsidR="003B0B64" w:rsidRPr="009D7305">
        <w:rPr>
          <w:rFonts w:ascii="Arial" w:hAnsi="Arial" w:cs="Arial"/>
          <w:color w:val="002060"/>
          <w:lang w:val="en-US"/>
        </w:rPr>
        <w:t xml:space="preserve">Some of our members </w:t>
      </w:r>
      <w:r w:rsidRPr="009D7305">
        <w:rPr>
          <w:rFonts w:ascii="Arial" w:hAnsi="Arial" w:cs="Arial"/>
          <w:color w:val="002060"/>
          <w:lang w:val="en-US"/>
        </w:rPr>
        <w:t xml:space="preserve">believe for instance that as long as the Sustainable Investment (SI) definition is not </w:t>
      </w:r>
      <w:proofErr w:type="spellStart"/>
      <w:r w:rsidRPr="009D7305">
        <w:rPr>
          <w:rFonts w:ascii="Arial" w:hAnsi="Arial" w:cs="Arial"/>
          <w:color w:val="002060"/>
          <w:lang w:val="en-US"/>
        </w:rPr>
        <w:t>harmonised</w:t>
      </w:r>
      <w:proofErr w:type="spellEnd"/>
      <w:r w:rsidRPr="009D7305">
        <w:rPr>
          <w:rFonts w:ascii="Arial" w:hAnsi="Arial" w:cs="Arial"/>
          <w:color w:val="002060"/>
          <w:lang w:val="en-US"/>
        </w:rPr>
        <w:t>, asset managers (that have both active and index products) must have the choice, for the index products, between using their own SI metrics or using the index provider’s ones. In the same vein, until benchmark producers</w:t>
      </w:r>
      <w:r w:rsidRPr="0051572B">
        <w:rPr>
          <w:rFonts w:ascii="Arial" w:hAnsi="Arial" w:cs="Arial"/>
          <w:color w:val="002060"/>
          <w:lang w:val="en-US"/>
        </w:rPr>
        <w:t xml:space="preserve"> are not in the scope of SFRD and all linked guidelines, it is unconceivable that they will apply strictly on their own initiative the naming conventions on their products. It is thus very uncomfortable in terms of end investors coherent information to track an index (or offer exposure to) and not be able to use the index name. The resulting transparency owed to the investors would be flawed. </w:t>
      </w:r>
    </w:p>
    <w:p w14:paraId="7947ECB0" w14:textId="77777777" w:rsidR="0068518D" w:rsidRPr="0051572B" w:rsidRDefault="0068518D" w:rsidP="0068518D">
      <w:pPr>
        <w:jc w:val="both"/>
        <w:rPr>
          <w:rFonts w:ascii="Arial" w:hAnsi="Arial" w:cs="Arial"/>
          <w:color w:val="002060"/>
          <w:lang w:val="en-US"/>
        </w:rPr>
      </w:pPr>
    </w:p>
    <w:p w14:paraId="35C4D4BA" w14:textId="421A8EF2" w:rsidR="0068518D" w:rsidRPr="0051572B" w:rsidRDefault="0068518D" w:rsidP="0068518D">
      <w:pPr>
        <w:jc w:val="both"/>
        <w:rPr>
          <w:rFonts w:ascii="Arial" w:hAnsi="Arial" w:cs="Arial"/>
          <w:i/>
          <w:iCs/>
          <w:color w:val="002060"/>
          <w:lang w:val="en-US"/>
        </w:rPr>
      </w:pPr>
      <w:r w:rsidRPr="0051572B">
        <w:rPr>
          <w:rFonts w:ascii="Arial" w:hAnsi="Arial" w:cs="Arial"/>
          <w:i/>
          <w:iCs/>
          <w:color w:val="002060"/>
          <w:lang w:val="en-US"/>
        </w:rPr>
        <w:t>Index funds</w:t>
      </w:r>
    </w:p>
    <w:p w14:paraId="5B21BA56" w14:textId="77777777" w:rsidR="0068518D" w:rsidRPr="0051572B" w:rsidRDefault="0068518D" w:rsidP="0068518D">
      <w:pPr>
        <w:jc w:val="both"/>
        <w:rPr>
          <w:rFonts w:ascii="Arial" w:hAnsi="Arial" w:cs="Arial"/>
          <w:color w:val="002060"/>
          <w:lang w:val="en-US"/>
        </w:rPr>
      </w:pPr>
      <w:r w:rsidRPr="0051572B">
        <w:rPr>
          <w:rFonts w:ascii="Arial" w:hAnsi="Arial" w:cs="Arial"/>
          <w:color w:val="002060"/>
          <w:lang w:val="en-US"/>
        </w:rPr>
        <w:t xml:space="preserve">It should also be reminded contractual obligations upon the asset manager to use the index name (that they pay). In index funds, the use of indices is managed according to the license agreement signed by the asset manager with the index provider. This contract defines do’s and </w:t>
      </w:r>
      <w:proofErr w:type="spellStart"/>
      <w:r w:rsidRPr="0051572B">
        <w:rPr>
          <w:rFonts w:ascii="Arial" w:hAnsi="Arial" w:cs="Arial"/>
          <w:color w:val="002060"/>
          <w:lang w:val="en-US"/>
        </w:rPr>
        <w:t>don’t</w:t>
      </w:r>
      <w:proofErr w:type="spellEnd"/>
      <w:r w:rsidRPr="0051572B">
        <w:rPr>
          <w:rFonts w:ascii="Arial" w:hAnsi="Arial" w:cs="Arial"/>
          <w:color w:val="002060"/>
          <w:lang w:val="en-US"/>
        </w:rPr>
        <w:t xml:space="preserve"> asset managers have to comply with:</w:t>
      </w:r>
    </w:p>
    <w:p w14:paraId="37F65C1F" w14:textId="77777777" w:rsidR="0068518D" w:rsidRPr="0051572B" w:rsidRDefault="0068518D" w:rsidP="0068518D">
      <w:pPr>
        <w:pStyle w:val="Commentaire"/>
        <w:numPr>
          <w:ilvl w:val="0"/>
          <w:numId w:val="24"/>
        </w:numPr>
        <w:spacing w:after="0"/>
        <w:jc w:val="both"/>
        <w:rPr>
          <w:rFonts w:ascii="Arial" w:hAnsi="Arial" w:cs="Arial"/>
          <w:color w:val="002060"/>
          <w:sz w:val="22"/>
          <w:szCs w:val="22"/>
          <w:lang w:val="en-US"/>
        </w:rPr>
      </w:pPr>
      <w:r w:rsidRPr="0051572B">
        <w:rPr>
          <w:rFonts w:ascii="Arial" w:hAnsi="Arial" w:cs="Arial"/>
          <w:color w:val="002060"/>
          <w:sz w:val="22"/>
          <w:szCs w:val="22"/>
          <w:lang w:val="en-US"/>
        </w:rPr>
        <w:t xml:space="preserve"> Use the index name in the fund’s name</w:t>
      </w:r>
    </w:p>
    <w:p w14:paraId="0138D3CD" w14:textId="77777777" w:rsidR="0068518D" w:rsidRPr="0051572B" w:rsidRDefault="0068518D" w:rsidP="0068518D">
      <w:pPr>
        <w:pStyle w:val="Commentaire"/>
        <w:numPr>
          <w:ilvl w:val="0"/>
          <w:numId w:val="24"/>
        </w:numPr>
        <w:spacing w:after="0"/>
        <w:jc w:val="both"/>
        <w:rPr>
          <w:rFonts w:ascii="Arial" w:hAnsi="Arial" w:cs="Arial"/>
          <w:color w:val="002060"/>
          <w:sz w:val="22"/>
          <w:szCs w:val="22"/>
          <w:lang w:val="en-US"/>
        </w:rPr>
      </w:pPr>
      <w:r w:rsidRPr="0051572B">
        <w:rPr>
          <w:rFonts w:ascii="Arial" w:hAnsi="Arial" w:cs="Arial"/>
          <w:color w:val="002060"/>
          <w:sz w:val="22"/>
          <w:szCs w:val="22"/>
          <w:lang w:val="en-US"/>
        </w:rPr>
        <w:t xml:space="preserve"> Constraints in terms of fund’s disclosures and portfolio transparency </w:t>
      </w:r>
    </w:p>
    <w:p w14:paraId="7C221E56" w14:textId="63A0A6C1" w:rsidR="0068518D" w:rsidRPr="0051572B" w:rsidRDefault="0068518D" w:rsidP="0068518D">
      <w:pPr>
        <w:pStyle w:val="Commentaire"/>
        <w:jc w:val="both"/>
        <w:rPr>
          <w:rFonts w:ascii="Arial" w:hAnsi="Arial" w:cs="Arial"/>
          <w:color w:val="002060"/>
          <w:sz w:val="22"/>
          <w:szCs w:val="22"/>
          <w:lang w:val="en-US"/>
        </w:rPr>
      </w:pPr>
      <w:r w:rsidRPr="0051572B">
        <w:rPr>
          <w:rFonts w:ascii="Arial" w:hAnsi="Arial" w:cs="Arial"/>
          <w:color w:val="002060"/>
          <w:sz w:val="22"/>
          <w:szCs w:val="22"/>
          <w:lang w:val="en-US"/>
        </w:rPr>
        <w:t>It is not always easy (from an asset manager’s perspective) to change the name of a product… especially if the index is managed by a non-European entity or an index provider (for ex a stock exchange) for which delta</w:t>
      </w:r>
      <w:r w:rsidR="00FE7E41">
        <w:rPr>
          <w:rFonts w:ascii="Arial" w:hAnsi="Arial" w:cs="Arial"/>
          <w:color w:val="002060"/>
          <w:sz w:val="22"/>
          <w:szCs w:val="22"/>
          <w:lang w:val="en-US"/>
        </w:rPr>
        <w:t>-</w:t>
      </w:r>
      <w:r w:rsidRPr="0051572B">
        <w:rPr>
          <w:rFonts w:ascii="Arial" w:hAnsi="Arial" w:cs="Arial"/>
          <w:color w:val="002060"/>
          <w:sz w:val="22"/>
          <w:szCs w:val="22"/>
          <w:lang w:val="en-US"/>
        </w:rPr>
        <w:t xml:space="preserve">one products are not considered as strategic products. In other words, index providers (being a global entity or not) are not bound (nor always interested from a business point a view) to comply with European regulations and there is little incentive to change the index name according to European constraints. In addition CTB and PAB indices should still be named as they are today. </w:t>
      </w:r>
    </w:p>
    <w:p w14:paraId="43F2B24B" w14:textId="77777777" w:rsidR="0068518D" w:rsidRPr="0051572B" w:rsidRDefault="0068518D" w:rsidP="0068518D">
      <w:pPr>
        <w:pStyle w:val="Commentaire"/>
        <w:jc w:val="both"/>
        <w:rPr>
          <w:rFonts w:ascii="Arial" w:hAnsi="Arial" w:cs="Arial"/>
          <w:color w:val="002060"/>
          <w:sz w:val="22"/>
          <w:szCs w:val="22"/>
          <w:lang w:val="en-US"/>
        </w:rPr>
      </w:pPr>
    </w:p>
    <w:p w14:paraId="5AF8BD40" w14:textId="0FEA9EDA" w:rsidR="0068518D" w:rsidRPr="0051572B" w:rsidRDefault="0068518D" w:rsidP="0068518D">
      <w:pPr>
        <w:pStyle w:val="Commentaire"/>
        <w:jc w:val="both"/>
        <w:rPr>
          <w:rFonts w:ascii="Arial" w:hAnsi="Arial" w:cs="Arial"/>
          <w:i/>
          <w:iCs/>
          <w:color w:val="002060"/>
          <w:sz w:val="22"/>
          <w:szCs w:val="22"/>
          <w:lang w:val="en-US"/>
        </w:rPr>
      </w:pPr>
      <w:r w:rsidRPr="0051572B">
        <w:rPr>
          <w:rFonts w:ascii="Arial" w:hAnsi="Arial" w:cs="Arial"/>
          <w:i/>
          <w:iCs/>
          <w:color w:val="002060"/>
          <w:sz w:val="22"/>
          <w:szCs w:val="22"/>
          <w:lang w:val="en-US"/>
        </w:rPr>
        <w:t>Structured funds</w:t>
      </w:r>
    </w:p>
    <w:p w14:paraId="13811F56" w14:textId="5A2B63F3" w:rsidR="0068518D" w:rsidRPr="009D7305" w:rsidRDefault="0068518D" w:rsidP="0068518D">
      <w:pPr>
        <w:pStyle w:val="Commentaire"/>
        <w:jc w:val="both"/>
        <w:rPr>
          <w:rFonts w:ascii="Arial" w:hAnsi="Arial" w:cs="Arial"/>
          <w:color w:val="002060"/>
          <w:sz w:val="22"/>
          <w:szCs w:val="22"/>
          <w:lang w:val="en-US"/>
        </w:rPr>
      </w:pPr>
      <w:r w:rsidRPr="0051572B">
        <w:rPr>
          <w:rFonts w:ascii="Arial" w:hAnsi="Arial" w:cs="Arial"/>
          <w:color w:val="002060"/>
          <w:sz w:val="22"/>
          <w:szCs w:val="22"/>
          <w:lang w:val="en-US"/>
        </w:rPr>
        <w:t xml:space="preserve">Regarding structured funds (like formula </w:t>
      </w:r>
      <w:r w:rsidRPr="009D7305">
        <w:rPr>
          <w:rFonts w:ascii="Arial" w:hAnsi="Arial" w:cs="Arial"/>
          <w:color w:val="002060"/>
          <w:sz w:val="22"/>
          <w:szCs w:val="22"/>
          <w:lang w:val="en-US"/>
        </w:rPr>
        <w:t xml:space="preserve">funds), </w:t>
      </w:r>
      <w:r w:rsidR="00AA1558" w:rsidRPr="009D7305">
        <w:rPr>
          <w:rFonts w:ascii="Arial" w:hAnsi="Arial" w:cs="Arial"/>
          <w:color w:val="002060"/>
          <w:sz w:val="22"/>
          <w:szCs w:val="22"/>
          <w:lang w:val="en-US"/>
        </w:rPr>
        <w:t xml:space="preserve">some members think </w:t>
      </w:r>
      <w:r w:rsidRPr="009D7305">
        <w:rPr>
          <w:rFonts w:ascii="Arial" w:hAnsi="Arial" w:cs="Arial"/>
          <w:color w:val="002060"/>
          <w:sz w:val="22"/>
          <w:szCs w:val="22"/>
          <w:lang w:val="en-US"/>
        </w:rPr>
        <w:t xml:space="preserve">they should also be excluded at this stage to allow these rules to be adapted to the required management techniques. Indeed, when a formula fund offers indexation to an underlying index, the name of the fund must be able to reflect the reality and the theme of this exposure, otherwise the investor may be misled as to the economic exposure to which the fund is committed. </w:t>
      </w:r>
    </w:p>
    <w:p w14:paraId="5B9BECF9" w14:textId="77777777" w:rsidR="0068518D" w:rsidRPr="009D7305" w:rsidRDefault="0068518D" w:rsidP="0068518D">
      <w:pPr>
        <w:pStyle w:val="Commentaire"/>
        <w:jc w:val="both"/>
        <w:rPr>
          <w:rFonts w:ascii="Arial" w:hAnsi="Arial" w:cs="Arial"/>
          <w:color w:val="002060"/>
          <w:sz w:val="22"/>
          <w:szCs w:val="22"/>
          <w:lang w:val="en-US"/>
        </w:rPr>
      </w:pPr>
    </w:p>
    <w:p w14:paraId="07DEF848" w14:textId="7589B8E6" w:rsidR="0068518D" w:rsidRPr="0051572B" w:rsidRDefault="0068518D" w:rsidP="0068518D">
      <w:pPr>
        <w:pStyle w:val="Commentaire"/>
        <w:jc w:val="both"/>
        <w:rPr>
          <w:rFonts w:ascii="Arial" w:hAnsi="Arial" w:cs="Arial"/>
          <w:color w:val="002060"/>
          <w:sz w:val="22"/>
          <w:szCs w:val="22"/>
          <w:lang w:val="en-US"/>
        </w:rPr>
      </w:pPr>
      <w:r w:rsidRPr="009D7305">
        <w:rPr>
          <w:rFonts w:ascii="Arial" w:hAnsi="Arial" w:cs="Arial"/>
          <w:color w:val="002060"/>
          <w:sz w:val="22"/>
          <w:szCs w:val="22"/>
          <w:lang w:val="en-US"/>
        </w:rPr>
        <w:t>At the very least,</w:t>
      </w:r>
      <w:r w:rsidR="00AA1558" w:rsidRPr="009D7305">
        <w:rPr>
          <w:rFonts w:ascii="Arial" w:hAnsi="Arial" w:cs="Arial"/>
          <w:color w:val="002060"/>
          <w:sz w:val="22"/>
          <w:szCs w:val="22"/>
          <w:lang w:val="en-US"/>
        </w:rPr>
        <w:t xml:space="preserve"> (1)</w:t>
      </w:r>
      <w:r w:rsidRPr="009D7305">
        <w:rPr>
          <w:rFonts w:ascii="Arial" w:hAnsi="Arial" w:cs="Arial"/>
          <w:color w:val="002060"/>
          <w:sz w:val="22"/>
          <w:szCs w:val="22"/>
          <w:lang w:val="en-US"/>
        </w:rPr>
        <w:t xml:space="preserve"> it is essential that existing structured funds (and in particular formula funds) benefit from a grandfather clause until their maturity, because:</w:t>
      </w:r>
    </w:p>
    <w:p w14:paraId="0FE7A43F" w14:textId="77777777" w:rsidR="0068518D" w:rsidRPr="0051572B" w:rsidRDefault="0068518D" w:rsidP="0068518D">
      <w:pPr>
        <w:pStyle w:val="Commentaire"/>
        <w:numPr>
          <w:ilvl w:val="0"/>
          <w:numId w:val="24"/>
        </w:numPr>
        <w:spacing w:after="0"/>
        <w:jc w:val="both"/>
        <w:rPr>
          <w:rFonts w:ascii="Arial" w:hAnsi="Arial" w:cs="Arial"/>
          <w:color w:val="002060"/>
          <w:sz w:val="22"/>
          <w:szCs w:val="22"/>
          <w:lang w:val="en-US"/>
        </w:rPr>
      </w:pPr>
      <w:r w:rsidRPr="0051572B">
        <w:rPr>
          <w:rFonts w:ascii="Arial" w:hAnsi="Arial" w:cs="Arial"/>
          <w:color w:val="002060"/>
          <w:sz w:val="22"/>
          <w:szCs w:val="22"/>
          <w:lang w:val="en-US"/>
        </w:rPr>
        <w:t>These funds are closed to marketing: they are therefore no longer subject to new investments,</w:t>
      </w:r>
    </w:p>
    <w:p w14:paraId="4494C04E" w14:textId="77777777" w:rsidR="0068518D" w:rsidRPr="009D7305" w:rsidRDefault="0068518D" w:rsidP="0068518D">
      <w:pPr>
        <w:pStyle w:val="Commentaire"/>
        <w:numPr>
          <w:ilvl w:val="0"/>
          <w:numId w:val="24"/>
        </w:numPr>
        <w:spacing w:after="0"/>
        <w:jc w:val="both"/>
        <w:rPr>
          <w:rFonts w:ascii="Arial" w:hAnsi="Arial" w:cs="Arial"/>
          <w:color w:val="002060"/>
          <w:sz w:val="22"/>
          <w:szCs w:val="22"/>
          <w:lang w:val="en-US"/>
        </w:rPr>
      </w:pPr>
      <w:r w:rsidRPr="0051572B">
        <w:rPr>
          <w:rFonts w:ascii="Arial" w:hAnsi="Arial" w:cs="Arial"/>
          <w:color w:val="002060"/>
          <w:sz w:val="22"/>
          <w:szCs w:val="22"/>
          <w:lang w:val="en-US"/>
        </w:rPr>
        <w:lastRenderedPageBreak/>
        <w:t xml:space="preserve">The financial conditions have been set for the entire life of the fund on the basis of the regulations applicable at their launch: changing the terms of structuring is therefore impossible without calling into question the terms of the fund,- A change of name would risk casting illegitimate suspicion on the world of management and reliability of offers, and generating confusion of </w:t>
      </w:r>
      <w:r w:rsidRPr="009D7305">
        <w:rPr>
          <w:rFonts w:ascii="Arial" w:hAnsi="Arial" w:cs="Arial"/>
          <w:color w:val="002060"/>
          <w:sz w:val="22"/>
          <w:szCs w:val="22"/>
          <w:lang w:val="en-US"/>
        </w:rPr>
        <w:t>requests for redemptions before maturity which, given market conditions, could be made to the detriment of investors, at levels significantly below the protection level.</w:t>
      </w:r>
    </w:p>
    <w:p w14:paraId="19A24BC0" w14:textId="5BB1056C" w:rsidR="0068518D" w:rsidRPr="009D7305" w:rsidRDefault="00AA1558" w:rsidP="0068518D">
      <w:pPr>
        <w:jc w:val="both"/>
        <w:rPr>
          <w:rFonts w:ascii="Arial" w:hAnsi="Arial" w:cs="Arial"/>
          <w:color w:val="002060"/>
          <w:lang w:val="en-US"/>
        </w:rPr>
      </w:pPr>
      <w:r w:rsidRPr="009D7305">
        <w:rPr>
          <w:rFonts w:ascii="Arial" w:hAnsi="Arial" w:cs="Arial"/>
          <w:color w:val="002060"/>
          <w:lang w:val="en-US"/>
        </w:rPr>
        <w:t>And that (2) only the risky part at inception could follow the same rules as mutual funds.</w:t>
      </w:r>
    </w:p>
    <w:p w14:paraId="0240CF4F" w14:textId="56129800" w:rsidR="0068518D" w:rsidRPr="0051572B" w:rsidRDefault="0068518D" w:rsidP="0068518D">
      <w:pPr>
        <w:jc w:val="both"/>
        <w:rPr>
          <w:rFonts w:ascii="Arial" w:hAnsi="Arial" w:cs="Arial"/>
          <w:color w:val="002060"/>
          <w:lang w:val="en-US"/>
        </w:rPr>
      </w:pPr>
      <w:r w:rsidRPr="009D7305">
        <w:rPr>
          <w:rFonts w:ascii="Arial" w:hAnsi="Arial" w:cs="Arial"/>
          <w:color w:val="002060"/>
          <w:lang w:val="en-US"/>
        </w:rPr>
        <w:t>Last but not least, E</w:t>
      </w:r>
      <w:r w:rsidR="002C118C" w:rsidRPr="009D7305">
        <w:rPr>
          <w:rFonts w:ascii="Arial" w:hAnsi="Arial" w:cs="Arial"/>
          <w:color w:val="002060"/>
          <w:lang w:val="en-US"/>
        </w:rPr>
        <w:t>S</w:t>
      </w:r>
      <w:r w:rsidRPr="009D7305">
        <w:rPr>
          <w:rFonts w:ascii="Arial" w:hAnsi="Arial" w:cs="Arial"/>
          <w:color w:val="002060"/>
          <w:lang w:val="en-US"/>
        </w:rPr>
        <w:t>MA should ensure with the other ESAs that there is level playing field with other index or formula-based products that are not funds and that also target</w:t>
      </w:r>
      <w:r w:rsidRPr="0051572B">
        <w:rPr>
          <w:rFonts w:ascii="Arial" w:hAnsi="Arial" w:cs="Arial"/>
          <w:color w:val="002060"/>
          <w:lang w:val="en-US"/>
        </w:rPr>
        <w:t xml:space="preserve"> retail like notes, EMTNs, </w:t>
      </w:r>
      <w:proofErr w:type="spellStart"/>
      <w:r w:rsidRPr="0051572B">
        <w:rPr>
          <w:rFonts w:ascii="Arial" w:hAnsi="Arial" w:cs="Arial"/>
          <w:color w:val="002060"/>
          <w:lang w:val="en-US"/>
        </w:rPr>
        <w:t>etc</w:t>
      </w:r>
      <w:proofErr w:type="spellEnd"/>
      <w:r w:rsidRPr="0051572B">
        <w:rPr>
          <w:rFonts w:ascii="Arial" w:hAnsi="Arial" w:cs="Arial"/>
          <w:color w:val="002060"/>
          <w:lang w:val="en-US"/>
        </w:rPr>
        <w:t xml:space="preserve"> for instance.</w:t>
      </w:r>
    </w:p>
    <w:p w14:paraId="66EA90D2" w14:textId="77777777" w:rsidR="0068518D" w:rsidRPr="008229BE" w:rsidRDefault="0068518D" w:rsidP="006926E9">
      <w:pPr>
        <w:pStyle w:val="Default"/>
        <w:spacing w:after="175"/>
        <w:jc w:val="both"/>
        <w:rPr>
          <w:b/>
          <w:bCs/>
          <w:color w:val="C00000"/>
          <w:sz w:val="22"/>
          <w:szCs w:val="22"/>
          <w:lang w:val="en-US"/>
        </w:rPr>
      </w:pPr>
    </w:p>
    <w:p w14:paraId="0CBC103E" w14:textId="77777777" w:rsidR="00FB6E58" w:rsidRDefault="00FB6E58" w:rsidP="006926E9">
      <w:pPr>
        <w:pStyle w:val="Default"/>
        <w:spacing w:after="175"/>
        <w:jc w:val="both"/>
        <w:rPr>
          <w:b/>
          <w:bCs/>
          <w:sz w:val="22"/>
          <w:szCs w:val="22"/>
          <w:lang w:val="en-US"/>
        </w:rPr>
      </w:pPr>
      <w:r w:rsidRPr="00007A29">
        <w:rPr>
          <w:b/>
          <w:bCs/>
          <w:sz w:val="22"/>
          <w:szCs w:val="22"/>
          <w:lang w:val="en-US"/>
        </w:rPr>
        <w:t>Q9. Would you make a distinction between physical and synthetic replication, for example in relation to the collateral held, of an index?</w:t>
      </w:r>
    </w:p>
    <w:p w14:paraId="1D12232B" w14:textId="3B50DB6E" w:rsidR="0068518D" w:rsidRPr="0051572B" w:rsidRDefault="0068518D" w:rsidP="0068518D">
      <w:pPr>
        <w:jc w:val="both"/>
        <w:rPr>
          <w:rFonts w:ascii="Arial" w:hAnsi="Arial" w:cs="Arial"/>
          <w:color w:val="002060"/>
          <w:lang w:val="en-US"/>
        </w:rPr>
      </w:pPr>
      <w:r w:rsidRPr="0051572B">
        <w:rPr>
          <w:rFonts w:ascii="Arial" w:hAnsi="Arial" w:cs="Arial"/>
          <w:color w:val="002060"/>
          <w:lang w:val="en-US"/>
        </w:rPr>
        <w:t>No.</w:t>
      </w:r>
      <w:r w:rsidR="00260403" w:rsidRPr="0051572B">
        <w:rPr>
          <w:rFonts w:ascii="Arial" w:hAnsi="Arial" w:cs="Arial"/>
          <w:color w:val="002060"/>
          <w:lang w:val="en-US"/>
        </w:rPr>
        <w:t xml:space="preserve"> For funds replicating</w:t>
      </w:r>
      <w:r w:rsidR="00FE7E41">
        <w:rPr>
          <w:rFonts w:ascii="Arial" w:hAnsi="Arial" w:cs="Arial"/>
          <w:color w:val="002060"/>
          <w:lang w:val="en-US"/>
        </w:rPr>
        <w:t xml:space="preserve"> “ESG”</w:t>
      </w:r>
      <w:r w:rsidR="00260403" w:rsidRPr="0051572B">
        <w:rPr>
          <w:rFonts w:ascii="Arial" w:hAnsi="Arial" w:cs="Arial"/>
          <w:color w:val="002060"/>
          <w:lang w:val="en-US"/>
        </w:rPr>
        <w:t xml:space="preserve"> index/ reference benchmark with derivatives instruments, we consider that Indirect (TRS) based replication has in terms of exposure the same effects as the direct replication of the index.</w:t>
      </w:r>
      <w:r w:rsidRPr="0051572B">
        <w:rPr>
          <w:rFonts w:ascii="Arial" w:hAnsi="Arial" w:cs="Arial"/>
          <w:color w:val="002060"/>
          <w:lang w:val="en-US"/>
        </w:rPr>
        <w:t xml:space="preserve"> The portfolio held by the fund is swapped against the exposure of the portfolio held by the counterparty and unitholders bears the risk and opportunities linked to the exposure portfolio, not the portfolio held by the fund. </w:t>
      </w:r>
    </w:p>
    <w:p w14:paraId="5BDBE4B6" w14:textId="1CC8A182" w:rsidR="0068518D" w:rsidRPr="0051572B" w:rsidRDefault="0068518D" w:rsidP="0068518D">
      <w:pPr>
        <w:jc w:val="both"/>
        <w:rPr>
          <w:rFonts w:ascii="Arial" w:hAnsi="Arial" w:cs="Arial"/>
          <w:color w:val="002060"/>
          <w:lang w:val="en-GB"/>
        </w:rPr>
      </w:pPr>
      <w:r w:rsidRPr="0051572B">
        <w:rPr>
          <w:rFonts w:ascii="Arial" w:hAnsi="Arial" w:cs="Arial"/>
          <w:color w:val="002060"/>
          <w:lang w:val="en-US"/>
        </w:rPr>
        <w:t>Nevertheless, the portfolio held by the fund (which is improperly called “collateral”, as these assets are held by the fund,</w:t>
      </w:r>
      <w:r w:rsidR="00FE7E41" w:rsidRPr="009D7305">
        <w:rPr>
          <w:lang w:val="en-GB"/>
        </w:rPr>
        <w:t xml:space="preserve"> </w:t>
      </w:r>
      <w:r w:rsidR="00FE7E41" w:rsidRPr="00FE7E41">
        <w:rPr>
          <w:rFonts w:ascii="Arial" w:hAnsi="Arial" w:cs="Arial"/>
          <w:color w:val="002060"/>
          <w:lang w:val="en-US"/>
        </w:rPr>
        <w:t>the fund is the direct owner of the fund’s assets</w:t>
      </w:r>
      <w:r w:rsidRPr="0051572B">
        <w:rPr>
          <w:rFonts w:ascii="Arial" w:hAnsi="Arial" w:cs="Arial"/>
          <w:color w:val="002060"/>
          <w:lang w:val="en-US"/>
        </w:rPr>
        <w:t xml:space="preserve">, so there is no notion of collateral applicable in this case) </w:t>
      </w:r>
      <w:r w:rsidR="00FE7E41">
        <w:rPr>
          <w:rFonts w:ascii="Arial" w:hAnsi="Arial" w:cs="Arial"/>
          <w:color w:val="002060"/>
          <w:lang w:val="en-US"/>
        </w:rPr>
        <w:t>follows</w:t>
      </w:r>
      <w:r w:rsidRPr="0051572B">
        <w:rPr>
          <w:rFonts w:ascii="Arial" w:hAnsi="Arial" w:cs="Arial"/>
          <w:color w:val="002060"/>
          <w:lang w:val="en-US"/>
        </w:rPr>
        <w:t xml:space="preserve"> the asset managers’ </w:t>
      </w:r>
      <w:r w:rsidR="00FE7E41">
        <w:rPr>
          <w:rFonts w:ascii="Arial" w:hAnsi="Arial" w:cs="Arial"/>
          <w:color w:val="002060"/>
          <w:lang w:val="en-US"/>
        </w:rPr>
        <w:t xml:space="preserve">Responsible Investment </w:t>
      </w:r>
      <w:r w:rsidRPr="0051572B">
        <w:rPr>
          <w:rFonts w:ascii="Arial" w:hAnsi="Arial" w:cs="Arial"/>
          <w:color w:val="002060"/>
          <w:lang w:val="en-US"/>
        </w:rPr>
        <w:t>policy (</w:t>
      </w:r>
      <w:r w:rsidR="00FE7E41" w:rsidRPr="00FE7E41">
        <w:rPr>
          <w:rFonts w:ascii="Arial" w:hAnsi="Arial" w:cs="Arial"/>
          <w:color w:val="002060"/>
          <w:lang w:val="en-US"/>
        </w:rPr>
        <w:t xml:space="preserve">the policy may include different elements as legal exclusions, constraints on coal and fossil fuels linked to the asset manager’s policy, sometimes </w:t>
      </w:r>
      <w:r w:rsidRPr="0051572B">
        <w:rPr>
          <w:rFonts w:ascii="Arial" w:hAnsi="Arial" w:cs="Arial"/>
          <w:color w:val="002060"/>
          <w:lang w:val="en-US"/>
        </w:rPr>
        <w:t>minimal ESG rating</w:t>
      </w:r>
      <w:r w:rsidR="00FE7E41">
        <w:rPr>
          <w:rFonts w:ascii="Arial" w:hAnsi="Arial" w:cs="Arial"/>
          <w:color w:val="002060"/>
          <w:lang w:val="en-US"/>
        </w:rPr>
        <w:t>s</w:t>
      </w:r>
      <w:r w:rsidRPr="0051572B">
        <w:rPr>
          <w:rFonts w:ascii="Arial" w:hAnsi="Arial" w:cs="Arial"/>
          <w:color w:val="002060"/>
          <w:lang w:val="en-US"/>
        </w:rPr>
        <w:t xml:space="preserve">). In France, </w:t>
      </w:r>
      <w:r w:rsidR="00C1119E">
        <w:rPr>
          <w:rFonts w:ascii="Arial" w:hAnsi="Arial" w:cs="Arial"/>
          <w:color w:val="002060"/>
          <w:lang w:val="en-US"/>
        </w:rPr>
        <w:t>AFG</w:t>
      </w:r>
      <w:r w:rsidRPr="0051572B">
        <w:rPr>
          <w:rFonts w:ascii="Arial" w:hAnsi="Arial" w:cs="Arial"/>
          <w:color w:val="002060"/>
          <w:lang w:val="en-US"/>
        </w:rPr>
        <w:t xml:space="preserve"> has issued guidance on these 2 issues to help asset managers to build their policies:</w:t>
      </w:r>
    </w:p>
    <w:p w14:paraId="1DE20DE2" w14:textId="2692753C" w:rsidR="0068518D" w:rsidRPr="0051572B" w:rsidRDefault="00C1119E" w:rsidP="0068518D">
      <w:pPr>
        <w:numPr>
          <w:ilvl w:val="0"/>
          <w:numId w:val="25"/>
        </w:numPr>
        <w:spacing w:after="0" w:line="240" w:lineRule="auto"/>
        <w:jc w:val="both"/>
        <w:rPr>
          <w:rFonts w:ascii="Arial" w:eastAsia="Times New Roman" w:hAnsi="Arial" w:cs="Arial"/>
          <w:color w:val="002060"/>
          <w:lang w:val="en-GB"/>
        </w:rPr>
      </w:pPr>
      <w:r>
        <w:rPr>
          <w:rFonts w:ascii="Arial" w:eastAsia="Times New Roman" w:hAnsi="Arial" w:cs="Arial"/>
          <w:color w:val="002060"/>
          <w:lang w:val="en-US"/>
        </w:rPr>
        <w:t>AFG</w:t>
      </w:r>
      <w:r w:rsidR="0068518D" w:rsidRPr="0051572B">
        <w:rPr>
          <w:rFonts w:ascii="Arial" w:eastAsia="Times New Roman" w:hAnsi="Arial" w:cs="Arial"/>
          <w:color w:val="002060"/>
          <w:lang w:val="en-US"/>
        </w:rPr>
        <w:t>, GUIDE TO DEVELOPING A COAL STRATEGY FOR ASSET MANAGEMENT COMPANIES</w:t>
      </w:r>
    </w:p>
    <w:p w14:paraId="043B62EF" w14:textId="1FC2DD07" w:rsidR="0068518D" w:rsidRPr="0051572B" w:rsidRDefault="00C1119E" w:rsidP="0068518D">
      <w:pPr>
        <w:numPr>
          <w:ilvl w:val="0"/>
          <w:numId w:val="25"/>
        </w:numPr>
        <w:spacing w:after="0" w:line="240" w:lineRule="auto"/>
        <w:jc w:val="both"/>
        <w:rPr>
          <w:rFonts w:ascii="Arial" w:eastAsia="Times New Roman" w:hAnsi="Arial" w:cs="Arial"/>
          <w:color w:val="002060"/>
        </w:rPr>
      </w:pPr>
      <w:r>
        <w:rPr>
          <w:rFonts w:ascii="Arial" w:eastAsia="Times New Roman" w:hAnsi="Arial" w:cs="Arial"/>
          <w:color w:val="002060"/>
        </w:rPr>
        <w:t>AFG</w:t>
      </w:r>
      <w:r w:rsidR="0068518D" w:rsidRPr="0051572B">
        <w:rPr>
          <w:rFonts w:ascii="Arial" w:eastAsia="Times New Roman" w:hAnsi="Arial" w:cs="Arial"/>
          <w:color w:val="002060"/>
        </w:rPr>
        <w:t>, Guide sur l’élaboration d’une stratégie énergies fossiles à destination des sociétés de gestion de portefeuille hors charbon et y compris les énergies fossiles non conventionnelles</w:t>
      </w:r>
    </w:p>
    <w:p w14:paraId="77A2972E" w14:textId="700C38AA" w:rsidR="0068518D" w:rsidRPr="0051572B" w:rsidRDefault="0068518D">
      <w:pPr>
        <w:jc w:val="both"/>
        <w:rPr>
          <w:rFonts w:ascii="Arial" w:hAnsi="Arial" w:cs="Arial"/>
          <w:color w:val="002060"/>
          <w:lang w:eastAsia="fr-FR"/>
        </w:rPr>
      </w:pPr>
      <w:r w:rsidRPr="0051572B">
        <w:rPr>
          <w:rFonts w:ascii="Arial" w:hAnsi="Arial" w:cs="Arial"/>
          <w:color w:val="002060"/>
          <w:lang w:eastAsia="fr-FR"/>
        </w:rPr>
        <w:t> </w:t>
      </w:r>
    </w:p>
    <w:p w14:paraId="1F9BDB69" w14:textId="77777777" w:rsidR="00260403" w:rsidRPr="0051572B" w:rsidRDefault="00260403" w:rsidP="00260403">
      <w:pPr>
        <w:rPr>
          <w:rFonts w:ascii="Arial" w:hAnsi="Arial" w:cs="Arial"/>
          <w:lang w:val="en-US"/>
        </w:rPr>
      </w:pPr>
      <w:r w:rsidRPr="0051572B">
        <w:rPr>
          <w:rFonts w:ascii="Arial" w:hAnsi="Arial" w:cs="Arial"/>
          <w:color w:val="002060"/>
          <w:lang w:val="en-US"/>
        </w:rPr>
        <w:t>For other funds, the approach should depend on the nature of the derivatives instruments and on its related objective within the investment strategy.</w:t>
      </w:r>
    </w:p>
    <w:p w14:paraId="1FE6C42D" w14:textId="77777777" w:rsidR="00260403" w:rsidRPr="00260403" w:rsidRDefault="00260403" w:rsidP="003A5104">
      <w:pPr>
        <w:jc w:val="both"/>
        <w:rPr>
          <w:lang w:val="en-US"/>
        </w:rPr>
      </w:pPr>
    </w:p>
    <w:p w14:paraId="7C7EAFF2" w14:textId="77777777" w:rsidR="00FB6E58" w:rsidRDefault="00FB6E58" w:rsidP="006926E9">
      <w:pPr>
        <w:pStyle w:val="Default"/>
        <w:spacing w:after="175"/>
        <w:jc w:val="both"/>
        <w:rPr>
          <w:b/>
          <w:bCs/>
          <w:sz w:val="22"/>
          <w:szCs w:val="22"/>
          <w:lang w:val="en-US"/>
        </w:rPr>
      </w:pPr>
      <w:r w:rsidRPr="00FB6E58">
        <w:rPr>
          <w:b/>
          <w:bCs/>
          <w:sz w:val="22"/>
          <w:szCs w:val="22"/>
          <w:lang w:val="en-US"/>
        </w:rPr>
        <w:t>Q10. Do you agree of having specific provisions for “impact” or impact-related names in these Guidelines?</w:t>
      </w:r>
    </w:p>
    <w:p w14:paraId="57AEED58" w14:textId="5BC07931" w:rsidR="004E059E" w:rsidRDefault="004E059E" w:rsidP="006926E9">
      <w:pPr>
        <w:pStyle w:val="Default"/>
        <w:spacing w:after="175"/>
        <w:jc w:val="both"/>
        <w:rPr>
          <w:bCs/>
          <w:color w:val="002060"/>
          <w:sz w:val="22"/>
          <w:szCs w:val="22"/>
          <w:lang w:val="en-US"/>
        </w:rPr>
      </w:pPr>
      <w:r>
        <w:rPr>
          <w:bCs/>
          <w:color w:val="002060"/>
          <w:sz w:val="22"/>
          <w:szCs w:val="22"/>
          <w:lang w:val="en-US"/>
        </w:rPr>
        <w:t xml:space="preserve">As a general comment, we would like to remind that, a large proportion of “impact funds” are categorized as “article 9” products. </w:t>
      </w:r>
    </w:p>
    <w:p w14:paraId="2330D1E0" w14:textId="390D8B8A" w:rsidR="004D21CB" w:rsidRDefault="004D21CB" w:rsidP="006926E9">
      <w:pPr>
        <w:pStyle w:val="Default"/>
        <w:spacing w:after="175"/>
        <w:jc w:val="both"/>
        <w:rPr>
          <w:bCs/>
          <w:color w:val="002060"/>
          <w:sz w:val="22"/>
          <w:szCs w:val="22"/>
          <w:lang w:val="en-US"/>
        </w:rPr>
      </w:pPr>
      <w:r w:rsidRPr="004D21CB">
        <w:rPr>
          <w:bCs/>
          <w:color w:val="002060"/>
          <w:sz w:val="22"/>
          <w:szCs w:val="22"/>
          <w:lang w:val="en-US"/>
        </w:rPr>
        <w:t>Yes</w:t>
      </w:r>
      <w:r w:rsidR="00FC4B3F">
        <w:rPr>
          <w:bCs/>
          <w:color w:val="002060"/>
          <w:sz w:val="22"/>
          <w:szCs w:val="22"/>
          <w:lang w:val="en-US"/>
        </w:rPr>
        <w:t>, as investors, notably retail, are sensitive to “impact” terms. To protect them, the use of this particular term should be linked to reality in the fund’s strategy. A level playing field is necessary with all retail products, not only funds and mandates</w:t>
      </w:r>
      <w:r w:rsidR="00FC4B3F" w:rsidRPr="00FC4B3F">
        <w:rPr>
          <w:bCs/>
          <w:color w:val="002060"/>
          <w:sz w:val="22"/>
          <w:szCs w:val="22"/>
          <w:lang w:val="en-US"/>
        </w:rPr>
        <w:t xml:space="preserve"> </w:t>
      </w:r>
      <w:r w:rsidR="00FC4B3F">
        <w:rPr>
          <w:bCs/>
          <w:color w:val="002060"/>
          <w:sz w:val="22"/>
          <w:szCs w:val="22"/>
          <w:lang w:val="en-US"/>
        </w:rPr>
        <w:t>in the SFDR’s scope.</w:t>
      </w:r>
    </w:p>
    <w:p w14:paraId="032D08D8" w14:textId="43A9A16D" w:rsidR="00B825F1" w:rsidRDefault="00B825F1" w:rsidP="006926E9">
      <w:pPr>
        <w:pStyle w:val="Default"/>
        <w:spacing w:after="175"/>
        <w:jc w:val="both"/>
        <w:rPr>
          <w:bCs/>
          <w:color w:val="002060"/>
          <w:sz w:val="22"/>
          <w:szCs w:val="22"/>
          <w:lang w:val="en-US"/>
        </w:rPr>
      </w:pPr>
      <w:r>
        <w:rPr>
          <w:bCs/>
          <w:color w:val="002060"/>
          <w:sz w:val="22"/>
          <w:szCs w:val="22"/>
          <w:lang w:val="en-US"/>
        </w:rPr>
        <w:t>We suggest referring to the 3 following pillars: intentionality, additionality and measurability.</w:t>
      </w:r>
    </w:p>
    <w:p w14:paraId="742284F3" w14:textId="77777777" w:rsidR="00FB6E58" w:rsidRPr="00FB6E58" w:rsidRDefault="00FB6E58" w:rsidP="006926E9">
      <w:pPr>
        <w:pStyle w:val="Default"/>
        <w:spacing w:after="175"/>
        <w:jc w:val="both"/>
        <w:rPr>
          <w:b/>
          <w:bCs/>
          <w:sz w:val="22"/>
          <w:szCs w:val="22"/>
          <w:lang w:val="en-US"/>
        </w:rPr>
      </w:pPr>
      <w:r w:rsidRPr="004D21CB">
        <w:rPr>
          <w:b/>
          <w:bCs/>
          <w:sz w:val="22"/>
          <w:szCs w:val="22"/>
          <w:lang w:val="en-US"/>
        </w:rPr>
        <w:t xml:space="preserve">Q11. Should there be specific </w:t>
      </w:r>
      <w:r w:rsidRPr="00375907">
        <w:rPr>
          <w:b/>
          <w:bCs/>
          <w:sz w:val="22"/>
          <w:szCs w:val="22"/>
          <w:lang w:val="en-US"/>
        </w:rPr>
        <w:t>provisions for “transition” or transition-related names in th</w:t>
      </w:r>
      <w:r w:rsidRPr="004D21CB">
        <w:rPr>
          <w:b/>
          <w:bCs/>
          <w:sz w:val="22"/>
          <w:szCs w:val="22"/>
          <w:lang w:val="en-US"/>
        </w:rPr>
        <w:t>ese Guidelines? If yes, what should they be?</w:t>
      </w:r>
    </w:p>
    <w:p w14:paraId="6B535AE1" w14:textId="5F67BCEA" w:rsidR="00637820" w:rsidRPr="003A5104" w:rsidRDefault="00125B1F" w:rsidP="00637820">
      <w:pPr>
        <w:autoSpaceDE w:val="0"/>
        <w:autoSpaceDN w:val="0"/>
        <w:adjustRightInd w:val="0"/>
        <w:spacing w:after="0" w:line="240" w:lineRule="auto"/>
        <w:rPr>
          <w:rFonts w:ascii="Arial" w:hAnsi="Arial" w:cs="Arial"/>
          <w:bCs/>
          <w:color w:val="002060"/>
          <w:lang w:val="en-US"/>
        </w:rPr>
      </w:pPr>
      <w:r w:rsidRPr="003A5104">
        <w:rPr>
          <w:rFonts w:ascii="Arial" w:hAnsi="Arial" w:cs="Arial"/>
          <w:bCs/>
          <w:color w:val="002060"/>
          <w:lang w:val="en-US"/>
        </w:rPr>
        <w:t xml:space="preserve">No, </w:t>
      </w:r>
      <w:r w:rsidR="00814AD8">
        <w:rPr>
          <w:rFonts w:ascii="Arial" w:hAnsi="Arial" w:cs="Arial"/>
          <w:bCs/>
          <w:color w:val="002060"/>
          <w:lang w:val="en-US"/>
        </w:rPr>
        <w:t>GROUPAMA AM</w:t>
      </w:r>
      <w:r w:rsidR="000C3C9E" w:rsidRPr="003A5104">
        <w:rPr>
          <w:rFonts w:ascii="Arial" w:hAnsi="Arial" w:cs="Arial"/>
          <w:bCs/>
          <w:color w:val="002060"/>
          <w:lang w:val="en-US"/>
        </w:rPr>
        <w:t xml:space="preserve"> </w:t>
      </w:r>
      <w:r w:rsidRPr="003A5104">
        <w:rPr>
          <w:rFonts w:ascii="Arial" w:hAnsi="Arial" w:cs="Arial"/>
          <w:bCs/>
          <w:color w:val="002060"/>
          <w:lang w:val="en-US"/>
        </w:rPr>
        <w:t>believe</w:t>
      </w:r>
      <w:r w:rsidR="000C3C9E" w:rsidRPr="003A5104">
        <w:rPr>
          <w:rFonts w:ascii="Arial" w:hAnsi="Arial" w:cs="Arial"/>
          <w:bCs/>
          <w:color w:val="002060"/>
          <w:lang w:val="en-US"/>
        </w:rPr>
        <w:t>s that</w:t>
      </w:r>
      <w:r w:rsidRPr="003A5104">
        <w:rPr>
          <w:rFonts w:ascii="Arial" w:hAnsi="Arial" w:cs="Arial"/>
          <w:bCs/>
          <w:color w:val="002060"/>
          <w:lang w:val="en-US"/>
        </w:rPr>
        <w:t xml:space="preserve"> “transition-related” names are covered by “ESG-related” names, and that the latter should be defined as proposed in Q2</w:t>
      </w:r>
      <w:r w:rsidR="0068518D" w:rsidRPr="003A5104">
        <w:rPr>
          <w:rFonts w:ascii="Arial" w:hAnsi="Arial" w:cs="Arial"/>
          <w:bCs/>
          <w:color w:val="002060"/>
          <w:lang w:val="en-US"/>
        </w:rPr>
        <w:t>.</w:t>
      </w:r>
      <w:r w:rsidRPr="003A5104">
        <w:rPr>
          <w:rFonts w:ascii="Arial" w:hAnsi="Arial" w:cs="Arial"/>
          <w:bCs/>
          <w:color w:val="002060"/>
          <w:lang w:val="en-US"/>
        </w:rPr>
        <w:t xml:space="preserve"> </w:t>
      </w:r>
    </w:p>
    <w:p w14:paraId="27B02633" w14:textId="5F8C3B15" w:rsidR="00FC4B3F" w:rsidRPr="003A5104" w:rsidRDefault="00814AD8" w:rsidP="00637820">
      <w:pPr>
        <w:autoSpaceDE w:val="0"/>
        <w:autoSpaceDN w:val="0"/>
        <w:adjustRightInd w:val="0"/>
        <w:spacing w:after="0" w:line="240" w:lineRule="auto"/>
        <w:rPr>
          <w:rFonts w:ascii="Arial" w:hAnsi="Arial" w:cs="Arial"/>
          <w:bCs/>
          <w:color w:val="002060"/>
          <w:lang w:val="en-US"/>
        </w:rPr>
      </w:pPr>
      <w:r>
        <w:rPr>
          <w:rFonts w:ascii="Arial" w:hAnsi="Arial" w:cs="Arial"/>
          <w:bCs/>
          <w:color w:val="002060"/>
          <w:lang w:val="en-US"/>
        </w:rPr>
        <w:t>GROUPAMA AM</w:t>
      </w:r>
      <w:r w:rsidR="00FC4B3F" w:rsidRPr="003A5104">
        <w:rPr>
          <w:rFonts w:ascii="Arial" w:hAnsi="Arial" w:cs="Arial"/>
          <w:bCs/>
          <w:color w:val="002060"/>
          <w:lang w:val="en-US"/>
        </w:rPr>
        <w:t xml:space="preserve"> strongly believes that the transition should be part of the SI definition and calibration.</w:t>
      </w:r>
    </w:p>
    <w:p w14:paraId="7E5F9712" w14:textId="3850CF7C" w:rsidR="006E3259" w:rsidRPr="003A5104" w:rsidRDefault="006E3259" w:rsidP="00637820">
      <w:pPr>
        <w:autoSpaceDE w:val="0"/>
        <w:autoSpaceDN w:val="0"/>
        <w:adjustRightInd w:val="0"/>
        <w:spacing w:after="0" w:line="240" w:lineRule="auto"/>
        <w:rPr>
          <w:rFonts w:ascii="Arial" w:hAnsi="Arial" w:cs="Arial"/>
          <w:bCs/>
          <w:color w:val="002060"/>
          <w:lang w:val="en-US"/>
        </w:rPr>
      </w:pPr>
    </w:p>
    <w:p w14:paraId="03F96C1C" w14:textId="77777777" w:rsidR="00D73A4F" w:rsidRPr="00D5097E" w:rsidRDefault="00D73A4F" w:rsidP="00637820">
      <w:pPr>
        <w:autoSpaceDE w:val="0"/>
        <w:autoSpaceDN w:val="0"/>
        <w:adjustRightInd w:val="0"/>
        <w:spacing w:after="0" w:line="240" w:lineRule="auto"/>
        <w:rPr>
          <w:rFonts w:ascii="Arial" w:hAnsi="Arial" w:cs="Arial"/>
          <w:color w:val="000000"/>
          <w:sz w:val="24"/>
          <w:szCs w:val="24"/>
          <w:lang w:val="en-US"/>
        </w:rPr>
      </w:pPr>
    </w:p>
    <w:p w14:paraId="12B5265F" w14:textId="77777777" w:rsidR="00637820" w:rsidRPr="00637820" w:rsidRDefault="00637820" w:rsidP="0063782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20"/>
          <w:szCs w:val="20"/>
          <w:lang w:val="en-US"/>
        </w:rPr>
      </w:pPr>
      <w:r>
        <w:rPr>
          <w:rFonts w:ascii="Arial" w:hAnsi="Arial" w:cs="Arial"/>
          <w:color w:val="000000"/>
          <w:sz w:val="20"/>
          <w:szCs w:val="20"/>
          <w:lang w:val="en-US"/>
        </w:rPr>
        <w:lastRenderedPageBreak/>
        <w:t xml:space="preserve">3. </w:t>
      </w:r>
      <w:r w:rsidRPr="00637820">
        <w:rPr>
          <w:rFonts w:ascii="Arial" w:hAnsi="Arial" w:cs="Arial"/>
          <w:color w:val="000000"/>
          <w:sz w:val="20"/>
          <w:szCs w:val="20"/>
          <w:lang w:val="en-US"/>
        </w:rPr>
        <w:t xml:space="preserve">These obligations are relevant to all fund documentation and marketing communications addressed to investors or potential investors for UCITS and AIFs, including when they are set up as </w:t>
      </w:r>
      <w:proofErr w:type="spellStart"/>
      <w:r w:rsidRPr="00637820">
        <w:rPr>
          <w:rFonts w:ascii="Arial" w:hAnsi="Arial" w:cs="Arial"/>
          <w:color w:val="000000"/>
          <w:sz w:val="20"/>
          <w:szCs w:val="20"/>
          <w:lang w:val="en-US"/>
        </w:rPr>
        <w:t>EuVECAs</w:t>
      </w:r>
      <w:proofErr w:type="spellEnd"/>
      <w:r w:rsidRPr="00637820">
        <w:rPr>
          <w:rFonts w:ascii="Arial" w:hAnsi="Arial" w:cs="Arial"/>
          <w:color w:val="000000"/>
          <w:sz w:val="20"/>
          <w:szCs w:val="20"/>
          <w:lang w:val="en-US"/>
        </w:rPr>
        <w:t xml:space="preserve">, </w:t>
      </w:r>
      <w:proofErr w:type="spellStart"/>
      <w:r w:rsidRPr="00637820">
        <w:rPr>
          <w:rFonts w:ascii="Arial" w:hAnsi="Arial" w:cs="Arial"/>
          <w:color w:val="000000"/>
          <w:sz w:val="20"/>
          <w:szCs w:val="20"/>
          <w:lang w:val="en-US"/>
        </w:rPr>
        <w:t>EuSEFs</w:t>
      </w:r>
      <w:proofErr w:type="spellEnd"/>
      <w:r w:rsidRPr="00637820">
        <w:rPr>
          <w:rFonts w:ascii="Arial" w:hAnsi="Arial" w:cs="Arial"/>
          <w:color w:val="000000"/>
          <w:sz w:val="20"/>
          <w:szCs w:val="20"/>
          <w:lang w:val="en-US"/>
        </w:rPr>
        <w:t xml:space="preserve"> and ELTIFs. </w:t>
      </w:r>
    </w:p>
    <w:p w14:paraId="4A8DC6D4" w14:textId="77777777" w:rsidR="00637820" w:rsidRDefault="00637820" w:rsidP="006926E9">
      <w:pPr>
        <w:pStyle w:val="Default"/>
        <w:spacing w:after="173"/>
        <w:jc w:val="both"/>
        <w:rPr>
          <w:b/>
          <w:bCs/>
          <w:color w:val="auto"/>
          <w:sz w:val="22"/>
          <w:szCs w:val="22"/>
          <w:lang w:val="en-US"/>
        </w:rPr>
      </w:pPr>
    </w:p>
    <w:p w14:paraId="3C119552" w14:textId="77777777" w:rsidR="00FB6E58" w:rsidRPr="00FB6E58" w:rsidRDefault="00FB6E58" w:rsidP="006926E9">
      <w:pPr>
        <w:pStyle w:val="Default"/>
        <w:spacing w:after="173"/>
        <w:jc w:val="both"/>
        <w:rPr>
          <w:color w:val="auto"/>
          <w:sz w:val="22"/>
          <w:szCs w:val="22"/>
          <w:lang w:val="en-US"/>
        </w:rPr>
      </w:pPr>
      <w:r w:rsidRPr="00FB6E58">
        <w:rPr>
          <w:b/>
          <w:bCs/>
          <w:color w:val="auto"/>
          <w:sz w:val="22"/>
          <w:szCs w:val="22"/>
          <w:lang w:val="en-US"/>
        </w:rPr>
        <w:t>Q12. The proposals in this consultation paper relate to investment funds’ names in light of specific sectoral concerns. However, considering the SFDR disclosures apply also to other sectors, do you think that these proposals may have implications for other sectors and, if so, would you see merit in having similar guidance for other financial products?</w:t>
      </w:r>
    </w:p>
    <w:p w14:paraId="099A509F" w14:textId="77777777" w:rsidR="00125B1F" w:rsidRDefault="00613670" w:rsidP="006926E9">
      <w:pPr>
        <w:pStyle w:val="Default"/>
        <w:spacing w:after="173"/>
        <w:jc w:val="both"/>
        <w:rPr>
          <w:bCs/>
          <w:color w:val="002060"/>
          <w:sz w:val="22"/>
          <w:szCs w:val="22"/>
          <w:lang w:val="en-US"/>
        </w:rPr>
      </w:pPr>
      <w:r w:rsidRPr="00613670">
        <w:rPr>
          <w:bCs/>
          <w:color w:val="002060"/>
          <w:sz w:val="22"/>
          <w:szCs w:val="22"/>
          <w:lang w:val="en-US"/>
        </w:rPr>
        <w:t>Yes</w:t>
      </w:r>
      <w:r w:rsidR="000251A7">
        <w:rPr>
          <w:bCs/>
          <w:color w:val="002060"/>
          <w:sz w:val="22"/>
          <w:szCs w:val="22"/>
          <w:lang w:val="en-US"/>
        </w:rPr>
        <w:t xml:space="preserve">, </w:t>
      </w:r>
      <w:r w:rsidR="002A0DC0">
        <w:rPr>
          <w:bCs/>
          <w:color w:val="002060"/>
          <w:sz w:val="22"/>
          <w:szCs w:val="22"/>
          <w:lang w:val="en-US"/>
        </w:rPr>
        <w:t xml:space="preserve">most importantly, </w:t>
      </w:r>
      <w:r w:rsidR="000251A7">
        <w:rPr>
          <w:bCs/>
          <w:color w:val="002060"/>
          <w:sz w:val="22"/>
          <w:szCs w:val="22"/>
          <w:lang w:val="en-US"/>
        </w:rPr>
        <w:t xml:space="preserve">for level playing field and fair competition reasons, </w:t>
      </w:r>
      <w:r w:rsidRPr="00613670">
        <w:rPr>
          <w:bCs/>
          <w:color w:val="002060"/>
          <w:sz w:val="22"/>
          <w:szCs w:val="22"/>
          <w:lang w:val="en-US"/>
        </w:rPr>
        <w:t>same guidance and consideration should apply</w:t>
      </w:r>
      <w:r w:rsidR="00125B1F">
        <w:rPr>
          <w:bCs/>
          <w:color w:val="002060"/>
          <w:sz w:val="22"/>
          <w:szCs w:val="22"/>
          <w:lang w:val="en-US"/>
        </w:rPr>
        <w:t>:</w:t>
      </w:r>
    </w:p>
    <w:p w14:paraId="16F55A26" w14:textId="77777777" w:rsidR="00F562F2" w:rsidRDefault="00613670" w:rsidP="006926E9">
      <w:pPr>
        <w:pStyle w:val="Default"/>
        <w:numPr>
          <w:ilvl w:val="0"/>
          <w:numId w:val="29"/>
        </w:numPr>
        <w:spacing w:after="173"/>
        <w:jc w:val="both"/>
        <w:rPr>
          <w:bCs/>
          <w:color w:val="002060"/>
          <w:sz w:val="22"/>
          <w:szCs w:val="22"/>
          <w:lang w:val="en-US"/>
        </w:rPr>
      </w:pPr>
      <w:bookmarkStart w:id="4" w:name="_Hlk126573383"/>
      <w:r w:rsidRPr="00613670">
        <w:rPr>
          <w:bCs/>
          <w:color w:val="002060"/>
          <w:sz w:val="22"/>
          <w:szCs w:val="22"/>
          <w:lang w:val="en-US"/>
        </w:rPr>
        <w:t>to other financial products subject to SFDR</w:t>
      </w:r>
      <w:r w:rsidR="000251A7">
        <w:rPr>
          <w:bCs/>
          <w:color w:val="002060"/>
          <w:sz w:val="22"/>
          <w:szCs w:val="22"/>
          <w:lang w:val="en-US"/>
        </w:rPr>
        <w:t>,</w:t>
      </w:r>
    </w:p>
    <w:p w14:paraId="3D517839" w14:textId="13016BF0" w:rsidR="00F562F2" w:rsidRDefault="00F562F2" w:rsidP="006926E9">
      <w:pPr>
        <w:pStyle w:val="Default"/>
        <w:numPr>
          <w:ilvl w:val="0"/>
          <w:numId w:val="29"/>
        </w:numPr>
        <w:spacing w:after="173"/>
        <w:jc w:val="both"/>
        <w:rPr>
          <w:bCs/>
          <w:color w:val="002060"/>
          <w:sz w:val="22"/>
          <w:szCs w:val="22"/>
          <w:lang w:val="en-US"/>
        </w:rPr>
      </w:pPr>
      <w:r>
        <w:rPr>
          <w:bCs/>
          <w:color w:val="002060"/>
          <w:sz w:val="22"/>
          <w:szCs w:val="22"/>
          <w:lang w:val="en-US"/>
        </w:rPr>
        <w:t xml:space="preserve">to financial instruments </w:t>
      </w:r>
      <w:r w:rsidR="008E59BB">
        <w:rPr>
          <w:bCs/>
          <w:color w:val="002060"/>
          <w:sz w:val="22"/>
          <w:szCs w:val="22"/>
          <w:lang w:val="en-US"/>
        </w:rPr>
        <w:t>as defined in MIF and IDD</w:t>
      </w:r>
      <w:r w:rsidR="006E3259">
        <w:rPr>
          <w:bCs/>
          <w:color w:val="002060"/>
          <w:sz w:val="22"/>
          <w:szCs w:val="22"/>
          <w:lang w:val="en-US"/>
        </w:rPr>
        <w:t xml:space="preserve"> (as they will be distributed through MIF</w:t>
      </w:r>
      <w:r w:rsidR="00062521">
        <w:rPr>
          <w:bCs/>
          <w:color w:val="002060"/>
          <w:sz w:val="22"/>
          <w:szCs w:val="22"/>
          <w:lang w:val="en-US"/>
        </w:rPr>
        <w:t>/IDD</w:t>
      </w:r>
      <w:r w:rsidR="006E3259">
        <w:rPr>
          <w:bCs/>
          <w:color w:val="002060"/>
          <w:sz w:val="22"/>
          <w:szCs w:val="22"/>
          <w:lang w:val="en-US"/>
        </w:rPr>
        <w:t xml:space="preserve"> </w:t>
      </w:r>
      <w:r w:rsidR="004E059E">
        <w:rPr>
          <w:bCs/>
          <w:color w:val="002060"/>
          <w:sz w:val="22"/>
          <w:szCs w:val="22"/>
          <w:lang w:val="en-US"/>
        </w:rPr>
        <w:t>sustainability</w:t>
      </w:r>
      <w:r w:rsidR="006E3259">
        <w:rPr>
          <w:bCs/>
          <w:color w:val="002060"/>
          <w:sz w:val="22"/>
          <w:szCs w:val="22"/>
          <w:lang w:val="en-US"/>
        </w:rPr>
        <w:t xml:space="preserve"> preferences)</w:t>
      </w:r>
      <w:r w:rsidR="008E59BB">
        <w:rPr>
          <w:bCs/>
          <w:color w:val="002060"/>
          <w:sz w:val="22"/>
          <w:szCs w:val="22"/>
          <w:lang w:val="en-US"/>
        </w:rPr>
        <w:t>,</w:t>
      </w:r>
    </w:p>
    <w:p w14:paraId="09C07ACB" w14:textId="2B509F17" w:rsidR="002A0DC0" w:rsidRPr="0051572B" w:rsidRDefault="000251A7" w:rsidP="006926E9">
      <w:pPr>
        <w:pStyle w:val="Default"/>
        <w:numPr>
          <w:ilvl w:val="0"/>
          <w:numId w:val="29"/>
        </w:numPr>
        <w:spacing w:after="173"/>
        <w:jc w:val="both"/>
        <w:rPr>
          <w:bCs/>
          <w:color w:val="002060"/>
          <w:sz w:val="22"/>
          <w:szCs w:val="22"/>
          <w:lang w:val="en-US"/>
        </w:rPr>
      </w:pPr>
      <w:r w:rsidRPr="0051572B">
        <w:rPr>
          <w:bCs/>
          <w:color w:val="002060"/>
          <w:sz w:val="22"/>
          <w:szCs w:val="22"/>
          <w:lang w:val="en-US"/>
        </w:rPr>
        <w:t>but also</w:t>
      </w:r>
      <w:r w:rsidR="00613670" w:rsidRPr="0051572B">
        <w:rPr>
          <w:bCs/>
          <w:color w:val="002060"/>
          <w:sz w:val="22"/>
          <w:szCs w:val="22"/>
          <w:lang w:val="en-US"/>
        </w:rPr>
        <w:t xml:space="preserve"> to </w:t>
      </w:r>
      <w:r w:rsidRPr="0051572B">
        <w:rPr>
          <w:bCs/>
          <w:color w:val="002060"/>
          <w:sz w:val="22"/>
          <w:szCs w:val="22"/>
          <w:lang w:val="en-US"/>
        </w:rPr>
        <w:t>financial</w:t>
      </w:r>
      <w:r w:rsidR="00125B1F" w:rsidRPr="0051572B">
        <w:rPr>
          <w:bCs/>
          <w:color w:val="002060"/>
          <w:sz w:val="22"/>
          <w:szCs w:val="22"/>
          <w:lang w:val="en-US"/>
        </w:rPr>
        <w:t xml:space="preserve"> instruments</w:t>
      </w:r>
      <w:r w:rsidR="00613670" w:rsidRPr="0051572B">
        <w:rPr>
          <w:bCs/>
          <w:color w:val="002060"/>
          <w:sz w:val="22"/>
          <w:szCs w:val="22"/>
          <w:lang w:val="en-US"/>
        </w:rPr>
        <w:t xml:space="preserve"> not subject to SFDR but</w:t>
      </w:r>
      <w:r w:rsidR="00125B1F" w:rsidRPr="0051572B">
        <w:rPr>
          <w:bCs/>
          <w:color w:val="002060"/>
          <w:sz w:val="22"/>
          <w:szCs w:val="22"/>
          <w:lang w:val="en-US"/>
        </w:rPr>
        <w:t xml:space="preserve"> claiming ESG or sustainability or impact </w:t>
      </w:r>
      <w:r w:rsidR="00613670" w:rsidRPr="0051572B">
        <w:rPr>
          <w:bCs/>
          <w:color w:val="002060"/>
          <w:sz w:val="22"/>
          <w:szCs w:val="22"/>
          <w:lang w:val="en-US"/>
        </w:rPr>
        <w:t xml:space="preserve">features in their name (green bonds, </w:t>
      </w:r>
      <w:r w:rsidRPr="0051572B">
        <w:rPr>
          <w:bCs/>
          <w:color w:val="002060"/>
          <w:sz w:val="22"/>
          <w:szCs w:val="22"/>
          <w:lang w:val="en-US"/>
        </w:rPr>
        <w:t xml:space="preserve">notes, </w:t>
      </w:r>
      <w:r w:rsidR="00613670" w:rsidRPr="0051572B">
        <w:rPr>
          <w:bCs/>
          <w:color w:val="002060"/>
          <w:sz w:val="22"/>
          <w:szCs w:val="22"/>
          <w:lang w:val="en-US"/>
        </w:rPr>
        <w:t>derivatives,…)</w:t>
      </w:r>
      <w:r w:rsidRPr="0051572B">
        <w:rPr>
          <w:bCs/>
          <w:color w:val="002060"/>
          <w:sz w:val="22"/>
          <w:szCs w:val="22"/>
          <w:lang w:val="en-US"/>
        </w:rPr>
        <w:t>. For the</w:t>
      </w:r>
      <w:r w:rsidR="00AF7EE7" w:rsidRPr="0051572B">
        <w:rPr>
          <w:bCs/>
          <w:color w:val="002060"/>
          <w:sz w:val="22"/>
          <w:szCs w:val="22"/>
          <w:lang w:val="en-US"/>
        </w:rPr>
        <w:t xml:space="preserve"> latter</w:t>
      </w:r>
      <w:r w:rsidRPr="0051572B">
        <w:rPr>
          <w:bCs/>
          <w:color w:val="002060"/>
          <w:sz w:val="22"/>
          <w:szCs w:val="22"/>
          <w:lang w:val="en-US"/>
        </w:rPr>
        <w:t xml:space="preserve"> instruments, guidelines should be </w:t>
      </w:r>
      <w:r w:rsidR="002A0DC0" w:rsidRPr="0051572B">
        <w:rPr>
          <w:bCs/>
          <w:color w:val="002060"/>
          <w:sz w:val="22"/>
          <w:szCs w:val="22"/>
          <w:lang w:val="en-US"/>
        </w:rPr>
        <w:t xml:space="preserve">adapted as far as references to </w:t>
      </w:r>
      <w:r w:rsidRPr="0051572B">
        <w:rPr>
          <w:bCs/>
          <w:color w:val="002060"/>
          <w:sz w:val="22"/>
          <w:szCs w:val="22"/>
          <w:lang w:val="en-US"/>
        </w:rPr>
        <w:t xml:space="preserve">SFDR definitions and </w:t>
      </w:r>
      <w:r w:rsidR="002A0DC0" w:rsidRPr="0051572B">
        <w:rPr>
          <w:bCs/>
          <w:color w:val="002060"/>
          <w:sz w:val="22"/>
          <w:szCs w:val="22"/>
          <w:lang w:val="en-US"/>
        </w:rPr>
        <w:t>binding information are concerned.</w:t>
      </w:r>
    </w:p>
    <w:bookmarkEnd w:id="4"/>
    <w:p w14:paraId="38337B31" w14:textId="6320EFDD" w:rsidR="00613670" w:rsidRPr="00613670" w:rsidRDefault="00814AD8" w:rsidP="006926E9">
      <w:pPr>
        <w:pStyle w:val="Default"/>
        <w:spacing w:after="173"/>
        <w:jc w:val="both"/>
        <w:rPr>
          <w:bCs/>
          <w:color w:val="002060"/>
          <w:sz w:val="22"/>
          <w:szCs w:val="22"/>
          <w:lang w:val="en-US"/>
        </w:rPr>
      </w:pPr>
      <w:r>
        <w:rPr>
          <w:bCs/>
          <w:color w:val="002060"/>
          <w:sz w:val="22"/>
          <w:szCs w:val="22"/>
          <w:lang w:val="en-US"/>
        </w:rPr>
        <w:t>GROUPAMA AM</w:t>
      </w:r>
      <w:r w:rsidR="000C3C9E">
        <w:rPr>
          <w:bCs/>
          <w:color w:val="002060"/>
          <w:sz w:val="22"/>
          <w:szCs w:val="22"/>
          <w:lang w:val="en-US"/>
        </w:rPr>
        <w:t xml:space="preserve"> urges</w:t>
      </w:r>
      <w:r w:rsidR="00193317">
        <w:rPr>
          <w:bCs/>
          <w:color w:val="002060"/>
          <w:sz w:val="22"/>
          <w:szCs w:val="22"/>
          <w:lang w:val="en-US"/>
        </w:rPr>
        <w:t xml:space="preserve"> ESMA </w:t>
      </w:r>
      <w:r w:rsidR="000C3C9E">
        <w:rPr>
          <w:bCs/>
          <w:color w:val="002060"/>
          <w:sz w:val="22"/>
          <w:szCs w:val="22"/>
          <w:lang w:val="en-US"/>
        </w:rPr>
        <w:t>to</w:t>
      </w:r>
      <w:r w:rsidR="00193317">
        <w:rPr>
          <w:bCs/>
          <w:color w:val="002060"/>
          <w:sz w:val="22"/>
          <w:szCs w:val="22"/>
          <w:lang w:val="en-US"/>
        </w:rPr>
        <w:t xml:space="preserve"> work </w:t>
      </w:r>
      <w:r w:rsidR="000C3C9E">
        <w:rPr>
          <w:bCs/>
          <w:color w:val="002060"/>
          <w:sz w:val="22"/>
          <w:szCs w:val="22"/>
          <w:lang w:val="en-US"/>
        </w:rPr>
        <w:t xml:space="preserve">closely </w:t>
      </w:r>
      <w:r w:rsidR="00193317">
        <w:rPr>
          <w:bCs/>
          <w:color w:val="002060"/>
          <w:sz w:val="22"/>
          <w:szCs w:val="22"/>
          <w:lang w:val="en-US"/>
        </w:rPr>
        <w:t>on the subject with EBA and EIOPA to ensure a level playing field across the financial sector.</w:t>
      </w:r>
    </w:p>
    <w:p w14:paraId="2A09C5D6" w14:textId="77777777" w:rsidR="00637820" w:rsidRPr="00637820" w:rsidRDefault="00637820" w:rsidP="00637820">
      <w:pPr>
        <w:pBdr>
          <w:top w:val="single" w:sz="4" w:space="1" w:color="auto"/>
          <w:left w:val="single" w:sz="4" w:space="4" w:color="auto"/>
          <w:bottom w:val="single" w:sz="4" w:space="1" w:color="auto"/>
          <w:right w:val="single" w:sz="4" w:space="4" w:color="auto"/>
        </w:pBdr>
        <w:autoSpaceDE w:val="0"/>
        <w:autoSpaceDN w:val="0"/>
        <w:adjustRightInd w:val="0"/>
        <w:spacing w:after="173" w:line="240" w:lineRule="auto"/>
        <w:rPr>
          <w:rFonts w:ascii="Arial" w:hAnsi="Arial" w:cs="Arial"/>
          <w:color w:val="000000"/>
          <w:sz w:val="20"/>
          <w:szCs w:val="20"/>
          <w:lang w:val="en-US"/>
        </w:rPr>
      </w:pPr>
      <w:r w:rsidRPr="00637820">
        <w:rPr>
          <w:rFonts w:ascii="Arial" w:hAnsi="Arial" w:cs="Arial"/>
          <w:color w:val="000000"/>
          <w:sz w:val="20"/>
          <w:szCs w:val="20"/>
          <w:lang w:val="en-US"/>
        </w:rPr>
        <w:t xml:space="preserve">6. These guidelines apply three months after the date of the publication of the guidelines on ESMA’s website in all EU official languages. </w:t>
      </w:r>
    </w:p>
    <w:p w14:paraId="53F76B7F" w14:textId="77777777" w:rsidR="00637820" w:rsidRPr="00637820" w:rsidRDefault="00637820" w:rsidP="0063782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20"/>
          <w:szCs w:val="20"/>
          <w:lang w:val="en-US"/>
        </w:rPr>
      </w:pPr>
      <w:r w:rsidRPr="00637820">
        <w:rPr>
          <w:rFonts w:ascii="Arial" w:hAnsi="Arial" w:cs="Arial"/>
          <w:color w:val="000000"/>
          <w:sz w:val="20"/>
          <w:szCs w:val="20"/>
          <w:lang w:val="en-US"/>
        </w:rPr>
        <w:t xml:space="preserve">7. A transitional period of 6 months should apply for those funds already existing before the date of the publication of the guidelines on ESMA’s website in all EU official languages. </w:t>
      </w:r>
    </w:p>
    <w:p w14:paraId="55E3CF49" w14:textId="77777777" w:rsidR="00007A29" w:rsidRDefault="00007A29" w:rsidP="006926E9">
      <w:pPr>
        <w:pStyle w:val="Default"/>
        <w:spacing w:after="173"/>
        <w:jc w:val="both"/>
        <w:rPr>
          <w:b/>
          <w:bCs/>
          <w:color w:val="auto"/>
          <w:sz w:val="22"/>
          <w:szCs w:val="22"/>
          <w:lang w:val="en-US"/>
        </w:rPr>
      </w:pPr>
    </w:p>
    <w:p w14:paraId="1F940FCB" w14:textId="77777777" w:rsidR="008229BE" w:rsidRDefault="00FB6E58" w:rsidP="008229BE">
      <w:pPr>
        <w:pStyle w:val="Default"/>
        <w:spacing w:after="173"/>
        <w:jc w:val="both"/>
        <w:rPr>
          <w:b/>
          <w:bCs/>
          <w:color w:val="auto"/>
          <w:sz w:val="22"/>
          <w:szCs w:val="22"/>
          <w:lang w:val="en-US"/>
        </w:rPr>
      </w:pPr>
      <w:r w:rsidRPr="00007A29">
        <w:rPr>
          <w:b/>
          <w:bCs/>
          <w:color w:val="auto"/>
          <w:sz w:val="22"/>
          <w:szCs w:val="22"/>
          <w:lang w:val="en-US"/>
        </w:rPr>
        <w:t xml:space="preserve">Q13. Do you agree with having </w:t>
      </w:r>
      <w:r w:rsidRPr="008229BE">
        <w:rPr>
          <w:b/>
          <w:bCs/>
          <w:color w:val="auto"/>
          <w:sz w:val="22"/>
          <w:szCs w:val="22"/>
          <w:highlight w:val="cyan"/>
          <w:lang w:val="en-US"/>
        </w:rPr>
        <w:t>a transitional period of 6 months</w:t>
      </w:r>
      <w:r w:rsidRPr="00007A29">
        <w:rPr>
          <w:b/>
          <w:bCs/>
          <w:color w:val="auto"/>
          <w:sz w:val="22"/>
          <w:szCs w:val="22"/>
          <w:lang w:val="en-US"/>
        </w:rPr>
        <w:t xml:space="preserve"> from the date of the application of the Guidelines for existing funds? If not, please explain why and provide an alternative proposal.</w:t>
      </w:r>
    </w:p>
    <w:p w14:paraId="4B251F94" w14:textId="48EB225C" w:rsidR="00AF7EE7" w:rsidRPr="003A5104" w:rsidRDefault="009E656E" w:rsidP="006926E9">
      <w:pPr>
        <w:pStyle w:val="Default"/>
        <w:spacing w:after="173"/>
        <w:jc w:val="both"/>
        <w:rPr>
          <w:bCs/>
          <w:color w:val="002060"/>
          <w:sz w:val="22"/>
          <w:szCs w:val="22"/>
          <w:lang w:val="en-US"/>
        </w:rPr>
      </w:pPr>
      <w:r w:rsidRPr="003A5104">
        <w:rPr>
          <w:bCs/>
          <w:color w:val="002060"/>
          <w:sz w:val="22"/>
          <w:szCs w:val="22"/>
          <w:lang w:val="en-US"/>
        </w:rPr>
        <w:t xml:space="preserve">A 6-month transitional period seems too short. </w:t>
      </w:r>
      <w:r w:rsidR="00814AD8">
        <w:rPr>
          <w:bCs/>
          <w:color w:val="002060"/>
          <w:sz w:val="22"/>
          <w:szCs w:val="22"/>
          <w:lang w:val="en-US"/>
        </w:rPr>
        <w:t>GROUPAMA AM</w:t>
      </w:r>
      <w:r w:rsidRPr="003A5104">
        <w:rPr>
          <w:bCs/>
          <w:color w:val="002060"/>
          <w:sz w:val="22"/>
          <w:szCs w:val="22"/>
          <w:lang w:val="en-US"/>
        </w:rPr>
        <w:t xml:space="preserve"> suggest</w:t>
      </w:r>
      <w:r w:rsidR="000C3C9E" w:rsidRPr="003A5104">
        <w:rPr>
          <w:bCs/>
          <w:color w:val="002060"/>
          <w:sz w:val="22"/>
          <w:szCs w:val="22"/>
          <w:lang w:val="en-US"/>
        </w:rPr>
        <w:t>s</w:t>
      </w:r>
      <w:r w:rsidRPr="003A5104">
        <w:rPr>
          <w:bCs/>
          <w:color w:val="002060"/>
          <w:sz w:val="22"/>
          <w:szCs w:val="22"/>
          <w:lang w:val="en-US"/>
        </w:rPr>
        <w:t xml:space="preserve"> </w:t>
      </w:r>
      <w:r w:rsidR="000C3C9E" w:rsidRPr="003A5104">
        <w:rPr>
          <w:bCs/>
          <w:color w:val="002060"/>
          <w:sz w:val="22"/>
          <w:szCs w:val="22"/>
          <w:lang w:val="en-US"/>
        </w:rPr>
        <w:t xml:space="preserve">at least </w:t>
      </w:r>
      <w:r w:rsidRPr="003A5104">
        <w:rPr>
          <w:bCs/>
          <w:color w:val="002060"/>
          <w:sz w:val="22"/>
          <w:szCs w:val="22"/>
          <w:lang w:val="en-US"/>
        </w:rPr>
        <w:t>12 months</w:t>
      </w:r>
      <w:r w:rsidR="000C3C9E" w:rsidRPr="003A5104">
        <w:rPr>
          <w:bCs/>
          <w:color w:val="002060"/>
          <w:sz w:val="22"/>
          <w:szCs w:val="22"/>
          <w:lang w:val="en-US"/>
        </w:rPr>
        <w:t>. SFDR templates and prospectus changes for the year end had been exhaust</w:t>
      </w:r>
      <w:r w:rsidR="008444E7" w:rsidRPr="003A5104">
        <w:rPr>
          <w:bCs/>
          <w:color w:val="002060"/>
          <w:sz w:val="22"/>
          <w:szCs w:val="22"/>
          <w:lang w:val="en-US"/>
        </w:rPr>
        <w:t>ing</w:t>
      </w:r>
      <w:r w:rsidR="000C3C9E" w:rsidRPr="003A5104">
        <w:rPr>
          <w:bCs/>
          <w:color w:val="002060"/>
          <w:sz w:val="22"/>
          <w:szCs w:val="22"/>
          <w:lang w:val="en-US"/>
        </w:rPr>
        <w:t xml:space="preserve"> stream works within our membership. Authorities should also consider human capital, not only compliance costs, when proposing new requirements. In addition, unlevel playing field among sectors and geographies might have effects on the competitiveness of the European industry and work to the detriment of the best interest of unitholders.</w:t>
      </w:r>
    </w:p>
    <w:p w14:paraId="52F253A0" w14:textId="00639179" w:rsidR="00966F68" w:rsidRPr="003A5104" w:rsidRDefault="00966F68" w:rsidP="006926E9">
      <w:pPr>
        <w:pStyle w:val="Default"/>
        <w:spacing w:after="173"/>
        <w:jc w:val="both"/>
        <w:rPr>
          <w:bCs/>
          <w:color w:val="002060"/>
          <w:sz w:val="22"/>
          <w:szCs w:val="22"/>
          <w:lang w:val="en-US"/>
        </w:rPr>
      </w:pPr>
      <w:r w:rsidRPr="003A5104">
        <w:rPr>
          <w:bCs/>
          <w:color w:val="002060"/>
          <w:sz w:val="22"/>
          <w:szCs w:val="22"/>
          <w:lang w:val="en-US"/>
        </w:rPr>
        <w:t>Also, should the EC clarify “sustainable investment”</w:t>
      </w:r>
      <w:r w:rsidR="009C0558">
        <w:rPr>
          <w:bCs/>
          <w:color w:val="002060"/>
          <w:sz w:val="22"/>
          <w:szCs w:val="22"/>
          <w:lang w:val="en-US"/>
        </w:rPr>
        <w:t xml:space="preserve"> (SI), depending upon their definition, it could involve additional implementation time</w:t>
      </w:r>
      <w:r w:rsidR="00A13818">
        <w:rPr>
          <w:bCs/>
          <w:color w:val="002060"/>
          <w:sz w:val="22"/>
          <w:szCs w:val="22"/>
          <w:lang w:val="en-US"/>
        </w:rPr>
        <w:t xml:space="preserve"> by the industry</w:t>
      </w:r>
      <w:r w:rsidR="009C0558">
        <w:rPr>
          <w:bCs/>
          <w:color w:val="002060"/>
          <w:sz w:val="22"/>
          <w:szCs w:val="22"/>
          <w:lang w:val="en-US"/>
        </w:rPr>
        <w:t xml:space="preserve">. This, combined with these guidelines – all the </w:t>
      </w:r>
      <w:r w:rsidR="00A13818">
        <w:rPr>
          <w:bCs/>
          <w:color w:val="002060"/>
          <w:sz w:val="22"/>
          <w:szCs w:val="22"/>
          <w:lang w:val="en-US"/>
        </w:rPr>
        <w:t>more if they would rely on a SI threshold -, advocate for an extended period of application of 12 months (minimum).</w:t>
      </w:r>
    </w:p>
    <w:p w14:paraId="6A395E29" w14:textId="77777777" w:rsidR="00FB6E58" w:rsidRDefault="00FB6E58" w:rsidP="006926E9">
      <w:pPr>
        <w:pStyle w:val="Default"/>
        <w:spacing w:after="173"/>
        <w:jc w:val="both"/>
        <w:rPr>
          <w:b/>
          <w:bCs/>
          <w:color w:val="auto"/>
          <w:sz w:val="22"/>
          <w:szCs w:val="22"/>
          <w:lang w:val="en-US"/>
        </w:rPr>
      </w:pPr>
      <w:r w:rsidRPr="008229BE">
        <w:rPr>
          <w:b/>
          <w:bCs/>
          <w:color w:val="auto"/>
          <w:sz w:val="22"/>
          <w:szCs w:val="22"/>
          <w:lang w:val="en-US"/>
        </w:rPr>
        <w:t xml:space="preserve">Q14. Should the naming-related provisions be extended to </w:t>
      </w:r>
      <w:r w:rsidRPr="008229BE">
        <w:rPr>
          <w:b/>
          <w:bCs/>
          <w:color w:val="auto"/>
          <w:sz w:val="22"/>
          <w:szCs w:val="22"/>
          <w:highlight w:val="cyan"/>
          <w:lang w:val="en-US"/>
        </w:rPr>
        <w:t>closed-ended funds</w:t>
      </w:r>
      <w:r w:rsidRPr="008229BE">
        <w:rPr>
          <w:b/>
          <w:bCs/>
          <w:color w:val="auto"/>
          <w:sz w:val="22"/>
          <w:szCs w:val="22"/>
          <w:lang w:val="en-US"/>
        </w:rPr>
        <w:t xml:space="preserve"> which have terminated their subscription period before the application date of the Guidelines? If not, please explain your answer.</w:t>
      </w:r>
      <w:r w:rsidR="00460505">
        <w:rPr>
          <w:b/>
          <w:bCs/>
          <w:color w:val="auto"/>
          <w:sz w:val="22"/>
          <w:szCs w:val="22"/>
          <w:lang w:val="en-US"/>
        </w:rPr>
        <w:t xml:space="preserve"> </w:t>
      </w:r>
    </w:p>
    <w:p w14:paraId="1C8DA366" w14:textId="1AD948A4" w:rsidR="00207286" w:rsidRPr="0051572B" w:rsidRDefault="00207286" w:rsidP="006926E9">
      <w:pPr>
        <w:pStyle w:val="Default"/>
        <w:spacing w:after="173"/>
        <w:jc w:val="both"/>
        <w:rPr>
          <w:bCs/>
          <w:color w:val="002060"/>
          <w:sz w:val="22"/>
          <w:szCs w:val="22"/>
          <w:lang w:val="en-US"/>
        </w:rPr>
      </w:pPr>
      <w:r w:rsidRPr="003A5104">
        <w:rPr>
          <w:bCs/>
          <w:color w:val="002060"/>
          <w:sz w:val="22"/>
          <w:szCs w:val="22"/>
          <w:lang w:val="en-US"/>
        </w:rPr>
        <w:t xml:space="preserve">We </w:t>
      </w:r>
      <w:r w:rsidRPr="0051572B">
        <w:rPr>
          <w:bCs/>
          <w:color w:val="002060"/>
          <w:sz w:val="22"/>
          <w:szCs w:val="22"/>
          <w:lang w:val="en-US"/>
        </w:rPr>
        <w:t>understand from the hearing held on January 23rd that the question is relative to funds closed for subscriptions.</w:t>
      </w:r>
    </w:p>
    <w:p w14:paraId="50AE46C2" w14:textId="06C8A287" w:rsidR="00193317" w:rsidRPr="0051572B" w:rsidRDefault="009E656E" w:rsidP="006926E9">
      <w:pPr>
        <w:pStyle w:val="Default"/>
        <w:spacing w:after="173"/>
        <w:jc w:val="both"/>
        <w:rPr>
          <w:color w:val="002060"/>
          <w:sz w:val="22"/>
          <w:szCs w:val="22"/>
          <w:lang w:val="en-GB"/>
        </w:rPr>
      </w:pPr>
      <w:r w:rsidRPr="0051572B">
        <w:rPr>
          <w:bCs/>
          <w:color w:val="002060"/>
          <w:sz w:val="22"/>
          <w:szCs w:val="22"/>
          <w:lang w:val="en-US"/>
        </w:rPr>
        <w:t>For funds which have terminated their subscription period it is not necessary to extend these naming-related provisions as there will be no</w:t>
      </w:r>
      <w:r w:rsidRPr="0051572B">
        <w:rPr>
          <w:color w:val="002060"/>
          <w:sz w:val="22"/>
          <w:szCs w:val="22"/>
          <w:lang w:val="en-GB"/>
        </w:rPr>
        <w:t xml:space="preserve"> </w:t>
      </w:r>
      <w:r w:rsidR="00B16C2B" w:rsidRPr="0051572B">
        <w:rPr>
          <w:color w:val="002060"/>
          <w:sz w:val="22"/>
          <w:szCs w:val="22"/>
          <w:lang w:val="en-GB"/>
        </w:rPr>
        <w:t>new subscriptions. The name of the fund won’t act as a “marketing tool”</w:t>
      </w:r>
      <w:r w:rsidR="007901C4" w:rsidRPr="0051572B">
        <w:rPr>
          <w:color w:val="002060"/>
          <w:sz w:val="22"/>
          <w:szCs w:val="22"/>
          <w:lang w:val="en-GB"/>
        </w:rPr>
        <w:t xml:space="preserve"> anymore</w:t>
      </w:r>
      <w:r w:rsidR="00B16C2B" w:rsidRPr="0051572B">
        <w:rPr>
          <w:color w:val="002060"/>
          <w:sz w:val="22"/>
          <w:szCs w:val="22"/>
          <w:lang w:val="en-GB"/>
        </w:rPr>
        <w:t>.</w:t>
      </w:r>
    </w:p>
    <w:p w14:paraId="10A29E66" w14:textId="07C3EBD2" w:rsidR="007901C4" w:rsidRPr="0051572B" w:rsidRDefault="00B16C2B" w:rsidP="00B16C2B">
      <w:pPr>
        <w:pStyle w:val="Default"/>
        <w:spacing w:after="173"/>
        <w:jc w:val="both"/>
        <w:rPr>
          <w:color w:val="002060"/>
          <w:sz w:val="22"/>
          <w:szCs w:val="22"/>
          <w:lang w:val="en-GB"/>
        </w:rPr>
      </w:pPr>
      <w:r w:rsidRPr="0051572B">
        <w:rPr>
          <w:color w:val="002060"/>
          <w:sz w:val="22"/>
          <w:szCs w:val="22"/>
          <w:lang w:val="en-GB"/>
        </w:rPr>
        <w:t>Moreover, this would be in line with the May 2022 SFDR Q&amp;A from the European Commission that indicates that “where a financial product is no longer made available to end investors</w:t>
      </w:r>
      <w:r w:rsidR="007901C4" w:rsidRPr="0051572B">
        <w:rPr>
          <w:color w:val="002060"/>
          <w:sz w:val="22"/>
          <w:szCs w:val="22"/>
          <w:lang w:val="en-GB"/>
        </w:rPr>
        <w:t xml:space="preserve">”, such products must comply with requirements regarding “periodic report” and “websites disclosure” but not with precontractual requirements. </w:t>
      </w:r>
    </w:p>
    <w:p w14:paraId="72169008" w14:textId="77777777" w:rsidR="00ED18A7" w:rsidRPr="009E656E" w:rsidRDefault="00ED18A7" w:rsidP="006926E9">
      <w:pPr>
        <w:pStyle w:val="Default"/>
        <w:spacing w:after="173"/>
        <w:jc w:val="both"/>
        <w:rPr>
          <w:color w:val="auto"/>
          <w:sz w:val="22"/>
          <w:szCs w:val="22"/>
          <w:lang w:val="en-GB"/>
        </w:rPr>
      </w:pPr>
    </w:p>
    <w:p w14:paraId="2753850A" w14:textId="77777777" w:rsidR="00FB6E58" w:rsidRPr="00FB6E58" w:rsidRDefault="00FB6E58" w:rsidP="006926E9">
      <w:pPr>
        <w:pStyle w:val="Default"/>
        <w:spacing w:after="173"/>
        <w:jc w:val="both"/>
        <w:rPr>
          <w:color w:val="auto"/>
          <w:sz w:val="22"/>
          <w:szCs w:val="22"/>
          <w:lang w:val="en-US"/>
        </w:rPr>
      </w:pPr>
      <w:r w:rsidRPr="008229BE">
        <w:rPr>
          <w:b/>
          <w:bCs/>
          <w:color w:val="auto"/>
          <w:sz w:val="22"/>
          <w:szCs w:val="22"/>
          <w:lang w:val="en-US"/>
        </w:rPr>
        <w:t xml:space="preserve">Q15. What is </w:t>
      </w:r>
      <w:r w:rsidRPr="008229BE">
        <w:rPr>
          <w:b/>
          <w:bCs/>
          <w:color w:val="auto"/>
          <w:sz w:val="22"/>
          <w:szCs w:val="22"/>
          <w:highlight w:val="cyan"/>
          <w:lang w:val="en-US"/>
        </w:rPr>
        <w:t>the anticipated impact</w:t>
      </w:r>
      <w:r w:rsidRPr="008229BE">
        <w:rPr>
          <w:b/>
          <w:bCs/>
          <w:color w:val="auto"/>
          <w:sz w:val="22"/>
          <w:szCs w:val="22"/>
          <w:lang w:val="en-US"/>
        </w:rPr>
        <w:t xml:space="preserve"> from the introduction of the proposed Guidelines?</w:t>
      </w:r>
    </w:p>
    <w:p w14:paraId="4A238D8D" w14:textId="77777777" w:rsidR="00460505" w:rsidRDefault="00460505" w:rsidP="006926E9">
      <w:pPr>
        <w:pStyle w:val="Default"/>
        <w:jc w:val="both"/>
        <w:rPr>
          <w:b/>
          <w:bCs/>
          <w:color w:val="auto"/>
          <w:sz w:val="22"/>
          <w:szCs w:val="22"/>
          <w:lang w:val="en-US"/>
        </w:rPr>
      </w:pPr>
    </w:p>
    <w:p w14:paraId="4FEB7505" w14:textId="46FCE55D" w:rsidR="008C05CC" w:rsidRPr="0051572B" w:rsidRDefault="009E656E" w:rsidP="003A5104">
      <w:pPr>
        <w:jc w:val="both"/>
        <w:rPr>
          <w:rFonts w:ascii="Arial" w:hAnsi="Arial" w:cs="Arial"/>
          <w:color w:val="002060"/>
          <w:lang w:val="en-GB"/>
        </w:rPr>
      </w:pPr>
      <w:r w:rsidRPr="0051572B">
        <w:rPr>
          <w:rFonts w:ascii="Arial" w:hAnsi="Arial" w:cs="Arial"/>
          <w:color w:val="002060"/>
          <w:lang w:val="en-GB"/>
        </w:rPr>
        <w:t xml:space="preserve">The introduction of the proposed guidelines may have </w:t>
      </w:r>
      <w:r w:rsidR="008C05CC" w:rsidRPr="0051572B">
        <w:rPr>
          <w:rFonts w:ascii="Arial" w:hAnsi="Arial" w:cs="Arial"/>
          <w:color w:val="002060"/>
          <w:lang w:val="en-GB"/>
        </w:rPr>
        <w:t xml:space="preserve">the following effect </w:t>
      </w:r>
      <w:r w:rsidR="009F1B0E" w:rsidRPr="0051572B">
        <w:rPr>
          <w:rFonts w:ascii="Arial" w:hAnsi="Arial" w:cs="Arial"/>
          <w:color w:val="002060"/>
          <w:lang w:val="en-GB"/>
        </w:rPr>
        <w:t>:</w:t>
      </w:r>
    </w:p>
    <w:p w14:paraId="4D87870D" w14:textId="42BD15DB" w:rsidR="008C05CC" w:rsidRPr="0051572B" w:rsidRDefault="009F1B0E" w:rsidP="003A5104">
      <w:pPr>
        <w:pStyle w:val="Paragraphedeliste"/>
        <w:numPr>
          <w:ilvl w:val="0"/>
          <w:numId w:val="25"/>
        </w:numPr>
        <w:jc w:val="both"/>
        <w:rPr>
          <w:rFonts w:ascii="Arial" w:hAnsi="Arial" w:cs="Arial"/>
          <w:color w:val="002060"/>
          <w:lang w:val="en-GB"/>
        </w:rPr>
      </w:pPr>
      <w:r w:rsidRPr="0051572B">
        <w:rPr>
          <w:rFonts w:ascii="Arial" w:hAnsi="Arial" w:cs="Arial"/>
          <w:b/>
          <w:bCs/>
          <w:color w:val="002060"/>
          <w:lang w:val="en-GB"/>
        </w:rPr>
        <w:t>Increasing the risk of g</w:t>
      </w:r>
      <w:r w:rsidR="008C05CC" w:rsidRPr="0051572B">
        <w:rPr>
          <w:rFonts w:ascii="Arial" w:hAnsi="Arial" w:cs="Arial"/>
          <w:b/>
          <w:bCs/>
          <w:color w:val="002060"/>
          <w:lang w:val="en-GB"/>
        </w:rPr>
        <w:t>reenwashing</w:t>
      </w:r>
      <w:r w:rsidR="008C05CC" w:rsidRPr="0051572B">
        <w:rPr>
          <w:rFonts w:ascii="Arial" w:hAnsi="Arial" w:cs="Arial"/>
          <w:color w:val="002060"/>
          <w:lang w:val="en-GB"/>
        </w:rPr>
        <w:t xml:space="preserve"> </w:t>
      </w:r>
      <w:r w:rsidRPr="0051572B">
        <w:rPr>
          <w:rFonts w:ascii="Arial" w:hAnsi="Arial" w:cs="Arial"/>
          <w:color w:val="002060"/>
          <w:lang w:val="en-GB"/>
        </w:rPr>
        <w:t>as the thresholds are based on concept not clearly defined.</w:t>
      </w:r>
    </w:p>
    <w:p w14:paraId="4CBDEA3E" w14:textId="5B708769" w:rsidR="008C05CC" w:rsidRPr="0051572B" w:rsidRDefault="009F1B0E" w:rsidP="0051572B">
      <w:pPr>
        <w:pStyle w:val="Paragraphedeliste"/>
        <w:numPr>
          <w:ilvl w:val="0"/>
          <w:numId w:val="25"/>
        </w:numPr>
        <w:jc w:val="both"/>
        <w:rPr>
          <w:rFonts w:ascii="Arial" w:hAnsi="Arial" w:cs="Arial"/>
          <w:color w:val="002060"/>
          <w:lang w:val="en-GB"/>
        </w:rPr>
      </w:pPr>
      <w:r w:rsidRPr="0051572B">
        <w:rPr>
          <w:rFonts w:ascii="Arial" w:hAnsi="Arial" w:cs="Arial"/>
          <w:b/>
          <w:bCs/>
          <w:color w:val="002060"/>
          <w:lang w:val="en-GB"/>
        </w:rPr>
        <w:t>Increasing the risk of “green-bleaching”</w:t>
      </w:r>
      <w:r w:rsidRPr="0051572B">
        <w:rPr>
          <w:rFonts w:ascii="Arial" w:hAnsi="Arial" w:cs="Arial"/>
          <w:color w:val="002060"/>
          <w:lang w:val="en-GB"/>
        </w:rPr>
        <w:t xml:space="preserve"> if the constraints imposed are</w:t>
      </w:r>
      <w:r w:rsidR="008C05CC" w:rsidRPr="0051572B">
        <w:rPr>
          <w:rFonts w:ascii="Arial" w:hAnsi="Arial" w:cs="Arial"/>
          <w:color w:val="002060"/>
          <w:lang w:val="en-GB"/>
        </w:rPr>
        <w:t xml:space="preserve"> too stringent and inadequate (PAB</w:t>
      </w:r>
      <w:r w:rsidRPr="0051572B">
        <w:rPr>
          <w:rFonts w:ascii="Arial" w:hAnsi="Arial" w:cs="Arial"/>
          <w:color w:val="002060"/>
          <w:lang w:val="en-GB"/>
        </w:rPr>
        <w:t xml:space="preserve"> exclusions for example</w:t>
      </w:r>
      <w:r w:rsidR="008C05CC" w:rsidRPr="0051572B">
        <w:rPr>
          <w:rFonts w:ascii="Arial" w:hAnsi="Arial" w:cs="Arial"/>
          <w:color w:val="002060"/>
          <w:lang w:val="en-GB"/>
        </w:rPr>
        <w:t>)</w:t>
      </w:r>
      <w:r w:rsidRPr="0051572B">
        <w:rPr>
          <w:rFonts w:ascii="Arial" w:hAnsi="Arial" w:cs="Arial"/>
          <w:color w:val="002060"/>
          <w:lang w:val="en-GB"/>
        </w:rPr>
        <w:t>. Indeed, it may drive some asset managers to stay out of ESG strategies.</w:t>
      </w:r>
    </w:p>
    <w:p w14:paraId="210A523C" w14:textId="1DE49988" w:rsidR="000C3C9E" w:rsidRPr="0051572B" w:rsidRDefault="000C3C9E" w:rsidP="003A5104">
      <w:pPr>
        <w:jc w:val="both"/>
        <w:rPr>
          <w:rFonts w:ascii="Arial" w:hAnsi="Arial" w:cs="Arial"/>
          <w:color w:val="002060"/>
          <w:lang w:val="en-GB"/>
        </w:rPr>
      </w:pPr>
      <w:r w:rsidRPr="0051572B">
        <w:rPr>
          <w:rFonts w:ascii="Arial" w:hAnsi="Arial" w:cs="Arial"/>
          <w:color w:val="002060"/>
          <w:lang w:val="en-GB"/>
        </w:rPr>
        <w:t xml:space="preserve">In addition, in the light of the SFDR complicated implementation, </w:t>
      </w:r>
      <w:r w:rsidR="00814AD8">
        <w:rPr>
          <w:rFonts w:ascii="Arial" w:hAnsi="Arial" w:cs="Arial"/>
          <w:color w:val="002060"/>
          <w:lang w:val="en-GB"/>
        </w:rPr>
        <w:t>GROUPAMA AM</w:t>
      </w:r>
      <w:r w:rsidRPr="0051572B">
        <w:rPr>
          <w:rFonts w:ascii="Arial" w:hAnsi="Arial" w:cs="Arial"/>
          <w:color w:val="002060"/>
          <w:lang w:val="en-GB"/>
        </w:rPr>
        <w:t xml:space="preserve"> thinks that authorities should also consider human capital in compliance projects, not only compliance costs, when proposing new requirements. In addition, unlevel playing field among sectors and geographies might have effects on the competitiveness of the European industry and work to the detriment of the best interest of unitholders.</w:t>
      </w:r>
    </w:p>
    <w:p w14:paraId="27CC1115" w14:textId="77777777" w:rsidR="00460505" w:rsidRDefault="00460505" w:rsidP="006926E9">
      <w:pPr>
        <w:pStyle w:val="Default"/>
        <w:jc w:val="both"/>
        <w:rPr>
          <w:b/>
          <w:bCs/>
          <w:color w:val="auto"/>
          <w:sz w:val="22"/>
          <w:szCs w:val="22"/>
          <w:lang w:val="en-US"/>
        </w:rPr>
      </w:pPr>
    </w:p>
    <w:p w14:paraId="5AB829B2" w14:textId="77777777" w:rsidR="009C0558" w:rsidRPr="003A5104" w:rsidRDefault="00FB6E58" w:rsidP="006926E9">
      <w:pPr>
        <w:pStyle w:val="Default"/>
        <w:jc w:val="both"/>
        <w:rPr>
          <w:b/>
          <w:bCs/>
          <w:color w:val="auto"/>
          <w:sz w:val="22"/>
          <w:szCs w:val="22"/>
          <w:lang w:val="en-GB"/>
        </w:rPr>
      </w:pPr>
      <w:r w:rsidRPr="00BB3237">
        <w:rPr>
          <w:b/>
          <w:bCs/>
          <w:color w:val="auto"/>
          <w:sz w:val="22"/>
          <w:szCs w:val="22"/>
          <w:lang w:val="en-US"/>
        </w:rPr>
        <w:t xml:space="preserve">Q16. What additional </w:t>
      </w:r>
      <w:r w:rsidRPr="008229BE">
        <w:rPr>
          <w:b/>
          <w:bCs/>
          <w:color w:val="auto"/>
          <w:sz w:val="22"/>
          <w:szCs w:val="22"/>
          <w:highlight w:val="cyan"/>
          <w:lang w:val="en-US"/>
        </w:rPr>
        <w:t>costs and benefits</w:t>
      </w:r>
      <w:r w:rsidRPr="00BB3237">
        <w:rPr>
          <w:b/>
          <w:bCs/>
          <w:color w:val="auto"/>
          <w:sz w:val="22"/>
          <w:szCs w:val="22"/>
          <w:lang w:val="en-US"/>
        </w:rPr>
        <w:t xml:space="preserve"> would compliance with the proposed Guidelines bring to the stakeholder(s) you represent? </w:t>
      </w:r>
      <w:r w:rsidRPr="003A5104">
        <w:rPr>
          <w:b/>
          <w:bCs/>
          <w:color w:val="auto"/>
          <w:sz w:val="22"/>
          <w:szCs w:val="22"/>
          <w:lang w:val="en-GB"/>
        </w:rPr>
        <w:t>Please provide quantitative figures, where available.</w:t>
      </w:r>
    </w:p>
    <w:p w14:paraId="66246E0C" w14:textId="77777777" w:rsidR="00637820" w:rsidRPr="003A5104" w:rsidRDefault="00637820" w:rsidP="006926E9">
      <w:pPr>
        <w:pStyle w:val="Default"/>
        <w:jc w:val="both"/>
        <w:rPr>
          <w:b/>
          <w:bCs/>
          <w:color w:val="auto"/>
          <w:sz w:val="22"/>
          <w:szCs w:val="22"/>
          <w:lang w:val="en-GB"/>
        </w:rPr>
      </w:pPr>
    </w:p>
    <w:p w14:paraId="3B80DD18" w14:textId="3276CBEC" w:rsidR="00637820" w:rsidRPr="003D6CDA" w:rsidRDefault="00814AD8" w:rsidP="003D6CDA">
      <w:pPr>
        <w:rPr>
          <w:rFonts w:ascii="Arial" w:hAnsi="Arial" w:cs="Arial"/>
          <w:color w:val="002060"/>
          <w:lang w:val="en-GB"/>
        </w:rPr>
      </w:pPr>
      <w:r>
        <w:rPr>
          <w:rFonts w:ascii="Arial" w:hAnsi="Arial" w:cs="Arial"/>
          <w:color w:val="002060"/>
          <w:lang w:val="en-GB"/>
        </w:rPr>
        <w:t>GROUPAMA AM</w:t>
      </w:r>
      <w:r w:rsidR="000C3C9E" w:rsidRPr="0051572B">
        <w:rPr>
          <w:rFonts w:ascii="Arial" w:hAnsi="Arial" w:cs="Arial"/>
          <w:color w:val="002060"/>
          <w:lang w:val="en-GB"/>
        </w:rPr>
        <w:t xml:space="preserve"> </w:t>
      </w:r>
      <w:r w:rsidR="009E656E" w:rsidRPr="0051572B">
        <w:rPr>
          <w:rFonts w:ascii="Arial" w:hAnsi="Arial" w:cs="Arial"/>
          <w:color w:val="002060"/>
          <w:lang w:val="en-GB"/>
        </w:rPr>
        <w:t>anticipate</w:t>
      </w:r>
      <w:r w:rsidR="000C3C9E" w:rsidRPr="0051572B">
        <w:rPr>
          <w:rFonts w:ascii="Arial" w:hAnsi="Arial" w:cs="Arial"/>
          <w:color w:val="002060"/>
          <w:lang w:val="en-GB"/>
        </w:rPr>
        <w:t>s</w:t>
      </w:r>
      <w:r w:rsidR="009E656E" w:rsidRPr="0051572B">
        <w:rPr>
          <w:rFonts w:ascii="Arial" w:hAnsi="Arial" w:cs="Arial"/>
          <w:color w:val="002060"/>
          <w:lang w:val="en-GB"/>
        </w:rPr>
        <w:t xml:space="preserve"> significant additional costs first for the compliance of prospectus. It means human resources dedicated for some time. </w:t>
      </w:r>
      <w:r w:rsidR="008444E7" w:rsidRPr="0051572B">
        <w:rPr>
          <w:rFonts w:ascii="Arial" w:hAnsi="Arial" w:cs="Arial"/>
          <w:color w:val="002060"/>
          <w:lang w:val="en-GB"/>
        </w:rPr>
        <w:t>In addition</w:t>
      </w:r>
      <w:r w:rsidR="009E656E" w:rsidRPr="0051572B">
        <w:rPr>
          <w:rFonts w:ascii="Arial" w:hAnsi="Arial" w:cs="Arial"/>
          <w:color w:val="002060"/>
          <w:lang w:val="en-GB"/>
        </w:rPr>
        <w:t xml:space="preserve">, front office tools will have to be adjusted and asset managers trained. </w:t>
      </w:r>
      <w:r>
        <w:rPr>
          <w:rFonts w:ascii="Arial" w:hAnsi="Arial" w:cs="Arial"/>
          <w:color w:val="002060"/>
          <w:lang w:val="en-GB"/>
        </w:rPr>
        <w:t>GROUPAMA AM</w:t>
      </w:r>
      <w:r w:rsidR="008444E7" w:rsidRPr="0051572B">
        <w:rPr>
          <w:rFonts w:ascii="Arial" w:hAnsi="Arial" w:cs="Arial"/>
          <w:color w:val="002060"/>
          <w:lang w:val="en-GB"/>
        </w:rPr>
        <w:t xml:space="preserve"> </w:t>
      </w:r>
      <w:r w:rsidR="009E656E" w:rsidRPr="0051572B">
        <w:rPr>
          <w:rFonts w:ascii="Arial" w:hAnsi="Arial" w:cs="Arial"/>
          <w:color w:val="002060"/>
          <w:lang w:val="en-GB"/>
        </w:rPr>
        <w:t>wonder</w:t>
      </w:r>
      <w:r w:rsidR="008444E7" w:rsidRPr="0051572B">
        <w:rPr>
          <w:rFonts w:ascii="Arial" w:hAnsi="Arial" w:cs="Arial"/>
          <w:color w:val="002060"/>
          <w:lang w:val="en-GB"/>
        </w:rPr>
        <w:t>s</w:t>
      </w:r>
      <w:r w:rsidR="009E656E" w:rsidRPr="0051572B">
        <w:rPr>
          <w:rFonts w:ascii="Arial" w:hAnsi="Arial" w:cs="Arial"/>
          <w:color w:val="002060"/>
          <w:lang w:val="en-GB"/>
        </w:rPr>
        <w:t xml:space="preserve"> to what extend </w:t>
      </w:r>
      <w:r w:rsidR="008444E7" w:rsidRPr="0051572B">
        <w:rPr>
          <w:rFonts w:ascii="Arial" w:hAnsi="Arial" w:cs="Arial"/>
          <w:color w:val="002060"/>
          <w:lang w:val="en-GB"/>
        </w:rPr>
        <w:t xml:space="preserve">its members </w:t>
      </w:r>
      <w:r w:rsidR="009E656E" w:rsidRPr="0051572B">
        <w:rPr>
          <w:rFonts w:ascii="Arial" w:hAnsi="Arial" w:cs="Arial"/>
          <w:color w:val="002060"/>
          <w:lang w:val="en-GB"/>
        </w:rPr>
        <w:t>will have to inform investors and how?</w:t>
      </w:r>
      <w:r w:rsidR="008444E7" w:rsidRPr="0051572B">
        <w:rPr>
          <w:rFonts w:ascii="Arial" w:hAnsi="Arial" w:cs="Arial"/>
          <w:color w:val="002060"/>
          <w:lang w:val="en-GB"/>
        </w:rPr>
        <w:t xml:space="preserve"> It should be recalled that teams have had an exhausting compliance exercise for the year end with the SFDR level 2 implementation.</w:t>
      </w:r>
    </w:p>
    <w:sectPr w:rsidR="00637820" w:rsidRPr="003D6CDA" w:rsidSect="009C0558">
      <w:pgSz w:w="11906" w:h="17338"/>
      <w:pgMar w:top="1139" w:right="886" w:bottom="925" w:left="118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B73E" w14:textId="77777777" w:rsidR="008841BF" w:rsidRDefault="008841BF" w:rsidP="00227D67">
      <w:pPr>
        <w:spacing w:after="0" w:line="240" w:lineRule="auto"/>
      </w:pPr>
      <w:r>
        <w:separator/>
      </w:r>
    </w:p>
  </w:endnote>
  <w:endnote w:type="continuationSeparator" w:id="0">
    <w:p w14:paraId="3583C2A6" w14:textId="77777777" w:rsidR="008841BF" w:rsidRDefault="008841BF" w:rsidP="0022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ACBE" w14:textId="77777777" w:rsidR="008841BF" w:rsidRDefault="008841BF" w:rsidP="00227D67">
      <w:pPr>
        <w:spacing w:after="0" w:line="240" w:lineRule="auto"/>
      </w:pPr>
      <w:r>
        <w:separator/>
      </w:r>
    </w:p>
  </w:footnote>
  <w:footnote w:type="continuationSeparator" w:id="0">
    <w:p w14:paraId="64F6117B" w14:textId="77777777" w:rsidR="008841BF" w:rsidRDefault="008841BF" w:rsidP="00227D67">
      <w:pPr>
        <w:spacing w:after="0" w:line="240" w:lineRule="auto"/>
      </w:pPr>
      <w:r>
        <w:continuationSeparator/>
      </w:r>
    </w:p>
  </w:footnote>
  <w:footnote w:id="1">
    <w:p w14:paraId="45184196" w14:textId="77777777" w:rsidR="009C0558" w:rsidRPr="0050664B" w:rsidRDefault="009C0558">
      <w:pPr>
        <w:pStyle w:val="Notedebasdepage"/>
        <w:rPr>
          <w:lang w:val="en-US"/>
        </w:rPr>
      </w:pPr>
      <w:r>
        <w:rPr>
          <w:rStyle w:val="Appelnotedebasdep"/>
        </w:rPr>
        <w:footnoteRef/>
      </w:r>
      <w:r w:rsidRPr="0050664B">
        <w:rPr>
          <w:lang w:val="en-US"/>
        </w:rPr>
        <w:t xml:space="preserve"> ESA’s list of additional SFDR queries requiring the interpretation of Union law – 9 September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33A"/>
    <w:multiLevelType w:val="hybridMultilevel"/>
    <w:tmpl w:val="4CB8B5DE"/>
    <w:lvl w:ilvl="0" w:tplc="A67EDCE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25C3A7D"/>
    <w:multiLevelType w:val="hybridMultilevel"/>
    <w:tmpl w:val="DB64386A"/>
    <w:lvl w:ilvl="0" w:tplc="040C001B">
      <w:start w:val="1"/>
      <w:numFmt w:val="low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825AB5"/>
    <w:multiLevelType w:val="hybridMultilevel"/>
    <w:tmpl w:val="106AEF80"/>
    <w:lvl w:ilvl="0" w:tplc="D9ECCB4C">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81B2A86"/>
    <w:multiLevelType w:val="hybridMultilevel"/>
    <w:tmpl w:val="FD261F6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92F7464"/>
    <w:multiLevelType w:val="hybridMultilevel"/>
    <w:tmpl w:val="C5446714"/>
    <w:lvl w:ilvl="0" w:tplc="3E8046B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9C4F1F"/>
    <w:multiLevelType w:val="hybridMultilevel"/>
    <w:tmpl w:val="38848626"/>
    <w:lvl w:ilvl="0" w:tplc="470627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D056B"/>
    <w:multiLevelType w:val="hybridMultilevel"/>
    <w:tmpl w:val="966E88DC"/>
    <w:lvl w:ilvl="0" w:tplc="86FCD3B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F75DF8"/>
    <w:multiLevelType w:val="hybridMultilevel"/>
    <w:tmpl w:val="03343D84"/>
    <w:lvl w:ilvl="0" w:tplc="0B4A925A">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A35A2C"/>
    <w:multiLevelType w:val="hybridMultilevel"/>
    <w:tmpl w:val="C5803F7E"/>
    <w:lvl w:ilvl="0" w:tplc="A3628D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F02C97"/>
    <w:multiLevelType w:val="hybridMultilevel"/>
    <w:tmpl w:val="A7E2FE18"/>
    <w:lvl w:ilvl="0" w:tplc="470627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1B1759"/>
    <w:multiLevelType w:val="hybridMultilevel"/>
    <w:tmpl w:val="632E45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AD2B1F"/>
    <w:multiLevelType w:val="hybridMultilevel"/>
    <w:tmpl w:val="03C05B3E"/>
    <w:lvl w:ilvl="0" w:tplc="FE92C1D0">
      <w:start w:val="1"/>
      <w:numFmt w:val="bullet"/>
      <w:lvlText w:val=""/>
      <w:lvlJc w:val="left"/>
      <w:pPr>
        <w:ind w:left="1146" w:hanging="360"/>
      </w:pPr>
      <w:rPr>
        <w:rFonts w:ascii="Wingdings" w:eastAsiaTheme="minorHAnsi" w:hAnsi="Wingdings" w:cs="Arial" w:hint="default"/>
        <w:color w:val="7F7F7F"/>
        <w:sz w:val="2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2673537C"/>
    <w:multiLevelType w:val="hybridMultilevel"/>
    <w:tmpl w:val="C5803F7E"/>
    <w:lvl w:ilvl="0" w:tplc="A3628D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C7562A"/>
    <w:multiLevelType w:val="hybridMultilevel"/>
    <w:tmpl w:val="A01E1EB2"/>
    <w:lvl w:ilvl="0" w:tplc="040C0003">
      <w:start w:val="1"/>
      <w:numFmt w:val="bullet"/>
      <w:lvlText w:val="o"/>
      <w:lvlJc w:val="left"/>
      <w:pPr>
        <w:ind w:left="1206" w:hanging="360"/>
      </w:pPr>
      <w:rPr>
        <w:rFonts w:ascii="Courier New" w:hAnsi="Courier New" w:cs="Courier New" w:hint="default"/>
      </w:rPr>
    </w:lvl>
    <w:lvl w:ilvl="1" w:tplc="040C0003" w:tentative="1">
      <w:start w:val="1"/>
      <w:numFmt w:val="bullet"/>
      <w:lvlText w:val="o"/>
      <w:lvlJc w:val="left"/>
      <w:pPr>
        <w:ind w:left="1926" w:hanging="360"/>
      </w:pPr>
      <w:rPr>
        <w:rFonts w:ascii="Courier New" w:hAnsi="Courier New" w:cs="Courier New" w:hint="default"/>
      </w:rPr>
    </w:lvl>
    <w:lvl w:ilvl="2" w:tplc="040C0005" w:tentative="1">
      <w:start w:val="1"/>
      <w:numFmt w:val="bullet"/>
      <w:lvlText w:val=""/>
      <w:lvlJc w:val="left"/>
      <w:pPr>
        <w:ind w:left="2646" w:hanging="360"/>
      </w:pPr>
      <w:rPr>
        <w:rFonts w:ascii="Wingdings" w:hAnsi="Wingdings" w:hint="default"/>
      </w:rPr>
    </w:lvl>
    <w:lvl w:ilvl="3" w:tplc="040C0001" w:tentative="1">
      <w:start w:val="1"/>
      <w:numFmt w:val="bullet"/>
      <w:lvlText w:val=""/>
      <w:lvlJc w:val="left"/>
      <w:pPr>
        <w:ind w:left="3366" w:hanging="360"/>
      </w:pPr>
      <w:rPr>
        <w:rFonts w:ascii="Symbol" w:hAnsi="Symbol" w:hint="default"/>
      </w:rPr>
    </w:lvl>
    <w:lvl w:ilvl="4" w:tplc="040C0003" w:tentative="1">
      <w:start w:val="1"/>
      <w:numFmt w:val="bullet"/>
      <w:lvlText w:val="o"/>
      <w:lvlJc w:val="left"/>
      <w:pPr>
        <w:ind w:left="4086" w:hanging="360"/>
      </w:pPr>
      <w:rPr>
        <w:rFonts w:ascii="Courier New" w:hAnsi="Courier New" w:cs="Courier New" w:hint="default"/>
      </w:rPr>
    </w:lvl>
    <w:lvl w:ilvl="5" w:tplc="040C0005" w:tentative="1">
      <w:start w:val="1"/>
      <w:numFmt w:val="bullet"/>
      <w:lvlText w:val=""/>
      <w:lvlJc w:val="left"/>
      <w:pPr>
        <w:ind w:left="4806" w:hanging="360"/>
      </w:pPr>
      <w:rPr>
        <w:rFonts w:ascii="Wingdings" w:hAnsi="Wingdings" w:hint="default"/>
      </w:rPr>
    </w:lvl>
    <w:lvl w:ilvl="6" w:tplc="040C0001" w:tentative="1">
      <w:start w:val="1"/>
      <w:numFmt w:val="bullet"/>
      <w:lvlText w:val=""/>
      <w:lvlJc w:val="left"/>
      <w:pPr>
        <w:ind w:left="5526" w:hanging="360"/>
      </w:pPr>
      <w:rPr>
        <w:rFonts w:ascii="Symbol" w:hAnsi="Symbol" w:hint="default"/>
      </w:rPr>
    </w:lvl>
    <w:lvl w:ilvl="7" w:tplc="040C0003" w:tentative="1">
      <w:start w:val="1"/>
      <w:numFmt w:val="bullet"/>
      <w:lvlText w:val="o"/>
      <w:lvlJc w:val="left"/>
      <w:pPr>
        <w:ind w:left="6246" w:hanging="360"/>
      </w:pPr>
      <w:rPr>
        <w:rFonts w:ascii="Courier New" w:hAnsi="Courier New" w:cs="Courier New" w:hint="default"/>
      </w:rPr>
    </w:lvl>
    <w:lvl w:ilvl="8" w:tplc="040C0005" w:tentative="1">
      <w:start w:val="1"/>
      <w:numFmt w:val="bullet"/>
      <w:lvlText w:val=""/>
      <w:lvlJc w:val="left"/>
      <w:pPr>
        <w:ind w:left="6966" w:hanging="360"/>
      </w:pPr>
      <w:rPr>
        <w:rFonts w:ascii="Wingdings" w:hAnsi="Wingdings" w:hint="default"/>
      </w:rPr>
    </w:lvl>
  </w:abstractNum>
  <w:abstractNum w:abstractNumId="14" w15:restartNumberingAfterBreak="0">
    <w:nsid w:val="2D49763A"/>
    <w:multiLevelType w:val="hybridMultilevel"/>
    <w:tmpl w:val="49F81C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9072BB"/>
    <w:multiLevelType w:val="hybridMultilevel"/>
    <w:tmpl w:val="F0DA760C"/>
    <w:lvl w:ilvl="0" w:tplc="F67478A0">
      <w:numFmt w:val="bullet"/>
      <w:lvlText w:val=""/>
      <w:lvlJc w:val="left"/>
      <w:pPr>
        <w:ind w:left="1776" w:hanging="360"/>
      </w:pPr>
      <w:rPr>
        <w:rFonts w:ascii="Symbol" w:eastAsiaTheme="minorHAnsi" w:hAnsi="Symbo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376B4990"/>
    <w:multiLevelType w:val="hybridMultilevel"/>
    <w:tmpl w:val="A7F4CEB4"/>
    <w:lvl w:ilvl="0" w:tplc="FD64A5F8">
      <w:start w:val="1"/>
      <w:numFmt w:val="lowerRoman"/>
      <w:lvlText w:val="(%1)"/>
      <w:lvlJc w:val="left"/>
      <w:pPr>
        <w:ind w:left="1440" w:hanging="72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7" w15:restartNumberingAfterBreak="0">
    <w:nsid w:val="37ED4409"/>
    <w:multiLevelType w:val="hybridMultilevel"/>
    <w:tmpl w:val="BD3C4BEA"/>
    <w:lvl w:ilvl="0" w:tplc="3E8046B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0250C8"/>
    <w:multiLevelType w:val="hybridMultilevel"/>
    <w:tmpl w:val="9BB84830"/>
    <w:lvl w:ilvl="0" w:tplc="A3628D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2557044"/>
    <w:multiLevelType w:val="hybridMultilevel"/>
    <w:tmpl w:val="0038D77C"/>
    <w:lvl w:ilvl="0" w:tplc="2ECC9D10">
      <w:start w:val="2"/>
      <w:numFmt w:val="bullet"/>
      <w:lvlText w:val="-"/>
      <w:lvlJc w:val="left"/>
      <w:pPr>
        <w:ind w:left="786" w:hanging="360"/>
      </w:pPr>
      <w:rPr>
        <w:rFonts w:ascii="Arial" w:eastAsiaTheme="minorHAnsi" w:hAnsi="Arial" w:cs="Arial" w:hint="default"/>
        <w:color w:val="00206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15:restartNumberingAfterBreak="0">
    <w:nsid w:val="4E084FD9"/>
    <w:multiLevelType w:val="hybridMultilevel"/>
    <w:tmpl w:val="E41ED4D4"/>
    <w:lvl w:ilvl="0" w:tplc="6FBE4B80">
      <w:start w:val="3"/>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D6245E"/>
    <w:multiLevelType w:val="hybridMultilevel"/>
    <w:tmpl w:val="C4521432"/>
    <w:lvl w:ilvl="0" w:tplc="17B4C8BA">
      <w:start w:val="1"/>
      <w:numFmt w:val="bullet"/>
      <w:lvlText w:val=""/>
      <w:lvlJc w:val="left"/>
      <w:pPr>
        <w:ind w:left="1146" w:hanging="360"/>
      </w:pPr>
      <w:rPr>
        <w:rFonts w:ascii="Wingdings" w:eastAsiaTheme="minorHAnsi" w:hAnsi="Wingdings" w:cs="Arial" w:hint="default"/>
        <w:color w:val="7F7F7F"/>
        <w:sz w:val="20"/>
        <w:u w:val="non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2" w15:restartNumberingAfterBreak="0">
    <w:nsid w:val="5D64202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A15AD3"/>
    <w:multiLevelType w:val="hybridMultilevel"/>
    <w:tmpl w:val="37E816EA"/>
    <w:lvl w:ilvl="0" w:tplc="BDC0EDA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6F452C"/>
    <w:multiLevelType w:val="hybridMultilevel"/>
    <w:tmpl w:val="9E360388"/>
    <w:lvl w:ilvl="0" w:tplc="133078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B757C6"/>
    <w:multiLevelType w:val="hybridMultilevel"/>
    <w:tmpl w:val="F9C80E82"/>
    <w:lvl w:ilvl="0" w:tplc="2AE0172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3C2431"/>
    <w:multiLevelType w:val="hybridMultilevel"/>
    <w:tmpl w:val="8F1A7D18"/>
    <w:lvl w:ilvl="0" w:tplc="DD021AE2">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BF76AA"/>
    <w:multiLevelType w:val="hybridMultilevel"/>
    <w:tmpl w:val="3506906A"/>
    <w:lvl w:ilvl="0" w:tplc="A3628D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B683BD9"/>
    <w:multiLevelType w:val="hybridMultilevel"/>
    <w:tmpl w:val="8ACA09A0"/>
    <w:lvl w:ilvl="0" w:tplc="BFA0E5D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4A4F39"/>
    <w:multiLevelType w:val="hybridMultilevel"/>
    <w:tmpl w:val="16566584"/>
    <w:lvl w:ilvl="0" w:tplc="2AE017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2231025">
    <w:abstractNumId w:val="4"/>
  </w:num>
  <w:num w:numId="2" w16cid:durableId="403071370">
    <w:abstractNumId w:val="24"/>
  </w:num>
  <w:num w:numId="3" w16cid:durableId="945037070">
    <w:abstractNumId w:val="17"/>
  </w:num>
  <w:num w:numId="4" w16cid:durableId="1379935742">
    <w:abstractNumId w:val="1"/>
  </w:num>
  <w:num w:numId="5" w16cid:durableId="87507808">
    <w:abstractNumId w:val="19"/>
  </w:num>
  <w:num w:numId="6" w16cid:durableId="1489126469">
    <w:abstractNumId w:val="15"/>
  </w:num>
  <w:num w:numId="7" w16cid:durableId="2119595108">
    <w:abstractNumId w:val="20"/>
  </w:num>
  <w:num w:numId="8" w16cid:durableId="275796512">
    <w:abstractNumId w:val="12"/>
  </w:num>
  <w:num w:numId="9" w16cid:durableId="616523529">
    <w:abstractNumId w:val="8"/>
  </w:num>
  <w:num w:numId="10" w16cid:durableId="1298989518">
    <w:abstractNumId w:val="11"/>
  </w:num>
  <w:num w:numId="11" w16cid:durableId="2027055685">
    <w:abstractNumId w:val="21"/>
  </w:num>
  <w:num w:numId="12" w16cid:durableId="1458185221">
    <w:abstractNumId w:val="18"/>
  </w:num>
  <w:num w:numId="13" w16cid:durableId="1878732586">
    <w:abstractNumId w:val="27"/>
  </w:num>
  <w:num w:numId="14" w16cid:durableId="409893159">
    <w:abstractNumId w:val="26"/>
  </w:num>
  <w:num w:numId="15" w16cid:durableId="1256862396">
    <w:abstractNumId w:val="13"/>
  </w:num>
  <w:num w:numId="16" w16cid:durableId="2841209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800724">
    <w:abstractNumId w:val="7"/>
  </w:num>
  <w:num w:numId="18" w16cid:durableId="1637367925">
    <w:abstractNumId w:val="23"/>
  </w:num>
  <w:num w:numId="19" w16cid:durableId="886258956">
    <w:abstractNumId w:val="3"/>
  </w:num>
  <w:num w:numId="20" w16cid:durableId="285782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1036772">
    <w:abstractNumId w:val="10"/>
  </w:num>
  <w:num w:numId="22" w16cid:durableId="104930546">
    <w:abstractNumId w:val="6"/>
  </w:num>
  <w:num w:numId="23" w16cid:durableId="1363088885">
    <w:abstractNumId w:val="14"/>
  </w:num>
  <w:num w:numId="24" w16cid:durableId="1568105931">
    <w:abstractNumId w:val="0"/>
  </w:num>
  <w:num w:numId="25" w16cid:durableId="199248195">
    <w:abstractNumId w:val="2"/>
  </w:num>
  <w:num w:numId="26" w16cid:durableId="1460297781">
    <w:abstractNumId w:val="29"/>
  </w:num>
  <w:num w:numId="27" w16cid:durableId="2004044505">
    <w:abstractNumId w:val="25"/>
  </w:num>
  <w:num w:numId="28" w16cid:durableId="140313516">
    <w:abstractNumId w:val="28"/>
  </w:num>
  <w:num w:numId="29" w16cid:durableId="257324907">
    <w:abstractNumId w:val="9"/>
  </w:num>
  <w:num w:numId="30" w16cid:durableId="1708217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8"/>
    <w:rsid w:val="00007A29"/>
    <w:rsid w:val="000129A1"/>
    <w:rsid w:val="00014D7A"/>
    <w:rsid w:val="0001680A"/>
    <w:rsid w:val="00022264"/>
    <w:rsid w:val="000251A7"/>
    <w:rsid w:val="00027710"/>
    <w:rsid w:val="000328FA"/>
    <w:rsid w:val="00035290"/>
    <w:rsid w:val="000418A2"/>
    <w:rsid w:val="00051625"/>
    <w:rsid w:val="000545BE"/>
    <w:rsid w:val="00062521"/>
    <w:rsid w:val="00073F85"/>
    <w:rsid w:val="00085E92"/>
    <w:rsid w:val="00091AE0"/>
    <w:rsid w:val="000A415B"/>
    <w:rsid w:val="000A5F2F"/>
    <w:rsid w:val="000A7132"/>
    <w:rsid w:val="000B43F9"/>
    <w:rsid w:val="000C38AC"/>
    <w:rsid w:val="000C3C9E"/>
    <w:rsid w:val="000D10A2"/>
    <w:rsid w:val="000D2857"/>
    <w:rsid w:val="000D3169"/>
    <w:rsid w:val="000D597F"/>
    <w:rsid w:val="000E1233"/>
    <w:rsid w:val="000E3682"/>
    <w:rsid w:val="000F2232"/>
    <w:rsid w:val="000F5A3E"/>
    <w:rsid w:val="000F6DFA"/>
    <w:rsid w:val="00100A0E"/>
    <w:rsid w:val="00106362"/>
    <w:rsid w:val="001113E5"/>
    <w:rsid w:val="00112B3D"/>
    <w:rsid w:val="00125B1F"/>
    <w:rsid w:val="00146294"/>
    <w:rsid w:val="00153C84"/>
    <w:rsid w:val="0016198C"/>
    <w:rsid w:val="0017138D"/>
    <w:rsid w:val="00172D3B"/>
    <w:rsid w:val="00175302"/>
    <w:rsid w:val="00175460"/>
    <w:rsid w:val="00176555"/>
    <w:rsid w:val="00182D2A"/>
    <w:rsid w:val="0018640F"/>
    <w:rsid w:val="00193317"/>
    <w:rsid w:val="0019331A"/>
    <w:rsid w:val="001B18E2"/>
    <w:rsid w:val="001B377D"/>
    <w:rsid w:val="001B61BD"/>
    <w:rsid w:val="001D32FD"/>
    <w:rsid w:val="001D37A8"/>
    <w:rsid w:val="001D4146"/>
    <w:rsid w:val="001D4BB1"/>
    <w:rsid w:val="001D5C44"/>
    <w:rsid w:val="001E4AF1"/>
    <w:rsid w:val="001E658A"/>
    <w:rsid w:val="00207286"/>
    <w:rsid w:val="00227D67"/>
    <w:rsid w:val="00244912"/>
    <w:rsid w:val="002500EF"/>
    <w:rsid w:val="0025130D"/>
    <w:rsid w:val="00253D1A"/>
    <w:rsid w:val="00260403"/>
    <w:rsid w:val="00263024"/>
    <w:rsid w:val="00270AEA"/>
    <w:rsid w:val="00275468"/>
    <w:rsid w:val="0029731F"/>
    <w:rsid w:val="002A0DC0"/>
    <w:rsid w:val="002A2B6F"/>
    <w:rsid w:val="002B6EB1"/>
    <w:rsid w:val="002C118C"/>
    <w:rsid w:val="002C43F1"/>
    <w:rsid w:val="002C6BFC"/>
    <w:rsid w:val="002D1D49"/>
    <w:rsid w:val="002D77DF"/>
    <w:rsid w:val="002D7951"/>
    <w:rsid w:val="002E20C3"/>
    <w:rsid w:val="002E3206"/>
    <w:rsid w:val="002E7562"/>
    <w:rsid w:val="002F30F7"/>
    <w:rsid w:val="003000E2"/>
    <w:rsid w:val="00310F32"/>
    <w:rsid w:val="00322DD7"/>
    <w:rsid w:val="003307B9"/>
    <w:rsid w:val="00330CAC"/>
    <w:rsid w:val="003312CA"/>
    <w:rsid w:val="00331AB8"/>
    <w:rsid w:val="00341A5C"/>
    <w:rsid w:val="00361964"/>
    <w:rsid w:val="0036296B"/>
    <w:rsid w:val="00375907"/>
    <w:rsid w:val="00375D63"/>
    <w:rsid w:val="00380770"/>
    <w:rsid w:val="003971FB"/>
    <w:rsid w:val="003A169D"/>
    <w:rsid w:val="003A3727"/>
    <w:rsid w:val="003A5104"/>
    <w:rsid w:val="003B0B64"/>
    <w:rsid w:val="003C769A"/>
    <w:rsid w:val="003D6CDA"/>
    <w:rsid w:val="003F6F13"/>
    <w:rsid w:val="00410728"/>
    <w:rsid w:val="004229E1"/>
    <w:rsid w:val="004311AF"/>
    <w:rsid w:val="00433C31"/>
    <w:rsid w:val="0043729E"/>
    <w:rsid w:val="00460505"/>
    <w:rsid w:val="004610F3"/>
    <w:rsid w:val="0047333C"/>
    <w:rsid w:val="00481A2F"/>
    <w:rsid w:val="00484EAC"/>
    <w:rsid w:val="00494193"/>
    <w:rsid w:val="0049766E"/>
    <w:rsid w:val="004A37D4"/>
    <w:rsid w:val="004B6370"/>
    <w:rsid w:val="004C752A"/>
    <w:rsid w:val="004D21CB"/>
    <w:rsid w:val="004E059E"/>
    <w:rsid w:val="004E69EA"/>
    <w:rsid w:val="004E76FA"/>
    <w:rsid w:val="005019A8"/>
    <w:rsid w:val="00502774"/>
    <w:rsid w:val="0050664B"/>
    <w:rsid w:val="0051572B"/>
    <w:rsid w:val="00525D52"/>
    <w:rsid w:val="0055163F"/>
    <w:rsid w:val="00555AAE"/>
    <w:rsid w:val="0057744A"/>
    <w:rsid w:val="00587C72"/>
    <w:rsid w:val="005938DC"/>
    <w:rsid w:val="005A1F7D"/>
    <w:rsid w:val="005A52EB"/>
    <w:rsid w:val="005C3926"/>
    <w:rsid w:val="005E1977"/>
    <w:rsid w:val="005E293F"/>
    <w:rsid w:val="005E3BD3"/>
    <w:rsid w:val="005F0573"/>
    <w:rsid w:val="005F1AE9"/>
    <w:rsid w:val="00601DD8"/>
    <w:rsid w:val="00603727"/>
    <w:rsid w:val="00613670"/>
    <w:rsid w:val="00622382"/>
    <w:rsid w:val="00635078"/>
    <w:rsid w:val="00637820"/>
    <w:rsid w:val="00642EB4"/>
    <w:rsid w:val="00657A62"/>
    <w:rsid w:val="00665FAD"/>
    <w:rsid w:val="006711B9"/>
    <w:rsid w:val="00671A87"/>
    <w:rsid w:val="006816AF"/>
    <w:rsid w:val="00682026"/>
    <w:rsid w:val="00683330"/>
    <w:rsid w:val="0068518D"/>
    <w:rsid w:val="0068664D"/>
    <w:rsid w:val="006926E9"/>
    <w:rsid w:val="00692E72"/>
    <w:rsid w:val="0069415E"/>
    <w:rsid w:val="006B3785"/>
    <w:rsid w:val="006C72B4"/>
    <w:rsid w:val="006E3259"/>
    <w:rsid w:val="006E5BC5"/>
    <w:rsid w:val="006F0884"/>
    <w:rsid w:val="0071667D"/>
    <w:rsid w:val="00722D64"/>
    <w:rsid w:val="00723888"/>
    <w:rsid w:val="00727F72"/>
    <w:rsid w:val="0076161C"/>
    <w:rsid w:val="00763692"/>
    <w:rsid w:val="0077652C"/>
    <w:rsid w:val="0078104F"/>
    <w:rsid w:val="007901C4"/>
    <w:rsid w:val="007B46F5"/>
    <w:rsid w:val="007B477A"/>
    <w:rsid w:val="007C175F"/>
    <w:rsid w:val="007D288C"/>
    <w:rsid w:val="007E2EAD"/>
    <w:rsid w:val="007F4158"/>
    <w:rsid w:val="007F5D45"/>
    <w:rsid w:val="008014EE"/>
    <w:rsid w:val="00814AD8"/>
    <w:rsid w:val="00816D53"/>
    <w:rsid w:val="00821E4E"/>
    <w:rsid w:val="008229BE"/>
    <w:rsid w:val="00833A1E"/>
    <w:rsid w:val="008444E7"/>
    <w:rsid w:val="00847183"/>
    <w:rsid w:val="008579A5"/>
    <w:rsid w:val="008751E2"/>
    <w:rsid w:val="00880C86"/>
    <w:rsid w:val="008841BF"/>
    <w:rsid w:val="00885B17"/>
    <w:rsid w:val="00890CF5"/>
    <w:rsid w:val="008A4E76"/>
    <w:rsid w:val="008A69E2"/>
    <w:rsid w:val="008B2BEB"/>
    <w:rsid w:val="008B565D"/>
    <w:rsid w:val="008C05CC"/>
    <w:rsid w:val="008E59BB"/>
    <w:rsid w:val="008F529A"/>
    <w:rsid w:val="00902B80"/>
    <w:rsid w:val="0090520B"/>
    <w:rsid w:val="00930FA2"/>
    <w:rsid w:val="0095468A"/>
    <w:rsid w:val="00966F68"/>
    <w:rsid w:val="00985893"/>
    <w:rsid w:val="00996DE8"/>
    <w:rsid w:val="009A0B33"/>
    <w:rsid w:val="009B20A1"/>
    <w:rsid w:val="009B5EBD"/>
    <w:rsid w:val="009C0558"/>
    <w:rsid w:val="009C34A5"/>
    <w:rsid w:val="009D7305"/>
    <w:rsid w:val="009E0C15"/>
    <w:rsid w:val="009E2BFB"/>
    <w:rsid w:val="009E656E"/>
    <w:rsid w:val="009F0209"/>
    <w:rsid w:val="009F0FDA"/>
    <w:rsid w:val="009F1B0E"/>
    <w:rsid w:val="009F76E8"/>
    <w:rsid w:val="00A13818"/>
    <w:rsid w:val="00A51428"/>
    <w:rsid w:val="00A5263C"/>
    <w:rsid w:val="00A74F40"/>
    <w:rsid w:val="00A75A8F"/>
    <w:rsid w:val="00A87796"/>
    <w:rsid w:val="00AA1558"/>
    <w:rsid w:val="00AA2405"/>
    <w:rsid w:val="00AC604F"/>
    <w:rsid w:val="00AC6ACA"/>
    <w:rsid w:val="00AD7481"/>
    <w:rsid w:val="00AE31EF"/>
    <w:rsid w:val="00AF7EE7"/>
    <w:rsid w:val="00B0297D"/>
    <w:rsid w:val="00B0395A"/>
    <w:rsid w:val="00B04203"/>
    <w:rsid w:val="00B11ECA"/>
    <w:rsid w:val="00B16C2B"/>
    <w:rsid w:val="00B26F2C"/>
    <w:rsid w:val="00B33ED7"/>
    <w:rsid w:val="00B363A7"/>
    <w:rsid w:val="00B365B7"/>
    <w:rsid w:val="00B37061"/>
    <w:rsid w:val="00B52BAE"/>
    <w:rsid w:val="00B57BD7"/>
    <w:rsid w:val="00B607F9"/>
    <w:rsid w:val="00B746C2"/>
    <w:rsid w:val="00B825F1"/>
    <w:rsid w:val="00B839EE"/>
    <w:rsid w:val="00B929B8"/>
    <w:rsid w:val="00BA2A35"/>
    <w:rsid w:val="00BA5BC9"/>
    <w:rsid w:val="00BB3237"/>
    <w:rsid w:val="00BC233E"/>
    <w:rsid w:val="00BD7E17"/>
    <w:rsid w:val="00C1119E"/>
    <w:rsid w:val="00C23796"/>
    <w:rsid w:val="00C306BE"/>
    <w:rsid w:val="00C45CF8"/>
    <w:rsid w:val="00C465EE"/>
    <w:rsid w:val="00C558EA"/>
    <w:rsid w:val="00C64EAB"/>
    <w:rsid w:val="00C73B10"/>
    <w:rsid w:val="00C7483C"/>
    <w:rsid w:val="00C90833"/>
    <w:rsid w:val="00CB3672"/>
    <w:rsid w:val="00CD0547"/>
    <w:rsid w:val="00CE6228"/>
    <w:rsid w:val="00D02C11"/>
    <w:rsid w:val="00D14F6C"/>
    <w:rsid w:val="00D16B1C"/>
    <w:rsid w:val="00D177AB"/>
    <w:rsid w:val="00D31140"/>
    <w:rsid w:val="00D5054A"/>
    <w:rsid w:val="00D5056F"/>
    <w:rsid w:val="00D5097E"/>
    <w:rsid w:val="00D60141"/>
    <w:rsid w:val="00D638C2"/>
    <w:rsid w:val="00D73A4F"/>
    <w:rsid w:val="00D77C70"/>
    <w:rsid w:val="00D91733"/>
    <w:rsid w:val="00DC33D6"/>
    <w:rsid w:val="00DC46DA"/>
    <w:rsid w:val="00DD3751"/>
    <w:rsid w:val="00DD4492"/>
    <w:rsid w:val="00DD7A82"/>
    <w:rsid w:val="00DF1FEF"/>
    <w:rsid w:val="00E039D3"/>
    <w:rsid w:val="00E12355"/>
    <w:rsid w:val="00E1392F"/>
    <w:rsid w:val="00E16DD4"/>
    <w:rsid w:val="00E26AE8"/>
    <w:rsid w:val="00E30DDE"/>
    <w:rsid w:val="00E377F7"/>
    <w:rsid w:val="00E50AD3"/>
    <w:rsid w:val="00E54C25"/>
    <w:rsid w:val="00E63073"/>
    <w:rsid w:val="00E72FA0"/>
    <w:rsid w:val="00E8146F"/>
    <w:rsid w:val="00E9250C"/>
    <w:rsid w:val="00EC5012"/>
    <w:rsid w:val="00ED18A7"/>
    <w:rsid w:val="00EE418B"/>
    <w:rsid w:val="00EF32B2"/>
    <w:rsid w:val="00EF40C7"/>
    <w:rsid w:val="00F14A9A"/>
    <w:rsid w:val="00F450CA"/>
    <w:rsid w:val="00F562F2"/>
    <w:rsid w:val="00F57331"/>
    <w:rsid w:val="00F92BE9"/>
    <w:rsid w:val="00F93D8A"/>
    <w:rsid w:val="00F95DFD"/>
    <w:rsid w:val="00FB317B"/>
    <w:rsid w:val="00FB6E58"/>
    <w:rsid w:val="00FC4B3F"/>
    <w:rsid w:val="00FE7E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C7AA"/>
  <w15:chartTrackingRefBased/>
  <w15:docId w15:val="{0A567735-B4F9-42BE-A1C1-1FF3C23C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FB6E58"/>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5066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664B"/>
    <w:rPr>
      <w:sz w:val="20"/>
      <w:szCs w:val="20"/>
    </w:rPr>
  </w:style>
  <w:style w:type="character" w:styleId="Appelnotedebasdep">
    <w:name w:val="footnote reference"/>
    <w:basedOn w:val="Policepardfaut"/>
    <w:uiPriority w:val="99"/>
    <w:semiHidden/>
    <w:unhideWhenUsed/>
    <w:rsid w:val="0050664B"/>
    <w:rPr>
      <w:vertAlign w:val="superscript"/>
    </w:rPr>
  </w:style>
  <w:style w:type="character" w:styleId="Marquedecommentaire">
    <w:name w:val="annotation reference"/>
    <w:basedOn w:val="Policepardfaut"/>
    <w:uiPriority w:val="99"/>
    <w:semiHidden/>
    <w:unhideWhenUsed/>
    <w:rsid w:val="00D5097E"/>
    <w:rPr>
      <w:sz w:val="16"/>
      <w:szCs w:val="16"/>
    </w:rPr>
  </w:style>
  <w:style w:type="paragraph" w:styleId="Commentaire">
    <w:name w:val="annotation text"/>
    <w:basedOn w:val="Normal"/>
    <w:link w:val="CommentaireCar"/>
    <w:uiPriority w:val="99"/>
    <w:unhideWhenUsed/>
    <w:rsid w:val="00D5097E"/>
    <w:pPr>
      <w:spacing w:line="240" w:lineRule="auto"/>
    </w:pPr>
    <w:rPr>
      <w:sz w:val="20"/>
      <w:szCs w:val="20"/>
    </w:rPr>
  </w:style>
  <w:style w:type="character" w:customStyle="1" w:styleId="CommentaireCar">
    <w:name w:val="Commentaire Car"/>
    <w:basedOn w:val="Policepardfaut"/>
    <w:link w:val="Commentaire"/>
    <w:uiPriority w:val="99"/>
    <w:rsid w:val="00D5097E"/>
    <w:rPr>
      <w:sz w:val="20"/>
      <w:szCs w:val="20"/>
    </w:rPr>
  </w:style>
  <w:style w:type="paragraph" w:styleId="Objetducommentaire">
    <w:name w:val="annotation subject"/>
    <w:basedOn w:val="Commentaire"/>
    <w:next w:val="Commentaire"/>
    <w:link w:val="ObjetducommentaireCar"/>
    <w:uiPriority w:val="99"/>
    <w:semiHidden/>
    <w:unhideWhenUsed/>
    <w:rsid w:val="00D5097E"/>
    <w:rPr>
      <w:b/>
      <w:bCs/>
    </w:rPr>
  </w:style>
  <w:style w:type="character" w:customStyle="1" w:styleId="ObjetducommentaireCar">
    <w:name w:val="Objet du commentaire Car"/>
    <w:basedOn w:val="CommentaireCar"/>
    <w:link w:val="Objetducommentaire"/>
    <w:uiPriority w:val="99"/>
    <w:semiHidden/>
    <w:rsid w:val="00D5097E"/>
    <w:rPr>
      <w:b/>
      <w:bCs/>
      <w:sz w:val="20"/>
      <w:szCs w:val="20"/>
    </w:rPr>
  </w:style>
  <w:style w:type="paragraph" w:styleId="Textedebulles">
    <w:name w:val="Balloon Text"/>
    <w:basedOn w:val="Normal"/>
    <w:link w:val="TextedebullesCar"/>
    <w:uiPriority w:val="99"/>
    <w:semiHidden/>
    <w:unhideWhenUsed/>
    <w:rsid w:val="00D509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097E"/>
    <w:rPr>
      <w:rFonts w:ascii="Segoe UI" w:hAnsi="Segoe UI" w:cs="Segoe UI"/>
      <w:sz w:val="18"/>
      <w:szCs w:val="18"/>
    </w:rPr>
  </w:style>
  <w:style w:type="paragraph" w:styleId="Paragraphedeliste">
    <w:name w:val="List Paragraph"/>
    <w:basedOn w:val="Normal"/>
    <w:uiPriority w:val="34"/>
    <w:qFormat/>
    <w:rsid w:val="0018640F"/>
    <w:pPr>
      <w:ind w:left="720"/>
      <w:contextualSpacing/>
    </w:pPr>
  </w:style>
  <w:style w:type="paragraph" w:styleId="Rvision">
    <w:name w:val="Revision"/>
    <w:hidden/>
    <w:uiPriority w:val="99"/>
    <w:semiHidden/>
    <w:rsid w:val="00C73B10"/>
    <w:pPr>
      <w:spacing w:after="0" w:line="240" w:lineRule="auto"/>
    </w:pPr>
  </w:style>
  <w:style w:type="character" w:styleId="Lienhypertexte">
    <w:name w:val="Hyperlink"/>
    <w:basedOn w:val="Policepardfaut"/>
    <w:uiPriority w:val="99"/>
    <w:unhideWhenUsed/>
    <w:rsid w:val="009F1B0E"/>
    <w:rPr>
      <w:color w:val="0563C1" w:themeColor="hyperlink"/>
      <w:u w:val="single"/>
    </w:rPr>
  </w:style>
  <w:style w:type="character" w:customStyle="1" w:styleId="Mentionnonrsolue1">
    <w:name w:val="Mention non résolue1"/>
    <w:basedOn w:val="Policepardfaut"/>
    <w:uiPriority w:val="99"/>
    <w:semiHidden/>
    <w:unhideWhenUsed/>
    <w:rsid w:val="009F1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572">
      <w:bodyDiv w:val="1"/>
      <w:marLeft w:val="0"/>
      <w:marRight w:val="0"/>
      <w:marTop w:val="0"/>
      <w:marBottom w:val="0"/>
      <w:divBdr>
        <w:top w:val="none" w:sz="0" w:space="0" w:color="auto"/>
        <w:left w:val="none" w:sz="0" w:space="0" w:color="auto"/>
        <w:bottom w:val="none" w:sz="0" w:space="0" w:color="auto"/>
        <w:right w:val="none" w:sz="0" w:space="0" w:color="auto"/>
      </w:divBdr>
    </w:div>
    <w:div w:id="683291236">
      <w:bodyDiv w:val="1"/>
      <w:marLeft w:val="0"/>
      <w:marRight w:val="0"/>
      <w:marTop w:val="0"/>
      <w:marBottom w:val="0"/>
      <w:divBdr>
        <w:top w:val="none" w:sz="0" w:space="0" w:color="auto"/>
        <w:left w:val="none" w:sz="0" w:space="0" w:color="auto"/>
        <w:bottom w:val="none" w:sz="0" w:space="0" w:color="auto"/>
        <w:right w:val="none" w:sz="0" w:space="0" w:color="auto"/>
      </w:divBdr>
    </w:div>
    <w:div w:id="1462305373">
      <w:bodyDiv w:val="1"/>
      <w:marLeft w:val="0"/>
      <w:marRight w:val="0"/>
      <w:marTop w:val="0"/>
      <w:marBottom w:val="0"/>
      <w:divBdr>
        <w:top w:val="none" w:sz="0" w:space="0" w:color="auto"/>
        <w:left w:val="none" w:sz="0" w:space="0" w:color="auto"/>
        <w:bottom w:val="none" w:sz="0" w:space="0" w:color="auto"/>
        <w:right w:val="none" w:sz="0" w:space="0" w:color="auto"/>
      </w:divBdr>
    </w:div>
    <w:div w:id="21249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1DFB-227F-4B65-9EC1-1E0C421F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6340</Words>
  <Characters>34873</Characters>
  <Application>Microsoft Office Word</Application>
  <DocSecurity>0</DocSecurity>
  <Lines>290</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 Asset Management</Company>
  <LinksUpToDate>false</LinksUpToDate>
  <CharactersWithSpaces>41131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Isabelle (AMUNDI)</dc:creator>
  <cp:keywords/>
  <dc:description/>
  <cp:lastModifiedBy>DE BAROCHEZ Aurelie</cp:lastModifiedBy>
  <cp:revision>5</cp:revision>
  <dcterms:created xsi:type="dcterms:W3CDTF">2023-02-16T08:10:00Z</dcterms:created>
  <dcterms:modified xsi:type="dcterms:W3CDTF">2023-02-16T08:15:00Z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Enabled">
    <vt:lpwstr>true</vt:lpwstr>
  </property>
  <property fmtid="{D5CDD505-2E9C-101B-9397-08002B2CF9AE}" pid="3" name="MSIP_Label_6ac45191-74e4-40a9-a4c5-ab5c9391e33a_SetDate">
    <vt:lpwstr>2022-12-20T09:41:02Z</vt:lpwstr>
  </property>
  <property fmtid="{D5CDD505-2E9C-101B-9397-08002B2CF9AE}" pid="4" name="MSIP_Label_6ac45191-74e4-40a9-a4c5-ab5c9391e33a_Method">
    <vt:lpwstr>Standard</vt:lpwstr>
  </property>
  <property fmtid="{D5CDD505-2E9C-101B-9397-08002B2CF9AE}" pid="5" name="MSIP_Label_6ac45191-74e4-40a9-a4c5-ab5c9391e33a_Name">
    <vt:lpwstr>Internal Data</vt:lpwstr>
  </property>
  <property fmtid="{D5CDD505-2E9C-101B-9397-08002B2CF9AE}" pid="6" name="MSIP_Label_6ac45191-74e4-40a9-a4c5-ab5c9391e33a_SiteId">
    <vt:lpwstr>a5c34232-eadc-4609-bff3-dd6fcdae3fe2</vt:lpwstr>
  </property>
  <property fmtid="{D5CDD505-2E9C-101B-9397-08002B2CF9AE}" pid="7" name="MSIP_Label_6ac45191-74e4-40a9-a4c5-ab5c9391e33a_ActionId">
    <vt:lpwstr>d32c6157-dc54-4938-983e-95521591378e</vt:lpwstr>
  </property>
  <property fmtid="{D5CDD505-2E9C-101B-9397-08002B2CF9AE}" pid="8" name="MSIP_Label_6ac45191-74e4-40a9-a4c5-ab5c9391e33a_ContentBits">
    <vt:lpwstr>0</vt:lpwstr>
  </property>
  <property fmtid="{D5CDD505-2E9C-101B-9397-08002B2CF9AE}" pid="9" name="_NewReviewCycle">
    <vt:lpwstr/>
  </property>
</Properties>
</file>