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color w:val="auto"/>
            </w:rPr>
            <w:id w:val="651570699"/>
            <w:text/>
          </w:sdtPr>
          <w:sdtEndPr>
            <w:rPr>
              <w:rStyle w:val="PlaceholderText"/>
            </w:rPr>
          </w:sdtEndPr>
          <w:sdtContent>
            <w:tc>
              <w:tcPr>
                <w:tcW w:w="5595" w:type="dxa"/>
                <w:shd w:val="clear" w:color="auto" w:fill="auto"/>
              </w:tcPr>
              <w:p w14:paraId="7A68491E" w14:textId="56056F32" w:rsidR="00C2682A" w:rsidRPr="009444FB" w:rsidRDefault="00600EBA" w:rsidP="00FA5524">
                <w:pPr>
                  <w:rPr>
                    <w:rStyle w:val="PlaceholderText"/>
                    <w:rFonts w:cs="Arial"/>
                    <w:color w:val="auto"/>
                  </w:rPr>
                </w:pPr>
                <w:r w:rsidRPr="009444FB">
                  <w:rPr>
                    <w:rStyle w:val="PlaceholderText"/>
                    <w:rFonts w:cs="Arial"/>
                    <w:color w:val="auto"/>
                  </w:rPr>
                  <w:t>Ørsted</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3454F21" w:rsidR="00C2682A" w:rsidRPr="00AB6D88" w:rsidRDefault="00292FE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444FB">
                  <w:rPr>
                    <w:rFonts w:cs="Arial"/>
                  </w:rPr>
                  <w:t>Non-financial counterparty</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C28485D" w:rsidR="00C2682A" w:rsidRPr="00AB6D88" w:rsidRDefault="009444FB" w:rsidP="00FA5524">
                <w:pPr>
                  <w:rPr>
                    <w:rFonts w:cs="Arial"/>
                  </w:rPr>
                </w:pPr>
                <w:r>
                  <w:rPr>
                    <w:rFonts w:cs="Arial"/>
                  </w:rPr>
                  <w:t>Denmark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0F7B7FE" w14:textId="77777777" w:rsidR="002D1B1C" w:rsidRDefault="002D1B1C" w:rsidP="00B92885">
      <w:pPr>
        <w:spacing w:after="160" w:line="259" w:lineRule="auto"/>
        <w:rPr>
          <w:rFonts w:ascii="Calibri" w:eastAsia="Calibri" w:hAnsi="Calibri"/>
          <w:sz w:val="22"/>
          <w:szCs w:val="22"/>
          <w:lang w:eastAsia="en-US"/>
        </w:rPr>
      </w:pPr>
      <w:permStart w:id="1100430741" w:edGrp="everyone"/>
      <w:r>
        <w:rPr>
          <w:rFonts w:ascii="Calibri" w:eastAsia="Calibri" w:hAnsi="Calibri"/>
          <w:sz w:val="22"/>
          <w:szCs w:val="22"/>
          <w:lang w:eastAsia="en-US"/>
        </w:rPr>
        <w:t>Working as a Non-Financial Company, Orsted generally supports this initiative. Thus, we do not have an opinion on some of the more detailed and practically related questions.</w:t>
      </w:r>
    </w:p>
    <w:permEnd w:id="1100430741"/>
    <w:p w14:paraId="3B95B420" w14:textId="5D7D74D3"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42FA7C5" w14:textId="462F6190" w:rsidR="00B65A3D" w:rsidRPr="00E216E8" w:rsidRDefault="00B65A3D" w:rsidP="00B65A3D">
      <w:pPr>
        <w:jc w:val="both"/>
        <w:rPr>
          <w:rFonts w:ascii="Orsted Sans Office" w:hAnsi="Orsted Sans Office"/>
          <w:lang w:val="en-US"/>
        </w:rPr>
      </w:pPr>
      <w:permStart w:id="1596738700" w:edGrp="everyone"/>
      <w:r>
        <w:rPr>
          <w:rFonts w:ascii="Orsted Sans Office" w:hAnsi="Orsted Sans Office"/>
          <w:lang w:val="en-US"/>
        </w:rPr>
        <w:t>Response: Yes, we generally support frameworks that underpins avoidance of greenwashing. We support the basic idea</w:t>
      </w:r>
      <w:r w:rsidR="002D1B1C">
        <w:rPr>
          <w:rFonts w:ascii="Orsted Sans Office" w:hAnsi="Orsted Sans Office"/>
          <w:lang w:val="en-US"/>
        </w:rPr>
        <w:t xml:space="preserve">. This said, however, </w:t>
      </w:r>
      <w:r>
        <w:rPr>
          <w:rFonts w:ascii="Orsted Sans Office" w:hAnsi="Orsted Sans Office"/>
          <w:lang w:val="en-US"/>
        </w:rPr>
        <w:t xml:space="preserve">currently </w:t>
      </w:r>
      <w:r w:rsidR="002D1B1C">
        <w:rPr>
          <w:rFonts w:ascii="Orsted Sans Office" w:hAnsi="Orsted Sans Office"/>
          <w:lang w:val="en-US"/>
        </w:rPr>
        <w:t xml:space="preserve">some of </w:t>
      </w:r>
      <w:r>
        <w:rPr>
          <w:rFonts w:ascii="Orsted Sans Office" w:hAnsi="Orsted Sans Office"/>
          <w:lang w:val="en-US"/>
        </w:rPr>
        <w:t xml:space="preserve">the </w:t>
      </w:r>
      <w:r w:rsidR="002D1B1C">
        <w:rPr>
          <w:rFonts w:ascii="Orsted Sans Office" w:hAnsi="Orsted Sans Office"/>
          <w:lang w:val="en-US"/>
        </w:rPr>
        <w:t xml:space="preserve">aspects </w:t>
      </w:r>
      <w:r>
        <w:rPr>
          <w:rFonts w:ascii="Orsted Sans Office" w:hAnsi="Orsted Sans Office"/>
          <w:lang w:val="en-US"/>
        </w:rPr>
        <w:t>are too blurry</w:t>
      </w:r>
      <w:r w:rsidR="002D1B1C">
        <w:rPr>
          <w:rFonts w:ascii="Orsted Sans Office" w:hAnsi="Orsted Sans Office"/>
          <w:lang w:val="en-US"/>
        </w:rPr>
        <w:t>/unclear</w:t>
      </w:r>
      <w:r>
        <w:rPr>
          <w:rFonts w:ascii="Orsted Sans Office" w:hAnsi="Orsted Sans Office"/>
          <w:lang w:val="en-US"/>
        </w:rPr>
        <w:t xml:space="preserve">. </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369C96DE" w14:textId="683399EA" w:rsidR="00E315FC" w:rsidRDefault="00E315FC" w:rsidP="00E315FC">
      <w:pPr>
        <w:jc w:val="both"/>
        <w:rPr>
          <w:rFonts w:ascii="Orsted Sans Office" w:hAnsi="Orsted Sans Office"/>
          <w:lang w:val="en-US"/>
        </w:rPr>
      </w:pPr>
      <w:permStart w:id="1305634831" w:edGrp="everyone"/>
      <w:r>
        <w:rPr>
          <w:rFonts w:ascii="Orsted Sans Office" w:hAnsi="Orsted Sans Office"/>
          <w:lang w:val="en-US"/>
        </w:rPr>
        <w:t>We support the general idea of having a minimum threshold</w:t>
      </w:r>
      <w:r w:rsidR="002D1B1C">
        <w:rPr>
          <w:rFonts w:ascii="Orsted Sans Office" w:hAnsi="Orsted Sans Office"/>
          <w:lang w:val="en-US"/>
        </w:rPr>
        <w:t xml:space="preserve"> to secure only real sustainable funds can claim being that without justified by the portfolio managed</w:t>
      </w:r>
      <w:r>
        <w:rPr>
          <w:rFonts w:ascii="Orsted Sans Office" w:hAnsi="Orsted Sans Office"/>
          <w:lang w:val="en-US"/>
        </w:rPr>
        <w:t xml:space="preserve">. However, the rules of the thresholds need to be very clear and reasonable. </w:t>
      </w:r>
      <w:r w:rsidR="002D1B1C">
        <w:rPr>
          <w:rFonts w:ascii="Orsted Sans Office" w:hAnsi="Orsted Sans Office"/>
          <w:lang w:val="en-US"/>
        </w:rPr>
        <w:t>Based on the consultation paper</w:t>
      </w:r>
      <w:r>
        <w:rPr>
          <w:rFonts w:ascii="Orsted Sans Office" w:hAnsi="Orsted Sans Office"/>
          <w:lang w:val="en-US"/>
        </w:rPr>
        <w:t>, we don’t think the current definition</w:t>
      </w:r>
      <w:r w:rsidR="00C92257">
        <w:rPr>
          <w:rFonts w:ascii="Orsted Sans Office" w:hAnsi="Orsted Sans Office"/>
          <w:lang w:val="en-US"/>
        </w:rPr>
        <w:t>s</w:t>
      </w:r>
      <w:r>
        <w:rPr>
          <w:rFonts w:ascii="Orsted Sans Office" w:hAnsi="Orsted Sans Office"/>
          <w:lang w:val="en-US"/>
        </w:rPr>
        <w:t xml:space="preserve"> of social or environmental characteristics is clear. </w:t>
      </w:r>
      <w:r w:rsidR="002D1B1C">
        <w:rPr>
          <w:rFonts w:ascii="Orsted Sans Office" w:hAnsi="Orsted Sans Office"/>
          <w:lang w:val="en-US"/>
        </w:rPr>
        <w:t>A closer relation to definitions in other EU sustainability legislation would be helpful</w:t>
      </w:r>
    </w:p>
    <w:p w14:paraId="305495E5" w14:textId="77777777" w:rsidR="00E315FC" w:rsidRDefault="00E315FC" w:rsidP="00E315FC">
      <w:pPr>
        <w:jc w:val="both"/>
        <w:rPr>
          <w:rFonts w:ascii="Orsted Sans Office" w:hAnsi="Orsted Sans Office"/>
          <w:lang w:val="en-US"/>
        </w:rPr>
      </w:pPr>
    </w:p>
    <w:p w14:paraId="38074477" w14:textId="28D4E47B" w:rsidR="00E315FC" w:rsidRDefault="00E315FC" w:rsidP="00E315FC">
      <w:pPr>
        <w:jc w:val="both"/>
        <w:rPr>
          <w:rFonts w:ascii="Orsted Sans Office" w:hAnsi="Orsted Sans Office"/>
          <w:lang w:val="en-US"/>
        </w:rPr>
      </w:pPr>
      <w:r>
        <w:rPr>
          <w:rFonts w:ascii="Orsted Sans Office" w:hAnsi="Orsted Sans Office"/>
          <w:lang w:val="en-US"/>
        </w:rPr>
        <w:t>We would propose that ESMA produce</w:t>
      </w:r>
      <w:r w:rsidR="002D1B1C">
        <w:rPr>
          <w:rFonts w:ascii="Orsted Sans Office" w:hAnsi="Orsted Sans Office"/>
          <w:lang w:val="en-US"/>
        </w:rPr>
        <w:t>s</w:t>
      </w:r>
      <w:r>
        <w:rPr>
          <w:rFonts w:ascii="Orsted Sans Office" w:hAnsi="Orsted Sans Office"/>
          <w:lang w:val="en-US"/>
        </w:rPr>
        <w:t xml:space="preserve"> </w:t>
      </w:r>
      <w:r w:rsidR="00C92257">
        <w:rPr>
          <w:rFonts w:ascii="Orsted Sans Office" w:hAnsi="Orsted Sans Office"/>
          <w:lang w:val="en-US"/>
        </w:rPr>
        <w:t xml:space="preserve">further </w:t>
      </w:r>
      <w:r>
        <w:rPr>
          <w:rFonts w:ascii="Orsted Sans Office" w:hAnsi="Orsted Sans Office"/>
          <w:lang w:val="en-US"/>
        </w:rPr>
        <w:t>detailed guidance</w:t>
      </w:r>
      <w:r w:rsidR="00C92257">
        <w:rPr>
          <w:rFonts w:ascii="Orsted Sans Office" w:hAnsi="Orsted Sans Office"/>
          <w:lang w:val="en-US"/>
        </w:rPr>
        <w:t>, clarifying</w:t>
      </w:r>
      <w:r>
        <w:rPr>
          <w:rFonts w:ascii="Orsted Sans Office" w:hAnsi="Orsted Sans Office"/>
          <w:lang w:val="en-US"/>
        </w:rPr>
        <w:t xml:space="preserve"> what it means </w:t>
      </w:r>
      <w:r w:rsidR="00C92257">
        <w:rPr>
          <w:rFonts w:ascii="Orsted Sans Office" w:hAnsi="Orsted Sans Office"/>
          <w:lang w:val="en-US"/>
        </w:rPr>
        <w:t>to have</w:t>
      </w:r>
      <w:r>
        <w:rPr>
          <w:rFonts w:ascii="Orsted Sans Office" w:hAnsi="Orsted Sans Office"/>
          <w:lang w:val="en-US"/>
        </w:rPr>
        <w:t xml:space="preserve"> a</w:t>
      </w:r>
      <w:r w:rsidR="002D1B1C">
        <w:rPr>
          <w:rFonts w:ascii="Orsted Sans Office" w:hAnsi="Orsted Sans Office"/>
          <w:lang w:val="en-US"/>
        </w:rPr>
        <w:t>n</w:t>
      </w:r>
      <w:r>
        <w:rPr>
          <w:rFonts w:ascii="Orsted Sans Office" w:hAnsi="Orsted Sans Office"/>
          <w:lang w:val="en-US"/>
        </w:rPr>
        <w:t xml:space="preserve"> environmental / social characteristic. Before there is a clear understanding, it is difficult to comment on what quantitative % threshold should be. </w:t>
      </w:r>
    </w:p>
    <w:p w14:paraId="09DA4DA5" w14:textId="77777777" w:rsidR="00E315FC" w:rsidRDefault="00E315FC" w:rsidP="00E315FC">
      <w:pPr>
        <w:jc w:val="both"/>
        <w:rPr>
          <w:rFonts w:ascii="Orsted Sans Office" w:hAnsi="Orsted Sans Office"/>
          <w:lang w:val="en-US"/>
        </w:rPr>
      </w:pPr>
    </w:p>
    <w:p w14:paraId="4D3FBA03" w14:textId="77777777" w:rsidR="008D58E0" w:rsidRDefault="00237BC9" w:rsidP="00E315FC">
      <w:pPr>
        <w:jc w:val="both"/>
        <w:rPr>
          <w:rFonts w:ascii="Orsted Sans Office" w:hAnsi="Orsted Sans Office"/>
          <w:lang w:val="en-US"/>
        </w:rPr>
      </w:pPr>
      <w:r>
        <w:rPr>
          <w:rFonts w:ascii="Orsted Sans Office" w:hAnsi="Orsted Sans Office"/>
          <w:lang w:val="en-US"/>
        </w:rPr>
        <w:t>The</w:t>
      </w:r>
      <w:r w:rsidR="00E315FC">
        <w:rPr>
          <w:rFonts w:ascii="Orsted Sans Office" w:hAnsi="Orsted Sans Office"/>
          <w:lang w:val="en-US"/>
        </w:rPr>
        <w:t xml:space="preserve"> characteristics need to be </w:t>
      </w:r>
      <w:r w:rsidR="00C7092F">
        <w:rPr>
          <w:rFonts w:ascii="Orsted Sans Office" w:hAnsi="Orsted Sans Office"/>
          <w:lang w:val="en-US"/>
        </w:rPr>
        <w:t>clearer</w:t>
      </w:r>
      <w:r w:rsidR="00E315FC">
        <w:rPr>
          <w:rFonts w:ascii="Orsted Sans Office" w:hAnsi="Orsted Sans Office"/>
          <w:lang w:val="en-US"/>
        </w:rPr>
        <w:t xml:space="preserve"> </w:t>
      </w:r>
      <w:r w:rsidR="00A2014F">
        <w:rPr>
          <w:rFonts w:ascii="Orsted Sans Office" w:hAnsi="Orsted Sans Office"/>
          <w:lang w:val="en-US"/>
        </w:rPr>
        <w:t>to</w:t>
      </w:r>
      <w:r w:rsidR="00E315FC">
        <w:rPr>
          <w:rFonts w:ascii="Orsted Sans Office" w:hAnsi="Orsted Sans Office"/>
          <w:lang w:val="en-US"/>
        </w:rPr>
        <w:t xml:space="preserve"> ensure that greenwashing is avoided</w:t>
      </w:r>
      <w:r w:rsidR="00A2014F">
        <w:rPr>
          <w:rFonts w:ascii="Orsted Sans Office" w:hAnsi="Orsted Sans Office"/>
          <w:lang w:val="en-US"/>
        </w:rPr>
        <w:t xml:space="preserve">. </w:t>
      </w:r>
      <w:r w:rsidR="00E315FC">
        <w:rPr>
          <w:rFonts w:ascii="Orsted Sans Office" w:hAnsi="Orsted Sans Office"/>
          <w:lang w:val="en-US"/>
        </w:rPr>
        <w:t xml:space="preserve"> </w:t>
      </w:r>
    </w:p>
    <w:p w14:paraId="5FA87927" w14:textId="77777777" w:rsidR="008D58E0" w:rsidRDefault="008D58E0" w:rsidP="00E315FC">
      <w:pPr>
        <w:jc w:val="both"/>
        <w:rPr>
          <w:rFonts w:ascii="Orsted Sans Office" w:hAnsi="Orsted Sans Office"/>
          <w:lang w:val="en-US"/>
        </w:rPr>
      </w:pPr>
    </w:p>
    <w:p w14:paraId="704A6220" w14:textId="77777777" w:rsidR="002D1B1C" w:rsidRDefault="002D1B1C" w:rsidP="00E315FC">
      <w:pPr>
        <w:jc w:val="both"/>
        <w:rPr>
          <w:rFonts w:ascii="Orsted Sans Office" w:hAnsi="Orsted Sans Office"/>
          <w:lang w:val="en-US"/>
        </w:rPr>
      </w:pP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1A8DB0C4" w14:textId="4CF7FE52" w:rsidR="00453E34" w:rsidRDefault="00453E34" w:rsidP="00453E34">
      <w:pPr>
        <w:jc w:val="both"/>
        <w:rPr>
          <w:rFonts w:ascii="Orsted Sans Office" w:hAnsi="Orsted Sans Office"/>
          <w:lang w:val="en-US"/>
        </w:rPr>
      </w:pPr>
      <w:permStart w:id="347949177" w:edGrp="everyone"/>
      <w:r>
        <w:rPr>
          <w:rFonts w:ascii="Orsted Sans Office" w:hAnsi="Orsted Sans Office"/>
          <w:lang w:val="en-US"/>
        </w:rPr>
        <w:t>We support the general idea of having a minimum threshold</w:t>
      </w:r>
      <w:r w:rsidR="00C7092F">
        <w:rPr>
          <w:rFonts w:ascii="Orsted Sans Office" w:hAnsi="Orsted Sans Office"/>
          <w:lang w:val="en-US"/>
        </w:rPr>
        <w:t xml:space="preserve"> although a threshold of only 50% seems quite low. </w:t>
      </w:r>
      <w:r w:rsidR="007F531C">
        <w:rPr>
          <w:rFonts w:ascii="Orsted Sans Office" w:hAnsi="Orsted Sans Office"/>
          <w:lang w:val="en-US"/>
        </w:rPr>
        <w:t>Above</w:t>
      </w:r>
      <w:r w:rsidR="00C7092F">
        <w:rPr>
          <w:rFonts w:ascii="Orsted Sans Office" w:hAnsi="Orsted Sans Office"/>
          <w:lang w:val="en-US"/>
        </w:rPr>
        <w:t xml:space="preserve"> 60% seems more reasonable before a claim of being sustainable can be made</w:t>
      </w:r>
      <w:r>
        <w:rPr>
          <w:rFonts w:ascii="Orsted Sans Office" w:hAnsi="Orsted Sans Office"/>
          <w:lang w:val="en-US"/>
        </w:rPr>
        <w:t xml:space="preserve">. </w:t>
      </w:r>
      <w:r w:rsidR="00C7092F">
        <w:rPr>
          <w:rFonts w:ascii="Orsted Sans Office" w:hAnsi="Orsted Sans Office"/>
          <w:lang w:val="en-US"/>
        </w:rPr>
        <w:t>Nevertheless, w</w:t>
      </w:r>
      <w:r>
        <w:rPr>
          <w:rFonts w:ascii="Orsted Sans Office" w:hAnsi="Orsted Sans Office"/>
          <w:lang w:val="en-US"/>
        </w:rPr>
        <w:t xml:space="preserve">e </w:t>
      </w:r>
      <w:r w:rsidR="00C7092F">
        <w:rPr>
          <w:rFonts w:ascii="Orsted Sans Office" w:hAnsi="Orsted Sans Office"/>
          <w:lang w:val="en-US"/>
        </w:rPr>
        <w:t>do</w:t>
      </w:r>
      <w:r>
        <w:rPr>
          <w:rFonts w:ascii="Orsted Sans Office" w:hAnsi="Orsted Sans Office"/>
          <w:lang w:val="en-US"/>
        </w:rPr>
        <w:t xml:space="preserve"> support the idea of having different tiers.</w:t>
      </w:r>
    </w:p>
    <w:p w14:paraId="48C30441" w14:textId="77777777" w:rsidR="00453E34" w:rsidRDefault="00453E34" w:rsidP="00453E34">
      <w:pPr>
        <w:jc w:val="both"/>
        <w:rPr>
          <w:rFonts w:ascii="Orsted Sans Office" w:hAnsi="Orsted Sans Office"/>
          <w:lang w:val="en-US"/>
        </w:rPr>
      </w:pPr>
    </w:p>
    <w:p w14:paraId="7C86FC2A" w14:textId="0E130C9F" w:rsidR="00453E34" w:rsidRDefault="00453E34" w:rsidP="00453E34">
      <w:pPr>
        <w:jc w:val="both"/>
        <w:rPr>
          <w:rFonts w:ascii="Orsted Sans Office" w:hAnsi="Orsted Sans Office"/>
          <w:lang w:val="en-US"/>
        </w:rPr>
      </w:pPr>
      <w:r>
        <w:rPr>
          <w:rFonts w:ascii="Orsted Sans Office" w:hAnsi="Orsted Sans Office"/>
          <w:lang w:val="en-US"/>
        </w:rPr>
        <w:t xml:space="preserve">However, once again the rules of the thresholds need to be very clear and reasonable. Currently, we don’t think the definition of social or environmental objectives is clear. For example, should it be interpreted as EU </w:t>
      </w:r>
      <w:r w:rsidR="00C7092F">
        <w:rPr>
          <w:rFonts w:ascii="Orsted Sans Office" w:hAnsi="Orsted Sans Office"/>
          <w:lang w:val="en-US"/>
        </w:rPr>
        <w:t xml:space="preserve">Sustainable Finance </w:t>
      </w:r>
      <w:r>
        <w:rPr>
          <w:rFonts w:ascii="Orsted Sans Office" w:hAnsi="Orsted Sans Office"/>
          <w:lang w:val="en-US"/>
        </w:rPr>
        <w:t xml:space="preserve">Taxonomy aligned CAPEX? We would support something along those lines, in terms of being well defined, science based, and audited. </w:t>
      </w:r>
    </w:p>
    <w:p w14:paraId="6184CD31" w14:textId="77777777" w:rsidR="00453E34" w:rsidRDefault="00453E34" w:rsidP="00453E34">
      <w:pPr>
        <w:jc w:val="both"/>
        <w:rPr>
          <w:rFonts w:ascii="Orsted Sans Office" w:hAnsi="Orsted Sans Office"/>
          <w:lang w:val="en-US"/>
        </w:rPr>
      </w:pPr>
    </w:p>
    <w:p w14:paraId="3EC0CD68" w14:textId="77777777" w:rsidR="00453E34" w:rsidRDefault="00453E34" w:rsidP="00453E34">
      <w:pPr>
        <w:jc w:val="both"/>
        <w:rPr>
          <w:rFonts w:ascii="Orsted Sans Office" w:hAnsi="Orsted Sans Office"/>
          <w:lang w:val="en-US"/>
        </w:rPr>
      </w:pPr>
      <w:r>
        <w:rPr>
          <w:rFonts w:ascii="Orsted Sans Office" w:hAnsi="Orsted Sans Office"/>
          <w:lang w:val="en-US"/>
        </w:rPr>
        <w:t>We would propose that ESMA produces additional detailed guidance on how it defines the threshold.</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7C9C3838" w14:textId="193CEF51" w:rsidR="00AF29C6" w:rsidRDefault="00AF29C6" w:rsidP="00EC7627">
      <w:pPr>
        <w:jc w:val="both"/>
        <w:rPr>
          <w:rFonts w:ascii="Orsted Sans Office" w:hAnsi="Orsted Sans Office"/>
          <w:lang w:val="en-US"/>
        </w:rPr>
      </w:pPr>
      <w:permStart w:id="351877901" w:edGrp="everyone"/>
      <w:commentRangeStart w:id="4"/>
      <w:r>
        <w:rPr>
          <w:rFonts w:ascii="Orsted Sans Office" w:hAnsi="Orsted Sans Office"/>
          <w:lang w:val="en-US"/>
        </w:rPr>
        <w:t>We</w:t>
      </w:r>
      <w:commentRangeEnd w:id="4"/>
      <w:r w:rsidR="00AE75BD">
        <w:rPr>
          <w:rStyle w:val="CommentReference"/>
        </w:rPr>
        <w:commentReference w:id="4"/>
      </w:r>
      <w:r>
        <w:rPr>
          <w:rFonts w:ascii="Orsted Sans Office" w:hAnsi="Orsted Sans Office"/>
          <w:lang w:val="en-US"/>
        </w:rPr>
        <w:t xml:space="preserve"> support using EU </w:t>
      </w:r>
      <w:r w:rsidR="00C7092F">
        <w:rPr>
          <w:rFonts w:ascii="Orsted Sans Office" w:hAnsi="Orsted Sans Office"/>
          <w:lang w:val="en-US"/>
        </w:rPr>
        <w:t>Sustainable Finance T</w:t>
      </w:r>
      <w:r>
        <w:rPr>
          <w:rFonts w:ascii="Orsted Sans Office" w:hAnsi="Orsted Sans Office"/>
          <w:lang w:val="en-US"/>
        </w:rPr>
        <w:t xml:space="preserve">axonomy alignment thresholds, further making the EU regulation coherent on what is defined as sustainable and not. The EU </w:t>
      </w:r>
      <w:r w:rsidR="00C7092F">
        <w:rPr>
          <w:rFonts w:ascii="Orsted Sans Office" w:hAnsi="Orsted Sans Office"/>
          <w:lang w:val="en-US"/>
        </w:rPr>
        <w:t>Sustainable Finance T</w:t>
      </w:r>
      <w:r>
        <w:rPr>
          <w:rFonts w:ascii="Orsted Sans Office" w:hAnsi="Orsted Sans Office"/>
          <w:lang w:val="en-US"/>
        </w:rPr>
        <w:t xml:space="preserve">axonomy and other EU pieces of legislation should be used for the qualifying framework. </w:t>
      </w:r>
    </w:p>
    <w:p w14:paraId="1025AD44" w14:textId="77777777" w:rsidR="00AF29C6" w:rsidRDefault="00AF29C6" w:rsidP="00EC7627">
      <w:pPr>
        <w:jc w:val="both"/>
        <w:rPr>
          <w:rFonts w:ascii="Orsted Sans Office" w:hAnsi="Orsted Sans Office"/>
          <w:lang w:val="en-US"/>
        </w:rPr>
      </w:pPr>
    </w:p>
    <w:p w14:paraId="210144CC" w14:textId="77777777" w:rsidR="00FB4B96" w:rsidRPr="00FB4B96" w:rsidRDefault="00FB4B96" w:rsidP="00FB4B96">
      <w:pPr>
        <w:rPr>
          <w:rFonts w:ascii="Orsted Sans Office" w:hAnsi="Orsted Sans Office"/>
          <w:lang w:val="en-US"/>
        </w:rPr>
      </w:pPr>
      <w:r w:rsidRPr="00FB4B96">
        <w:rPr>
          <w:rFonts w:ascii="Orsted Sans Office" w:hAnsi="Orsted Sans Office"/>
          <w:lang w:val="en-US"/>
        </w:rPr>
        <w:t>For any fund claiming to be an ESG and/or sustainable funds, the following should apply:</w:t>
      </w:r>
    </w:p>
    <w:p w14:paraId="48B91B27" w14:textId="77777777" w:rsidR="00FB4B96" w:rsidRPr="00FB4B96" w:rsidRDefault="00FB4B96" w:rsidP="00FB4B96">
      <w:pPr>
        <w:rPr>
          <w:rFonts w:ascii="Orsted Sans Office" w:hAnsi="Orsted Sans Office"/>
          <w:lang w:val="en-US"/>
        </w:rPr>
      </w:pPr>
    </w:p>
    <w:p w14:paraId="0053873B" w14:textId="51A7C8B4" w:rsidR="00FB4B96" w:rsidRPr="00052DAB" w:rsidRDefault="00FB4B96" w:rsidP="00052DAB">
      <w:pPr>
        <w:pStyle w:val="ListParagraph"/>
        <w:numPr>
          <w:ilvl w:val="0"/>
          <w:numId w:val="42"/>
        </w:numPr>
        <w:rPr>
          <w:rFonts w:ascii="Orsted Sans Office" w:hAnsi="Orsted Sans Office"/>
          <w:lang w:val="en-US"/>
        </w:rPr>
      </w:pPr>
      <w:r w:rsidRPr="00052DAB">
        <w:rPr>
          <w:rFonts w:ascii="Orsted Sans Office" w:hAnsi="Orsted Sans Office"/>
          <w:lang w:val="en-US"/>
        </w:rPr>
        <w:t>All companies should live up to a minimum sustainability performance standard on across ESG factors</w:t>
      </w:r>
    </w:p>
    <w:p w14:paraId="40165E01" w14:textId="4576F990" w:rsidR="004456FD" w:rsidRDefault="00FB4B96" w:rsidP="00052DAB">
      <w:pPr>
        <w:pStyle w:val="ListParagraph"/>
        <w:numPr>
          <w:ilvl w:val="0"/>
          <w:numId w:val="42"/>
        </w:numPr>
        <w:rPr>
          <w:rFonts w:ascii="Orsted Sans Office" w:hAnsi="Orsted Sans Office"/>
          <w:lang w:val="en-US"/>
        </w:rPr>
      </w:pPr>
      <w:r w:rsidRPr="00052DAB">
        <w:rPr>
          <w:rFonts w:ascii="Orsted Sans Office" w:hAnsi="Orsted Sans Office"/>
          <w:lang w:val="en-US"/>
        </w:rPr>
        <w:t xml:space="preserve">Of those companies in the fund a </w:t>
      </w:r>
      <w:r w:rsidR="004456FD">
        <w:rPr>
          <w:rFonts w:ascii="Orsted Sans Office" w:hAnsi="Orsted Sans Office"/>
          <w:lang w:val="en-US"/>
        </w:rPr>
        <w:t>minimum</w:t>
      </w:r>
      <w:r w:rsidR="0000094D">
        <w:rPr>
          <w:rFonts w:ascii="Orsted Sans Office" w:hAnsi="Orsted Sans Office"/>
          <w:lang w:val="en-US"/>
        </w:rPr>
        <w:t xml:space="preserve"> percentage of a financial KPI should be in alignment with the </w:t>
      </w:r>
      <w:r w:rsidR="004456FD">
        <w:rPr>
          <w:rFonts w:ascii="Orsted Sans Office" w:hAnsi="Orsted Sans Office"/>
          <w:lang w:val="en-US"/>
        </w:rPr>
        <w:t>social or environmental Taxonomy objectives. Otherwise, a “</w:t>
      </w:r>
      <w:proofErr w:type="spellStart"/>
      <w:r w:rsidR="004456FD">
        <w:rPr>
          <w:rFonts w:ascii="Orsted Sans Office" w:hAnsi="Orsted Sans Office"/>
          <w:lang w:val="en-US"/>
        </w:rPr>
        <w:t>non sustainable</w:t>
      </w:r>
      <w:proofErr w:type="spellEnd"/>
      <w:r w:rsidR="004456FD">
        <w:rPr>
          <w:rFonts w:ascii="Orsted Sans Office" w:hAnsi="Orsted Sans Office"/>
          <w:lang w:val="en-US"/>
        </w:rPr>
        <w:t xml:space="preserve">” company could be part of a fund. </w:t>
      </w:r>
      <w:r w:rsidR="004456FD" w:rsidRPr="00052DAB">
        <w:rPr>
          <w:rFonts w:ascii="Orsted Sans Office" w:hAnsi="Orsted Sans Office"/>
          <w:lang w:val="en-US"/>
        </w:rPr>
        <w:t>Furthermore, the thresholds need to allow for companies to be included that are in transition</w:t>
      </w:r>
    </w:p>
    <w:p w14:paraId="023CA0AF" w14:textId="7CAD488E" w:rsidR="004456FD" w:rsidRDefault="004456FD" w:rsidP="004456FD">
      <w:pPr>
        <w:pStyle w:val="ListParagraph"/>
        <w:numPr>
          <w:ilvl w:val="1"/>
          <w:numId w:val="42"/>
        </w:numPr>
        <w:rPr>
          <w:rFonts w:ascii="Orsted Sans Office" w:hAnsi="Orsted Sans Office"/>
          <w:lang w:val="en-US"/>
        </w:rPr>
      </w:pPr>
      <w:r>
        <w:rPr>
          <w:rFonts w:ascii="Orsted Sans Office" w:hAnsi="Orsted Sans Office"/>
          <w:lang w:val="en-US"/>
        </w:rPr>
        <w:t>Examples for already largely green companies – a threshold on revenues</w:t>
      </w:r>
    </w:p>
    <w:p w14:paraId="6F4A1C90" w14:textId="54BF62BB" w:rsidR="004456FD" w:rsidRDefault="004456FD" w:rsidP="004456FD">
      <w:pPr>
        <w:pStyle w:val="ListParagraph"/>
        <w:numPr>
          <w:ilvl w:val="1"/>
          <w:numId w:val="42"/>
        </w:numPr>
        <w:rPr>
          <w:rFonts w:ascii="Orsted Sans Office" w:hAnsi="Orsted Sans Office"/>
          <w:lang w:val="en-US"/>
        </w:rPr>
      </w:pPr>
      <w:r>
        <w:rPr>
          <w:rFonts w:ascii="Orsted Sans Office" w:hAnsi="Orsted Sans Office"/>
          <w:lang w:val="en-US"/>
        </w:rPr>
        <w:t>Examples for companies in transition – a threshold on CAPEX</w:t>
      </w:r>
      <w:r w:rsidR="000B0F74">
        <w:rPr>
          <w:rFonts w:ascii="Orsted Sans Office" w:hAnsi="Orsted Sans Office"/>
          <w:lang w:val="en-US"/>
        </w:rPr>
        <w:t xml:space="preserve"> and a SBTi or other verified credible commitments. </w:t>
      </w:r>
    </w:p>
    <w:p w14:paraId="50FF43C0" w14:textId="6FE266BC" w:rsidR="004456FD" w:rsidRPr="00052DAB" w:rsidRDefault="00FB4B96" w:rsidP="004456FD">
      <w:pPr>
        <w:pStyle w:val="ListParagraph"/>
        <w:numPr>
          <w:ilvl w:val="0"/>
          <w:numId w:val="42"/>
        </w:numPr>
        <w:rPr>
          <w:rFonts w:ascii="Orsted Sans Office" w:hAnsi="Orsted Sans Office"/>
          <w:lang w:val="en-US"/>
        </w:rPr>
      </w:pPr>
      <w:r w:rsidRPr="00052DAB">
        <w:rPr>
          <w:rFonts w:ascii="Orsted Sans Office" w:hAnsi="Orsted Sans Office"/>
          <w:lang w:val="en-US"/>
        </w:rPr>
        <w:t xml:space="preserve"> </w:t>
      </w:r>
      <w:r w:rsidR="004456FD" w:rsidRPr="00052DAB">
        <w:rPr>
          <w:rFonts w:ascii="Orsted Sans Office" w:hAnsi="Orsted Sans Office"/>
          <w:lang w:val="en-US"/>
        </w:rPr>
        <w:t>ESG funds should be subject third-party review, audit</w:t>
      </w:r>
    </w:p>
    <w:p w14:paraId="346A150A" w14:textId="6BD70114" w:rsidR="0000094D" w:rsidRDefault="0000094D" w:rsidP="004456FD">
      <w:pPr>
        <w:pStyle w:val="ListParagraph"/>
        <w:rPr>
          <w:rFonts w:ascii="Orsted Sans Office" w:hAnsi="Orsted Sans Office"/>
          <w:lang w:val="en-US"/>
        </w:rPr>
      </w:pPr>
    </w:p>
    <w:p w14:paraId="434B94ED" w14:textId="77777777" w:rsidR="00052DAB" w:rsidRPr="00052DAB" w:rsidRDefault="00052DAB" w:rsidP="00572209">
      <w:pPr>
        <w:pStyle w:val="ListParagraph"/>
        <w:rPr>
          <w:rFonts w:ascii="Orsted Sans Office" w:hAnsi="Orsted Sans Office"/>
          <w:lang w:val="en-US"/>
        </w:rPr>
      </w:pPr>
    </w:p>
    <w:permEnd w:id="351877901"/>
    <w:p w14:paraId="29DD3DB8" w14:textId="17EABC7F"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62F9696A" w14:textId="2C54FE6C" w:rsidR="00091965" w:rsidRDefault="00C702B5" w:rsidP="00091965">
      <w:pPr>
        <w:jc w:val="both"/>
        <w:rPr>
          <w:rFonts w:ascii="Orsted Sans Office" w:hAnsi="Orsted Sans Office"/>
          <w:lang w:val="en-US"/>
        </w:rPr>
      </w:pPr>
      <w:permStart w:id="1539323392" w:edGrp="everyone"/>
      <w:r>
        <w:rPr>
          <w:rFonts w:ascii="Orsted Sans Office" w:hAnsi="Orsted Sans Office"/>
          <w:lang w:val="en-US"/>
        </w:rPr>
        <w:t>EU</w:t>
      </w:r>
      <w:r w:rsidR="004F0F4C">
        <w:rPr>
          <w:rFonts w:ascii="Orsted Sans Office" w:hAnsi="Orsted Sans Office"/>
          <w:lang w:val="en-US"/>
        </w:rPr>
        <w:t xml:space="preserve"> legis</w:t>
      </w:r>
      <w:r w:rsidR="004E6AC4">
        <w:rPr>
          <w:rFonts w:ascii="Orsted Sans Office" w:hAnsi="Orsted Sans Office"/>
          <w:lang w:val="en-US"/>
        </w:rPr>
        <w:t>lation (e.g., CSRD, CSDD, EU</w:t>
      </w:r>
      <w:r>
        <w:rPr>
          <w:rFonts w:ascii="Orsted Sans Office" w:hAnsi="Orsted Sans Office"/>
          <w:lang w:val="en-US"/>
        </w:rPr>
        <w:t xml:space="preserve"> Taxonomy substa</w:t>
      </w:r>
      <w:r w:rsidR="004F0F4C">
        <w:rPr>
          <w:rFonts w:ascii="Orsted Sans Office" w:hAnsi="Orsted Sans Office"/>
          <w:lang w:val="en-US"/>
        </w:rPr>
        <w:t>ntial contribution criteri</w:t>
      </w:r>
      <w:r w:rsidR="004E6AC4">
        <w:rPr>
          <w:rFonts w:ascii="Orsted Sans Office" w:hAnsi="Orsted Sans Office"/>
          <w:lang w:val="en-US"/>
        </w:rPr>
        <w:t>a, or ESRS data)</w:t>
      </w:r>
      <w:r w:rsidR="004F0F4C">
        <w:rPr>
          <w:rFonts w:ascii="Orsted Sans Office" w:hAnsi="Orsted Sans Office"/>
          <w:lang w:val="en-US"/>
        </w:rPr>
        <w:t xml:space="preserve">, </w:t>
      </w:r>
      <w:r w:rsidR="00397286">
        <w:rPr>
          <w:rFonts w:ascii="Orsted Sans Office" w:hAnsi="Orsted Sans Office"/>
          <w:lang w:val="en-US"/>
        </w:rPr>
        <w:t>should be used where possible as disclosure requirements or thresholds, depending on the objective of the fund and industry</w:t>
      </w:r>
      <w:r w:rsidR="00091965">
        <w:rPr>
          <w:rFonts w:ascii="Orsted Sans Office" w:hAnsi="Orsted Sans Office"/>
          <w:lang w:val="en-US"/>
        </w:rPr>
        <w:t xml:space="preserve">. For example, GHG intensity (scope 1 and 2) would be a good metric for an energy focused fund. </w:t>
      </w:r>
    </w:p>
    <w:p w14:paraId="29ABEB43" w14:textId="154DFA4D" w:rsidR="00B92885" w:rsidRPr="00091965" w:rsidRDefault="00B92885" w:rsidP="00397286">
      <w:pPr>
        <w:rPr>
          <w:lang w:val="en-US"/>
        </w:rPr>
      </w:pP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6EE97467" w14:textId="00F6C6E9" w:rsidR="00B92885" w:rsidRDefault="00D73509" w:rsidP="00B92885">
      <w:permStart w:id="175976681" w:edGrp="everyone"/>
      <w:r>
        <w:rPr>
          <w:rFonts w:ascii="Orsted Sans Office" w:hAnsi="Orsted Sans Office"/>
          <w:lang w:val="en-US"/>
        </w:rPr>
        <w:t>As a default, all sustainable investment funds should live up to the minimum safeguards and should be able to provide proof</w:t>
      </w:r>
      <w:r w:rsidR="00C7092F">
        <w:rPr>
          <w:rFonts w:ascii="Orsted Sans Office" w:hAnsi="Orsted Sans Office"/>
          <w:lang w:val="en-US"/>
        </w:rPr>
        <w:t xml:space="preserve"> in this regard</w:t>
      </w:r>
      <w:r>
        <w:rPr>
          <w:rFonts w:ascii="Orsted Sans Office" w:hAnsi="Orsted Sans Office"/>
          <w:lang w:val="en-US"/>
        </w:rPr>
        <w:t xml:space="preserve">. </w:t>
      </w:r>
      <w:permEnd w:id="175976681"/>
      <w:r w:rsidR="00B92885">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0D2D24CD" w:rsidR="00B92885" w:rsidRDefault="00C7092F" w:rsidP="00B92885">
      <w:permStart w:id="576722602" w:edGrp="everyone"/>
      <w:r>
        <w:t xml:space="preserve">Without further justification for such </w:t>
      </w:r>
      <w:r w:rsidR="0049691D">
        <w:t>split,</w:t>
      </w:r>
      <w:r>
        <w:t xml:space="preserve"> we do not see a reason for derivatives to be subject to specific provisions.</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3A9FC829" w14:textId="5944A116" w:rsidR="00B92885" w:rsidRDefault="00C7092F" w:rsidP="00B92885">
      <w:permStart w:id="1071974531" w:edGrp="everyone"/>
      <w:r>
        <w:t xml:space="preserve">It would add significantly to the complexity and uncertainty if not the notional value is the basis for the threshold calculation. </w:t>
      </w:r>
      <w:r w:rsidR="0049691D">
        <w:t xml:space="preserve">Market value may well fluctuate and will, thus, not be a good basis. Whether or not a </w:t>
      </w:r>
      <w:r w:rsidR="0049691D">
        <w:lastRenderedPageBreak/>
        <w:t xml:space="preserve">fund is having the status of being sustainable just because of changes of the market value could create inappropriate situations. Hence, there is a need for certainty around whether a fund is sustainable or not </w:t>
      </w:r>
      <w:permEnd w:id="1071974531"/>
      <w:r w:rsidR="00B92885">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031E3523" w14:textId="12E207E9" w:rsidR="0049691D" w:rsidRDefault="0049691D" w:rsidP="0049691D">
      <w:permStart w:id="650455330" w:edGrp="everyone"/>
      <w:r>
        <w:t xml:space="preserve">Without further justification for different requirements, we do not see a reason for </w:t>
      </w:r>
      <w:r w:rsidRPr="000B78F5">
        <w:t>a reference benchmark</w:t>
      </w:r>
      <w:r>
        <w:t xml:space="preserve"> to be subject to other requirements.</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64FAA398" w14:textId="7A79431D" w:rsidR="0049691D" w:rsidRDefault="0049691D" w:rsidP="0049691D">
      <w:permStart w:id="1992309739" w:edGrp="everyone"/>
      <w:r>
        <w:t xml:space="preserve">Without further justification for different provisions, we do not see a reason for </w:t>
      </w:r>
      <w:r w:rsidRPr="000B78F5">
        <w:t>having specific provisions for “impact” or impact-related names in these Guidelines</w:t>
      </w:r>
      <w:r>
        <w: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3B392DEA" w14:textId="77777777" w:rsidR="000269C6" w:rsidRDefault="0049691D" w:rsidP="00B92885">
      <w:permStart w:id="1423966990" w:edGrp="everyone"/>
      <w:r>
        <w:t>Yes, it seems reasonable</w:t>
      </w:r>
      <w:r w:rsidR="0005078D">
        <w:t xml:space="preserve"> and justified</w:t>
      </w:r>
      <w:r>
        <w:t xml:space="preserve"> to have specific provisions for </w:t>
      </w:r>
      <w:r w:rsidRPr="00EA2F1C">
        <w:t>“transition” or transition-related names in these Guidelines</w:t>
      </w:r>
      <w:r>
        <w:t xml:space="preserve">. Hence, it is appropriate to make it transparent whether the basis is sustainable activities according to </w:t>
      </w:r>
      <w:proofErr w:type="gramStart"/>
      <w:r>
        <w:t>e.g.</w:t>
      </w:r>
      <w:proofErr w:type="gramEnd"/>
      <w:r>
        <w:t xml:space="preserve"> Sustainable Finance Taxonomy for climate risk mitigating activities or whether it is </w:t>
      </w:r>
      <w:r w:rsidR="0005078D">
        <w:t xml:space="preserve">only </w:t>
      </w:r>
      <w:r>
        <w:t>a transitional activity according to Sustainable Finance Taxonomy Complementary Delegated Act for fossil gasses.</w:t>
      </w:r>
      <w:r w:rsidR="0018342E">
        <w:t xml:space="preserve"> Without transparency in terms of what funds that are based on real sustainable activities and funds only based on transitional activities the whole purpose of these guidelines – to avoid greenwashing – will not be reached. </w:t>
      </w:r>
    </w:p>
    <w:p w14:paraId="625A62E6" w14:textId="77777777" w:rsidR="000269C6" w:rsidRDefault="000269C6" w:rsidP="00B92885"/>
    <w:p w14:paraId="4090F24A" w14:textId="74F0B2D3" w:rsidR="000269C6" w:rsidRDefault="000269C6" w:rsidP="000269C6">
      <w:pPr>
        <w:pStyle w:val="ListParagraph"/>
        <w:numPr>
          <w:ilvl w:val="0"/>
          <w:numId w:val="42"/>
        </w:numPr>
        <w:rPr>
          <w:rFonts w:ascii="Orsted Sans Office" w:hAnsi="Orsted Sans Office"/>
          <w:lang w:val="en-US"/>
        </w:rPr>
      </w:pPr>
      <w:r>
        <w:rPr>
          <w:rFonts w:ascii="Orsted Sans Office" w:hAnsi="Orsted Sans Office"/>
        </w:rPr>
        <w:t>T</w:t>
      </w:r>
      <w:proofErr w:type="spellStart"/>
      <w:r w:rsidRPr="00052DAB">
        <w:rPr>
          <w:rFonts w:ascii="Orsted Sans Office" w:hAnsi="Orsted Sans Office"/>
          <w:lang w:val="en-US"/>
        </w:rPr>
        <w:t>hresholds</w:t>
      </w:r>
      <w:proofErr w:type="spellEnd"/>
      <w:r w:rsidRPr="00052DAB">
        <w:rPr>
          <w:rFonts w:ascii="Orsted Sans Office" w:hAnsi="Orsted Sans Office"/>
          <w:lang w:val="en-US"/>
        </w:rPr>
        <w:t xml:space="preserve"> need to allow for companies to be included that are in transition</w:t>
      </w:r>
    </w:p>
    <w:p w14:paraId="13ABC778" w14:textId="77777777" w:rsidR="000269C6" w:rsidRDefault="000269C6" w:rsidP="000269C6">
      <w:pPr>
        <w:pStyle w:val="ListParagraph"/>
        <w:numPr>
          <w:ilvl w:val="1"/>
          <w:numId w:val="42"/>
        </w:numPr>
        <w:rPr>
          <w:rFonts w:ascii="Orsted Sans Office" w:hAnsi="Orsted Sans Office"/>
          <w:lang w:val="en-US"/>
        </w:rPr>
      </w:pPr>
      <w:r>
        <w:rPr>
          <w:rFonts w:ascii="Orsted Sans Office" w:hAnsi="Orsted Sans Office"/>
          <w:lang w:val="en-US"/>
        </w:rPr>
        <w:t>Examples for already largely green companies – a threshold on revenues</w:t>
      </w:r>
    </w:p>
    <w:p w14:paraId="400FFE1E" w14:textId="77777777" w:rsidR="000269C6" w:rsidRDefault="000269C6" w:rsidP="000269C6">
      <w:pPr>
        <w:pStyle w:val="ListParagraph"/>
        <w:numPr>
          <w:ilvl w:val="1"/>
          <w:numId w:val="42"/>
        </w:numPr>
        <w:rPr>
          <w:rFonts w:ascii="Orsted Sans Office" w:hAnsi="Orsted Sans Office"/>
          <w:lang w:val="en-US"/>
        </w:rPr>
      </w:pPr>
      <w:r>
        <w:rPr>
          <w:rFonts w:ascii="Orsted Sans Office" w:hAnsi="Orsted Sans Office"/>
          <w:lang w:val="en-US"/>
        </w:rPr>
        <w:t xml:space="preserve">Examples for companies in transition – a threshold on CAPEX and a SBTi or other verified credible commitments. </w:t>
      </w:r>
    </w:p>
    <w:p w14:paraId="0643B633" w14:textId="1BA349FE" w:rsidR="00B92885" w:rsidRDefault="0018342E" w:rsidP="00B92885">
      <w:r>
        <w:t xml:space="preserve"> </w:t>
      </w:r>
      <w:r w:rsidR="0049691D">
        <w:t xml:space="preserve"> </w:t>
      </w:r>
      <w:permEnd w:id="1423966990"/>
      <w:r w:rsidR="00B92885">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lastRenderedPageBreak/>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32474DA3" w14:textId="77777777" w:rsidR="0005078D" w:rsidRDefault="0005078D" w:rsidP="00B92885">
      <w:permStart w:id="1434478937" w:edGrp="everyone"/>
      <w:proofErr w:type="gramStart"/>
      <w:r>
        <w:t>In order to</w:t>
      </w:r>
      <w:proofErr w:type="gramEnd"/>
      <w:r>
        <w:t xml:space="preserve"> get a level playing field and avoid confusion on what is sustainable or not we generally think also other financial products should be subject to guidelines avoiding greenwashing.</w:t>
      </w:r>
    </w:p>
    <w:permEnd w:id="1434478937"/>
    <w:p w14:paraId="70EEE415" w14:textId="173A4A76"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77777777" w:rsidR="00B92885" w:rsidRDefault="00B92885" w:rsidP="00B92885">
      <w:permStart w:id="489244833" w:edGrp="everyone"/>
      <w:r>
        <w:t>TYPE YOUR TEXT HERE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611042B9" w14:textId="446619C6" w:rsidR="00B92885" w:rsidRDefault="00C92257" w:rsidP="00B92885">
      <w:permStart w:id="1766353355" w:edGrp="everyone"/>
      <w:r>
        <w:rPr>
          <w:rFonts w:ascii="Orsted Sans Office" w:hAnsi="Orsted Sans Office"/>
          <w:lang w:val="en-US"/>
        </w:rPr>
        <w:t>Yes, they should apply to ensure true standardization and alignment across the industry. This is particularly important since closed ended funds do not always have a s</w:t>
      </w:r>
      <w:r w:rsidRPr="007B67DA">
        <w:t xml:space="preserve"> </w:t>
      </w:r>
      <w:r w:rsidRPr="007B67DA">
        <w:rPr>
          <w:rFonts w:ascii="Orsted Sans Office" w:hAnsi="Orsted Sans Office"/>
          <w:lang w:val="en-US"/>
        </w:rPr>
        <w:t xml:space="preserve">specified maturity date and can remain open </w:t>
      </w:r>
      <w:proofErr w:type="gramStart"/>
      <w:r w:rsidRPr="007B67DA">
        <w:rPr>
          <w:rFonts w:ascii="Orsted Sans Office" w:hAnsi="Orsted Sans Office"/>
          <w:lang w:val="en-US"/>
        </w:rPr>
        <w:t>indefinitely</w:t>
      </w:r>
      <w:r>
        <w:rPr>
          <w:rFonts w:ascii="Orsted Sans Office" w:hAnsi="Orsted Sans Office"/>
          <w:lang w:val="en-US"/>
        </w:rPr>
        <w:t>.</w:t>
      </w:r>
      <w:permEnd w:id="1766353355"/>
      <w:r w:rsidR="00B92885">
        <w:t>&lt;</w:t>
      </w:r>
      <w:proofErr w:type="gramEnd"/>
      <w:r w:rsidR="00B92885">
        <w: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00ADF191" w14:textId="1681C7BE" w:rsidR="00B92885" w:rsidRDefault="0005078D" w:rsidP="00B92885">
      <w:permStart w:id="929254269" w:edGrp="everyone"/>
      <w:r>
        <w:t xml:space="preserve">We believe that these guidelines will have a positive impact on the ‘green transition’. Greenwashing can be </w:t>
      </w:r>
      <w:r w:rsidRPr="0005078D">
        <w:t xml:space="preserve">devastating </w:t>
      </w:r>
      <w:r>
        <w:t xml:space="preserve">if not identified in due time. Not least in financial markets transparency around offered ‘products’ is important to underpin the trust for investors needed for the markets to functioning. </w:t>
      </w:r>
      <w:permEnd w:id="929254269"/>
      <w:r w:rsidR="00B92885">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27AEED28" w14:textId="15E09D39" w:rsidR="00260594" w:rsidRDefault="0005078D" w:rsidP="00B92885">
      <w:permStart w:id="878708964" w:edGrp="everyone"/>
      <w:r>
        <w:t>For a company like Orsted</w:t>
      </w:r>
      <w:r w:rsidR="00260594">
        <w:t>,</w:t>
      </w:r>
      <w:r>
        <w:t xml:space="preserve"> </w:t>
      </w:r>
      <w:r w:rsidR="00260594">
        <w:t xml:space="preserve">truly believe in the need for the green transition, </w:t>
      </w:r>
      <w:r>
        <w:t xml:space="preserve">it is key that the financial markets can trust </w:t>
      </w:r>
      <w:r w:rsidR="00260594">
        <w:t>claims on sustainability. Transparency and credibility for investors when investing in funds claiming to be sustainable is of significant value for a company like Orsted also to ongoingly be able to attract capital for further expenditures in assets providing the green transition.</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isa Pakkenberg" w:date="2023-01-27T09:11:00Z" w:initials="LP">
    <w:p w14:paraId="0F344922" w14:textId="3A4ADF41" w:rsidR="002F02E6" w:rsidRDefault="00AE75BD" w:rsidP="002F02E6">
      <w:pPr>
        <w:pStyle w:val="CommentText"/>
      </w:pPr>
      <w:r>
        <w:rPr>
          <w:rStyle w:val="CommentReference"/>
        </w:rPr>
        <w:annotationRef/>
      </w:r>
      <w:r w:rsidR="008771FD">
        <w:t>Generally, I think ESMAs logic on 80/20 split is a bit backwards</w:t>
      </w:r>
      <w:r w:rsidR="008A36EE">
        <w:t xml:space="preserve"> – it would be more logical to have minimum performance requirements for all companies in an ESG fund, instead of making safeguards for the last 20 %. So f</w:t>
      </w:r>
      <w:r w:rsidR="00C031C6">
        <w:t xml:space="preserve">or this question, </w:t>
      </w:r>
      <w:r w:rsidR="002F02E6">
        <w:t xml:space="preserve">I think we should reflect our discussion yesterday: </w:t>
      </w:r>
    </w:p>
    <w:p w14:paraId="18D9A29C" w14:textId="77777777" w:rsidR="002F02E6" w:rsidRDefault="002F02E6" w:rsidP="002F02E6">
      <w:pPr>
        <w:pStyle w:val="CommentText"/>
      </w:pPr>
    </w:p>
    <w:p w14:paraId="4CE426A9" w14:textId="77777777" w:rsidR="006C5504" w:rsidRPr="008A36EE" w:rsidRDefault="006C5504" w:rsidP="002F02E6">
      <w:pPr>
        <w:pStyle w:val="CommentText"/>
        <w:rPr>
          <w:i/>
          <w:iCs/>
        </w:rPr>
      </w:pPr>
      <w:r w:rsidRPr="008A36EE">
        <w:rPr>
          <w:i/>
          <w:iCs/>
        </w:rPr>
        <w:t>For any fund claiming to be an ESG and/or sustainable funds, the following should apply:</w:t>
      </w:r>
    </w:p>
    <w:p w14:paraId="4AE36934" w14:textId="77777777" w:rsidR="006C5504" w:rsidRPr="008A36EE" w:rsidRDefault="006C5504" w:rsidP="002F02E6">
      <w:pPr>
        <w:pStyle w:val="CommentText"/>
        <w:rPr>
          <w:i/>
          <w:iCs/>
        </w:rPr>
      </w:pPr>
    </w:p>
    <w:p w14:paraId="1C0E12C6" w14:textId="77777777" w:rsidR="00C031C6" w:rsidRPr="008A36EE" w:rsidRDefault="006C5504" w:rsidP="006C5504">
      <w:pPr>
        <w:pStyle w:val="CommentText"/>
        <w:numPr>
          <w:ilvl w:val="0"/>
          <w:numId w:val="41"/>
        </w:numPr>
        <w:rPr>
          <w:i/>
          <w:iCs/>
        </w:rPr>
      </w:pPr>
      <w:r w:rsidRPr="008A36EE">
        <w:rPr>
          <w:i/>
          <w:iCs/>
        </w:rPr>
        <w:t xml:space="preserve"> All companies should </w:t>
      </w:r>
      <w:r w:rsidR="000C48B2" w:rsidRPr="008A36EE">
        <w:rPr>
          <w:i/>
          <w:iCs/>
        </w:rPr>
        <w:t>live up to a minimum sustainability performance standard on across ESG factors</w:t>
      </w:r>
    </w:p>
    <w:p w14:paraId="50122BF9" w14:textId="77777777" w:rsidR="000C48B2" w:rsidRPr="008A36EE" w:rsidRDefault="000C48B2" w:rsidP="006C5504">
      <w:pPr>
        <w:pStyle w:val="CommentText"/>
        <w:numPr>
          <w:ilvl w:val="0"/>
          <w:numId w:val="41"/>
        </w:numPr>
        <w:rPr>
          <w:i/>
          <w:iCs/>
        </w:rPr>
      </w:pPr>
      <w:r w:rsidRPr="008A36EE">
        <w:rPr>
          <w:i/>
          <w:iCs/>
        </w:rPr>
        <w:t xml:space="preserve"> </w:t>
      </w:r>
      <w:r w:rsidR="009B5ECB" w:rsidRPr="008A36EE">
        <w:rPr>
          <w:i/>
          <w:iCs/>
        </w:rPr>
        <w:t xml:space="preserve">Of those companies in the fund a certain percentage of the revenue/CAPEX of the companies should contribute to the sustainability ojective set up by the fund, e.g. </w:t>
      </w:r>
      <w:r w:rsidR="0037333D" w:rsidRPr="008A36EE">
        <w:rPr>
          <w:i/>
          <w:iCs/>
        </w:rPr>
        <w:t>80 % revenue/CAPEX is aligned with ‘transition to a circular economy’</w:t>
      </w:r>
    </w:p>
    <w:p w14:paraId="40198800" w14:textId="77777777" w:rsidR="0037333D" w:rsidRDefault="0037333D" w:rsidP="006C5504">
      <w:pPr>
        <w:pStyle w:val="CommentText"/>
        <w:numPr>
          <w:ilvl w:val="0"/>
          <w:numId w:val="41"/>
        </w:numPr>
      </w:pPr>
      <w:r w:rsidRPr="008A36EE">
        <w:rPr>
          <w:i/>
          <w:iCs/>
        </w:rPr>
        <w:t xml:space="preserve"> ESG funds should be </w:t>
      </w:r>
      <w:r w:rsidR="002E23C4" w:rsidRPr="008A36EE">
        <w:rPr>
          <w:i/>
          <w:iCs/>
        </w:rPr>
        <w:t>subject third party review</w:t>
      </w:r>
      <w:r w:rsidR="008771FD" w:rsidRPr="008A36EE">
        <w:rPr>
          <w:i/>
          <w:iCs/>
        </w:rPr>
        <w:t>, audit</w:t>
      </w:r>
      <w:r w:rsidR="008771FD">
        <w:t xml:space="preserve"> </w:t>
      </w:r>
    </w:p>
    <w:p w14:paraId="7A767E50" w14:textId="77777777" w:rsidR="008771FD" w:rsidRDefault="008771FD" w:rsidP="008771FD">
      <w:pPr>
        <w:pStyle w:val="CommentText"/>
      </w:pPr>
    </w:p>
    <w:p w14:paraId="61DBB076" w14:textId="01A5BDBA" w:rsidR="008771FD" w:rsidRDefault="008771FD" w:rsidP="008771F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B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3C6" w16cex:dateUtc="2023-01-2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B076" w16cid:durableId="277E1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EC4A" w14:textId="77777777" w:rsidR="009E0B37" w:rsidRDefault="009E0B37">
      <w:r>
        <w:separator/>
      </w:r>
    </w:p>
    <w:p w14:paraId="3CFC8E4D" w14:textId="77777777" w:rsidR="009E0B37" w:rsidRDefault="009E0B37"/>
  </w:endnote>
  <w:endnote w:type="continuationSeparator" w:id="0">
    <w:p w14:paraId="5B17CF84" w14:textId="77777777" w:rsidR="009E0B37" w:rsidRDefault="009E0B37">
      <w:r>
        <w:continuationSeparator/>
      </w:r>
    </w:p>
    <w:p w14:paraId="3B80F0E4" w14:textId="77777777" w:rsidR="009E0B37" w:rsidRDefault="009E0B37"/>
  </w:endnote>
  <w:endnote w:type="continuationNotice" w:id="1">
    <w:p w14:paraId="6EAF9C42" w14:textId="77777777" w:rsidR="009E0B37" w:rsidRDefault="009E0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rsted Sans Office">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CE66" w14:textId="77777777" w:rsidR="00450CCE" w:rsidRDefault="0045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2CC5" w14:textId="77777777" w:rsidR="009E0B37" w:rsidRDefault="009E0B37">
      <w:r>
        <w:separator/>
      </w:r>
    </w:p>
    <w:p w14:paraId="3BC56DD7" w14:textId="77777777" w:rsidR="009E0B37" w:rsidRDefault="009E0B37"/>
  </w:footnote>
  <w:footnote w:type="continuationSeparator" w:id="0">
    <w:p w14:paraId="2A89BA81" w14:textId="77777777" w:rsidR="009E0B37" w:rsidRDefault="009E0B37">
      <w:r>
        <w:continuationSeparator/>
      </w:r>
    </w:p>
    <w:p w14:paraId="00C4C068" w14:textId="77777777" w:rsidR="009E0B37" w:rsidRDefault="009E0B37"/>
  </w:footnote>
  <w:footnote w:type="continuationNotice" w:id="1">
    <w:p w14:paraId="43C716A4" w14:textId="77777777" w:rsidR="009E0B37" w:rsidRDefault="009E0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E689" w14:textId="77777777" w:rsidR="00450CCE" w:rsidRDefault="0045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37A79"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409E"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71AD1"/>
    <w:multiLevelType w:val="hybridMultilevel"/>
    <w:tmpl w:val="4FBC75C6"/>
    <w:lvl w:ilvl="0" w:tplc="7A4AC4E6">
      <w:start w:val="1"/>
      <w:numFmt w:val="low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B717AD"/>
    <w:multiLevelType w:val="hybridMultilevel"/>
    <w:tmpl w:val="01E8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256CA9"/>
    <w:multiLevelType w:val="hybridMultilevel"/>
    <w:tmpl w:val="FA680F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702196408">
    <w:abstractNumId w:val="18"/>
  </w:num>
  <w:num w:numId="2" w16cid:durableId="1897550046">
    <w:abstractNumId w:val="20"/>
  </w:num>
  <w:num w:numId="3" w16cid:durableId="1257059008">
    <w:abstractNumId w:val="13"/>
  </w:num>
  <w:num w:numId="4" w16cid:durableId="175267618">
    <w:abstractNumId w:val="26"/>
  </w:num>
  <w:num w:numId="5" w16cid:durableId="1617953001">
    <w:abstractNumId w:val="28"/>
  </w:num>
  <w:num w:numId="6" w16cid:durableId="1001422112">
    <w:abstractNumId w:val="0"/>
  </w:num>
  <w:num w:numId="7" w16cid:durableId="1519082683">
    <w:abstractNumId w:val="4"/>
  </w:num>
  <w:num w:numId="8" w16cid:durableId="1134250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666176">
    <w:abstractNumId w:val="34"/>
  </w:num>
  <w:num w:numId="10" w16cid:durableId="3630956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160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764835">
    <w:abstractNumId w:val="30"/>
  </w:num>
  <w:num w:numId="13" w16cid:durableId="144054744">
    <w:abstractNumId w:val="33"/>
  </w:num>
  <w:num w:numId="14" w16cid:durableId="566964377">
    <w:abstractNumId w:val="25"/>
  </w:num>
  <w:num w:numId="15" w16cid:durableId="1878082275">
    <w:abstractNumId w:val="11"/>
  </w:num>
  <w:num w:numId="16" w16cid:durableId="480737572">
    <w:abstractNumId w:val="1"/>
  </w:num>
  <w:num w:numId="17" w16cid:durableId="1002970444">
    <w:abstractNumId w:val="16"/>
  </w:num>
  <w:num w:numId="18" w16cid:durableId="1834487691">
    <w:abstractNumId w:val="17"/>
  </w:num>
  <w:num w:numId="19" w16cid:durableId="1166432068">
    <w:abstractNumId w:val="19"/>
  </w:num>
  <w:num w:numId="20" w16cid:durableId="1541866998">
    <w:abstractNumId w:val="29"/>
  </w:num>
  <w:num w:numId="21" w16cid:durableId="190730155">
    <w:abstractNumId w:val="39"/>
  </w:num>
  <w:num w:numId="22" w16cid:durableId="84422034">
    <w:abstractNumId w:val="27"/>
  </w:num>
  <w:num w:numId="23" w16cid:durableId="2049715655">
    <w:abstractNumId w:val="10"/>
  </w:num>
  <w:num w:numId="24" w16cid:durableId="34234845">
    <w:abstractNumId w:val="32"/>
  </w:num>
  <w:num w:numId="25" w16cid:durableId="1003317324">
    <w:abstractNumId w:val="31"/>
  </w:num>
  <w:num w:numId="26" w16cid:durableId="1125077047">
    <w:abstractNumId w:val="22"/>
  </w:num>
  <w:num w:numId="27" w16cid:durableId="1055930536">
    <w:abstractNumId w:val="35"/>
  </w:num>
  <w:num w:numId="28" w16cid:durableId="871193442">
    <w:abstractNumId w:val="41"/>
  </w:num>
  <w:num w:numId="29" w16cid:durableId="1095128683">
    <w:abstractNumId w:val="8"/>
  </w:num>
  <w:num w:numId="30" w16cid:durableId="41636255">
    <w:abstractNumId w:val="3"/>
  </w:num>
  <w:num w:numId="31" w16cid:durableId="1080174733">
    <w:abstractNumId w:val="24"/>
  </w:num>
  <w:num w:numId="32" w16cid:durableId="1407261900">
    <w:abstractNumId w:val="23"/>
  </w:num>
  <w:num w:numId="33" w16cid:durableId="1003514838">
    <w:abstractNumId w:val="37"/>
  </w:num>
  <w:num w:numId="34" w16cid:durableId="852575040">
    <w:abstractNumId w:val="36"/>
  </w:num>
  <w:num w:numId="35" w16cid:durableId="1422139379">
    <w:abstractNumId w:val="5"/>
  </w:num>
  <w:num w:numId="36" w16cid:durableId="266891983">
    <w:abstractNumId w:val="38"/>
  </w:num>
  <w:num w:numId="37" w16cid:durableId="1539900983">
    <w:abstractNumId w:val="23"/>
    <w:lvlOverride w:ilvl="0">
      <w:startOverride w:val="1"/>
    </w:lvlOverride>
  </w:num>
  <w:num w:numId="38" w16cid:durableId="444082021">
    <w:abstractNumId w:val="23"/>
  </w:num>
  <w:num w:numId="39" w16cid:durableId="57017463">
    <w:abstractNumId w:val="14"/>
  </w:num>
  <w:num w:numId="40" w16cid:durableId="350179754">
    <w:abstractNumId w:val="6"/>
  </w:num>
  <w:num w:numId="41" w16cid:durableId="1981836978">
    <w:abstractNumId w:val="21"/>
  </w:num>
  <w:num w:numId="42" w16cid:durableId="1102997328">
    <w:abstractNumId w:val="12"/>
  </w:num>
  <w:num w:numId="43" w16cid:durableId="1319193305">
    <w:abstractNumId w:val="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Pakkenberg">
    <w15:presenceInfo w15:providerId="AD" w15:userId="S::LISAP@orsted.com::e2e3cbbe-494c-4596-97df-4e84b8733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94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69C6"/>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078D"/>
    <w:rsid w:val="0005126D"/>
    <w:rsid w:val="00051992"/>
    <w:rsid w:val="00051E9A"/>
    <w:rsid w:val="000521A7"/>
    <w:rsid w:val="00052DAB"/>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1965"/>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0F74"/>
    <w:rsid w:val="000B275C"/>
    <w:rsid w:val="000B2C3D"/>
    <w:rsid w:val="000B55C0"/>
    <w:rsid w:val="000B5DF2"/>
    <w:rsid w:val="000C06C9"/>
    <w:rsid w:val="000C1DCC"/>
    <w:rsid w:val="000C1FBC"/>
    <w:rsid w:val="000C2054"/>
    <w:rsid w:val="000C2B6A"/>
    <w:rsid w:val="000C2F88"/>
    <w:rsid w:val="000C48B2"/>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342E"/>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37BC9"/>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0594"/>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2FEF"/>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1B1C"/>
    <w:rsid w:val="002D2FEF"/>
    <w:rsid w:val="002D36C2"/>
    <w:rsid w:val="002D3FCB"/>
    <w:rsid w:val="002D4FEF"/>
    <w:rsid w:val="002D502D"/>
    <w:rsid w:val="002D63F5"/>
    <w:rsid w:val="002D6E1A"/>
    <w:rsid w:val="002E036D"/>
    <w:rsid w:val="002E1517"/>
    <w:rsid w:val="002E1760"/>
    <w:rsid w:val="002E1B22"/>
    <w:rsid w:val="002E23C4"/>
    <w:rsid w:val="002E387F"/>
    <w:rsid w:val="002E76FC"/>
    <w:rsid w:val="002E7F4B"/>
    <w:rsid w:val="002F02E6"/>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33D"/>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7286"/>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1E9E"/>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56FD"/>
    <w:rsid w:val="00447FBE"/>
    <w:rsid w:val="0045035E"/>
    <w:rsid w:val="00450CCE"/>
    <w:rsid w:val="0045175A"/>
    <w:rsid w:val="00451ED9"/>
    <w:rsid w:val="00452180"/>
    <w:rsid w:val="00453072"/>
    <w:rsid w:val="004539F8"/>
    <w:rsid w:val="00453E34"/>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91D"/>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C4"/>
    <w:rsid w:val="004E6B05"/>
    <w:rsid w:val="004E76A1"/>
    <w:rsid w:val="004F05DE"/>
    <w:rsid w:val="004F0F4C"/>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050F"/>
    <w:rsid w:val="00572209"/>
    <w:rsid w:val="00573569"/>
    <w:rsid w:val="00573871"/>
    <w:rsid w:val="0057389E"/>
    <w:rsid w:val="0057452E"/>
    <w:rsid w:val="005765C0"/>
    <w:rsid w:val="005778DE"/>
    <w:rsid w:val="00580B3F"/>
    <w:rsid w:val="005825F2"/>
    <w:rsid w:val="00583885"/>
    <w:rsid w:val="00583A5E"/>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EBA"/>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504"/>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531C"/>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1FD"/>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6EE"/>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58E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44FB"/>
    <w:rsid w:val="009452D7"/>
    <w:rsid w:val="00945BCF"/>
    <w:rsid w:val="00945FD1"/>
    <w:rsid w:val="00946CCC"/>
    <w:rsid w:val="009503E5"/>
    <w:rsid w:val="00950F71"/>
    <w:rsid w:val="0095289B"/>
    <w:rsid w:val="00952F2C"/>
    <w:rsid w:val="009532E3"/>
    <w:rsid w:val="00953615"/>
    <w:rsid w:val="00954BAF"/>
    <w:rsid w:val="00955F48"/>
    <w:rsid w:val="009560B3"/>
    <w:rsid w:val="0095745E"/>
    <w:rsid w:val="00957CE0"/>
    <w:rsid w:val="0096002E"/>
    <w:rsid w:val="0096039E"/>
    <w:rsid w:val="00962C73"/>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5ECB"/>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0B37"/>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14F"/>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00D6"/>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5BD"/>
    <w:rsid w:val="00AF0029"/>
    <w:rsid w:val="00AF0354"/>
    <w:rsid w:val="00AF1236"/>
    <w:rsid w:val="00AF29C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A3D"/>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31C6"/>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02B5"/>
    <w:rsid w:val="00C7092F"/>
    <w:rsid w:val="00C729C7"/>
    <w:rsid w:val="00C777AD"/>
    <w:rsid w:val="00C80C53"/>
    <w:rsid w:val="00C81195"/>
    <w:rsid w:val="00C81798"/>
    <w:rsid w:val="00C85387"/>
    <w:rsid w:val="00C85E52"/>
    <w:rsid w:val="00C86471"/>
    <w:rsid w:val="00C8677B"/>
    <w:rsid w:val="00C86F96"/>
    <w:rsid w:val="00C909C6"/>
    <w:rsid w:val="00C92257"/>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94E"/>
    <w:rsid w:val="00CD1FAE"/>
    <w:rsid w:val="00CD232F"/>
    <w:rsid w:val="00CD279E"/>
    <w:rsid w:val="00CD2F92"/>
    <w:rsid w:val="00CD4EB0"/>
    <w:rsid w:val="00CD512D"/>
    <w:rsid w:val="00CD5831"/>
    <w:rsid w:val="00CD6CE5"/>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32A"/>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271"/>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3509"/>
    <w:rsid w:val="00D75603"/>
    <w:rsid w:val="00D75FEE"/>
    <w:rsid w:val="00D76933"/>
    <w:rsid w:val="00D76D88"/>
    <w:rsid w:val="00D77CC9"/>
    <w:rsid w:val="00D83D4B"/>
    <w:rsid w:val="00D871C6"/>
    <w:rsid w:val="00D91010"/>
    <w:rsid w:val="00D9143D"/>
    <w:rsid w:val="00D920D1"/>
    <w:rsid w:val="00D92889"/>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6BE2"/>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5FC"/>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4B96"/>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Props1.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11540</Characters>
  <Application>Microsoft Office Word</Application>
  <DocSecurity>8</DocSecurity>
  <Lines>268</Lines>
  <Paragraphs>144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13423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Gareth James Scheerder</cp:lastModifiedBy>
  <cp:revision>2</cp:revision>
  <cp:lastPrinted>2015-02-18T11:01:00Z</cp:lastPrinted>
  <dcterms:created xsi:type="dcterms:W3CDTF">2023-02-15T09:22:00Z</dcterms:created>
  <dcterms:modified xsi:type="dcterms:W3CDTF">2023-02-15T09:22:00Z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MSIP_Label_b8d9a29f-7d17-4193-85e4-1bef0fc2e901_Enabled">
    <vt:lpwstr>true</vt:lpwstr>
  </property>
  <property fmtid="{D5CDD505-2E9C-101B-9397-08002B2CF9AE}" pid="11" name="MSIP_Label_b8d9a29f-7d17-4193-85e4-1bef0fc2e901_SetDate">
    <vt:lpwstr>2023-02-15T09:22:46Z</vt:lpwstr>
  </property>
  <property fmtid="{D5CDD505-2E9C-101B-9397-08002B2CF9AE}" pid="12" name="MSIP_Label_b8d9a29f-7d17-4193-85e4-1bef0fc2e901_Method">
    <vt:lpwstr>Standard</vt:lpwstr>
  </property>
  <property fmtid="{D5CDD505-2E9C-101B-9397-08002B2CF9AE}" pid="13" name="MSIP_Label_b8d9a29f-7d17-4193-85e4-1bef0fc2e901_Name">
    <vt:lpwstr>b8d9a29f-7d17-4193-85e4-1bef0fc2e901</vt:lpwstr>
  </property>
  <property fmtid="{D5CDD505-2E9C-101B-9397-08002B2CF9AE}" pid="14" name="MSIP_Label_b8d9a29f-7d17-4193-85e4-1bef0fc2e901_SiteId">
    <vt:lpwstr>100b3c99-f3e2-4da0-9c8a-b9d345742c36</vt:lpwstr>
  </property>
  <property fmtid="{D5CDD505-2E9C-101B-9397-08002B2CF9AE}" pid="15" name="MSIP_Label_b8d9a29f-7d17-4193-85e4-1bef0fc2e901_ActionId">
    <vt:lpwstr>87533b5b-c73e-4460-9ab8-dce60cebc38d</vt:lpwstr>
  </property>
  <property fmtid="{D5CDD505-2E9C-101B-9397-08002B2CF9AE}" pid="16" name="MSIP_Label_b8d9a29f-7d17-4193-85e4-1bef0fc2e901_ContentBits">
    <vt:lpwstr>1</vt:lpwstr>
  </property>
</Properties>
</file>