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tc>
          <w:tcPr>
            <w:tcW w:w="5595" w:type="dxa"/>
            <w:shd w:val="clear" w:color="auto" w:fill="auto"/>
          </w:tcPr>
          <w:p w14:paraId="7A68491E" w14:textId="4F5D960F" w:rsidR="00C2682A" w:rsidRPr="00AB6D88" w:rsidRDefault="00C651E5" w:rsidP="00FA5524">
            <w:pPr>
              <w:rPr>
                <w:rStyle w:val="PlaceholderText"/>
                <w:rFonts w:cs="Arial"/>
              </w:rPr>
            </w:pPr>
            <w:r>
              <w:rPr>
                <w:rStyle w:val="PlaceholderText"/>
                <w:rFonts w:cs="Arial"/>
              </w:rPr>
              <w:t>Assuralia</w:t>
            </w:r>
            <w:sdt>
              <w:sdtPr>
                <w:rPr>
                  <w:rStyle w:val="PlaceholderText"/>
                  <w:rFonts w:cs="Arial"/>
                </w:rPr>
                <w:id w:val="651570699"/>
                <w:showingPlcHdr/>
                <w:text/>
              </w:sdtPr>
              <w:sdtContent>
                <w:r w:rsidR="00B92885">
                  <w:rPr>
                    <w:rStyle w:val="PlaceholderText"/>
                    <w:rFonts w:cs="Arial"/>
                  </w:rPr>
                  <w:t xml:space="preserve">     </w:t>
                </w:r>
              </w:sdtContent>
            </w:sdt>
          </w:p>
        </w:tc>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3052B97"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651E5">
                  <w:rPr>
                    <w:rFonts w:cs="Arial"/>
                  </w:rPr>
                  <w:t>Insurance and Pension</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4659BE76" w:rsidR="00C2682A" w:rsidRPr="00AB6D88" w:rsidRDefault="00C651E5"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19F5AD69" w:rsidR="00C2682A" w:rsidRPr="00AB6D88" w:rsidRDefault="00C651E5" w:rsidP="00FA5524">
                <w:pPr>
                  <w:rPr>
                    <w:rFonts w:cs="Arial"/>
                  </w:rPr>
                </w:pPr>
                <w:r>
                  <w:rPr>
                    <w:rFonts w:cs="Arial"/>
                  </w:rPr>
                  <w:t>Belgium</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687869B1" w14:textId="77777777" w:rsidR="00C651E5" w:rsidRPr="00F76F98" w:rsidRDefault="00C651E5" w:rsidP="0009271C">
      <w:pPr>
        <w:jc w:val="both"/>
        <w:rPr>
          <w:rFonts w:ascii="Verdana" w:hAnsi="Verdana"/>
          <w:sz w:val="18"/>
          <w:szCs w:val="18"/>
        </w:rPr>
      </w:pPr>
      <w:permStart w:id="1100430741" w:edGrp="everyone"/>
      <w:r w:rsidRPr="00F76F98">
        <w:rPr>
          <w:rFonts w:ascii="Verdana" w:hAnsi="Verdana"/>
          <w:sz w:val="18"/>
          <w:szCs w:val="18"/>
        </w:rPr>
        <w:t xml:space="preserve">Assuralia has some questions </w:t>
      </w:r>
      <w:proofErr w:type="gramStart"/>
      <w:r w:rsidRPr="00F76F98">
        <w:rPr>
          <w:rFonts w:ascii="Verdana" w:hAnsi="Verdana"/>
          <w:sz w:val="18"/>
          <w:szCs w:val="18"/>
        </w:rPr>
        <w:t>with regard to</w:t>
      </w:r>
      <w:proofErr w:type="gramEnd"/>
      <w:r w:rsidRPr="00F76F98">
        <w:rPr>
          <w:rFonts w:ascii="Verdana" w:hAnsi="Verdana"/>
          <w:sz w:val="18"/>
          <w:szCs w:val="18"/>
        </w:rPr>
        <w:t xml:space="preserve"> the legal status of these guidelines. Guidelines commonly interpret and explain existing obligation. However, we fear that the current text goes beyond an interpretation of Directive </w:t>
      </w:r>
      <w:r w:rsidRPr="00F76F98">
        <w:rPr>
          <w:rStyle w:val="fontstyle01"/>
          <w:rFonts w:ascii="Verdana" w:hAnsi="Verdana"/>
          <w:sz w:val="18"/>
          <w:szCs w:val="18"/>
        </w:rPr>
        <w:t>2009/65/EC (UCITS Directive)</w:t>
      </w:r>
      <w:r w:rsidRPr="00F76F98">
        <w:rPr>
          <w:rFonts w:ascii="Verdana" w:hAnsi="Verdana"/>
          <w:sz w:val="18"/>
          <w:szCs w:val="18"/>
        </w:rPr>
        <w:t xml:space="preserve">, </w:t>
      </w:r>
      <w:r w:rsidRPr="00F76F98">
        <w:rPr>
          <w:rStyle w:val="fontstyle01"/>
          <w:rFonts w:ascii="Verdana" w:hAnsi="Verdana"/>
          <w:sz w:val="18"/>
          <w:szCs w:val="18"/>
        </w:rPr>
        <w:t>Directive 2011/61/EU (AIFMD)</w:t>
      </w:r>
      <w:r w:rsidRPr="00F76F98">
        <w:rPr>
          <w:rFonts w:ascii="Verdana" w:hAnsi="Verdana"/>
          <w:sz w:val="18"/>
          <w:szCs w:val="18"/>
        </w:rPr>
        <w:t xml:space="preserve"> and </w:t>
      </w:r>
      <w:r w:rsidRPr="00F76F98">
        <w:rPr>
          <w:rFonts w:ascii="Verdana" w:hAnsi="Verdana"/>
          <w:color w:val="000000"/>
          <w:sz w:val="18"/>
          <w:szCs w:val="18"/>
          <w:lang w:val="en-BE" w:eastAsia="en-BE"/>
        </w:rPr>
        <w:t>Regulation (EU) 2019/1156 on facilitating cross-border distribution of</w:t>
      </w:r>
      <w:r w:rsidRPr="00F76F98">
        <w:rPr>
          <w:rFonts w:ascii="Verdana" w:hAnsi="Verdana"/>
          <w:color w:val="000000"/>
          <w:sz w:val="18"/>
          <w:szCs w:val="18"/>
          <w:lang w:val="en-US" w:eastAsia="en-BE"/>
        </w:rPr>
        <w:t xml:space="preserve"> </w:t>
      </w:r>
      <w:r w:rsidRPr="00F76F98">
        <w:rPr>
          <w:rFonts w:ascii="Verdana" w:hAnsi="Verdana"/>
          <w:color w:val="000000"/>
          <w:sz w:val="18"/>
          <w:szCs w:val="18"/>
          <w:lang w:val="en-BE" w:eastAsia="en-BE"/>
        </w:rPr>
        <w:t>collective investment undertakings</w:t>
      </w:r>
      <w:r w:rsidRPr="00F76F98">
        <w:rPr>
          <w:rFonts w:ascii="Verdana" w:hAnsi="Verdana"/>
          <w:color w:val="000000"/>
          <w:sz w:val="18"/>
          <w:szCs w:val="18"/>
          <w:lang w:val="en-US" w:eastAsia="en-BE"/>
        </w:rPr>
        <w:t>,</w:t>
      </w:r>
      <w:r w:rsidRPr="00F76F98">
        <w:rPr>
          <w:rFonts w:ascii="Verdana" w:hAnsi="Verdana"/>
          <w:sz w:val="18"/>
          <w:szCs w:val="18"/>
        </w:rPr>
        <w:t xml:space="preserve"> to create new specific obligations as to when a product can be considered sustainable.</w:t>
      </w:r>
    </w:p>
    <w:p w14:paraId="6E7B9CF7" w14:textId="77777777" w:rsidR="00C651E5" w:rsidRPr="00F76F98" w:rsidRDefault="00C651E5" w:rsidP="0009271C">
      <w:pPr>
        <w:jc w:val="both"/>
        <w:rPr>
          <w:rFonts w:ascii="Verdana" w:hAnsi="Verdana"/>
          <w:color w:val="000000"/>
          <w:sz w:val="18"/>
          <w:szCs w:val="18"/>
          <w:lang w:val="en-BE" w:eastAsia="en-BE"/>
        </w:rPr>
      </w:pPr>
    </w:p>
    <w:p w14:paraId="17419EA1" w14:textId="77777777" w:rsidR="00C651E5" w:rsidRPr="00F76F98" w:rsidRDefault="00C651E5" w:rsidP="0009271C">
      <w:pPr>
        <w:pStyle w:val="BodyText"/>
        <w:numPr>
          <w:ilvl w:val="0"/>
          <w:numId w:val="0"/>
        </w:numPr>
        <w:spacing w:line="288" w:lineRule="auto"/>
        <w:rPr>
          <w:rFonts w:ascii="Verdana" w:hAnsi="Verdana"/>
          <w:sz w:val="18"/>
          <w:szCs w:val="18"/>
        </w:rPr>
      </w:pPr>
      <w:r w:rsidRPr="00F76F98">
        <w:rPr>
          <w:rFonts w:ascii="Verdana" w:hAnsi="Verdana"/>
          <w:sz w:val="18"/>
          <w:szCs w:val="18"/>
        </w:rPr>
        <w:t>Moreover, the framework to which the guidelines pertain, is a common regulatory framework for the whole financial sector. Ideally, interpretations and explanations of the obligations in this regulatory framework should be the same throughout the financial sector and not specific to one sub-sector. Assuralia would welcome guidelines from the 3 ESAs on this matter.</w:t>
      </w:r>
    </w:p>
    <w:p w14:paraId="4B6F335F" w14:textId="77777777" w:rsidR="00C651E5" w:rsidRPr="00F76F98" w:rsidRDefault="00C651E5" w:rsidP="0009271C">
      <w:pPr>
        <w:pStyle w:val="BodyText"/>
        <w:numPr>
          <w:ilvl w:val="0"/>
          <w:numId w:val="0"/>
        </w:numPr>
        <w:spacing w:line="288" w:lineRule="auto"/>
        <w:rPr>
          <w:rFonts w:ascii="Verdana" w:hAnsi="Verdana"/>
          <w:sz w:val="18"/>
          <w:szCs w:val="18"/>
        </w:rPr>
      </w:pPr>
      <w:r w:rsidRPr="00F76F98">
        <w:rPr>
          <w:rFonts w:ascii="Verdana" w:hAnsi="Verdana"/>
          <w:sz w:val="18"/>
          <w:szCs w:val="18"/>
        </w:rPr>
        <w:t xml:space="preserve">Besides, the regulatory framework is still in full development, which further enhances the risk of incoherent and unclear definitions, that can vary throughout the financial sector and per financial product. Potential gaps may arise from the non-finalised and incomplete EU regulation and different (supervisory) interpretations. These gaps could seriously threaten consumer protection and confidence in the financial sector, as modification of already controlled and validated funds by NCAs could happen 6 months after the publication of these guidelines. Assuralia is pleading for grandfathering for existing funds, </w:t>
      </w:r>
      <w:proofErr w:type="gramStart"/>
      <w:r w:rsidRPr="00F76F98">
        <w:rPr>
          <w:rFonts w:ascii="Verdana" w:hAnsi="Verdana"/>
          <w:sz w:val="18"/>
          <w:szCs w:val="18"/>
        </w:rPr>
        <w:t>in order to</w:t>
      </w:r>
      <w:proofErr w:type="gramEnd"/>
      <w:r w:rsidRPr="00F76F98">
        <w:rPr>
          <w:rFonts w:ascii="Verdana" w:hAnsi="Verdana"/>
          <w:sz w:val="18"/>
          <w:szCs w:val="18"/>
        </w:rPr>
        <w:t xml:space="preserve"> maintain consumer confidence and a robust distribution channel. Modifying the name of existing funds is not neutral at the administrative level, it would be burdensome for both insurers and insurance distributors but mostly, it will impact consumer trust. We are of the meaning that more stability in the whole regulatory framework is needed before doing so, and that a potential implementation delay could be a significant added value for these guidelines.</w:t>
      </w:r>
    </w:p>
    <w:p w14:paraId="041295C9" w14:textId="77777777" w:rsidR="00C651E5" w:rsidRPr="00F76F98" w:rsidRDefault="00C651E5" w:rsidP="0009271C">
      <w:pPr>
        <w:pStyle w:val="BodyText"/>
        <w:numPr>
          <w:ilvl w:val="0"/>
          <w:numId w:val="0"/>
        </w:numPr>
        <w:spacing w:line="288" w:lineRule="auto"/>
        <w:rPr>
          <w:rFonts w:ascii="Verdana" w:hAnsi="Verdana"/>
          <w:sz w:val="18"/>
          <w:szCs w:val="18"/>
        </w:rPr>
      </w:pPr>
      <w:r w:rsidRPr="00F76F98">
        <w:rPr>
          <w:rFonts w:ascii="Verdana" w:hAnsi="Verdana"/>
          <w:sz w:val="18"/>
          <w:szCs w:val="18"/>
        </w:rPr>
        <w:t xml:space="preserve">Furthermore, the EC, the ESAs and the NCAs are currently working on the greenwashing risks, and it seems more efficient to work on a common definition of greenwashing </w:t>
      </w:r>
      <w:proofErr w:type="gramStart"/>
      <w:r w:rsidRPr="00F76F98">
        <w:rPr>
          <w:rFonts w:ascii="Verdana" w:hAnsi="Verdana"/>
          <w:sz w:val="18"/>
          <w:szCs w:val="18"/>
        </w:rPr>
        <w:t>in order to</w:t>
      </w:r>
      <w:proofErr w:type="gramEnd"/>
      <w:r w:rsidRPr="00F76F98">
        <w:rPr>
          <w:rFonts w:ascii="Verdana" w:hAnsi="Verdana"/>
          <w:sz w:val="18"/>
          <w:szCs w:val="18"/>
        </w:rPr>
        <w:t xml:space="preserve"> tackle it genuinely at European level.</w:t>
      </w:r>
    </w:p>
    <w:p w14:paraId="5809046E" w14:textId="77777777" w:rsidR="00C651E5" w:rsidRPr="00F76F98" w:rsidRDefault="00C651E5" w:rsidP="0009271C">
      <w:pPr>
        <w:rPr>
          <w:rFonts w:ascii="Verdana" w:hAnsi="Verdana"/>
          <w:sz w:val="18"/>
          <w:szCs w:val="18"/>
          <w:lang w:val="en-US" w:eastAsia="en-US"/>
        </w:rPr>
      </w:pPr>
      <w:r w:rsidRPr="00F76F98">
        <w:rPr>
          <w:rFonts w:ascii="Verdana" w:hAnsi="Verdana"/>
          <w:sz w:val="18"/>
          <w:szCs w:val="18"/>
        </w:rPr>
        <w:t xml:space="preserve">For us, it’s capital to maintain a level playing field between financial products and financial market participants. Assuralia would like to raise an important issue and a concrete example of the unlevel playing field in this matter. </w:t>
      </w:r>
      <w:r w:rsidRPr="00F76F98">
        <w:rPr>
          <w:rFonts w:ascii="Verdana" w:hAnsi="Verdana"/>
          <w:sz w:val="18"/>
          <w:szCs w:val="18"/>
          <w:lang w:val="en-US" w:eastAsia="en-US"/>
        </w:rPr>
        <w:t>The majority of the insurer’s portfolio is composed of sovereign bonds, to cover interest rate guarantees for Branch 21 insurance products by maximizing the capital requirements of prudential regulations, which are not eligible as sustainable investments according to SFDR.</w:t>
      </w:r>
      <w:r w:rsidRPr="00F76F98">
        <w:rPr>
          <w:rFonts w:ascii="Verdana" w:hAnsi="Verdana"/>
          <w:sz w:val="18"/>
          <w:szCs w:val="18"/>
        </w:rPr>
        <w:t xml:space="preserve"> For us, it would be impossible to reach the thresholds as defined by ESMA in this consultation, and because of the composition of our portfolios, the representation of sustainable investments will “de facto” be lower and this won’t represent the reality and the ambition of the insurance industry into sustainability.</w:t>
      </w:r>
    </w:p>
    <w:p w14:paraId="3B95B420" w14:textId="6CFBC394" w:rsidR="00B92885" w:rsidRPr="00B92885" w:rsidRDefault="00C651E5" w:rsidP="00B92885">
      <w:pPr>
        <w:spacing w:after="160" w:line="259" w:lineRule="auto"/>
        <w:rPr>
          <w:rFonts w:ascii="Calibri" w:eastAsia="Calibri" w:hAnsi="Calibri"/>
          <w:sz w:val="22"/>
          <w:szCs w:val="22"/>
          <w:lang w:eastAsia="en-US"/>
        </w:rPr>
      </w:pPr>
      <w:r w:rsidRPr="00F76F98">
        <w:rPr>
          <w:rFonts w:ascii="Verdana" w:hAnsi="Verdana"/>
          <w:sz w:val="18"/>
          <w:szCs w:val="18"/>
        </w:rPr>
        <w:t>Finally, our key preoccupation remains to not undermine consumer confidence in the financial sector by drowning him with too many and non-steady information</w:t>
      </w:r>
      <w:permEnd w:id="1100430741"/>
      <w:r w:rsidR="00B92885"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3F3971" w14:textId="77777777" w:rsidR="00B92885" w:rsidRDefault="00B92885" w:rsidP="00B92885">
      <w:permStart w:id="1596738700" w:edGrp="everyone"/>
      <w:r>
        <w:t>TYPE YOUR TEXT HERE</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7BED3590" w14:textId="77777777" w:rsidR="00B92885" w:rsidRDefault="00B92885" w:rsidP="00B92885">
      <w:permStart w:id="1305634831" w:edGrp="everyone"/>
      <w:r>
        <w:t>TYPE YOUR TEXT HERE</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77777777" w:rsidR="00B92885" w:rsidRDefault="00B92885" w:rsidP="00B92885">
      <w:permStart w:id="347949177" w:edGrp="everyone"/>
      <w:r>
        <w:t>TYPE YOUR TEXT HERE</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C9157FD" w14:textId="77777777" w:rsidR="00B92885" w:rsidRDefault="00B92885" w:rsidP="00B92885">
      <w:permStart w:id="175976681" w:edGrp="everyone"/>
      <w:r>
        <w:t>TYPE YOUR TEXT HERE</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lastRenderedPageBreak/>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t>TYPE YOUR TEXT HERE</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77777777" w:rsidR="00B92885" w:rsidRDefault="00B92885" w:rsidP="00B92885">
      <w:permStart w:id="1423966990" w:edGrp="everyone"/>
      <w:r>
        <w:t>TYPE YOUR TEXT HERE</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77777777" w:rsidR="00B92885" w:rsidRDefault="00B92885" w:rsidP="00B92885">
      <w:permStart w:id="489244833" w:edGrp="everyone"/>
      <w:r>
        <w:t>TYPE YOUR TEXT HERE</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A427" w14:textId="77777777" w:rsidR="00F02342" w:rsidRDefault="00F02342">
      <w:r>
        <w:separator/>
      </w:r>
    </w:p>
    <w:p w14:paraId="6D3F3957" w14:textId="77777777" w:rsidR="00F02342" w:rsidRDefault="00F02342"/>
  </w:endnote>
  <w:endnote w:type="continuationSeparator" w:id="0">
    <w:p w14:paraId="4C3416FF" w14:textId="77777777" w:rsidR="00F02342" w:rsidRDefault="00F02342">
      <w:r>
        <w:continuationSeparator/>
      </w:r>
    </w:p>
    <w:p w14:paraId="0563173F" w14:textId="77777777" w:rsidR="00F02342" w:rsidRDefault="00F02342"/>
  </w:endnote>
  <w:endnote w:type="continuationNotice" w:id="1">
    <w:p w14:paraId="477F61DF" w14:textId="77777777" w:rsidR="00F02342" w:rsidRDefault="00F02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B35B" w14:textId="77777777" w:rsidR="00F02342" w:rsidRDefault="00F02342">
      <w:r>
        <w:separator/>
      </w:r>
    </w:p>
    <w:p w14:paraId="01618F11" w14:textId="77777777" w:rsidR="00F02342" w:rsidRDefault="00F02342"/>
  </w:footnote>
  <w:footnote w:type="continuationSeparator" w:id="0">
    <w:p w14:paraId="7F5B8C2B" w14:textId="77777777" w:rsidR="00F02342" w:rsidRDefault="00F02342">
      <w:r>
        <w:continuationSeparator/>
      </w:r>
    </w:p>
    <w:p w14:paraId="761D38CE" w14:textId="77777777" w:rsidR="00F02342" w:rsidRDefault="00F02342"/>
  </w:footnote>
  <w:footnote w:type="continuationNotice" w:id="1">
    <w:p w14:paraId="1095B818" w14:textId="77777777" w:rsidR="00F02342" w:rsidRDefault="00F02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8B97D"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F261"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715810014">
    <w:abstractNumId w:val="16"/>
  </w:num>
  <w:num w:numId="2" w16cid:durableId="109125952">
    <w:abstractNumId w:val="18"/>
  </w:num>
  <w:num w:numId="3" w16cid:durableId="1725710327">
    <w:abstractNumId w:val="11"/>
  </w:num>
  <w:num w:numId="4" w16cid:durableId="460658745">
    <w:abstractNumId w:val="23"/>
  </w:num>
  <w:num w:numId="5" w16cid:durableId="337001538">
    <w:abstractNumId w:val="25"/>
  </w:num>
  <w:num w:numId="6" w16cid:durableId="541791912">
    <w:abstractNumId w:val="0"/>
  </w:num>
  <w:num w:numId="7" w16cid:durableId="1408258962">
    <w:abstractNumId w:val="3"/>
  </w:num>
  <w:num w:numId="8" w16cid:durableId="512065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58211">
    <w:abstractNumId w:val="31"/>
  </w:num>
  <w:num w:numId="10" w16cid:durableId="744763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4465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945472">
    <w:abstractNumId w:val="27"/>
  </w:num>
  <w:num w:numId="13" w16cid:durableId="957368351">
    <w:abstractNumId w:val="30"/>
  </w:num>
  <w:num w:numId="14" w16cid:durableId="1175145455">
    <w:abstractNumId w:val="22"/>
  </w:num>
  <w:num w:numId="15" w16cid:durableId="1151674755">
    <w:abstractNumId w:val="10"/>
  </w:num>
  <w:num w:numId="16" w16cid:durableId="701781785">
    <w:abstractNumId w:val="1"/>
  </w:num>
  <w:num w:numId="17" w16cid:durableId="1553229561">
    <w:abstractNumId w:val="14"/>
  </w:num>
  <w:num w:numId="18" w16cid:durableId="1712028217">
    <w:abstractNumId w:val="15"/>
  </w:num>
  <w:num w:numId="19" w16cid:durableId="378405377">
    <w:abstractNumId w:val="17"/>
  </w:num>
  <w:num w:numId="20" w16cid:durableId="14357196">
    <w:abstractNumId w:val="26"/>
  </w:num>
  <w:num w:numId="21" w16cid:durableId="341513734">
    <w:abstractNumId w:val="36"/>
  </w:num>
  <w:num w:numId="22" w16cid:durableId="49354591">
    <w:abstractNumId w:val="24"/>
  </w:num>
  <w:num w:numId="23" w16cid:durableId="1325278899">
    <w:abstractNumId w:val="9"/>
  </w:num>
  <w:num w:numId="24" w16cid:durableId="1673412290">
    <w:abstractNumId w:val="29"/>
  </w:num>
  <w:num w:numId="25" w16cid:durableId="912395191">
    <w:abstractNumId w:val="28"/>
  </w:num>
  <w:num w:numId="26" w16cid:durableId="176845298">
    <w:abstractNumId w:val="19"/>
  </w:num>
  <w:num w:numId="27" w16cid:durableId="1769619185">
    <w:abstractNumId w:val="32"/>
  </w:num>
  <w:num w:numId="28" w16cid:durableId="2032292758">
    <w:abstractNumId w:val="38"/>
  </w:num>
  <w:num w:numId="29" w16cid:durableId="1352760174">
    <w:abstractNumId w:val="7"/>
  </w:num>
  <w:num w:numId="30" w16cid:durableId="187063307">
    <w:abstractNumId w:val="2"/>
  </w:num>
  <w:num w:numId="31" w16cid:durableId="395980453">
    <w:abstractNumId w:val="21"/>
  </w:num>
  <w:num w:numId="32" w16cid:durableId="1414544791">
    <w:abstractNumId w:val="20"/>
  </w:num>
  <w:num w:numId="33" w16cid:durableId="1131678062">
    <w:abstractNumId w:val="34"/>
  </w:num>
  <w:num w:numId="34" w16cid:durableId="1053848054">
    <w:abstractNumId w:val="33"/>
  </w:num>
  <w:num w:numId="35" w16cid:durableId="1070806826">
    <w:abstractNumId w:val="4"/>
  </w:num>
  <w:num w:numId="36" w16cid:durableId="1754472249">
    <w:abstractNumId w:val="35"/>
  </w:num>
  <w:num w:numId="37" w16cid:durableId="799768086">
    <w:abstractNumId w:val="20"/>
    <w:lvlOverride w:ilvl="0">
      <w:startOverride w:val="1"/>
    </w:lvlOverride>
  </w:num>
  <w:num w:numId="38" w16cid:durableId="720175686">
    <w:abstractNumId w:val="20"/>
  </w:num>
  <w:num w:numId="39" w16cid:durableId="168721353">
    <w:abstractNumId w:val="12"/>
  </w:num>
  <w:num w:numId="40" w16cid:durableId="35955136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C12"/>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51E5"/>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342"/>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6F98"/>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customStyle="1" w:styleId="fontstyle01">
    <w:name w:val="fontstyle01"/>
    <w:basedOn w:val="DefaultParagraphFont"/>
    <w:rsid w:val="00C651E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1602</Words>
  <Characters>9136</Characters>
  <Application>Microsoft Office Word</Application>
  <DocSecurity>8</DocSecurity>
  <Lines>76</Lines>
  <Paragraphs>21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10717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vanhammez</cp:lastModifiedBy>
  <cp:revision>3</cp:revision>
  <cp:lastPrinted>2015-02-18T11:01:00Z</cp:lastPrinted>
  <dcterms:created xsi:type="dcterms:W3CDTF">2023-02-09T12:13:00Z</dcterms:created>
  <dcterms:modified xsi:type="dcterms:W3CDTF">2023-02-09T12:14:00Z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