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r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re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re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phedelist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Titre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5FBEBFA6" w:rsidR="00C85C8B" w:rsidRPr="00B16706" w:rsidRDefault="009F05E2" w:rsidP="00C85C8B">
                <w:pPr>
                  <w:rPr>
                    <w:rFonts w:ascii="Arial" w:hAnsi="Arial" w:cs="Arial"/>
                    <w:color w:val="808080"/>
                    <w:sz w:val="16"/>
                    <w:szCs w:val="20"/>
                    <w:lang w:eastAsia="de-DE"/>
                  </w:rPr>
                </w:pPr>
                <w:r>
                  <w:rPr>
                    <w:rFonts w:ascii="Arial" w:hAnsi="Arial" w:cs="Arial"/>
                    <w:color w:val="808080"/>
                    <w:sz w:val="16"/>
                    <w:szCs w:val="20"/>
                    <w:lang w:eastAsia="de-DE"/>
                  </w:rPr>
                  <w:t>AFG (French Asset management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51815A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F05E2">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1033A271" w:rsidR="00C85C8B" w:rsidRPr="00B16706" w:rsidRDefault="009F05E2"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905836B" w:rsidR="00C85C8B" w:rsidRPr="00B16706" w:rsidRDefault="009F05E2"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5A36FBCA" w14:textId="592F9914" w:rsidR="00A73299" w:rsidRPr="009F05E2" w:rsidRDefault="009F05E2" w:rsidP="009F05E2">
      <w:pPr>
        <w:jc w:val="both"/>
        <w:rPr>
          <w:rFonts w:ascii="Calibri" w:hAnsi="Calibri" w:cs="Calibri"/>
          <w:sz w:val="22"/>
          <w:szCs w:val="22"/>
          <w:lang w:val="en-US" w:eastAsia="en-US"/>
        </w:rPr>
      </w:pPr>
      <w:permStart w:id="273960001" w:edGrp="everyone"/>
      <w:r>
        <w:rPr>
          <w:rFonts w:ascii="Calibri" w:hAnsi="Calibri" w:cs="Calibri"/>
          <w:color w:val="1F497D"/>
          <w:lang w:val="en-US"/>
        </w:rPr>
        <w:t xml:space="preserve">Yes, assessing the underlying principle, our members think that front running should be proscribed in whatever form and that liquidity providers should establish </w:t>
      </w:r>
      <w:proofErr w:type="gramStart"/>
      <w:r>
        <w:rPr>
          <w:rFonts w:ascii="Calibri" w:hAnsi="Calibri" w:cs="Calibri"/>
          <w:color w:val="1F497D"/>
          <w:lang w:val="en-US"/>
        </w:rPr>
        <w:t>( if</w:t>
      </w:r>
      <w:proofErr w:type="gramEnd"/>
      <w:r>
        <w:rPr>
          <w:rFonts w:ascii="Calibri" w:hAnsi="Calibri" w:cs="Calibri"/>
          <w:color w:val="1F497D"/>
          <w:lang w:val="en-US"/>
        </w:rPr>
        <w:t xml:space="preserve"> not already existent as per applicable regulations ) conduct rules to ban those practices and ensure that they have a robust framework in place to guarantee that the pre-hedging will not disadvantage the client nor have a harmful impact on the market prices. </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4680E770" w14:textId="77777777" w:rsidR="009F05E2" w:rsidRDefault="009F05E2" w:rsidP="009F05E2">
      <w:pPr>
        <w:rPr>
          <w:sz w:val="22"/>
          <w:szCs w:val="22"/>
        </w:rPr>
      </w:pPr>
      <w:permStart w:id="37300729" w:edGrp="everyone"/>
      <w:r>
        <w:rPr>
          <w:rFonts w:ascii="Calibri" w:hAnsi="Calibri" w:cs="Calibri"/>
          <w:color w:val="1F4E79" w:themeColor="accent1" w:themeShade="80"/>
        </w:rPr>
        <w:t>No, we cannot think of other market practices which should be encompassed by the definition</w:t>
      </w:r>
      <w:r>
        <w:t xml:space="preserve"> </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14EF5858" w14:textId="0AA21045" w:rsidR="00A73299" w:rsidRPr="009F05E2" w:rsidRDefault="009F05E2" w:rsidP="00A73299">
      <w:pPr>
        <w:rPr>
          <w:rFonts w:ascii="Calibri" w:hAnsi="Calibri" w:cs="Calibri"/>
          <w:color w:val="1F4E79" w:themeColor="accent1" w:themeShade="80"/>
          <w:sz w:val="22"/>
          <w:szCs w:val="22"/>
        </w:rPr>
      </w:pPr>
      <w:permStart w:id="1817013114" w:edGrp="everyone"/>
      <w:r>
        <w:rPr>
          <w:rFonts w:ascii="Calibri" w:hAnsi="Calibri" w:cs="Calibri"/>
          <w:color w:val="1F4E79" w:themeColor="accent1" w:themeShade="80"/>
        </w:rPr>
        <w:t>Yes, hedging occurs post winning the trade whereas pre-hedging occurs when bidding for the trade by the SI and therefore before the execution of the underlying transaction that is being hedged</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0486D005" w14:textId="77777777" w:rsidR="009F05E2" w:rsidRDefault="009F05E2" w:rsidP="009F05E2">
      <w:pPr>
        <w:pStyle w:val="xmsonormal"/>
        <w:jc w:val="both"/>
        <w:rPr>
          <w:color w:val="1F497D"/>
          <w:lang w:val="en-GB"/>
        </w:rPr>
      </w:pPr>
      <w:permStart w:id="810027983" w:edGrp="everyone"/>
      <w:r>
        <w:rPr>
          <w:color w:val="1F497D"/>
          <w:lang w:val="en-GB"/>
        </w:rPr>
        <w:t xml:space="preserve">Whereas our membership does not observe such practice for other markets, a “last look” as described by ESMA in items 14 and 15 is a </w:t>
      </w:r>
      <w:proofErr w:type="gramStart"/>
      <w:r>
        <w:rPr>
          <w:color w:val="1F497D"/>
          <w:lang w:val="en-GB"/>
        </w:rPr>
        <w:t>widely-spread</w:t>
      </w:r>
      <w:proofErr w:type="gramEnd"/>
      <w:r>
        <w:rPr>
          <w:color w:val="1F497D"/>
          <w:lang w:val="en-GB"/>
        </w:rPr>
        <w:t xml:space="preserve"> practice in the FX market and can be legitimate:</w:t>
      </w:r>
    </w:p>
    <w:p w14:paraId="42E70697" w14:textId="77777777" w:rsidR="009F05E2" w:rsidRDefault="009F05E2" w:rsidP="009F05E2">
      <w:pPr>
        <w:pStyle w:val="xmsonormal"/>
        <w:jc w:val="both"/>
        <w:rPr>
          <w:lang w:val="en-US"/>
        </w:rPr>
      </w:pPr>
    </w:p>
    <w:p w14:paraId="33F4A03B" w14:textId="77777777" w:rsidR="009F05E2" w:rsidRDefault="009F05E2" w:rsidP="009F05E2">
      <w:pPr>
        <w:pStyle w:val="xmsonormal"/>
        <w:ind w:left="765" w:hanging="360"/>
        <w:jc w:val="both"/>
        <w:rPr>
          <w:color w:val="1F497D"/>
          <w:lang w:val="en-GB"/>
        </w:rPr>
      </w:pPr>
      <w:r>
        <w:rPr>
          <w:rFonts w:ascii="Symbol" w:hAnsi="Symbol"/>
          <w:color w:val="1F497D"/>
        </w:rPr>
        <w:t>·</w:t>
      </w:r>
      <w:r>
        <w:rPr>
          <w:rFonts w:ascii="Times New Roman" w:hAnsi="Times New Roman" w:cs="Times New Roman"/>
          <w:color w:val="1F497D"/>
          <w:sz w:val="14"/>
          <w:szCs w:val="14"/>
          <w:lang w:val="en-US"/>
        </w:rPr>
        <w:t xml:space="preserve">         </w:t>
      </w:r>
      <w:r>
        <w:rPr>
          <w:color w:val="1F497D"/>
          <w:lang w:val="en-GB"/>
        </w:rPr>
        <w:t>when it is not possible for the liquidity provider to perform credit checks before trading (for example if trading platform doesn’t allow pre-allocation or for voice trading in which case pre-allocation is impractical)</w:t>
      </w:r>
    </w:p>
    <w:p w14:paraId="4AB3B4F3" w14:textId="77777777" w:rsidR="009F05E2" w:rsidRDefault="009F05E2" w:rsidP="009F05E2">
      <w:pPr>
        <w:pStyle w:val="xmsonormal"/>
        <w:ind w:left="765" w:hanging="360"/>
        <w:jc w:val="both"/>
        <w:rPr>
          <w:lang w:val="en-US"/>
        </w:rPr>
      </w:pPr>
    </w:p>
    <w:p w14:paraId="6B31ACFC" w14:textId="77777777" w:rsidR="009F05E2" w:rsidRDefault="009F05E2" w:rsidP="009F05E2">
      <w:pPr>
        <w:pStyle w:val="xmsonormal"/>
        <w:ind w:left="765" w:hanging="360"/>
        <w:jc w:val="both"/>
        <w:rPr>
          <w:lang w:val="en-US"/>
        </w:rPr>
      </w:pPr>
      <w:r>
        <w:rPr>
          <w:rFonts w:ascii="Symbol" w:hAnsi="Symbol"/>
          <w:color w:val="1F497D"/>
        </w:rPr>
        <w:t>·</w:t>
      </w:r>
      <w:r>
        <w:rPr>
          <w:rFonts w:ascii="Times New Roman" w:hAnsi="Times New Roman" w:cs="Times New Roman"/>
          <w:color w:val="1F497D"/>
          <w:sz w:val="14"/>
          <w:szCs w:val="14"/>
          <w:lang w:val="en-US"/>
        </w:rPr>
        <w:t xml:space="preserve">         </w:t>
      </w:r>
      <w:r>
        <w:rPr>
          <w:color w:val="1F497D"/>
          <w:lang w:val="en-GB"/>
        </w:rPr>
        <w:t xml:space="preserve">when there is an unusual communication delay between the trading platform and the parties to the transaction which means the quote is not valid anymore </w:t>
      </w:r>
    </w:p>
    <w:p w14:paraId="6BC63029" w14:textId="77777777" w:rsidR="009F05E2" w:rsidRDefault="009F05E2" w:rsidP="009F05E2">
      <w:pPr>
        <w:pStyle w:val="xmsonormal"/>
        <w:jc w:val="both"/>
        <w:rPr>
          <w:lang w:val="en-US"/>
        </w:rPr>
      </w:pPr>
      <w:r>
        <w:rPr>
          <w:color w:val="1F497D"/>
          <w:lang w:val="en-GB"/>
        </w:rPr>
        <w:t> </w:t>
      </w:r>
    </w:p>
    <w:p w14:paraId="13627DA6" w14:textId="32F7AB6F" w:rsidR="00A73299" w:rsidRPr="009F05E2" w:rsidRDefault="009F05E2" w:rsidP="009F05E2">
      <w:pPr>
        <w:pStyle w:val="xmsonormal"/>
        <w:jc w:val="both"/>
        <w:rPr>
          <w:color w:val="1F497D"/>
          <w:lang w:val="en-GB"/>
        </w:rPr>
      </w:pPr>
      <w:proofErr w:type="gramStart"/>
      <w:r>
        <w:rPr>
          <w:color w:val="1F497D"/>
          <w:lang w:val="en-GB"/>
        </w:rPr>
        <w:t>This being said, one</w:t>
      </w:r>
      <w:proofErr w:type="gramEnd"/>
      <w:r>
        <w:rPr>
          <w:color w:val="1F497D"/>
          <w:lang w:val="en-GB"/>
        </w:rPr>
        <w:t xml:space="preserve"> could think that there is some degree of abuse by some market participants as rejection due to market moves during the “last look” window is unfortunately rarely symmetrical (almost always benefit the market maker).</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3C22B0E4" w14:textId="5B87AB21" w:rsidR="00A73299" w:rsidRPr="009F05E2" w:rsidRDefault="009F05E2" w:rsidP="00A73299">
      <w:pPr>
        <w:rPr>
          <w:rFonts w:ascii="Calibri" w:hAnsi="Calibri" w:cs="Calibri"/>
          <w:color w:val="44546A" w:themeColor="text2"/>
          <w:sz w:val="22"/>
          <w:szCs w:val="22"/>
          <w:lang w:val="en-US" w:eastAsia="en-US"/>
        </w:rPr>
      </w:pPr>
      <w:permStart w:id="1379824319" w:edGrp="everyone"/>
      <w:r>
        <w:rPr>
          <w:rFonts w:ascii="Calibri" w:hAnsi="Calibri" w:cs="Calibri"/>
          <w:color w:val="44546A" w:themeColor="text2"/>
          <w:lang w:val="en-US"/>
        </w:rPr>
        <w:t>Please see answer to question 1</w:t>
      </w:r>
    </w:p>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406E70A3" w14:textId="77777777" w:rsidR="009F05E2" w:rsidRDefault="009F05E2" w:rsidP="009F05E2">
      <w:pPr>
        <w:pStyle w:val="xmsonormal"/>
        <w:rPr>
          <w:lang w:val="en-US"/>
        </w:rPr>
      </w:pPr>
      <w:permStart w:id="554985269" w:edGrp="everyone"/>
      <w:r>
        <w:rPr>
          <w:color w:val="1F4E79"/>
          <w:lang w:val="en-GB"/>
        </w:rPr>
        <w:t xml:space="preserve">Difficult to answer as of course information from RFQ process could be used to draw conclusions </w:t>
      </w:r>
      <w:proofErr w:type="gramStart"/>
      <w:r>
        <w:rPr>
          <w:color w:val="1F4E79"/>
          <w:lang w:val="en-GB"/>
        </w:rPr>
        <w:t>in regards to</w:t>
      </w:r>
      <w:proofErr w:type="gramEnd"/>
      <w:r>
        <w:rPr>
          <w:color w:val="1F4E79"/>
          <w:lang w:val="en-GB"/>
        </w:rPr>
        <w:t xml:space="preserve"> effect on prices but at the same time not all price movements against client transactions can be explained by abusive pre-hedging activity from liquidity providers included in an RFQ. </w:t>
      </w:r>
    </w:p>
    <w:p w14:paraId="22C9F37D" w14:textId="2421E3DC" w:rsidR="00A73299" w:rsidRDefault="00A73299" w:rsidP="00A73299"/>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17F297EE" w14:textId="1EB6A94D" w:rsidR="00A73299" w:rsidRPr="009F05E2" w:rsidRDefault="009F05E2" w:rsidP="00A73299">
      <w:pPr>
        <w:rPr>
          <w:rFonts w:ascii="Calibri" w:hAnsi="Calibri" w:cs="Calibri"/>
          <w:color w:val="44546A" w:themeColor="text2"/>
          <w:sz w:val="22"/>
          <w:szCs w:val="22"/>
          <w:lang w:val="en-US" w:eastAsia="en-US"/>
        </w:rPr>
      </w:pPr>
      <w:permStart w:id="116469412" w:edGrp="everyone"/>
      <w:r>
        <w:rPr>
          <w:rFonts w:ascii="Calibri" w:hAnsi="Calibri" w:cs="Calibri"/>
          <w:color w:val="44546A" w:themeColor="text2"/>
          <w:lang w:val="en-US"/>
        </w:rPr>
        <w:t>Yes.</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46949139" w14:textId="77777777" w:rsidR="009F05E2" w:rsidRDefault="009F05E2" w:rsidP="009F05E2">
      <w:pPr>
        <w:pStyle w:val="xmsonormal"/>
        <w:spacing w:line="276" w:lineRule="auto"/>
        <w:ind w:left="720"/>
        <w:jc w:val="both"/>
        <w:rPr>
          <w:lang w:val="en-US"/>
        </w:rPr>
      </w:pPr>
      <w:permStart w:id="2023978491" w:edGrp="everyone"/>
      <w:r>
        <w:rPr>
          <w:color w:val="1F4E79"/>
          <w:lang w:val="en-GB"/>
        </w:rPr>
        <w:t xml:space="preserve">Members believe that size of the trade versus market available liquidity and overall risk of the trade should be </w:t>
      </w:r>
      <w:proofErr w:type="gramStart"/>
      <w:r>
        <w:rPr>
          <w:color w:val="1F4E79"/>
          <w:lang w:val="en-GB"/>
        </w:rPr>
        <w:t>taken into account</w:t>
      </w:r>
      <w:proofErr w:type="gramEnd"/>
      <w:r>
        <w:rPr>
          <w:color w:val="1F4E79"/>
          <w:lang w:val="en-GB"/>
        </w:rPr>
        <w:t xml:space="preserve">. </w:t>
      </w:r>
    </w:p>
    <w:p w14:paraId="0B89B420" w14:textId="14200439" w:rsidR="00A73299" w:rsidRPr="009F05E2" w:rsidRDefault="009F05E2" w:rsidP="009F05E2">
      <w:pPr>
        <w:pStyle w:val="xmsonormal"/>
        <w:spacing w:line="276" w:lineRule="auto"/>
        <w:ind w:left="720"/>
        <w:jc w:val="both"/>
        <w:rPr>
          <w:lang w:val="en-US"/>
        </w:rPr>
      </w:pPr>
      <w:r>
        <w:rPr>
          <w:color w:val="1F4E79"/>
          <w:lang w:val="en-GB"/>
        </w:rPr>
        <w:t>If a RFQ is done on a size which is big vs the underlying liquidity or if the overall risk transfer of the trade is large, then its execution may have a market moving effect and thus this information is confidential.</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126700CD" w14:textId="117AB853" w:rsidR="00A73299" w:rsidRPr="009F05E2" w:rsidRDefault="009F05E2" w:rsidP="009F05E2">
      <w:pPr>
        <w:pStyle w:val="xmsonormal"/>
        <w:spacing w:line="276" w:lineRule="auto"/>
        <w:ind w:left="502"/>
        <w:jc w:val="both"/>
        <w:rPr>
          <w:lang w:val="en-US"/>
        </w:rPr>
      </w:pPr>
      <w:permStart w:id="1646090865" w:edGrp="everyone"/>
      <w:r>
        <w:rPr>
          <w:color w:val="1F4E79"/>
          <w:lang w:val="en-GB"/>
        </w:rPr>
        <w:t>The GFXC Guidance</w:t>
      </w:r>
      <w:r>
        <w:rPr>
          <w:color w:val="1F497D"/>
          <w:lang w:val="en-GB"/>
        </w:rPr>
        <w:t xml:space="preserve"> is a valid basis for </w:t>
      </w:r>
      <w:proofErr w:type="gramStart"/>
      <w:r>
        <w:rPr>
          <w:color w:val="1F497D"/>
          <w:lang w:val="en-GB"/>
        </w:rPr>
        <w:t xml:space="preserve">considerations </w:t>
      </w:r>
      <w:r>
        <w:rPr>
          <w:color w:val="1F4E79"/>
          <w:lang w:val="en-GB"/>
        </w:rPr>
        <w:t>.</w:t>
      </w:r>
      <w:proofErr w:type="gramEnd"/>
      <w:r>
        <w:rPr>
          <w:color w:val="1F4E79"/>
          <w:lang w:val="en-GB"/>
        </w:rPr>
        <w:t xml:space="preserve"> There are some general principals which should be respected no matter the underlying asset class (such as only principal trading benefitting from pre-hedging possibility or transparency and control requirements). </w:t>
      </w:r>
      <w:proofErr w:type="gramStart"/>
      <w:r>
        <w:rPr>
          <w:color w:val="1F4E79"/>
          <w:lang w:val="en-GB"/>
        </w:rPr>
        <w:t xml:space="preserve">This being </w:t>
      </w:r>
      <w:r>
        <w:rPr>
          <w:color w:val="1F4E79"/>
          <w:lang w:val="en-GB"/>
        </w:rPr>
        <w:lastRenderedPageBreak/>
        <w:t>said due</w:t>
      </w:r>
      <w:proofErr w:type="gramEnd"/>
      <w:r>
        <w:rPr>
          <w:color w:val="1F4E79"/>
          <w:lang w:val="en-GB"/>
        </w:rPr>
        <w:t xml:space="preserve"> to different functioning of markets no one-size fits </w:t>
      </w:r>
      <w:r>
        <w:rPr>
          <w:color w:val="1F497D"/>
          <w:lang w:val="en-GB"/>
        </w:rPr>
        <w:t xml:space="preserve">all approach should be used and </w:t>
      </w:r>
      <w:r>
        <w:rPr>
          <w:color w:val="1F4E79"/>
          <w:lang w:val="en-GB"/>
        </w:rPr>
        <w:t xml:space="preserve">an in-depth analysis of different practices </w:t>
      </w:r>
      <w:r>
        <w:rPr>
          <w:color w:val="1F497D"/>
          <w:lang w:val="en-GB"/>
        </w:rPr>
        <w:t xml:space="preserve">and functioning of RFQ process </w:t>
      </w:r>
      <w:r>
        <w:rPr>
          <w:color w:val="1F4E79"/>
          <w:lang w:val="en-GB"/>
        </w:rPr>
        <w:t xml:space="preserve">should be undertaken. </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21760586" w14:textId="038483B9" w:rsidR="00A73299" w:rsidRPr="009F05E2" w:rsidRDefault="009F05E2" w:rsidP="00A73299">
      <w:pPr>
        <w:rPr>
          <w:rFonts w:ascii="Calibri" w:hAnsi="Calibri" w:cs="Calibri"/>
          <w:color w:val="44546A" w:themeColor="text2"/>
          <w:sz w:val="22"/>
          <w:szCs w:val="22"/>
          <w:lang w:val="en-US" w:eastAsia="en-US"/>
        </w:rPr>
      </w:pPr>
      <w:permStart w:id="104741344" w:edGrp="everyone"/>
      <w:r>
        <w:rPr>
          <w:rFonts w:ascii="Calibri" w:hAnsi="Calibri" w:cs="Calibri"/>
          <w:color w:val="44546A" w:themeColor="text2"/>
          <w:lang w:val="en-US"/>
        </w:rPr>
        <w:t>No answer provided</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0A8BF43C" w14:textId="37A71A86" w:rsidR="00A73299" w:rsidRPr="009F05E2" w:rsidRDefault="009F05E2" w:rsidP="009F05E2">
      <w:pPr>
        <w:pStyle w:val="xmsonormal"/>
        <w:ind w:left="708"/>
        <w:rPr>
          <w:lang w:val="en-US"/>
        </w:rPr>
      </w:pPr>
      <w:permStart w:id="1736514824" w:edGrp="everyone"/>
      <w:r>
        <w:rPr>
          <w:color w:val="1F497D"/>
          <w:lang w:val="en-US"/>
        </w:rPr>
        <w:t xml:space="preserve">No, in that instance pre hedging </w:t>
      </w:r>
      <w:proofErr w:type="gramStart"/>
      <w:r>
        <w:rPr>
          <w:color w:val="1F497D"/>
          <w:lang w:val="en-US"/>
        </w:rPr>
        <w:t>is considered to be</w:t>
      </w:r>
      <w:proofErr w:type="gramEnd"/>
      <w:r>
        <w:rPr>
          <w:color w:val="1F497D"/>
          <w:lang w:val="en-US"/>
        </w:rPr>
        <w:t xml:space="preserve"> front running. Where a liquidity provider cannot reasonably assume that it will win an RFQ it should not be allowed to pre-hedge. </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1A08572B" w14:textId="417ECA6E" w:rsidR="00A73299" w:rsidRPr="009F05E2" w:rsidRDefault="009F05E2" w:rsidP="009F05E2">
      <w:pPr>
        <w:pStyle w:val="xmsonormal"/>
        <w:ind w:left="708"/>
        <w:rPr>
          <w:lang w:val="en-US"/>
        </w:rPr>
      </w:pPr>
      <w:permStart w:id="664279198" w:edGrp="everyone"/>
      <w:r>
        <w:rPr>
          <w:color w:val="1F497D"/>
          <w:lang w:val="en-US"/>
        </w:rPr>
        <w:t xml:space="preserve">Our members can see reason for pre- hedging on an exceptional basis, subject to some degree control that can be exercised </w:t>
      </w:r>
      <w:proofErr w:type="gramStart"/>
      <w:r>
        <w:rPr>
          <w:color w:val="1F497D"/>
          <w:lang w:val="en-US"/>
        </w:rPr>
        <w:t>by</w:t>
      </w:r>
      <w:proofErr w:type="gramEnd"/>
      <w:r>
        <w:rPr>
          <w:color w:val="1F497D"/>
          <w:lang w:val="en-US"/>
        </w:rPr>
        <w:t xml:space="preserve"> and evidence delivered to the client and in such case, no rationale for us to limit instruments being used.</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40E55F39" w14:textId="77777777" w:rsidR="009F05E2" w:rsidRDefault="009F05E2" w:rsidP="009F05E2">
      <w:pPr>
        <w:jc w:val="both"/>
        <w:rPr>
          <w:rFonts w:ascii="Calibri" w:hAnsi="Calibri" w:cs="Calibri"/>
          <w:color w:val="44546A" w:themeColor="text2"/>
          <w:sz w:val="22"/>
          <w:szCs w:val="22"/>
          <w:lang w:val="en-US" w:eastAsia="en-US"/>
        </w:rPr>
      </w:pPr>
      <w:permStart w:id="1472084367" w:edGrp="everyone"/>
      <w:r>
        <w:rPr>
          <w:rFonts w:ascii="Calibri" w:hAnsi="Calibri" w:cs="Calibri"/>
          <w:color w:val="44546A" w:themeColor="text2"/>
          <w:lang w:val="en-US"/>
        </w:rPr>
        <w:t xml:space="preserve">We agree that the pre-hedging should only be used for risk management purposes with the Liquidity provider acting as principal, where there is a </w:t>
      </w:r>
      <w:proofErr w:type="spellStart"/>
      <w:r>
        <w:rPr>
          <w:rFonts w:ascii="Calibri" w:hAnsi="Calibri" w:cs="Calibri"/>
          <w:color w:val="44546A" w:themeColor="text2"/>
          <w:lang w:val="en-US"/>
        </w:rPr>
        <w:t>likehood</w:t>
      </w:r>
      <w:proofErr w:type="spellEnd"/>
      <w:r>
        <w:rPr>
          <w:rFonts w:ascii="Calibri" w:hAnsi="Calibri" w:cs="Calibri"/>
          <w:color w:val="44546A" w:themeColor="text2"/>
          <w:lang w:val="en-US"/>
        </w:rPr>
        <w:t xml:space="preserve"> of the underlying transaction going ahead and when it is in the interests of the client to do so. Liquidity can be a relevant factor but should not be a prescriptive one, relying on a binary liquid/illiquid approach. </w:t>
      </w:r>
    </w:p>
    <w:p w14:paraId="0EA85B50" w14:textId="6F5FF7FC" w:rsidR="00A73299" w:rsidRDefault="00A73299" w:rsidP="00A73299"/>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11959251" w14:textId="77777777" w:rsidR="009F05E2" w:rsidRDefault="009F05E2" w:rsidP="009F05E2">
      <w:pPr>
        <w:jc w:val="both"/>
        <w:rPr>
          <w:rFonts w:ascii="Calibri" w:hAnsi="Calibri" w:cs="Calibri"/>
          <w:color w:val="44546A" w:themeColor="text2"/>
          <w:sz w:val="22"/>
          <w:szCs w:val="22"/>
          <w:lang w:val="en-US" w:eastAsia="en-US"/>
        </w:rPr>
      </w:pPr>
      <w:permStart w:id="1778341178" w:edGrp="everyone"/>
      <w:r>
        <w:rPr>
          <w:rFonts w:ascii="Calibri" w:hAnsi="Calibri" w:cs="Calibri"/>
          <w:color w:val="44546A" w:themeColor="text2"/>
          <w:lang w:val="en-US"/>
        </w:rPr>
        <w:lastRenderedPageBreak/>
        <w:t xml:space="preserve">As per Q12, in such circumstances, buy side clients would not </w:t>
      </w:r>
      <w:proofErr w:type="gramStart"/>
      <w:r>
        <w:rPr>
          <w:rFonts w:ascii="Calibri" w:hAnsi="Calibri" w:cs="Calibri"/>
          <w:color w:val="44546A" w:themeColor="text2"/>
          <w:lang w:val="en-US"/>
        </w:rPr>
        <w:t>chose</w:t>
      </w:r>
      <w:proofErr w:type="gramEnd"/>
      <w:r>
        <w:rPr>
          <w:rFonts w:ascii="Calibri" w:hAnsi="Calibri" w:cs="Calibri"/>
          <w:color w:val="44546A" w:themeColor="text2"/>
          <w:lang w:val="en-US"/>
        </w:rPr>
        <w:t xml:space="preserve"> to go electronic and would adapt their RFQ process to the specificity of the trade being contemplated to preserve confidentiality and leave some room for the counterparty to recycle the risk;</w:t>
      </w:r>
    </w:p>
    <w:p w14:paraId="39517D1B" w14:textId="7A231D9D" w:rsidR="00A73299" w:rsidRDefault="00A73299" w:rsidP="00A73299"/>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18F74691" w14:textId="46988F90" w:rsidR="00A73299" w:rsidRPr="009F05E2" w:rsidRDefault="009F05E2" w:rsidP="009F05E2">
      <w:pPr>
        <w:jc w:val="both"/>
        <w:rPr>
          <w:rFonts w:ascii="Calibri" w:hAnsi="Calibri" w:cs="Calibri"/>
          <w:color w:val="44546A" w:themeColor="text2"/>
          <w:sz w:val="22"/>
          <w:szCs w:val="22"/>
          <w:lang w:val="en-US" w:eastAsia="en-US"/>
        </w:rPr>
      </w:pPr>
      <w:permStart w:id="113129472" w:edGrp="everyone"/>
      <w:proofErr w:type="gramStart"/>
      <w:r>
        <w:rPr>
          <w:rFonts w:ascii="Calibri" w:hAnsi="Calibri" w:cs="Calibri"/>
          <w:color w:val="44546A" w:themeColor="text2"/>
          <w:lang w:val="en-US"/>
        </w:rPr>
        <w:t>Generally</w:t>
      </w:r>
      <w:proofErr w:type="gramEnd"/>
      <w:r>
        <w:rPr>
          <w:rFonts w:ascii="Calibri" w:hAnsi="Calibri" w:cs="Calibri"/>
          <w:color w:val="44546A" w:themeColor="text2"/>
          <w:lang w:val="en-US"/>
        </w:rPr>
        <w:t xml:space="preserve"> we do not see any room for pre-hedging practices where the benefit to the client transaction could not be demonstrated.  </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0D5C4467" w14:textId="77777777" w:rsidR="009F05E2" w:rsidRDefault="009F05E2" w:rsidP="009F05E2">
      <w:pPr>
        <w:jc w:val="both"/>
        <w:rPr>
          <w:rFonts w:ascii="Calibri" w:hAnsi="Calibri" w:cs="Calibri"/>
          <w:color w:val="44546A" w:themeColor="text2"/>
          <w:sz w:val="22"/>
          <w:szCs w:val="22"/>
          <w:lang w:val="en-US" w:eastAsia="en-US"/>
        </w:rPr>
      </w:pPr>
      <w:permStart w:id="934892473" w:edGrp="everyone"/>
      <w:r>
        <w:rPr>
          <w:rFonts w:ascii="Calibri" w:hAnsi="Calibri" w:cs="Calibri"/>
          <w:color w:val="44546A" w:themeColor="text2"/>
          <w:lang w:val="en-US"/>
        </w:rPr>
        <w:t xml:space="preserve">Liquidity providers should make sure that their employees respect code of conducts, get organized to be supervised and being in position to provide evidence to their clients. Such obligations should be systematically integrated in trading agreements and could be provided through formal due diligence processes or attestation arrangements where </w:t>
      </w:r>
      <w:proofErr w:type="gramStart"/>
      <w:r>
        <w:rPr>
          <w:rFonts w:ascii="Calibri" w:hAnsi="Calibri" w:cs="Calibri"/>
          <w:color w:val="44546A" w:themeColor="text2"/>
          <w:lang w:val="en-US"/>
        </w:rPr>
        <w:t>permissible;</w:t>
      </w:r>
      <w:proofErr w:type="gramEnd"/>
      <w:r>
        <w:rPr>
          <w:rFonts w:ascii="Calibri" w:hAnsi="Calibri" w:cs="Calibri"/>
          <w:color w:val="44546A" w:themeColor="text2"/>
          <w:lang w:val="en-US"/>
        </w:rPr>
        <w:t xml:space="preserve">  </w:t>
      </w:r>
    </w:p>
    <w:p w14:paraId="0091FA66" w14:textId="598B760E" w:rsidR="00A73299" w:rsidRDefault="00A73299" w:rsidP="00A73299"/>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4336367C" w14:textId="3D614E6D" w:rsidR="00A73299" w:rsidRPr="009F05E2" w:rsidRDefault="009F05E2" w:rsidP="009F05E2">
      <w:pPr>
        <w:jc w:val="both"/>
        <w:rPr>
          <w:rFonts w:ascii="Calibri" w:hAnsi="Calibri" w:cs="Calibri"/>
          <w:color w:val="44546A" w:themeColor="text2"/>
          <w:sz w:val="22"/>
          <w:szCs w:val="22"/>
          <w:lang w:val="en-US" w:eastAsia="en-US"/>
        </w:rPr>
      </w:pPr>
      <w:permStart w:id="232944764" w:edGrp="everyone"/>
      <w:r>
        <w:rPr>
          <w:rFonts w:ascii="Calibri" w:hAnsi="Calibri" w:cs="Calibri"/>
          <w:color w:val="44546A" w:themeColor="text2"/>
          <w:lang w:val="en-US"/>
        </w:rPr>
        <w:t>Yes, as indicated in our answer to Q8</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187FB79A" w14:textId="207747DC" w:rsidR="00A73299" w:rsidRPr="009F05E2" w:rsidRDefault="009F05E2" w:rsidP="009F05E2">
      <w:pPr>
        <w:jc w:val="both"/>
        <w:rPr>
          <w:rFonts w:ascii="Calibri" w:hAnsi="Calibri" w:cs="Calibri"/>
          <w:color w:val="44546A" w:themeColor="text2"/>
          <w:sz w:val="22"/>
          <w:szCs w:val="22"/>
          <w:lang w:val="en-US" w:eastAsia="en-US"/>
        </w:rPr>
      </w:pPr>
      <w:permStart w:id="1521039362" w:edGrp="everyone"/>
      <w:r>
        <w:rPr>
          <w:rFonts w:ascii="Calibri" w:hAnsi="Calibri" w:cs="Calibri"/>
          <w:color w:val="44546A" w:themeColor="text2"/>
        </w:rPr>
        <w:t>AFGs members</w:t>
      </w:r>
      <w:r>
        <w:rPr>
          <w:rFonts w:ascii="Calibri" w:hAnsi="Calibri" w:cs="Calibri"/>
          <w:color w:val="44546A" w:themeColor="text2"/>
          <w:lang w:val="en-US"/>
        </w:rPr>
        <w:t xml:space="preserve"> submit RFQs as professional clients and cannot comment on retail space. We refer to our answer to Q 12.</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lastRenderedPageBreak/>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096A79BF" w:rsidR="00A73299" w:rsidRPr="009F05E2" w:rsidRDefault="009F05E2" w:rsidP="00A73299">
      <w:pPr>
        <w:rPr>
          <w:rFonts w:ascii="Calibri" w:hAnsi="Calibri" w:cs="Calibri"/>
          <w:color w:val="44546A" w:themeColor="text2"/>
          <w:sz w:val="22"/>
          <w:szCs w:val="22"/>
          <w:lang w:val="fr-FR" w:eastAsia="en-US"/>
        </w:rPr>
      </w:pPr>
      <w:permStart w:id="1295605557" w:edGrp="everyone"/>
      <w:r>
        <w:rPr>
          <w:rFonts w:ascii="Calibri" w:hAnsi="Calibri" w:cs="Calibri"/>
          <w:color w:val="44546A" w:themeColor="text2"/>
          <w:lang w:val="en-US"/>
        </w:rPr>
        <w:t>No answer provided</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B99248F" w14:textId="0787CC89" w:rsidR="00A73299" w:rsidRPr="009F05E2" w:rsidRDefault="009F05E2" w:rsidP="00A73299">
      <w:pPr>
        <w:rPr>
          <w:rFonts w:ascii="Calibri" w:hAnsi="Calibri" w:cs="Calibri"/>
          <w:color w:val="44546A" w:themeColor="text2"/>
          <w:sz w:val="22"/>
          <w:szCs w:val="22"/>
          <w:lang w:val="fr-FR" w:eastAsia="en-US"/>
        </w:rPr>
      </w:pPr>
      <w:permStart w:id="508713136" w:edGrp="everyone"/>
      <w:r>
        <w:rPr>
          <w:rFonts w:ascii="Calibri" w:hAnsi="Calibri" w:cs="Calibri"/>
          <w:color w:val="44546A" w:themeColor="text2"/>
        </w:rPr>
        <w:t>No answer provided</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405A4556" w:rsidR="00A73299" w:rsidRPr="009F05E2" w:rsidRDefault="009F05E2" w:rsidP="00A73299">
      <w:pPr>
        <w:rPr>
          <w:rFonts w:ascii="Calibri" w:hAnsi="Calibri" w:cs="Calibri"/>
          <w:color w:val="44546A" w:themeColor="text2"/>
          <w:sz w:val="22"/>
          <w:szCs w:val="22"/>
          <w:lang w:val="fr-FR" w:eastAsia="en-US"/>
        </w:rPr>
      </w:pPr>
      <w:permStart w:id="220690189" w:edGrp="everyone"/>
      <w:r>
        <w:rPr>
          <w:rFonts w:ascii="Calibri" w:hAnsi="Calibri" w:cs="Calibri"/>
          <w:color w:val="44546A" w:themeColor="text2"/>
        </w:rPr>
        <w:t>NO</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D6F1C80" w14:textId="3F24C854" w:rsidR="00A73299" w:rsidRPr="009F05E2" w:rsidRDefault="009F05E2" w:rsidP="00A73299">
      <w:pPr>
        <w:rPr>
          <w:rFonts w:ascii="Calibri" w:hAnsi="Calibri" w:cs="Calibri"/>
          <w:color w:val="44546A" w:themeColor="text2"/>
          <w:sz w:val="22"/>
          <w:szCs w:val="22"/>
        </w:rPr>
      </w:pPr>
      <w:permStart w:id="1124810317" w:edGrp="everyone"/>
      <w:r>
        <w:rPr>
          <w:rFonts w:ascii="Calibri" w:hAnsi="Calibri" w:cs="Calibri"/>
          <w:color w:val="44546A" w:themeColor="text2"/>
        </w:rPr>
        <w:t>No answer provided</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621201BC" w:rsidR="00A73299" w:rsidRPr="009F05E2" w:rsidRDefault="009F05E2" w:rsidP="00A73299">
      <w:pPr>
        <w:rPr>
          <w:rFonts w:ascii="Calibri" w:hAnsi="Calibri" w:cs="Calibri"/>
          <w:color w:val="44546A" w:themeColor="text2"/>
          <w:sz w:val="22"/>
          <w:szCs w:val="22"/>
          <w:lang w:val="fr-FR" w:eastAsia="en-US"/>
        </w:rPr>
      </w:pPr>
      <w:permStart w:id="333139389" w:edGrp="everyone"/>
      <w:r>
        <w:rPr>
          <w:rFonts w:ascii="Calibri" w:hAnsi="Calibri" w:cs="Calibri"/>
          <w:color w:val="44546A" w:themeColor="text2"/>
          <w:lang w:val="en-US"/>
        </w:rPr>
        <w:t>NO</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1033AC2D" w:rsidR="00A73299" w:rsidRPr="009F05E2" w:rsidRDefault="009F05E2" w:rsidP="00A73299">
      <w:pPr>
        <w:rPr>
          <w:rFonts w:ascii="Calibri" w:hAnsi="Calibri" w:cs="Calibri"/>
          <w:color w:val="44546A" w:themeColor="text2"/>
          <w:sz w:val="22"/>
          <w:szCs w:val="22"/>
          <w:lang w:val="fr-FR" w:eastAsia="en-US"/>
        </w:rPr>
      </w:pPr>
      <w:permStart w:id="638745335" w:edGrp="everyone"/>
      <w:r>
        <w:rPr>
          <w:rFonts w:ascii="Calibri" w:hAnsi="Calibri" w:cs="Calibri"/>
          <w:color w:val="44546A" w:themeColor="text2"/>
          <w:lang w:val="en-US"/>
        </w:rPr>
        <w:t>NO</w:t>
      </w:r>
    </w:p>
    <w:permEnd w:id="638745335"/>
    <w:p w14:paraId="6D5727A1" w14:textId="77777777" w:rsidR="00A73299" w:rsidRDefault="00A73299" w:rsidP="00A73299">
      <w:r>
        <w:lastRenderedPageBreak/>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7D1B" w14:textId="77777777" w:rsidR="00F27F92" w:rsidRDefault="00F27F92" w:rsidP="007E7997">
      <w:r>
        <w:separator/>
      </w:r>
    </w:p>
  </w:endnote>
  <w:endnote w:type="continuationSeparator" w:id="0">
    <w:p w14:paraId="5E5FCCF2" w14:textId="77777777" w:rsidR="00F27F92" w:rsidRDefault="00F27F92" w:rsidP="007E7997">
      <w:r>
        <w:continuationSeparator/>
      </w:r>
    </w:p>
  </w:endnote>
  <w:endnote w:type="continuationNotice" w:id="1">
    <w:p w14:paraId="5038EF38" w14:textId="77777777" w:rsidR="00F27F92" w:rsidRDefault="00F27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861F" w14:textId="77777777" w:rsidR="00F27F92" w:rsidRDefault="00F27F92" w:rsidP="007E7997">
      <w:r>
        <w:separator/>
      </w:r>
    </w:p>
  </w:footnote>
  <w:footnote w:type="continuationSeparator" w:id="0">
    <w:p w14:paraId="0180CBB9" w14:textId="77777777" w:rsidR="00F27F92" w:rsidRDefault="00F27F92" w:rsidP="007E7997">
      <w:r>
        <w:continuationSeparator/>
      </w:r>
    </w:p>
  </w:footnote>
  <w:footnote w:type="continuationNotice" w:id="1">
    <w:p w14:paraId="33CB1401" w14:textId="77777777" w:rsidR="00F27F92" w:rsidRDefault="00F27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5E2"/>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7F92"/>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olicepardfau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F05E2"/>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075">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1079107">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80597813">
      <w:bodyDiv w:val="1"/>
      <w:marLeft w:val="0"/>
      <w:marRight w:val="0"/>
      <w:marTop w:val="0"/>
      <w:marBottom w:val="0"/>
      <w:divBdr>
        <w:top w:val="none" w:sz="0" w:space="0" w:color="auto"/>
        <w:left w:val="none" w:sz="0" w:space="0" w:color="auto"/>
        <w:bottom w:val="none" w:sz="0" w:space="0" w:color="auto"/>
        <w:right w:val="none" w:sz="0" w:space="0" w:color="auto"/>
      </w:divBdr>
    </w:div>
    <w:div w:id="391661405">
      <w:bodyDiv w:val="1"/>
      <w:marLeft w:val="0"/>
      <w:marRight w:val="0"/>
      <w:marTop w:val="0"/>
      <w:marBottom w:val="0"/>
      <w:divBdr>
        <w:top w:val="none" w:sz="0" w:space="0" w:color="auto"/>
        <w:left w:val="none" w:sz="0" w:space="0" w:color="auto"/>
        <w:bottom w:val="none" w:sz="0" w:space="0" w:color="auto"/>
        <w:right w:val="none" w:sz="0" w:space="0" w:color="auto"/>
      </w:divBdr>
    </w:div>
    <w:div w:id="457918645">
      <w:bodyDiv w:val="1"/>
      <w:marLeft w:val="0"/>
      <w:marRight w:val="0"/>
      <w:marTop w:val="0"/>
      <w:marBottom w:val="0"/>
      <w:divBdr>
        <w:top w:val="none" w:sz="0" w:space="0" w:color="auto"/>
        <w:left w:val="none" w:sz="0" w:space="0" w:color="auto"/>
        <w:bottom w:val="none" w:sz="0" w:space="0" w:color="auto"/>
        <w:right w:val="none" w:sz="0" w:space="0" w:color="auto"/>
      </w:divBdr>
    </w:div>
    <w:div w:id="53958643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97373487">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544396">
      <w:bodyDiv w:val="1"/>
      <w:marLeft w:val="0"/>
      <w:marRight w:val="0"/>
      <w:marTop w:val="0"/>
      <w:marBottom w:val="0"/>
      <w:divBdr>
        <w:top w:val="none" w:sz="0" w:space="0" w:color="auto"/>
        <w:left w:val="none" w:sz="0" w:space="0" w:color="auto"/>
        <w:bottom w:val="none" w:sz="0" w:space="0" w:color="auto"/>
        <w:right w:val="none" w:sz="0" w:space="0" w:color="auto"/>
      </w:divBdr>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04449502">
      <w:bodyDiv w:val="1"/>
      <w:marLeft w:val="0"/>
      <w:marRight w:val="0"/>
      <w:marTop w:val="0"/>
      <w:marBottom w:val="0"/>
      <w:divBdr>
        <w:top w:val="none" w:sz="0" w:space="0" w:color="auto"/>
        <w:left w:val="none" w:sz="0" w:space="0" w:color="auto"/>
        <w:bottom w:val="none" w:sz="0" w:space="0" w:color="auto"/>
        <w:right w:val="none" w:sz="0" w:space="0" w:color="auto"/>
      </w:divBdr>
    </w:div>
    <w:div w:id="758525522">
      <w:bodyDiv w:val="1"/>
      <w:marLeft w:val="0"/>
      <w:marRight w:val="0"/>
      <w:marTop w:val="0"/>
      <w:marBottom w:val="0"/>
      <w:divBdr>
        <w:top w:val="none" w:sz="0" w:space="0" w:color="auto"/>
        <w:left w:val="none" w:sz="0" w:space="0" w:color="auto"/>
        <w:bottom w:val="none" w:sz="0" w:space="0" w:color="auto"/>
        <w:right w:val="none" w:sz="0" w:space="0" w:color="auto"/>
      </w:divBdr>
    </w:div>
    <w:div w:id="77856988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10715221">
      <w:bodyDiv w:val="1"/>
      <w:marLeft w:val="0"/>
      <w:marRight w:val="0"/>
      <w:marTop w:val="0"/>
      <w:marBottom w:val="0"/>
      <w:divBdr>
        <w:top w:val="none" w:sz="0" w:space="0" w:color="auto"/>
        <w:left w:val="none" w:sz="0" w:space="0" w:color="auto"/>
        <w:bottom w:val="none" w:sz="0" w:space="0" w:color="auto"/>
        <w:right w:val="none" w:sz="0" w:space="0" w:color="auto"/>
      </w:divBdr>
    </w:div>
    <w:div w:id="1056706878">
      <w:bodyDiv w:val="1"/>
      <w:marLeft w:val="0"/>
      <w:marRight w:val="0"/>
      <w:marTop w:val="0"/>
      <w:marBottom w:val="0"/>
      <w:divBdr>
        <w:top w:val="none" w:sz="0" w:space="0" w:color="auto"/>
        <w:left w:val="none" w:sz="0" w:space="0" w:color="auto"/>
        <w:bottom w:val="none" w:sz="0" w:space="0" w:color="auto"/>
        <w:right w:val="none" w:sz="0" w:space="0" w:color="auto"/>
      </w:divBdr>
    </w:div>
    <w:div w:id="1056853935">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881851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03860722">
      <w:bodyDiv w:val="1"/>
      <w:marLeft w:val="0"/>
      <w:marRight w:val="0"/>
      <w:marTop w:val="0"/>
      <w:marBottom w:val="0"/>
      <w:divBdr>
        <w:top w:val="none" w:sz="0" w:space="0" w:color="auto"/>
        <w:left w:val="none" w:sz="0" w:space="0" w:color="auto"/>
        <w:bottom w:val="none" w:sz="0" w:space="0" w:color="auto"/>
        <w:right w:val="none" w:sz="0" w:space="0" w:color="auto"/>
      </w:divBdr>
    </w:div>
    <w:div w:id="1224170670">
      <w:bodyDiv w:val="1"/>
      <w:marLeft w:val="0"/>
      <w:marRight w:val="0"/>
      <w:marTop w:val="0"/>
      <w:marBottom w:val="0"/>
      <w:divBdr>
        <w:top w:val="none" w:sz="0" w:space="0" w:color="auto"/>
        <w:left w:val="none" w:sz="0" w:space="0" w:color="auto"/>
        <w:bottom w:val="none" w:sz="0" w:space="0" w:color="auto"/>
        <w:right w:val="none" w:sz="0" w:space="0" w:color="auto"/>
      </w:divBdr>
    </w:div>
    <w:div w:id="1227645626">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389914991">
      <w:bodyDiv w:val="1"/>
      <w:marLeft w:val="0"/>
      <w:marRight w:val="0"/>
      <w:marTop w:val="0"/>
      <w:marBottom w:val="0"/>
      <w:divBdr>
        <w:top w:val="none" w:sz="0" w:space="0" w:color="auto"/>
        <w:left w:val="none" w:sz="0" w:space="0" w:color="auto"/>
        <w:bottom w:val="none" w:sz="0" w:space="0" w:color="auto"/>
        <w:right w:val="none" w:sz="0" w:space="0" w:color="auto"/>
      </w:divBdr>
    </w:div>
    <w:div w:id="1469392648">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1085102">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65973466">
      <w:bodyDiv w:val="1"/>
      <w:marLeft w:val="0"/>
      <w:marRight w:val="0"/>
      <w:marTop w:val="0"/>
      <w:marBottom w:val="0"/>
      <w:divBdr>
        <w:top w:val="none" w:sz="0" w:space="0" w:color="auto"/>
        <w:left w:val="none" w:sz="0" w:space="0" w:color="auto"/>
        <w:bottom w:val="none" w:sz="0" w:space="0" w:color="auto"/>
        <w:right w:val="none" w:sz="0" w:space="0" w:color="auto"/>
      </w:divBdr>
    </w:div>
    <w:div w:id="1918247654">
      <w:bodyDiv w:val="1"/>
      <w:marLeft w:val="0"/>
      <w:marRight w:val="0"/>
      <w:marTop w:val="0"/>
      <w:marBottom w:val="0"/>
      <w:divBdr>
        <w:top w:val="none" w:sz="0" w:space="0" w:color="auto"/>
        <w:left w:val="none" w:sz="0" w:space="0" w:color="auto"/>
        <w:bottom w:val="none" w:sz="0" w:space="0" w:color="auto"/>
        <w:right w:val="none" w:sz="0" w:space="0" w:color="auto"/>
      </w:divBdr>
    </w:div>
    <w:div w:id="202343176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10</Pages>
  <Words>2069</Words>
  <Characters>11380</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GALES Hugo</cp:lastModifiedBy>
  <cp:revision>2</cp:revision>
  <cp:lastPrinted>2017-07-24T14:47:00Z</cp:lastPrinted>
  <dcterms:created xsi:type="dcterms:W3CDTF">2022-10-03T10:02:00Z</dcterms:created>
  <dcterms:modified xsi:type="dcterms:W3CDTF">2022-10-03T10:02:00Z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