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02">
      <w:pPr>
        <w:spacing w:after="12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0"/>
          <w:szCs w:val="20"/>
        </w:rPr>
      </w:pPr>
      <w:r w:rsidDel="00000000" w:rsidR="00000000" w:rsidRPr="00000000">
        <w:rPr>
          <w:rtl w:val="0"/>
        </w:rPr>
      </w:r>
    </w:p>
    <w:tbl>
      <w:tblPr>
        <w:tblStyle w:val="Table1"/>
        <w:tblW w:w="10490.0" w:type="dxa"/>
        <w:jc w:val="left"/>
        <w:tblInd w:w="0.0" w:type="dxa"/>
        <w:tblLayout w:type="fixed"/>
        <w:tblLook w:val="0000"/>
      </w:tblPr>
      <w:tblGrid>
        <w:gridCol w:w="10490"/>
        <w:tblGridChange w:id="0">
          <w:tblGrid>
            <w:gridCol w:w="10490"/>
          </w:tblGrid>
        </w:tblGridChange>
      </w:tblGrid>
      <w:tr>
        <w:trPr>
          <w:cantSplit w:val="0"/>
          <w:trHeight w:val="1492" w:hRule="atLeast"/>
          <w:tblHeader w:val="0"/>
        </w:trPr>
        <w:tc>
          <w:tcPr>
            <w:vAlign w:val="bottom"/>
          </w:tcPr>
          <w:p w:rsidR="00000000" w:rsidDel="00000000" w:rsidP="00000000" w:rsidRDefault="00000000" w:rsidRPr="00000000" w14:paraId="00000004">
            <w:pPr>
              <w:pStyle w:val="Title"/>
              <w:spacing w:line="276" w:lineRule="auto"/>
              <w:ind w:right="854"/>
              <w:rPr>
                <w:rFonts w:ascii="Arial" w:cs="Arial" w:eastAsia="Arial" w:hAnsi="Arial"/>
                <w:sz w:val="40"/>
                <w:szCs w:val="40"/>
              </w:rPr>
            </w:pPr>
            <w:r w:rsidDel="00000000" w:rsidR="00000000" w:rsidRPr="00000000">
              <w:rPr>
                <w:rFonts w:ascii="Arial" w:cs="Arial" w:eastAsia="Arial" w:hAnsi="Arial"/>
                <w:sz w:val="40"/>
                <w:szCs w:val="40"/>
                <w:rtl w:val="0"/>
              </w:rPr>
              <w:t xml:space="preserve">Response Form to the Consultation Paper on the amendement of Article 19 of CSDR RTS on Settlement Discipline</w:t>
            </w:r>
          </w:p>
        </w:tc>
      </w:tr>
      <w:tr>
        <w:trPr>
          <w:cantSplit w:val="0"/>
          <w:trHeight w:val="747" w:hRule="atLeast"/>
          <w:tblHeader w:val="0"/>
        </w:trPr>
        <w:tc>
          <w:tcPr>
            <w:tcMar>
              <w:top w:w="142.0" w:type="dxa"/>
            </w:tcMar>
          </w:tcPr>
          <w:p w:rsidR="00000000" w:rsidDel="00000000" w:rsidP="00000000" w:rsidRDefault="00000000" w:rsidRPr="00000000" w14:paraId="00000005">
            <w:pPr>
              <w:pStyle w:val="Heading2"/>
              <w:spacing w:before="0" w:lineRule="auto"/>
              <w:rPr>
                <w:sz w:val="22"/>
                <w:szCs w:val="22"/>
              </w:rPr>
            </w:pPr>
            <w:r w:rsidDel="00000000" w:rsidR="00000000" w:rsidRPr="00000000">
              <w:rPr>
                <w:rtl w:val="0"/>
              </w:rPr>
            </w:r>
          </w:p>
        </w:tc>
      </w:tr>
    </w:tbl>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sectPr>
          <w:headerReference r:id="rId6" w:type="default"/>
          <w:headerReference r:id="rId7" w:type="first"/>
          <w:footerReference r:id="rId8" w:type="default"/>
          <w:footerReference r:id="rId9" w:type="first"/>
          <w:pgSz w:h="16838" w:w="11906" w:orient="portrait"/>
          <w:pgMar w:bottom="1417" w:top="1417" w:left="1417" w:right="1417" w:header="708" w:footer="708"/>
          <w:pgNumType w:start="0"/>
          <w:titlePg w:val="1"/>
        </w:sectPr>
      </w:pPr>
      <w:r w:rsidDel="00000000" w:rsidR="00000000" w:rsidRPr="00000000">
        <w:rPr>
          <w:rtl w:val="0"/>
        </w:rPr>
      </w:r>
    </w:p>
    <w:p w:rsidR="00000000" w:rsidDel="00000000" w:rsidP="00000000" w:rsidRDefault="00000000" w:rsidRPr="00000000" w14:paraId="00000008">
      <w:pPr>
        <w:spacing w:after="25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spacing w:after="25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Responding to this paper </w:t>
      </w:r>
    </w:p>
    <w:p w:rsidR="00000000" w:rsidDel="00000000" w:rsidP="00000000" w:rsidRDefault="00000000" w:rsidRPr="00000000" w14:paraId="0000000A">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ESMA invites comments on all matters in this consultation paper and </w:t>
      </w:r>
      <w:r w:rsidDel="00000000" w:rsidR="00000000" w:rsidRPr="00000000">
        <w:rPr>
          <w:rFonts w:ascii="Arial" w:cs="Arial" w:eastAsia="Arial" w:hAnsi="Arial"/>
          <w:sz w:val="18"/>
          <w:szCs w:val="18"/>
          <w:u w:val="single"/>
          <w:rtl w:val="0"/>
        </w:rPr>
        <w:t xml:space="preserve">in particular on</w:t>
      </w:r>
      <w:r w:rsidDel="00000000" w:rsidR="00000000" w:rsidRPr="00000000">
        <w:rPr>
          <w:rFonts w:ascii="Arial" w:cs="Arial" w:eastAsia="Arial" w:hAnsi="Arial"/>
          <w:sz w:val="18"/>
          <w:szCs w:val="18"/>
          <w:rtl w:val="0"/>
        </w:rPr>
        <w:t xml:space="preserve"> the specific questions. Comments are most helpful if they:</w:t>
      </w:r>
    </w:p>
    <w:p w:rsidR="00000000" w:rsidDel="00000000" w:rsidP="00000000" w:rsidRDefault="00000000" w:rsidRPr="00000000" w14:paraId="0000000B">
      <w:pPr>
        <w:numPr>
          <w:ilvl w:val="0"/>
          <w:numId w:val="2"/>
        </w:numPr>
        <w:spacing w:after="250" w:line="276" w:lineRule="auto"/>
        <w:ind w:left="928" w:hanging="360"/>
        <w:jc w:val="both"/>
        <w:rPr>
          <w:sz w:val="18"/>
          <w:szCs w:val="18"/>
        </w:rPr>
      </w:pPr>
      <w:r w:rsidDel="00000000" w:rsidR="00000000" w:rsidRPr="00000000">
        <w:rPr>
          <w:rFonts w:ascii="Arial" w:cs="Arial" w:eastAsia="Arial" w:hAnsi="Arial"/>
          <w:sz w:val="18"/>
          <w:szCs w:val="18"/>
          <w:rtl w:val="0"/>
        </w:rPr>
        <w:t xml:space="preserve">respond to the question stated;</w:t>
      </w:r>
      <w:r w:rsidDel="00000000" w:rsidR="00000000" w:rsidRPr="00000000">
        <w:rPr>
          <w:rtl w:val="0"/>
        </w:rPr>
      </w:r>
    </w:p>
    <w:p w:rsidR="00000000" w:rsidDel="00000000" w:rsidP="00000000" w:rsidRDefault="00000000" w:rsidRPr="00000000" w14:paraId="0000000C">
      <w:pPr>
        <w:numPr>
          <w:ilvl w:val="0"/>
          <w:numId w:val="2"/>
        </w:numPr>
        <w:spacing w:after="250" w:line="276" w:lineRule="auto"/>
        <w:ind w:left="928" w:hanging="360"/>
        <w:jc w:val="both"/>
        <w:rPr>
          <w:sz w:val="18"/>
          <w:szCs w:val="18"/>
        </w:rPr>
      </w:pPr>
      <w:r w:rsidDel="00000000" w:rsidR="00000000" w:rsidRPr="00000000">
        <w:rPr>
          <w:rFonts w:ascii="Arial" w:cs="Arial" w:eastAsia="Arial" w:hAnsi="Arial"/>
          <w:sz w:val="18"/>
          <w:szCs w:val="18"/>
          <w:rtl w:val="0"/>
        </w:rPr>
        <w:t xml:space="preserve">indicate the specific question to which the comment relates;</w:t>
      </w:r>
      <w:r w:rsidDel="00000000" w:rsidR="00000000" w:rsidRPr="00000000">
        <w:rPr>
          <w:rtl w:val="0"/>
        </w:rPr>
      </w:r>
    </w:p>
    <w:p w:rsidR="00000000" w:rsidDel="00000000" w:rsidP="00000000" w:rsidRDefault="00000000" w:rsidRPr="00000000" w14:paraId="0000000D">
      <w:pPr>
        <w:numPr>
          <w:ilvl w:val="0"/>
          <w:numId w:val="2"/>
        </w:numPr>
        <w:spacing w:after="250" w:line="276" w:lineRule="auto"/>
        <w:ind w:left="928" w:hanging="360"/>
        <w:jc w:val="both"/>
        <w:rPr>
          <w:sz w:val="18"/>
          <w:szCs w:val="18"/>
        </w:rPr>
      </w:pPr>
      <w:r w:rsidDel="00000000" w:rsidR="00000000" w:rsidRPr="00000000">
        <w:rPr>
          <w:rFonts w:ascii="Arial" w:cs="Arial" w:eastAsia="Arial" w:hAnsi="Arial"/>
          <w:sz w:val="18"/>
          <w:szCs w:val="18"/>
          <w:rtl w:val="0"/>
        </w:rPr>
        <w:t xml:space="preserve">contain a clear rationale; and</w:t>
      </w:r>
      <w:r w:rsidDel="00000000" w:rsidR="00000000" w:rsidRPr="00000000">
        <w:rPr>
          <w:rtl w:val="0"/>
        </w:rPr>
      </w:r>
    </w:p>
    <w:p w:rsidR="00000000" w:rsidDel="00000000" w:rsidP="00000000" w:rsidRDefault="00000000" w:rsidRPr="00000000" w14:paraId="0000000E">
      <w:pPr>
        <w:numPr>
          <w:ilvl w:val="0"/>
          <w:numId w:val="2"/>
        </w:numPr>
        <w:spacing w:after="250" w:line="276" w:lineRule="auto"/>
        <w:ind w:left="928" w:hanging="360"/>
        <w:jc w:val="both"/>
        <w:rPr>
          <w:sz w:val="18"/>
          <w:szCs w:val="18"/>
        </w:rPr>
      </w:pPr>
      <w:r w:rsidDel="00000000" w:rsidR="00000000" w:rsidRPr="00000000">
        <w:rPr>
          <w:rFonts w:ascii="Arial" w:cs="Arial" w:eastAsia="Arial" w:hAnsi="Arial"/>
          <w:sz w:val="18"/>
          <w:szCs w:val="18"/>
          <w:rtl w:val="0"/>
        </w:rPr>
        <w:t xml:space="preserve">describe any alternatives ESMA should consider.</w:t>
      </w:r>
      <w:r w:rsidDel="00000000" w:rsidR="00000000" w:rsidRPr="00000000">
        <w:rPr>
          <w:rtl w:val="0"/>
        </w:rPr>
      </w:r>
    </w:p>
    <w:p w:rsidR="00000000" w:rsidDel="00000000" w:rsidP="00000000" w:rsidRDefault="00000000" w:rsidRPr="00000000" w14:paraId="0000000F">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ESMA will consider all comments received by </w:t>
      </w:r>
      <w:r w:rsidDel="00000000" w:rsidR="00000000" w:rsidRPr="00000000">
        <w:rPr>
          <w:rFonts w:ascii="Arial" w:cs="Arial" w:eastAsia="Arial" w:hAnsi="Arial"/>
          <w:b w:val="1"/>
          <w:sz w:val="18"/>
          <w:szCs w:val="18"/>
          <w:rtl w:val="0"/>
        </w:rPr>
        <w:t xml:space="preserve">9 September 2022</w:t>
      </w:r>
      <w:r w:rsidDel="00000000" w:rsidR="00000000" w:rsidRPr="00000000">
        <w:rPr>
          <w:rtl w:val="0"/>
        </w:rPr>
      </w:r>
    </w:p>
    <w:p w:rsidR="00000000" w:rsidDel="00000000" w:rsidP="00000000" w:rsidRDefault="00000000" w:rsidRPr="00000000" w14:paraId="00000010">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Instructions</w:t>
      </w:r>
    </w:p>
    <w:p w:rsidR="00000000" w:rsidDel="00000000" w:rsidP="00000000" w:rsidRDefault="00000000" w:rsidRPr="00000000" w14:paraId="00000011">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order to facilitate analysis of responses to the Consultation Paper, respondents are requested to follow the below steps when preparing and submitting their response: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 w:val="left" w:pos="142"/>
          <w:tab w:val="left" w:pos="284"/>
          <w:tab w:val="left"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Insert your responses to the questions in the Consultation Paper in the present response form.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 w:val="left" w:pos="142"/>
          <w:tab w:val="left" w:pos="284"/>
          <w:tab w:val="left" w:pos="567"/>
        </w:tabs>
        <w:spacing w:after="250" w:before="0" w:line="276" w:lineRule="auto"/>
        <w:ind w:left="720" w:right="0" w:hanging="720"/>
        <w:jc w:val="both"/>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this form and send your responses in Word format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pdf documents will not be considered except for annexes</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 w:val="left" w:pos="142"/>
          <w:tab w:val="left" w:pos="284"/>
          <w:tab w:val="left"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do not remove tags of the type &lt;ESMA_QUESTION _SETD_1&gt;. Your response to each question has to be framed by the two tags corresponding to the question.</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 w:val="left" w:pos="142"/>
          <w:tab w:val="left" w:pos="284"/>
          <w:tab w:val="left"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do not wish to respond to a given question, please do not delete it but simply leave the text “TYPE YOUR TEXT HERE” between the tags.</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 w:val="left" w:pos="142"/>
          <w:tab w:val="left" w:pos="284"/>
          <w:tab w:val="left"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When you have drafted your response, name your response form according to the following convention: ESMA_SETD_nameofrespondent_RESPONSEFORM. For example, for a respondent named ABCD, the response form would be entitled ESMA_SETD_ABCD_RESPONSEFORM.</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0"/>
          <w:tab w:val="left" w:pos="142"/>
          <w:tab w:val="left" w:pos="284"/>
          <w:tab w:val="left"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Upload the form containing your responses,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 Word format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to ESMA’s website (www.esma.europa.eu under the heading “Your input – Open Consultations” -&gt;  Consultation Paper on the clearing and derivative trading obligations in view of the benchmark transition”). </w:t>
      </w:r>
    </w:p>
    <w:p w:rsidR="00000000" w:rsidDel="00000000" w:rsidP="00000000" w:rsidRDefault="00000000" w:rsidRPr="00000000" w14:paraId="00000018">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Publication of responses</w:t>
      </w:r>
    </w:p>
    <w:p w:rsidR="00000000" w:rsidDel="00000000" w:rsidP="00000000" w:rsidRDefault="00000000" w:rsidRPr="00000000" w14:paraId="00000019">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000000" w:rsidDel="00000000" w:rsidP="00000000" w:rsidRDefault="00000000" w:rsidRPr="00000000" w14:paraId="0000001A">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Data protection</w:t>
      </w:r>
    </w:p>
    <w:p w:rsidR="00000000" w:rsidDel="00000000" w:rsidP="00000000" w:rsidRDefault="00000000" w:rsidRPr="00000000" w14:paraId="0000001B">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Information on data protection can be found at </w:t>
      </w:r>
      <w:hyperlink r:id="rId10">
        <w:r w:rsidDel="00000000" w:rsidR="00000000" w:rsidRPr="00000000">
          <w:rPr>
            <w:rFonts w:ascii="Arial" w:cs="Arial" w:eastAsia="Arial" w:hAnsi="Arial"/>
            <w:color w:val="0563c1"/>
            <w:sz w:val="18"/>
            <w:szCs w:val="18"/>
            <w:u w:val="single"/>
            <w:rtl w:val="0"/>
          </w:rPr>
          <w:t xml:space="preserve">www.esma.europa.eu</w:t>
        </w:r>
      </w:hyperlink>
      <w:r w:rsidDel="00000000" w:rsidR="00000000" w:rsidRPr="00000000">
        <w:rPr>
          <w:rFonts w:ascii="Arial" w:cs="Arial" w:eastAsia="Arial" w:hAnsi="Arial"/>
          <w:sz w:val="18"/>
          <w:szCs w:val="18"/>
          <w:rtl w:val="0"/>
        </w:rPr>
        <w:t xml:space="preserve"> under the heading </w:t>
      </w:r>
      <w:hyperlink r:id="rId11">
        <w:r w:rsidDel="00000000" w:rsidR="00000000" w:rsidRPr="00000000">
          <w:rPr>
            <w:rFonts w:ascii="Arial" w:cs="Arial" w:eastAsia="Arial" w:hAnsi="Arial"/>
            <w:color w:val="0563c1"/>
            <w:sz w:val="18"/>
            <w:szCs w:val="18"/>
            <w:u w:val="single"/>
            <w:rtl w:val="0"/>
          </w:rPr>
          <w:t xml:space="preserve">Legal Notice</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C">
      <w:pPr>
        <w:spacing w:after="25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spacing w:after="25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Who should read this paper</w:t>
      </w:r>
      <w:r w:rsidDel="00000000" w:rsidR="00000000" w:rsidRPr="00000000">
        <w:rPr>
          <w:rtl w:val="0"/>
        </w:rPr>
      </w:r>
    </w:p>
    <w:p w:rsidR="00000000" w:rsidDel="00000000" w:rsidP="00000000" w:rsidRDefault="00000000" w:rsidRPr="00000000" w14:paraId="0000001E">
      <w:pPr>
        <w:spacing w:after="120" w:line="276" w:lineRule="auto"/>
        <w:rPr>
          <w:rFonts w:ascii="Arial" w:cs="Arial" w:eastAsia="Arial" w:hAnsi="Arial"/>
          <w:sz w:val="20"/>
          <w:szCs w:val="20"/>
        </w:rPr>
      </w:pPr>
      <w:r w:rsidDel="00000000" w:rsidR="00000000" w:rsidRPr="00000000">
        <w:rPr>
          <w:rFonts w:ascii="Arial" w:cs="Arial" w:eastAsia="Arial" w:hAnsi="Arial"/>
          <w:sz w:val="18"/>
          <w:szCs w:val="18"/>
          <w:rtl w:val="0"/>
        </w:rPr>
        <w:t xml:space="preserve">All interested stakeholders are invited to respond to this consultation paper. In particular, this paper may be specifically of interest to CCPs, CSDs and their clients.</w:t>
      </w:r>
      <w:r w:rsidDel="00000000" w:rsidR="00000000" w:rsidRPr="00000000">
        <w:rPr>
          <w:rtl w:val="0"/>
        </w:rPr>
      </w:r>
    </w:p>
    <w:p w:rsidR="00000000" w:rsidDel="00000000" w:rsidP="00000000" w:rsidRDefault="00000000" w:rsidRPr="00000000" w14:paraId="0000001F">
      <w:pPr>
        <w:pStyle w:val="Heading1"/>
        <w:spacing w:line="276" w:lineRule="auto"/>
        <w:rPr>
          <w:rFonts w:ascii="Arial" w:cs="Arial" w:eastAsia="Arial" w:hAnsi="Arial"/>
          <w:sz w:val="20"/>
          <w:szCs w:val="20"/>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1"/>
        <w:keepLines w:val="1"/>
        <w:spacing w:after="250" w:before="320" w:line="276" w:lineRule="auto"/>
        <w:jc w:val="both"/>
        <w:rPr>
          <w:rFonts w:ascii="Arial" w:cs="Arial" w:eastAsia="Arial" w:hAnsi="Arial"/>
          <w:b w:val="1"/>
        </w:rPr>
      </w:pPr>
      <w:r w:rsidDel="00000000" w:rsidR="00000000" w:rsidRPr="00000000">
        <w:rPr>
          <w:rFonts w:ascii="Arial" w:cs="Arial" w:eastAsia="Arial" w:hAnsi="Arial"/>
          <w:b w:val="1"/>
          <w:rtl w:val="0"/>
        </w:rPr>
        <w:t xml:space="preserve">General information about respondent</w:t>
      </w:r>
    </w:p>
    <w:tbl>
      <w:tblPr>
        <w:tblStyle w:val="Table2"/>
        <w:tblW w:w="95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9"/>
        <w:gridCol w:w="5595"/>
        <w:tblGridChange w:id="0">
          <w:tblGrid>
            <w:gridCol w:w="3929"/>
            <w:gridCol w:w="5595"/>
          </w:tblGrid>
        </w:tblGridChange>
      </w:tblGrid>
      <w:tr>
        <w:trPr>
          <w:cantSplit w:val="0"/>
          <w:tblHeader w:val="0"/>
        </w:trPr>
        <w:tc>
          <w:tcPr>
            <w:shd w:fill="auto" w:val="clear"/>
          </w:tcPr>
          <w:p w:rsidR="00000000" w:rsidDel="00000000" w:rsidP="00000000" w:rsidRDefault="00000000" w:rsidRPr="00000000" w14:paraId="00000022">
            <w:pPr>
              <w:rPr>
                <w:rFonts w:ascii="Arial" w:cs="Arial" w:eastAsia="Arial" w:hAnsi="Arial"/>
                <w:sz w:val="18"/>
                <w:szCs w:val="18"/>
              </w:rPr>
            </w:pPr>
            <w:r w:rsidDel="00000000" w:rsidR="00000000" w:rsidRPr="00000000">
              <w:rPr>
                <w:rFonts w:ascii="Arial" w:cs="Arial" w:eastAsia="Arial" w:hAnsi="Arial"/>
                <w:sz w:val="18"/>
                <w:szCs w:val="18"/>
                <w:rtl w:val="0"/>
              </w:rPr>
              <w:t xml:space="preserve">Name of the company / organisation</w:t>
            </w:r>
          </w:p>
        </w:tc>
        <w:tc>
          <w:tcPr>
            <w:shd w:fill="auto" w:val="clear"/>
          </w:tcPr>
          <w:p w:rsidR="00000000" w:rsidDel="00000000" w:rsidP="00000000" w:rsidRDefault="00000000" w:rsidRPr="00000000" w14:paraId="00000023">
            <w:pPr>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Stephen Hunter</w:t>
            </w:r>
          </w:p>
        </w:tc>
      </w:tr>
      <w:tr>
        <w:trPr>
          <w:cantSplit w:val="0"/>
          <w:tblHeader w:val="0"/>
        </w:trPr>
        <w:tc>
          <w:tcPr>
            <w:shd w:fill="auto" w:val="clear"/>
          </w:tcPr>
          <w:p w:rsidR="00000000" w:rsidDel="00000000" w:rsidP="00000000" w:rsidRDefault="00000000" w:rsidRPr="00000000" w14:paraId="00000024">
            <w:pPr>
              <w:rPr>
                <w:rFonts w:ascii="Arial" w:cs="Arial" w:eastAsia="Arial" w:hAnsi="Arial"/>
                <w:sz w:val="18"/>
                <w:szCs w:val="18"/>
              </w:rPr>
            </w:pPr>
            <w:r w:rsidDel="00000000" w:rsidR="00000000" w:rsidRPr="00000000">
              <w:rPr>
                <w:rFonts w:ascii="Arial" w:cs="Arial" w:eastAsia="Arial" w:hAnsi="Arial"/>
                <w:sz w:val="18"/>
                <w:szCs w:val="18"/>
                <w:rtl w:val="0"/>
              </w:rPr>
              <w:t xml:space="preserve">Activity</w:t>
            </w:r>
          </w:p>
        </w:tc>
        <w:tc>
          <w:tcPr>
            <w:shd w:fill="auto" w:val="clear"/>
          </w:tcPr>
          <w:p w:rsidR="00000000" w:rsidDel="00000000" w:rsidP="00000000" w:rsidRDefault="00000000" w:rsidRPr="00000000" w14:paraId="00000025">
            <w:pPr>
              <w:rPr>
                <w:rFonts w:ascii="Arial" w:cs="Arial" w:eastAsia="Arial" w:hAnsi="Arial"/>
                <w:sz w:val="16"/>
                <w:szCs w:val="16"/>
              </w:rPr>
            </w:pPr>
            <w:r w:rsidDel="00000000" w:rsidR="00000000" w:rsidRPr="00000000">
              <w:rPr>
                <w:rFonts w:ascii="Arial" w:cs="Arial" w:eastAsia="Arial" w:hAnsi="Arial"/>
                <w:sz w:val="16"/>
                <w:szCs w:val="16"/>
                <w:rtl w:val="0"/>
              </w:rPr>
              <w:t xml:space="preserve">Individual</w:t>
            </w:r>
          </w:p>
        </w:tc>
      </w:tr>
      <w:tr>
        <w:trPr>
          <w:cantSplit w:val="0"/>
          <w:tblHeader w:val="0"/>
        </w:trPr>
        <w:tc>
          <w:tcPr>
            <w:shd w:fill="auto" w:val="clear"/>
          </w:tcPr>
          <w:p w:rsidR="00000000" w:rsidDel="00000000" w:rsidP="00000000" w:rsidRDefault="00000000" w:rsidRPr="00000000" w14:paraId="00000026">
            <w:pPr>
              <w:rPr>
                <w:rFonts w:ascii="Arial" w:cs="Arial" w:eastAsia="Arial" w:hAnsi="Arial"/>
                <w:sz w:val="18"/>
                <w:szCs w:val="18"/>
              </w:rPr>
            </w:pPr>
            <w:r w:rsidDel="00000000" w:rsidR="00000000" w:rsidRPr="00000000">
              <w:rPr>
                <w:rFonts w:ascii="Arial" w:cs="Arial" w:eastAsia="Arial" w:hAnsi="Arial"/>
                <w:sz w:val="18"/>
                <w:szCs w:val="18"/>
                <w:rtl w:val="0"/>
              </w:rPr>
              <w:t xml:space="preserve">Are you representing an association?</w:t>
            </w:r>
          </w:p>
        </w:tc>
        <w:tc>
          <w:tcPr>
            <w:shd w:fill="auto" w:val="clear"/>
          </w:tcPr>
          <w:p w:rsidR="00000000" w:rsidDel="00000000" w:rsidP="00000000" w:rsidRDefault="00000000" w:rsidRPr="00000000" w14:paraId="00000027">
            <w:pPr>
              <w:rPr>
                <w:rFonts w:ascii="Arial" w:cs="Arial" w:eastAsia="Arial" w:hAnsi="Arial"/>
                <w:sz w:val="16"/>
                <w:szCs w:val="16"/>
              </w:rPr>
            </w:pPr>
            <w:r w:rsidDel="00000000" w:rsidR="00000000" w:rsidRPr="00000000">
              <w:rPr>
                <w:rFonts w:ascii="Quattrocento Sans" w:cs="Quattrocento Sans" w:eastAsia="Quattrocento Sans" w:hAnsi="Quattrocento Sans"/>
                <w:sz w:val="16"/>
                <w:szCs w:val="16"/>
                <w:rtl w:val="0"/>
              </w:rPr>
              <w:t xml:space="preserv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Country/Region</w:t>
            </w:r>
          </w:p>
        </w:tc>
        <w:tc>
          <w:tcPr>
            <w:shd w:fill="auto" w:val="clear"/>
          </w:tcPr>
          <w:p w:rsidR="00000000" w:rsidDel="00000000" w:rsidP="00000000" w:rsidRDefault="00000000" w:rsidRPr="00000000" w14:paraId="00000029">
            <w:pPr>
              <w:rPr>
                <w:rFonts w:ascii="Arial" w:cs="Arial" w:eastAsia="Arial" w:hAnsi="Arial"/>
                <w:sz w:val="16"/>
                <w:szCs w:val="16"/>
              </w:rPr>
            </w:pPr>
            <w:r w:rsidDel="00000000" w:rsidR="00000000" w:rsidRPr="00000000">
              <w:rPr>
                <w:rFonts w:ascii="Arial" w:cs="Arial" w:eastAsia="Arial" w:hAnsi="Arial"/>
                <w:color w:val="808080"/>
                <w:sz w:val="16"/>
                <w:szCs w:val="16"/>
                <w:rtl w:val="0"/>
              </w:rPr>
              <w:t xml:space="preserve">Ireland</w:t>
            </w:r>
            <w:r w:rsidDel="00000000" w:rsidR="00000000" w:rsidRPr="00000000">
              <w:rPr>
                <w:rtl w:val="0"/>
              </w:rPr>
            </w:r>
          </w:p>
        </w:tc>
      </w:tr>
    </w:tbl>
    <w:p w:rsidR="00000000" w:rsidDel="00000000" w:rsidP="00000000" w:rsidRDefault="00000000" w:rsidRPr="00000000" w14:paraId="0000002A">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spacing w:after="120" w:line="264"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market participants support removing the special process of collection and distribution of penalties by CCPs for cleared transactions? Please provide justifications, if possible supported by quantitative data.</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&lt;ESMA_QUESTION_SETD_1&gt;</w:t>
      </w:r>
    </w:p>
    <w:p w:rsidR="00000000" w:rsidDel="00000000" w:rsidP="00000000" w:rsidRDefault="00000000" w:rsidRPr="00000000" w14:paraId="0000002F">
      <w:pPr>
        <w:rPr/>
      </w:pPr>
      <w:r w:rsidDel="00000000" w:rsidR="00000000" w:rsidRPr="00000000">
        <w:rPr>
          <w:rtl w:val="0"/>
        </w:rPr>
        <w:t xml:space="preserve">We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&lt;ESMA_QUESTION_SETD_1&gt;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market participants support amending Article 19 of the CDR on Settlement Discipline as suggested in Annex IV? Please provide justifications, if possible supported by quantitative data.</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&lt;ESMA_QUESTION_SETD_2&gt;</w:t>
      </w:r>
    </w:p>
    <w:p w:rsidR="00000000" w:rsidDel="00000000" w:rsidP="00000000" w:rsidRDefault="00000000" w:rsidRPr="00000000" w14:paraId="00000035">
      <w:pPr>
        <w:rPr/>
      </w:pPr>
      <w:r w:rsidDel="00000000" w:rsidR="00000000" w:rsidRPr="00000000">
        <w:rPr>
          <w:rtl w:val="0"/>
        </w:rPr>
        <w:t xml:space="preserve">We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&lt;ESMA_QUESTION_SETD_2&gt;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market participants support delaying the application of the envisaged amendment by six months after the publication of the amending RTS in the Official Journal of the EU? If not, what would be appropriate implementation period in your view? Please provide explanations.</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&lt;ESMA_QUESTION_SETD_3&gt;</w:t>
      </w:r>
    </w:p>
    <w:p w:rsidR="00000000" w:rsidDel="00000000" w:rsidP="00000000" w:rsidRDefault="00000000" w:rsidRPr="00000000" w14:paraId="0000003B">
      <w:pPr>
        <w:rPr/>
      </w:pPr>
      <w:r w:rsidDel="00000000" w:rsidR="00000000" w:rsidRPr="00000000">
        <w:rPr>
          <w:rtl w:val="0"/>
        </w:rPr>
        <w:t xml:space="preserve">We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we see no need for more than 30-days post-publication for implementation.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&lt;ESMA_QUESTION_SETD_3&gt;</w:t>
      </w:r>
    </w:p>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sectPr>
      <w:headerReference r:id="rId12" w:type="default"/>
      <w:footerReference r:id="rId13" w:type="default"/>
      <w:type w:val="nextPage"/>
      <w:pgSz w:h="16838" w:w="11906"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attrocento Sans"/>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ab/>
      <w:tab/>
      <w:t xml:space="preserve">11 July 2022 | </w:t>
    </w:r>
    <w:hyperlink r:id="rId1">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ESMA</w:t>
      </w:r>
    </w:hyperlink>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70-450-1185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page">
            <wp:posOffset>366395</wp:posOffset>
          </wp:positionH>
          <wp:positionV relativeFrom="page">
            <wp:posOffset>372745</wp:posOffset>
          </wp:positionV>
          <wp:extent cx="2209800" cy="904875"/>
          <wp:effectExtent b="0" l="0" r="0" t="0"/>
          <wp:wrapNone/>
          <wp:docPr descr="esma_8_V3" id="4" name="image3.png"/>
          <a:graphic>
            <a:graphicData uri="http://schemas.openxmlformats.org/drawingml/2006/picture">
              <pic:pic>
                <pic:nvPicPr>
                  <pic:cNvPr descr="esma_8_V3" id="0" name="image3.png"/>
                  <pic:cNvPicPr preferRelativeResize="0"/>
                </pic:nvPicPr>
                <pic:blipFill>
                  <a:blip r:embed="rId1"/>
                  <a:srcRect b="0" l="0" r="0" t="0"/>
                  <a:stretch>
                    <a:fillRect/>
                  </a:stretch>
                </pic:blipFill>
                <pic:spPr>
                  <a:xfrm>
                    <a:off x="0" y="0"/>
                    <a:ext cx="2209800" cy="90487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align>right</wp:align>
          </wp:positionH>
          <wp:positionV relativeFrom="page">
            <wp:align>bottom</wp:align>
          </wp:positionV>
          <wp:extent cx="7560310" cy="6800850"/>
          <wp:effectExtent b="0" l="0" r="0" t="0"/>
          <wp:wrapNone/>
          <wp:docPr descr="report_db" id="2" name="image1.png"/>
          <a:graphic>
            <a:graphicData uri="http://schemas.openxmlformats.org/drawingml/2006/picture">
              <pic:pic>
                <pic:nvPicPr>
                  <pic:cNvPr descr="report_db" id="0" name="image1.png"/>
                  <pic:cNvPicPr preferRelativeResize="0"/>
                </pic:nvPicPr>
                <pic:blipFill>
                  <a:blip r:embed="rId2"/>
                  <a:srcRect b="0" l="0" r="0" t="0"/>
                  <a:stretch>
                    <a:fillRect/>
                  </a:stretch>
                </pic:blipFill>
                <pic:spPr>
                  <a:xfrm>
                    <a:off x="0" y="0"/>
                    <a:ext cx="7560310" cy="680085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1594061</wp:posOffset>
              </wp:positionH>
              <wp:positionV relativeFrom="page">
                <wp:posOffset>461010</wp:posOffset>
              </wp:positionV>
              <wp:extent cx="0" cy="558165"/>
              <wp:effectExtent b="10795" l="14605" r="13970" t="12065"/>
              <wp:wrapNone/>
              <wp:docPr id="1" name=""/>
              <a:graphic>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page">
                <wp:posOffset>1594061</wp:posOffset>
              </wp:positionH>
              <wp:positionV relativeFrom="page">
                <wp:posOffset>461010</wp:posOffset>
              </wp:positionV>
              <wp:extent cx="28575" cy="581025"/>
              <wp:effectExtent b="0" l="0" r="0" t="0"/>
              <wp:wrapNone/>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8575" cy="5810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Fonts w:ascii="Arial" w:cs="Arial" w:eastAsia="Arial" w:hAnsi="Arial"/>
        <w:b w:val="0"/>
        <w:i w:val="0"/>
        <w:smallCaps w:val="0"/>
        <w:strike w:val="0"/>
        <w:color w:val="2f5496"/>
        <w:sz w:val="20"/>
        <w:szCs w:val="20"/>
        <w:u w:val="none"/>
        <w:shd w:fill="auto" w:val="clear"/>
        <w:vertAlign w:val="baseline"/>
      </w:rPr>
      <w:drawing>
        <wp:anchor allowOverlap="1" behindDoc="0" distB="0" distT="0" distL="114300" distR="114300" hidden="0" layoutInCell="1" locked="0" relativeHeight="0" simplePos="0">
          <wp:simplePos x="0" y="0"/>
          <wp:positionH relativeFrom="page">
            <wp:posOffset>899795</wp:posOffset>
          </wp:positionH>
          <wp:positionV relativeFrom="page">
            <wp:posOffset>448944</wp:posOffset>
          </wp:positionV>
          <wp:extent cx="561975" cy="561975"/>
          <wp:effectExtent b="0" l="0" r="0" t="0"/>
          <wp:wrapNone/>
          <wp:docPr descr="esma_8_V3_no_claim" id="3" name="image2.png"/>
          <a:graphic>
            <a:graphicData uri="http://schemas.openxmlformats.org/drawingml/2006/picture">
              <pic:pic>
                <pic:nvPicPr>
                  <pic:cNvPr descr="esma_8_V3_no_claim" id="0" name="image2.png"/>
                  <pic:cNvPicPr preferRelativeResize="0"/>
                </pic:nvPicPr>
                <pic:blipFill>
                  <a:blip r:embed="rId2"/>
                  <a:srcRect b="0" l="0" r="0" t="0"/>
                  <a:stretch>
                    <a:fillRect/>
                  </a:stretch>
                </pic:blipFill>
                <pic:spPr>
                  <a:xfrm>
                    <a:off x="0" y="0"/>
                    <a:ext cx="561975" cy="561975"/>
                  </a:xfrm>
                  <a:prstGeom prst="rect"/>
                  <a:ln/>
                </pic:spPr>
              </pic:pic>
            </a:graphicData>
          </a:graphic>
        </wp:anchor>
      </w:drawing>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Q%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928"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ind w:left="432" w:hanging="432"/>
    </w:pPr>
    <w:rPr>
      <w:rFonts w:ascii="Arial" w:cs="Arial" w:eastAsia="Arial" w:hAnsi="Arial"/>
      <w:b w:val="1"/>
      <w:sz w:val="32"/>
      <w:szCs w:val="32"/>
    </w:rPr>
  </w:style>
  <w:style w:type="paragraph" w:styleId="Heading2">
    <w:name w:val="heading 2"/>
    <w:basedOn w:val="Normal"/>
    <w:next w:val="Normal"/>
    <w:pPr>
      <w:keepNext w:val="1"/>
      <w:keepLines w:val="1"/>
      <w:spacing w:before="320" w:lineRule="auto"/>
      <w:ind w:left="576" w:hanging="576"/>
    </w:pPr>
    <w:rPr>
      <w:rFonts w:ascii="Arial" w:cs="Arial" w:eastAsia="Arial" w:hAnsi="Arial"/>
      <w:b w:val="1"/>
      <w:sz w:val="28"/>
      <w:szCs w:val="28"/>
    </w:rPr>
  </w:style>
  <w:style w:type="paragraph" w:styleId="Heading3">
    <w:name w:val="heading 3"/>
    <w:basedOn w:val="Normal"/>
    <w:next w:val="Normal"/>
    <w:pPr>
      <w:keepNext w:val="1"/>
      <w:keepLines w:val="1"/>
      <w:spacing w:before="320" w:lineRule="auto"/>
      <w:ind w:left="720" w:hanging="720"/>
    </w:pPr>
    <w:rPr>
      <w:rFonts w:ascii="Arial" w:cs="Arial" w:eastAsia="Arial" w:hAnsi="Arial"/>
    </w:rPr>
  </w:style>
  <w:style w:type="paragraph" w:styleId="Heading4">
    <w:name w:val="heading 4"/>
    <w:basedOn w:val="Normal"/>
    <w:next w:val="Normal"/>
    <w:pPr>
      <w:keepNext w:val="1"/>
      <w:keepLines w:val="1"/>
      <w:spacing w:before="320" w:lineRule="auto"/>
      <w:ind w:left="862" w:hanging="862"/>
    </w:pPr>
    <w:rPr>
      <w:rFonts w:ascii="Arial" w:cs="Arial" w:eastAsia="Arial" w:hAnsi="Arial"/>
    </w:rPr>
  </w:style>
  <w:style w:type="paragraph" w:styleId="Heading5">
    <w:name w:val="heading 5"/>
    <w:basedOn w:val="Normal"/>
    <w:next w:val="Normal"/>
    <w:pPr>
      <w:keepNext w:val="1"/>
      <w:keepLines w:val="1"/>
      <w:spacing w:before="40" w:lineRule="auto"/>
      <w:ind w:left="720" w:hanging="360"/>
    </w:pPr>
    <w:rPr>
      <w:rFonts w:ascii="Arial" w:cs="Arial" w:eastAsia="Arial" w:hAnsi="Arial"/>
    </w:rPr>
  </w:style>
  <w:style w:type="paragraph" w:styleId="Heading6">
    <w:name w:val="heading 6"/>
    <w:basedOn w:val="Normal"/>
    <w:next w:val="Normal"/>
    <w:pPr>
      <w:keepNext w:val="1"/>
      <w:keepLines w:val="1"/>
      <w:spacing w:before="40" w:lineRule="auto"/>
      <w:ind w:left="1152" w:hanging="1152"/>
    </w:pPr>
    <w:rPr>
      <w:rFonts w:ascii="Arial" w:cs="Arial" w:eastAsia="Arial" w:hAnsi="Arial"/>
      <w:i w:val="1"/>
      <w:color w:val="44546a"/>
      <w:sz w:val="21"/>
      <w:szCs w:val="21"/>
    </w:rPr>
  </w:style>
  <w:style w:type="paragraph" w:styleId="Title">
    <w:name w:val="Title"/>
    <w:basedOn w:val="Normal"/>
    <w:next w:val="Normal"/>
    <w:pPr/>
    <w:rPr>
      <w:rFonts w:ascii="Arial" w:cs="Arial" w:eastAsia="Arial" w:hAnsi="Arial"/>
      <w:b w:val="1"/>
      <w:color w:val="2f5496"/>
      <w:sz w:val="56"/>
      <w:szCs w:val="56"/>
    </w:rPr>
  </w:style>
  <w:style w:type="paragraph" w:styleId="Subtitle">
    <w:name w:val="Subtitle"/>
    <w:basedOn w:val="Normal"/>
    <w:next w:val="Normal"/>
    <w:pPr/>
    <w:rPr>
      <w:rFonts w:ascii="Arial" w:cs="Arial" w:eastAsia="Arial" w:hAnsi="Arial"/>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sma.europa.eu/legal-notice" TargetMode="External"/><Relationship Id="rId10" Type="http://schemas.openxmlformats.org/officeDocument/2006/relationships/hyperlink" Target="http://www.esma.europa.eu" TargetMode="Externa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