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49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0490"/>
        <w:tblGridChange w:id="0">
          <w:tblGrid>
            <w:gridCol w:w="10490"/>
          </w:tblGrid>
        </w:tblGridChange>
      </w:tblGrid>
      <w:tr>
        <w:trPr>
          <w:cantSplit w:val="0"/>
          <w:trHeight w:val="1332"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934.0" w:type="dxa"/>
            </w:tcMar>
            <w:vAlign w:val="bottom"/>
          </w:tcPr>
          <w:p w:rsidR="00000000" w:rsidDel="00000000" w:rsidP="00000000" w:rsidRDefault="00000000" w:rsidRPr="00000000" w14:paraId="00000004">
            <w:pPr>
              <w:pStyle w:val="Title"/>
              <w:spacing w:line="276" w:lineRule="auto"/>
              <w:ind w:right="854"/>
              <w:rPr/>
            </w:pPr>
            <w:r w:rsidDel="00000000" w:rsidR="00000000" w:rsidRPr="00000000">
              <w:rPr>
                <w:sz w:val="40"/>
                <w:szCs w:val="40"/>
                <w:shd w:fill="auto" w:val="clear"/>
                <w:rtl w:val="0"/>
              </w:rPr>
              <w:t xml:space="preserve">Response Form to the Consultation Paper on the amendement of Article 19 of CSDR RTS on Settlement Discipline</w:t>
            </w:r>
            <w:r w:rsidDel="00000000" w:rsidR="00000000" w:rsidRPr="00000000">
              <w:rPr>
                <w:rtl w:val="0"/>
              </w:rPr>
            </w:r>
          </w:p>
        </w:tc>
      </w:tr>
      <w:tr>
        <w:trPr>
          <w:cantSplit w:val="0"/>
          <w:trHeight w:val="587" w:hRule="atLeast"/>
          <w:tblHeader w:val="0"/>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interested stakeholders are invited to respond to this consultation paper. In particular, this paper may be specifically of interest to CCPs, CSDs and their clients.</w:t>
      </w:r>
      <w:r w:rsidDel="00000000" w:rsidR="00000000" w:rsidRPr="00000000">
        <w:rPr>
          <w:rtl w:val="0"/>
        </w:rPr>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32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250" w:before="320"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information about respondent</w:t>
      </w:r>
    </w:p>
    <w:tbl>
      <w:tblPr>
        <w:tblStyle w:val="Table2"/>
        <w:tblW w:w="9524.0" w:type="dxa"/>
        <w:jc w:val="left"/>
        <w:tblInd w:w="108.0" w:type="dxa"/>
        <w:tblBorders>
          <w:top w:color="ffffff" w:space="0" w:sz="8" w:val="single"/>
          <w:left w:color="ffffff" w:space="0" w:sz="8" w:val="single"/>
          <w:bottom w:color="ffffff" w:space="0" w:sz="8" w:val="single"/>
          <w:right w:color="ffffff" w:space="0" w:sz="8" w:val="single"/>
          <w:insideH w:color="bd6427" w:space="0" w:sz="8" w:val="single"/>
          <w:insideV w:color="bd6427" w:space="0" w:sz="8" w:val="single"/>
        </w:tblBorders>
        <w:tblLayout w:type="fixed"/>
        <w:tblLook w:val="0000"/>
      </w:tblPr>
      <w:tblGrid>
        <w:gridCol w:w="3929"/>
        <w:gridCol w:w="5595"/>
        <w:tblGridChange w:id="0">
          <w:tblGrid>
            <w:gridCol w:w="3929"/>
            <w:gridCol w:w="5595"/>
          </w:tblGrid>
        </w:tblGridChange>
      </w:tblGrid>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Name of the company / organisation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Steffen Popp</w:t>
            </w: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Activity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Retail Investor</w:t>
            </w: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Are you representing an association?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Country/Region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Germany</w:t>
            </w:r>
            <w:r w:rsidDel="00000000" w:rsidR="00000000" w:rsidRPr="00000000">
              <w:rPr>
                <w:rtl w:val="0"/>
              </w:rPr>
            </w:r>
          </w:p>
        </w:tc>
      </w:tr>
    </w:tbl>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spacing w:after="250" w:before="3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6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market participants support removing the special process of collection and distribution of penalties by CCPs for cleared transactions? Please provide justifications, if possible supported by quantitative data.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&lt;ESMA_QUESTION_SETD_1&gt;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&lt;ESMA_QUESTION_SETD_1&gt;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market participants support amending Article 19 of the CDR on Settlement Discipline as suggested in Annex IV? Please provide justifications, if possible supported by quantitative data.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&lt;ESMA_QUESTION_SETD_2&gt;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&lt;ESMA_QUESTION_SETD_2&gt;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&lt;ESMA_QUESTION_SETD_3&gt;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6" w:type="default"/>
          <w:headerReference r:id="rId7" w:type="first"/>
          <w:footerReference r:id="rId8" w:type="default"/>
          <w:footerReference r:id="rId9" w:type="first"/>
          <w:pgSz w:h="16840" w:w="11900" w:orient="portrait"/>
          <w:pgMar w:bottom="1417" w:top="1417" w:left="1417" w:right="1417" w:header="708" w:footer="708"/>
          <w:pgNumType w:start="0"/>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&lt;ESMA_QUESTION_SETD_3&gt;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Responding to this paper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ESMA invites comments on all matters in this consultation paper and </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in particular 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the specific questions. Comments are most helpful if they:</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928" w:right="0" w:hanging="360"/>
        <w:jc w:val="both"/>
        <w:rPr>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respond to the question stated;</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928" w:right="0" w:hanging="360"/>
        <w:jc w:val="both"/>
        <w:rPr>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indicate the specific question to which the comment relates;</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928" w:right="0" w:hanging="360"/>
        <w:jc w:val="both"/>
        <w:rPr>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contain a clear rationale; and</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50" w:before="0" w:line="276" w:lineRule="auto"/>
        <w:ind w:left="928" w:right="0" w:hanging="360"/>
        <w:jc w:val="both"/>
        <w:rPr>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describe any alternatives ESMA should consider.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ESMA will consider all comments received by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 September 2022</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Instructions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 w:val="left" w:pos="567"/>
        </w:tabs>
        <w:spacing w:after="250" w:before="0" w:line="276" w:lineRule="auto"/>
        <w:ind w:left="720" w:right="0" w:hanging="720"/>
        <w:jc w:val="both"/>
        <w:rPr>
          <w:rFonts w:ascii="Arial" w:cs="Arial" w:eastAsia="Arial" w:hAnsi="Arial"/>
          <w:b w:val="0"/>
          <w:i w:val="0"/>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Insert your responses to the questions in the Consultation Paper in the present response form.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 w:val="left" w:pos="567"/>
        </w:tabs>
        <w:spacing w:after="250" w:before="0" w:line="276" w:lineRule="auto"/>
        <w:ind w:left="720" w:right="0" w:hanging="720"/>
        <w:jc w:val="both"/>
        <w:rPr>
          <w:rFonts w:ascii="Arial" w:cs="Arial" w:eastAsia="Arial" w:hAnsi="Arial"/>
          <w:b w:val="0"/>
          <w:i w:val="0"/>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this form and send your responses in Word format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pdf documents will not be considered except for annexes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 w:val="left" w:pos="567"/>
        </w:tabs>
        <w:spacing w:after="250" w:before="0" w:line="276" w:lineRule="auto"/>
        <w:ind w:left="720" w:right="0" w:hanging="720"/>
        <w:jc w:val="both"/>
        <w:rPr>
          <w:rFonts w:ascii="Arial" w:cs="Arial" w:eastAsia="Arial" w:hAnsi="Arial"/>
          <w:b w:val="0"/>
          <w:i w:val="0"/>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do not remove tags of the type &lt;ESMA_QUESTION _SETD_1&gt;. Your response to each question has to be framed by the two tags corresponding to the question.</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 w:val="left" w:pos="567"/>
        </w:tabs>
        <w:spacing w:after="250" w:before="0" w:line="276" w:lineRule="auto"/>
        <w:ind w:left="720" w:right="0" w:hanging="720"/>
        <w:jc w:val="both"/>
        <w:rPr>
          <w:rFonts w:ascii="Arial" w:cs="Arial" w:eastAsia="Arial" w:hAnsi="Arial"/>
          <w:b w:val="0"/>
          <w:i w:val="0"/>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do not wish to respond to a given question, please do not delete it but simply leave the text “TYPE YOUR TEXT HERE” between the tags.</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 w:val="left" w:pos="567"/>
        </w:tabs>
        <w:spacing w:after="250" w:before="0" w:line="276" w:lineRule="auto"/>
        <w:ind w:left="720" w:right="0" w:hanging="720"/>
        <w:jc w:val="both"/>
        <w:rPr>
          <w:rFonts w:ascii="Arial" w:cs="Arial" w:eastAsia="Arial" w:hAnsi="Arial"/>
          <w:b w:val="0"/>
          <w:i w:val="0"/>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you have drafted your response, name your response form according to the following convention: ESMA_SETD_nameofrespondent_RESPONSEFORM. For example, for a respondent named ABCD, the response form would be entitled ESMA_SETD_ABCD_RESPONSEFORM.</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284"/>
          <w:tab w:val="left" w:pos="567"/>
        </w:tabs>
        <w:spacing w:after="250" w:before="0" w:line="276" w:lineRule="auto"/>
        <w:ind w:left="720" w:right="0" w:hanging="720"/>
        <w:jc w:val="both"/>
        <w:rPr>
          <w:rFonts w:ascii="Arial" w:cs="Arial" w:eastAsia="Arial" w:hAnsi="Arial"/>
          <w:b w:val="0"/>
          <w:i w:val="0"/>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Upload the form containing your responses,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 Word format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 ESMA’s website (www.esma.europa.eu under the heading “Your input – Open Consultations” -&gt;  Consultation Paper on the clearing and derivative trading obligations in view of the benchmark transition”).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Publication of responses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Data protection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Information on data protection can be found at </w:t>
      </w:r>
      <w:hyperlink r:id="rId10">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www.esma.europa.eu</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under the heading </w:t>
      </w:r>
      <w:hyperlink r:id="rId11">
        <w:r w:rsidDel="00000000" w:rsidR="00000000" w:rsidRPr="00000000">
          <w:rPr>
            <w:rFonts w:ascii="Arial" w:cs="Arial" w:eastAsia="Arial" w:hAnsi="Arial"/>
            <w:b w:val="0"/>
            <w:i w:val="0"/>
            <w:smallCaps w:val="0"/>
            <w:strike w:val="0"/>
            <w:color w:val="0563c1"/>
            <w:sz w:val="18"/>
            <w:szCs w:val="18"/>
            <w:u w:val="single"/>
            <w:shd w:fill="auto" w:val="clear"/>
            <w:vertAlign w:val="baseline"/>
            <w:rtl w:val="0"/>
          </w:rPr>
          <w:t xml:space="preserve">Legal Notice</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Who should read this paper</w:t>
      </w:r>
      <w:r w:rsidDel="00000000" w:rsidR="00000000" w:rsidRPr="00000000">
        <w:rPr>
          <w:rtl w:val="0"/>
        </w:rPr>
      </w:r>
    </w:p>
    <w:sectPr>
      <w:headerReference r:id="rId12" w:type="default"/>
      <w:footerReference r:id="rId13" w:type="default"/>
      <w:type w:val="nextPage"/>
      <w:pgSz w:h="16840" w:w="11900" w:orient="portrait"/>
      <w:pgMar w:bottom="1418" w:top="1418" w:left="1418" w:right="1418"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Quattrocento Sans"/>
  <w:font w:name="Helvetica Neu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ab/>
      <w:tab/>
      <w:t xml:space="preserve">11 July 2022 | </w:t>
    </w:r>
    <w:hyperlink r:id="rId1">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ESMA</w:t>
      </w:r>
    </w:hyperlink>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70-450-1185</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3891280</wp:posOffset>
          </wp:positionV>
          <wp:extent cx="7560310" cy="6800850"/>
          <wp:effectExtent b="0" l="0" r="0" t="0"/>
          <wp:wrapNone/>
          <wp:docPr descr="report_db" id="2" name="image1.png"/>
          <a:graphic>
            <a:graphicData uri="http://schemas.openxmlformats.org/drawingml/2006/picture">
              <pic:pic>
                <pic:nvPicPr>
                  <pic:cNvPr descr="report_db" id="0" name="image1.png"/>
                  <pic:cNvPicPr preferRelativeResize="0"/>
                </pic:nvPicPr>
                <pic:blipFill>
                  <a:blip r:embed="rId1"/>
                  <a:srcRect b="0" l="0" r="0" t="0"/>
                  <a:stretch>
                    <a:fillRect/>
                  </a:stretch>
                </pic:blipFill>
                <pic:spPr>
                  <a:xfrm>
                    <a:off x="0" y="0"/>
                    <a:ext cx="7560310" cy="6800850"/>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366395</wp:posOffset>
          </wp:positionH>
          <wp:positionV relativeFrom="page">
            <wp:posOffset>372745</wp:posOffset>
          </wp:positionV>
          <wp:extent cx="2209800" cy="904875"/>
          <wp:effectExtent b="0" l="0" r="0" t="0"/>
          <wp:wrapNone/>
          <wp:docPr descr="esma_8_V3" id="3" name="image3.png"/>
          <a:graphic>
            <a:graphicData uri="http://schemas.openxmlformats.org/drawingml/2006/picture">
              <pic:pic>
                <pic:nvPicPr>
                  <pic:cNvPr descr="esma_8_V3" id="0" name="image3.png"/>
                  <pic:cNvPicPr preferRelativeResize="0"/>
                </pic:nvPicPr>
                <pic:blipFill>
                  <a:blip r:embed="rId2"/>
                  <a:srcRect b="0" l="0" r="0" t="0"/>
                  <a:stretch>
                    <a:fillRect/>
                  </a:stretch>
                </pic:blipFill>
                <pic:spPr>
                  <a:xfrm>
                    <a:off x="0" y="0"/>
                    <a:ext cx="2209800" cy="90487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Pr>
      <w:drawing>
        <wp:anchor allowOverlap="1" behindDoc="1" distB="0" distT="0" distL="0" distR="0" hidden="0" layoutInCell="1" locked="0" relativeHeight="0" simplePos="0">
          <wp:simplePos x="0" y="0"/>
          <wp:positionH relativeFrom="page">
            <wp:posOffset>899794</wp:posOffset>
          </wp:positionH>
          <wp:positionV relativeFrom="page">
            <wp:posOffset>448944</wp:posOffset>
          </wp:positionV>
          <wp:extent cx="561975" cy="561975"/>
          <wp:effectExtent b="0" l="0" r="0" t="0"/>
          <wp:wrapNone/>
          <wp:docPr descr="esma_8_V3_no_claim" id="4" name="image4.png"/>
          <a:graphic>
            <a:graphicData uri="http://schemas.openxmlformats.org/drawingml/2006/picture">
              <pic:pic>
                <pic:nvPicPr>
                  <pic:cNvPr descr="esma_8_V3_no_claim" id="0" name="image4.png"/>
                  <pic:cNvPicPr preferRelativeResize="0"/>
                </pic:nvPicPr>
                <pic:blipFill>
                  <a:blip r:embed="rId1"/>
                  <a:srcRect b="0" l="0" r="0" t="0"/>
                  <a:stretch>
                    <a:fillRect/>
                  </a:stretch>
                </pic:blipFill>
                <pic:spPr>
                  <a:xfrm>
                    <a:off x="0" y="0"/>
                    <a:ext cx="561975" cy="56197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1314978</wp:posOffset>
              </wp:positionH>
              <wp:positionV relativeFrom="page">
                <wp:posOffset>740092</wp:posOffset>
              </wp:positionV>
              <wp:extent cx="1" cy="558166"/>
              <wp:effectExtent b="0" l="0" r="0" t="0"/>
              <wp:wrapNone/>
              <wp:docPr id="1" name=""/>
              <a:graphic>
                <a:graphicData uri="http://schemas.microsoft.com/office/word/2010/wordprocessingShape">
                  <wps:wsp>
                    <wps:cNvSpPr/>
                    <wps:spPr>
                      <a:xfrm flipH="1">
                        <a:off x="0" y="0"/>
                        <a:ext cx="1" cy="558166"/>
                      </a:xfrm>
                      <a:prstGeom prst="line">
                        <a:avLst/>
                      </a:prstGeom>
                      <a:noFill/>
                      <a:ln cap="flat" w="12700">
                        <a:solidFill>
                          <a:srgbClr val="283583"/>
                        </a:solidFill>
                        <a:prstDash val="solid"/>
                        <a:round/>
                      </a:ln>
                      <a:effectLst/>
                    </wps:spPr>
                    <wps:bodyPr/>
                  </wps:wsp>
                </a:graphicData>
              </a:graphic>
            </wp:anchor>
          </w:drawing>
        </mc:Choice>
        <mc:Fallback>
          <w:drawing>
            <wp:anchor allowOverlap="1" behindDoc="1" distB="0" distT="0" distL="0" distR="0" hidden="0" layoutInCell="1" locked="0" relativeHeight="0" simplePos="0">
              <wp:simplePos x="0" y="0"/>
              <wp:positionH relativeFrom="page">
                <wp:posOffset>1314978</wp:posOffset>
              </wp:positionH>
              <wp:positionV relativeFrom="page">
                <wp:posOffset>740092</wp:posOffset>
              </wp:positionV>
              <wp:extent cx="1" cy="558166"/>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 cy="558166"/>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04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28"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
      <w:lvlJc w:val="left"/>
      <w:pPr>
        <w:ind w:left="1080" w:hanging="360"/>
      </w:pPr>
      <w:rPr>
        <w:rFonts w:ascii="Noto Sans Symbols" w:cs="Noto Sans Symbols" w:eastAsia="Noto Sans Symbols" w:hAnsi="Noto Sans Symbols"/>
        <w:b w:val="0"/>
        <w:i w:val="0"/>
        <w:smallCaps w:val="0"/>
        <w:strike w:val="0"/>
        <w:shd w:fill="auto" w:val="clear"/>
        <w:vertAlign w:val="baseline"/>
      </w:rPr>
    </w:lvl>
    <w:lvl w:ilvl="2">
      <w:start w:val="1"/>
      <w:numFmt w:val="bullet"/>
      <w:lvlText w:val="●"/>
      <w:lvlJc w:val="left"/>
      <w:pPr>
        <w:ind w:left="1800" w:hanging="360"/>
      </w:pPr>
      <w:rPr>
        <w:rFonts w:ascii="Noto Sans Symbols" w:cs="Noto Sans Symbols" w:eastAsia="Noto Sans Symbols" w:hAnsi="Noto Sans Symbols"/>
        <w:b w:val="0"/>
        <w:i w:val="0"/>
        <w:smallCaps w:val="0"/>
        <w:strike w:val="0"/>
        <w:shd w:fill="auto" w:val="clear"/>
        <w:vertAlign w:val="baseline"/>
      </w:rPr>
    </w:lvl>
    <w:lvl w:ilvl="3">
      <w:start w:val="1"/>
      <w:numFmt w:val="bullet"/>
      <w:lvlText w:val="●"/>
      <w:lvlJc w:val="left"/>
      <w:pPr>
        <w:ind w:left="2520" w:hanging="360"/>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
      <w:lvlJc w:val="left"/>
      <w:pPr>
        <w:ind w:left="3240" w:hanging="360"/>
      </w:pPr>
      <w:rPr>
        <w:rFonts w:ascii="Noto Sans Symbols" w:cs="Noto Sans Symbols" w:eastAsia="Noto Sans Symbols" w:hAnsi="Noto Sans Symbols"/>
        <w:b w:val="0"/>
        <w:i w:val="0"/>
        <w:smallCaps w:val="0"/>
        <w:strike w:val="0"/>
        <w:shd w:fill="auto" w:val="clear"/>
        <w:vertAlign w:val="baseline"/>
      </w:rPr>
    </w:lvl>
    <w:lvl w:ilvl="5">
      <w:start w:val="1"/>
      <w:numFmt w:val="bullet"/>
      <w:lvlText w:val="●"/>
      <w:lvlJc w:val="left"/>
      <w:pPr>
        <w:ind w:left="3960" w:hanging="360"/>
      </w:pPr>
      <w:rPr>
        <w:rFonts w:ascii="Noto Sans Symbols" w:cs="Noto Sans Symbols" w:eastAsia="Noto Sans Symbols" w:hAnsi="Noto Sans Symbols"/>
        <w:b w:val="0"/>
        <w:i w:val="0"/>
        <w:smallCaps w:val="0"/>
        <w:strike w:val="0"/>
        <w:shd w:fill="auto" w:val="clear"/>
        <w:vertAlign w:val="baseline"/>
      </w:rPr>
    </w:lvl>
    <w:lvl w:ilvl="6">
      <w:start w:val="1"/>
      <w:numFmt w:val="bullet"/>
      <w:lvlText w:val="●"/>
      <w:lvlJc w:val="left"/>
      <w:pPr>
        <w:ind w:left="4680" w:hanging="360"/>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
      <w:lvlJc w:val="left"/>
      <w:pPr>
        <w:ind w:left="5400" w:hanging="360"/>
      </w:pPr>
      <w:rPr>
        <w:rFonts w:ascii="Noto Sans Symbols" w:cs="Noto Sans Symbols" w:eastAsia="Noto Sans Symbols" w:hAnsi="Noto Sans Symbols"/>
        <w:b w:val="0"/>
        <w:i w:val="0"/>
        <w:smallCaps w:val="0"/>
        <w:strike w:val="0"/>
        <w:shd w:fill="auto" w:val="clear"/>
        <w:vertAlign w:val="baseline"/>
      </w:rPr>
    </w:lvl>
    <w:lvl w:ilvl="8">
      <w:start w:val="1"/>
      <w:numFmt w:val="bullet"/>
      <w:lvlText w:val="●"/>
      <w:lvlJc w:val="left"/>
      <w:pPr>
        <w:ind w:left="6120" w:hanging="360"/>
      </w:pPr>
      <w:rPr>
        <w:rFonts w:ascii="Noto Sans Symbols" w:cs="Noto Sans Symbols" w:eastAsia="Noto Sans Symbols" w:hAnsi="Noto Sans Symbols"/>
        <w:b w:val="0"/>
        <w:i w:val="0"/>
        <w:smallCaps w:val="0"/>
        <w:strike w:val="0"/>
        <w:shd w:fill="auto" w:val="clear"/>
        <w:vertAlign w:val="baseline"/>
      </w:rPr>
    </w:lvl>
  </w:abstractNum>
  <w:abstractNum w:abstractNumId="2">
    <w:lvl w:ilvl="0">
      <w:start w:val="1"/>
      <w:numFmt w:val="decimal"/>
      <w:lvlText w:val="%1."/>
      <w:lvlJc w:val="left"/>
      <w:pPr>
        <w:ind w:left="720" w:hanging="720"/>
      </w:pPr>
      <w:rPr>
        <w:smallCaps w:val="0"/>
        <w:strike w:val="0"/>
        <w:shd w:fill="auto" w:val="clear"/>
        <w:vertAlign w:val="baseline"/>
      </w:rPr>
    </w:lvl>
    <w:lvl w:ilvl="1">
      <w:start w:val="1"/>
      <w:numFmt w:val="decimal"/>
      <w:lvlText w:val="%2."/>
      <w:lvlJc w:val="left"/>
      <w:pPr>
        <w:ind w:left="2018" w:hanging="1298"/>
      </w:pPr>
      <w:rPr>
        <w:smallCaps w:val="0"/>
        <w:strike w:val="0"/>
        <w:shd w:fill="auto" w:val="clear"/>
        <w:vertAlign w:val="baseline"/>
      </w:rPr>
    </w:lvl>
    <w:lvl w:ilvl="2">
      <w:start w:val="1"/>
      <w:numFmt w:val="decimal"/>
      <w:lvlText w:val="%3."/>
      <w:lvlJc w:val="left"/>
      <w:pPr>
        <w:ind w:left="2738" w:hanging="1298"/>
      </w:pPr>
      <w:rPr>
        <w:smallCaps w:val="0"/>
        <w:strike w:val="0"/>
        <w:shd w:fill="auto" w:val="clear"/>
        <w:vertAlign w:val="baseline"/>
      </w:rPr>
    </w:lvl>
    <w:lvl w:ilvl="3">
      <w:start w:val="1"/>
      <w:numFmt w:val="decimal"/>
      <w:lvlText w:val="%4."/>
      <w:lvlJc w:val="left"/>
      <w:pPr>
        <w:ind w:left="3458" w:hanging="1298"/>
      </w:pPr>
      <w:rPr>
        <w:smallCaps w:val="0"/>
        <w:strike w:val="0"/>
        <w:shd w:fill="auto" w:val="clear"/>
        <w:vertAlign w:val="baseline"/>
      </w:rPr>
    </w:lvl>
    <w:lvl w:ilvl="4">
      <w:start w:val="1"/>
      <w:numFmt w:val="decimal"/>
      <w:lvlText w:val="%5."/>
      <w:lvlJc w:val="left"/>
      <w:pPr>
        <w:ind w:left="4178" w:hanging="1298"/>
      </w:pPr>
      <w:rPr>
        <w:smallCaps w:val="0"/>
        <w:strike w:val="0"/>
        <w:shd w:fill="auto" w:val="clear"/>
        <w:vertAlign w:val="baseline"/>
      </w:rPr>
    </w:lvl>
    <w:lvl w:ilvl="5">
      <w:start w:val="1"/>
      <w:numFmt w:val="decimal"/>
      <w:lvlText w:val="%6."/>
      <w:lvlJc w:val="left"/>
      <w:pPr>
        <w:ind w:left="4898" w:hanging="1298"/>
      </w:pPr>
      <w:rPr>
        <w:smallCaps w:val="0"/>
        <w:strike w:val="0"/>
        <w:shd w:fill="auto" w:val="clear"/>
        <w:vertAlign w:val="baseline"/>
      </w:rPr>
    </w:lvl>
    <w:lvl w:ilvl="6">
      <w:start w:val="1"/>
      <w:numFmt w:val="decimal"/>
      <w:lvlText w:val="%7."/>
      <w:lvlJc w:val="left"/>
      <w:pPr>
        <w:ind w:left="5618" w:hanging="1298.000000000001"/>
      </w:pPr>
      <w:rPr>
        <w:smallCaps w:val="0"/>
        <w:strike w:val="0"/>
        <w:shd w:fill="auto" w:val="clear"/>
        <w:vertAlign w:val="baseline"/>
      </w:rPr>
    </w:lvl>
    <w:lvl w:ilvl="7">
      <w:start w:val="1"/>
      <w:numFmt w:val="decimal"/>
      <w:lvlText w:val="%8."/>
      <w:lvlJc w:val="left"/>
      <w:pPr>
        <w:ind w:left="6338" w:hanging="1298.000000000001"/>
      </w:pPr>
      <w:rPr>
        <w:smallCaps w:val="0"/>
        <w:strike w:val="0"/>
        <w:shd w:fill="auto" w:val="clear"/>
        <w:vertAlign w:val="baseline"/>
      </w:rPr>
    </w:lvl>
    <w:lvl w:ilvl="8">
      <w:start w:val="1"/>
      <w:numFmt w:val="decimal"/>
      <w:lvlText w:val="%9."/>
      <w:lvlJc w:val="left"/>
      <w:pPr>
        <w:ind w:left="7058" w:hanging="1298"/>
      </w:pPr>
      <w:rPr>
        <w:smallCaps w:val="0"/>
        <w:strike w:val="0"/>
        <w:shd w:fill="auto" w:val="clear"/>
        <w:vertAlign w:val="baseline"/>
      </w:rPr>
    </w:lvl>
  </w:abstractNum>
  <w:abstractNum w:abstractNumId="3">
    <w:lvl w:ilvl="0">
      <w:start w:val="1"/>
      <w:numFmt w:val="decimal"/>
      <w:lvlText w:val="%1."/>
      <w:lvlJc w:val="left"/>
      <w:pPr>
        <w:ind w:left="720" w:hanging="360"/>
      </w:pPr>
      <w:rPr>
        <w:rFonts w:ascii="Arial" w:cs="Arial" w:eastAsia="Arial" w:hAnsi="Arial"/>
        <w:b w:val="1"/>
        <w:i w:val="0"/>
        <w:smallCaps w:val="0"/>
        <w:strike w:val="0"/>
        <w:shd w:fill="auto" w:val="clear"/>
        <w:vertAlign w:val="baseline"/>
      </w:rPr>
    </w:lvl>
    <w:lvl w:ilvl="1">
      <w:start w:val="1"/>
      <w:numFmt w:val="lowerLetter"/>
      <w:lvlText w:val="%2."/>
      <w:lvlJc w:val="left"/>
      <w:pPr>
        <w:ind w:left="1440" w:hanging="360"/>
      </w:pPr>
      <w:rPr>
        <w:rFonts w:ascii="Arial" w:cs="Arial" w:eastAsia="Arial" w:hAnsi="Arial"/>
        <w:b w:val="1"/>
        <w:i w:val="0"/>
        <w:smallCaps w:val="0"/>
        <w:strike w:val="0"/>
        <w:shd w:fill="auto" w:val="clear"/>
        <w:vertAlign w:val="baseline"/>
      </w:rPr>
    </w:lvl>
    <w:lvl w:ilvl="2">
      <w:start w:val="1"/>
      <w:numFmt w:val="lowerRoman"/>
      <w:lvlText w:val="%3."/>
      <w:lvlJc w:val="left"/>
      <w:pPr>
        <w:ind w:left="2160" w:hanging="302"/>
      </w:pPr>
      <w:rPr>
        <w:rFonts w:ascii="Arial" w:cs="Arial" w:eastAsia="Arial" w:hAnsi="Arial"/>
        <w:b w:val="1"/>
        <w:i w:val="0"/>
        <w:smallCaps w:val="0"/>
        <w:strike w:val="0"/>
        <w:shd w:fill="auto" w:val="clear"/>
        <w:vertAlign w:val="baseline"/>
      </w:rPr>
    </w:lvl>
    <w:lvl w:ilvl="3">
      <w:start w:val="1"/>
      <w:numFmt w:val="decimal"/>
      <w:lvlText w:val="%4."/>
      <w:lvlJc w:val="left"/>
      <w:pPr>
        <w:ind w:left="2880" w:hanging="360"/>
      </w:pPr>
      <w:rPr>
        <w:rFonts w:ascii="Arial" w:cs="Arial" w:eastAsia="Arial" w:hAnsi="Arial"/>
        <w:b w:val="1"/>
        <w:i w:val="0"/>
        <w:smallCaps w:val="0"/>
        <w:strike w:val="0"/>
        <w:shd w:fill="auto" w:val="clear"/>
        <w:vertAlign w:val="baseline"/>
      </w:rPr>
    </w:lvl>
    <w:lvl w:ilvl="4">
      <w:start w:val="1"/>
      <w:numFmt w:val="lowerLetter"/>
      <w:lvlText w:val="%5."/>
      <w:lvlJc w:val="left"/>
      <w:pPr>
        <w:ind w:left="3600" w:hanging="360"/>
      </w:pPr>
      <w:rPr>
        <w:rFonts w:ascii="Arial" w:cs="Arial" w:eastAsia="Arial" w:hAnsi="Arial"/>
        <w:b w:val="1"/>
        <w:i w:val="0"/>
        <w:smallCaps w:val="0"/>
        <w:strike w:val="0"/>
        <w:shd w:fill="auto" w:val="clear"/>
        <w:vertAlign w:val="baseline"/>
      </w:rPr>
    </w:lvl>
    <w:lvl w:ilvl="5">
      <w:start w:val="1"/>
      <w:numFmt w:val="lowerRoman"/>
      <w:lvlText w:val="%6."/>
      <w:lvlJc w:val="left"/>
      <w:pPr>
        <w:ind w:left="4320" w:hanging="302"/>
      </w:pPr>
      <w:rPr>
        <w:rFonts w:ascii="Arial" w:cs="Arial" w:eastAsia="Arial" w:hAnsi="Arial"/>
        <w:b w:val="1"/>
        <w:i w:val="0"/>
        <w:smallCaps w:val="0"/>
        <w:strike w:val="0"/>
        <w:shd w:fill="auto" w:val="clear"/>
        <w:vertAlign w:val="baseline"/>
      </w:rPr>
    </w:lvl>
    <w:lvl w:ilvl="6">
      <w:start w:val="1"/>
      <w:numFmt w:val="decimal"/>
      <w:lvlText w:val="%7."/>
      <w:lvlJc w:val="left"/>
      <w:pPr>
        <w:ind w:left="5040" w:hanging="360"/>
      </w:pPr>
      <w:rPr>
        <w:rFonts w:ascii="Arial" w:cs="Arial" w:eastAsia="Arial" w:hAnsi="Arial"/>
        <w:b w:val="1"/>
        <w:i w:val="0"/>
        <w:smallCaps w:val="0"/>
        <w:strike w:val="0"/>
        <w:shd w:fill="auto" w:val="clear"/>
        <w:vertAlign w:val="baseline"/>
      </w:rPr>
    </w:lvl>
    <w:lvl w:ilvl="7">
      <w:start w:val="1"/>
      <w:numFmt w:val="lowerLetter"/>
      <w:lvlText w:val="%8."/>
      <w:lvlJc w:val="left"/>
      <w:pPr>
        <w:ind w:left="5760" w:hanging="360"/>
      </w:pPr>
      <w:rPr>
        <w:rFonts w:ascii="Arial" w:cs="Arial" w:eastAsia="Arial" w:hAnsi="Arial"/>
        <w:b w:val="1"/>
        <w:i w:val="0"/>
        <w:smallCaps w:val="0"/>
        <w:strike w:val="0"/>
        <w:shd w:fill="auto" w:val="clear"/>
        <w:vertAlign w:val="baseline"/>
      </w:rPr>
    </w:lvl>
    <w:lvl w:ilvl="8">
      <w:start w:val="1"/>
      <w:numFmt w:val="lowerRoman"/>
      <w:lvlText w:val="%9."/>
      <w:lvlJc w:val="left"/>
      <w:pPr>
        <w:ind w:left="6480" w:hanging="302"/>
      </w:pPr>
      <w:rPr>
        <w:rFonts w:ascii="Arial" w:cs="Arial" w:eastAsia="Arial" w:hAnsi="Arial"/>
        <w:b w:val="1"/>
        <w:i w:val="0"/>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2f5496"/>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sma.europa.eu/legal-notice" TargetMode="External"/><Relationship Id="rId10" Type="http://schemas.openxmlformats.org/officeDocument/2006/relationships/hyperlink" Target="http://www.esma.europa.eu" TargetMode="External"/><Relationship Id="rId13" Type="http://schemas.openxmlformats.org/officeDocument/2006/relationships/footer" Target="footer3.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