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2DF90A61" w:rsidR="006A5E48" w:rsidRPr="00B16706" w:rsidRDefault="006A5E48" w:rsidP="006A5E48">
                <w:pPr>
                  <w:pStyle w:val="Titel"/>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Pr="00871163">
                  <w:rPr>
                    <w:rFonts w:asciiTheme="minorHAnsi" w:hAnsiTheme="minorHAnsi" w:cstheme="minorHAnsi"/>
                    <w:sz w:val="40"/>
                    <w:szCs w:val="40"/>
                  </w:rPr>
                  <w:t xml:space="preserve">the </w:t>
                </w:r>
                <w:r w:rsidR="00A31F09">
                  <w:rPr>
                    <w:rFonts w:asciiTheme="minorHAnsi" w:hAnsiTheme="minorHAnsi" w:cstheme="minorHAnsi"/>
                    <w:sz w:val="40"/>
                    <w:szCs w:val="40"/>
                  </w:rPr>
                  <w:t>amendement of Article 19 of CSDR RTS on Settlement Discipline</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berschrift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berschrift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enabsatz"/>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06F9B5FF"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A31F09">
            <w:rPr>
              <w:rFonts w:eastAsiaTheme="minorEastAsia" w:cstheme="minorBidi"/>
              <w:sz w:val="18"/>
              <w:szCs w:val="16"/>
              <w:lang w:eastAsia="en-US"/>
            </w:rPr>
            <w:t>SETD</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D9A6BB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_nameofrespondent_RESPONSEFORM. For example, for a respondent named ABCD, the response form would be entitled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4818A6AC" w:rsidR="00AF2EF7" w:rsidRPr="00B16706" w:rsidRDefault="00A31F09" w:rsidP="00A31F09">
      <w:pPr>
        <w:spacing w:after="120" w:line="276" w:lineRule="auto"/>
        <w:rPr>
          <w:rFonts w:asciiTheme="minorHAnsi" w:hAnsiTheme="minorHAnsi" w:cstheme="minorHAnsi"/>
          <w:sz w:val="20"/>
          <w:szCs w:val="20"/>
        </w:rPr>
      </w:pPr>
      <w:r w:rsidRPr="00A31F09">
        <w:rPr>
          <w:rFonts w:ascii="Arial" w:hAnsi="Arial" w:cs="Arial"/>
          <w:sz w:val="18"/>
          <w:szCs w:val="18"/>
          <w:lang w:eastAsia="it-IT"/>
        </w:rPr>
        <w:t>All interested stakeholders are invited to respond to this consultation paper. In particular, this</w:t>
      </w:r>
      <w:r>
        <w:rPr>
          <w:rFonts w:ascii="Arial" w:hAnsi="Arial" w:cs="Arial"/>
          <w:sz w:val="18"/>
          <w:szCs w:val="18"/>
          <w:lang w:eastAsia="it-IT"/>
        </w:rPr>
        <w:t xml:space="preserve"> </w:t>
      </w:r>
      <w:r w:rsidRPr="00A31F09">
        <w:rPr>
          <w:rFonts w:ascii="Arial" w:hAnsi="Arial" w:cs="Arial"/>
          <w:sz w:val="18"/>
          <w:szCs w:val="18"/>
          <w:lang w:eastAsia="it-IT"/>
        </w:rPr>
        <w:t>paper may be specifically of interest to CCPs, CSDs and their clients.</w:t>
      </w:r>
    </w:p>
    <w:p w14:paraId="1F90B8D3" w14:textId="5957C175" w:rsidR="00C85C8B" w:rsidRDefault="00AF2EF7" w:rsidP="008279D3">
      <w:pPr>
        <w:pStyle w:val="berschrift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1A04E4D1" w:rsidR="00C85C8B" w:rsidRPr="00B16706" w:rsidRDefault="005636FE" w:rsidP="00C85C8B">
                <w:pPr>
                  <w:rPr>
                    <w:rFonts w:ascii="Arial" w:hAnsi="Arial" w:cs="Arial"/>
                    <w:color w:val="808080"/>
                    <w:sz w:val="16"/>
                    <w:szCs w:val="20"/>
                    <w:lang w:eastAsia="de-DE"/>
                  </w:rPr>
                </w:pPr>
                <w:r>
                  <w:rPr>
                    <w:rFonts w:ascii="Arial" w:hAnsi="Arial" w:cs="Arial"/>
                    <w:color w:val="808080"/>
                    <w:sz w:val="16"/>
                    <w:szCs w:val="20"/>
                    <w:lang w:eastAsia="de-DE"/>
                  </w:rPr>
                  <w:t>German Banking Industry Committee GBIC</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5714ED45" w:rsidR="00C85C8B" w:rsidRPr="00B16706" w:rsidRDefault="00481234"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636FE">
                  <w:rPr>
                    <w:rFonts w:ascii="Arial" w:hAnsi="Arial" w:cs="Arial"/>
                    <w:sz w:val="16"/>
                    <w:szCs w:val="20"/>
                    <w:lang w:eastAsia="de-DE"/>
                  </w:rPr>
                  <w:t>Banking sector</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669A076F" w:rsidR="00C85C8B" w:rsidRPr="00B16706" w:rsidRDefault="005636FE"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3D54FEF" w:rsidR="00C85C8B" w:rsidRPr="00B16706" w:rsidRDefault="005636FE"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29C1860C" w14:textId="77777777" w:rsidR="00A31F09" w:rsidRDefault="00A31F09" w:rsidP="00A31F09">
      <w:pPr>
        <w:pStyle w:val="Questionstyle"/>
      </w:pPr>
      <w:r w:rsidRPr="00A910C9">
        <w:t>Do market participants support removing the special process of collection and distribution of penalties by CCPs for cleared transactions? Please provide justifications, if possible supported by quantitative data.</w:t>
      </w:r>
    </w:p>
    <w:p w14:paraId="0040515B" w14:textId="77777777" w:rsidR="00A31F09" w:rsidRDefault="00A31F09" w:rsidP="00A31F09">
      <w:r>
        <w:t>&lt;ESMA_QUESTION_SETD_1&gt;</w:t>
      </w:r>
    </w:p>
    <w:p w14:paraId="783E79DD" w14:textId="55057F05" w:rsidR="00F31BAD" w:rsidRDefault="00F31BAD" w:rsidP="00A31F09">
      <w:pPr>
        <w:rPr>
          <w:lang w:val="en-US"/>
        </w:rPr>
      </w:pPr>
      <w:permStart w:id="911553143" w:edGrp="everyone"/>
      <w:r>
        <w:rPr>
          <w:lang w:val="en-US"/>
        </w:rPr>
        <w:t xml:space="preserve">GBIC </w:t>
      </w:r>
      <w:r w:rsidRPr="00E878E7">
        <w:rPr>
          <w:lang w:val="en-US"/>
        </w:rPr>
        <w:t>is the joint committee operated by the central associations of the</w:t>
      </w:r>
      <w:r>
        <w:rPr>
          <w:lang w:val="en-US"/>
        </w:rPr>
        <w:t xml:space="preserve"> </w:t>
      </w:r>
      <w:r w:rsidRPr="00E878E7">
        <w:rPr>
          <w:lang w:val="en-US"/>
        </w:rPr>
        <w:t xml:space="preserve">German banking industry. These associations are the </w:t>
      </w:r>
      <w:proofErr w:type="spellStart"/>
      <w:r w:rsidRPr="00ED1CF7">
        <w:rPr>
          <w:i/>
          <w:lang w:val="en-US"/>
        </w:rPr>
        <w:t>Bundesverband</w:t>
      </w:r>
      <w:proofErr w:type="spellEnd"/>
      <w:r w:rsidRPr="00ED1CF7">
        <w:rPr>
          <w:i/>
          <w:lang w:val="en-US"/>
        </w:rPr>
        <w:t xml:space="preserve"> der </w:t>
      </w:r>
      <w:proofErr w:type="spellStart"/>
      <w:r w:rsidRPr="00ED1CF7">
        <w:rPr>
          <w:i/>
          <w:lang w:val="en-US"/>
        </w:rPr>
        <w:t>Deutschen</w:t>
      </w:r>
      <w:proofErr w:type="spellEnd"/>
      <w:r w:rsidRPr="00ED1CF7">
        <w:rPr>
          <w:i/>
          <w:lang w:val="en-US"/>
        </w:rPr>
        <w:t xml:space="preserve"> </w:t>
      </w:r>
      <w:proofErr w:type="spellStart"/>
      <w:r w:rsidRPr="00ED1CF7">
        <w:rPr>
          <w:i/>
          <w:lang w:val="en-US"/>
        </w:rPr>
        <w:t>Volksbanken</w:t>
      </w:r>
      <w:proofErr w:type="spellEnd"/>
      <w:r w:rsidRPr="00ED1CF7">
        <w:rPr>
          <w:i/>
          <w:lang w:val="en-US"/>
        </w:rPr>
        <w:t xml:space="preserve"> und </w:t>
      </w:r>
      <w:proofErr w:type="spellStart"/>
      <w:r w:rsidRPr="00ED1CF7">
        <w:rPr>
          <w:i/>
          <w:lang w:val="en-US"/>
        </w:rPr>
        <w:t>Raiffeisenbanken</w:t>
      </w:r>
      <w:proofErr w:type="spellEnd"/>
      <w:r w:rsidRPr="00E878E7">
        <w:rPr>
          <w:lang w:val="en-US"/>
        </w:rPr>
        <w:t xml:space="preserve"> (</w:t>
      </w:r>
      <w:r w:rsidRPr="00ED1CF7">
        <w:rPr>
          <w:b/>
          <w:lang w:val="en-US"/>
        </w:rPr>
        <w:t>BVR</w:t>
      </w:r>
      <w:r w:rsidRPr="00E878E7">
        <w:rPr>
          <w:lang w:val="en-US"/>
        </w:rPr>
        <w:t xml:space="preserve">), for the cooperative banks, the </w:t>
      </w:r>
      <w:proofErr w:type="spellStart"/>
      <w:r w:rsidRPr="00ED1CF7">
        <w:rPr>
          <w:i/>
          <w:lang w:val="en-US"/>
        </w:rPr>
        <w:t>Bundesverband</w:t>
      </w:r>
      <w:proofErr w:type="spellEnd"/>
      <w:r w:rsidRPr="00ED1CF7">
        <w:rPr>
          <w:i/>
          <w:lang w:val="en-US"/>
        </w:rPr>
        <w:t xml:space="preserve"> </w:t>
      </w:r>
      <w:proofErr w:type="spellStart"/>
      <w:r w:rsidRPr="00ED1CF7">
        <w:rPr>
          <w:i/>
          <w:lang w:val="en-US"/>
        </w:rPr>
        <w:t>deutscher</w:t>
      </w:r>
      <w:proofErr w:type="spellEnd"/>
      <w:r w:rsidRPr="00ED1CF7">
        <w:rPr>
          <w:i/>
          <w:lang w:val="en-US"/>
        </w:rPr>
        <w:t xml:space="preserve"> </w:t>
      </w:r>
      <w:proofErr w:type="spellStart"/>
      <w:r w:rsidRPr="00ED1CF7">
        <w:rPr>
          <w:i/>
          <w:lang w:val="en-US"/>
        </w:rPr>
        <w:t>Banken</w:t>
      </w:r>
      <w:proofErr w:type="spellEnd"/>
      <w:r w:rsidRPr="00E878E7">
        <w:rPr>
          <w:lang w:val="en-US"/>
        </w:rPr>
        <w:t xml:space="preserve"> (</w:t>
      </w:r>
      <w:r w:rsidRPr="00ED1CF7">
        <w:rPr>
          <w:b/>
          <w:lang w:val="en-US"/>
        </w:rPr>
        <w:t>BdB</w:t>
      </w:r>
      <w:r w:rsidRPr="00E878E7">
        <w:rPr>
          <w:lang w:val="en-US"/>
        </w:rPr>
        <w:t>), for the</w:t>
      </w:r>
      <w:r>
        <w:rPr>
          <w:lang w:val="en-US"/>
        </w:rPr>
        <w:t xml:space="preserve"> </w:t>
      </w:r>
      <w:r w:rsidRPr="00E878E7">
        <w:rPr>
          <w:lang w:val="en-US"/>
        </w:rPr>
        <w:t xml:space="preserve">private commercial banks, the </w:t>
      </w:r>
      <w:proofErr w:type="spellStart"/>
      <w:r w:rsidRPr="00ED1CF7">
        <w:rPr>
          <w:i/>
          <w:lang w:val="en-US"/>
        </w:rPr>
        <w:t>Bundesverband</w:t>
      </w:r>
      <w:proofErr w:type="spellEnd"/>
      <w:r w:rsidRPr="00ED1CF7">
        <w:rPr>
          <w:i/>
          <w:lang w:val="en-US"/>
        </w:rPr>
        <w:t xml:space="preserve"> </w:t>
      </w:r>
      <w:proofErr w:type="spellStart"/>
      <w:r w:rsidRPr="00ED1CF7">
        <w:rPr>
          <w:i/>
          <w:lang w:val="en-US"/>
        </w:rPr>
        <w:t>Öffentlicher</w:t>
      </w:r>
      <w:proofErr w:type="spellEnd"/>
      <w:r w:rsidRPr="00ED1CF7">
        <w:rPr>
          <w:i/>
          <w:lang w:val="en-US"/>
        </w:rPr>
        <w:t xml:space="preserve"> </w:t>
      </w:r>
      <w:proofErr w:type="spellStart"/>
      <w:r w:rsidRPr="00ED1CF7">
        <w:rPr>
          <w:i/>
          <w:lang w:val="en-US"/>
        </w:rPr>
        <w:t>Banken</w:t>
      </w:r>
      <w:proofErr w:type="spellEnd"/>
      <w:r w:rsidRPr="00ED1CF7">
        <w:rPr>
          <w:i/>
          <w:lang w:val="en-US"/>
        </w:rPr>
        <w:t xml:space="preserve"> </w:t>
      </w:r>
      <w:proofErr w:type="spellStart"/>
      <w:r w:rsidRPr="00ED1CF7">
        <w:rPr>
          <w:i/>
          <w:lang w:val="en-US"/>
        </w:rPr>
        <w:t>Deutschlands</w:t>
      </w:r>
      <w:proofErr w:type="spellEnd"/>
      <w:r w:rsidRPr="00E878E7">
        <w:rPr>
          <w:lang w:val="en-US"/>
        </w:rPr>
        <w:t xml:space="preserve"> (</w:t>
      </w:r>
      <w:r w:rsidRPr="00ED1CF7">
        <w:rPr>
          <w:b/>
          <w:lang w:val="en-US"/>
        </w:rPr>
        <w:t>VÖB</w:t>
      </w:r>
      <w:r w:rsidRPr="00E878E7">
        <w:rPr>
          <w:lang w:val="en-US"/>
        </w:rPr>
        <w:t>), for the public</w:t>
      </w:r>
      <w:r>
        <w:rPr>
          <w:lang w:val="en-US"/>
        </w:rPr>
        <w:t xml:space="preserve"> </w:t>
      </w:r>
      <w:r w:rsidRPr="00E878E7">
        <w:rPr>
          <w:lang w:val="en-US"/>
        </w:rPr>
        <w:t>sector</w:t>
      </w:r>
      <w:r>
        <w:rPr>
          <w:lang w:val="en-US"/>
        </w:rPr>
        <w:t xml:space="preserve"> </w:t>
      </w:r>
      <w:r w:rsidRPr="00E878E7">
        <w:rPr>
          <w:lang w:val="en-US"/>
        </w:rPr>
        <w:t xml:space="preserve">banks, the </w:t>
      </w:r>
      <w:proofErr w:type="spellStart"/>
      <w:r w:rsidRPr="00ED1CF7">
        <w:rPr>
          <w:i/>
          <w:lang w:val="en-US"/>
        </w:rPr>
        <w:t>Deutscher</w:t>
      </w:r>
      <w:proofErr w:type="spellEnd"/>
      <w:r w:rsidRPr="00ED1CF7">
        <w:rPr>
          <w:i/>
          <w:lang w:val="en-US"/>
        </w:rPr>
        <w:t xml:space="preserve"> </w:t>
      </w:r>
      <w:proofErr w:type="spellStart"/>
      <w:r w:rsidRPr="00ED1CF7">
        <w:rPr>
          <w:i/>
          <w:lang w:val="en-US"/>
        </w:rPr>
        <w:t>Sparkassen</w:t>
      </w:r>
      <w:proofErr w:type="spellEnd"/>
      <w:r w:rsidRPr="00ED1CF7">
        <w:rPr>
          <w:i/>
          <w:lang w:val="en-US"/>
        </w:rPr>
        <w:t xml:space="preserve">- und </w:t>
      </w:r>
      <w:proofErr w:type="spellStart"/>
      <w:r w:rsidRPr="00ED1CF7">
        <w:rPr>
          <w:i/>
          <w:lang w:val="en-US"/>
        </w:rPr>
        <w:t>Giroverband</w:t>
      </w:r>
      <w:proofErr w:type="spellEnd"/>
      <w:r w:rsidRPr="00E878E7">
        <w:rPr>
          <w:lang w:val="en-US"/>
        </w:rPr>
        <w:t xml:space="preserve"> (</w:t>
      </w:r>
      <w:r w:rsidRPr="00ED1CF7">
        <w:rPr>
          <w:b/>
          <w:lang w:val="en-US"/>
        </w:rPr>
        <w:t>DSGV</w:t>
      </w:r>
      <w:r w:rsidRPr="00E878E7">
        <w:rPr>
          <w:lang w:val="en-US"/>
        </w:rPr>
        <w:t>), for the savings banks finance group</w:t>
      </w:r>
      <w:r>
        <w:rPr>
          <w:lang w:val="en-US"/>
        </w:rPr>
        <w:t xml:space="preserve"> </w:t>
      </w:r>
      <w:r w:rsidRPr="00E878E7">
        <w:rPr>
          <w:lang w:val="en-US"/>
        </w:rPr>
        <w:t xml:space="preserve">and the </w:t>
      </w:r>
      <w:proofErr w:type="spellStart"/>
      <w:r w:rsidRPr="00ED1CF7">
        <w:rPr>
          <w:i/>
          <w:lang w:val="en-US"/>
        </w:rPr>
        <w:t>Verband</w:t>
      </w:r>
      <w:proofErr w:type="spellEnd"/>
      <w:r w:rsidRPr="00ED1CF7">
        <w:rPr>
          <w:i/>
          <w:lang w:val="en-US"/>
        </w:rPr>
        <w:t xml:space="preserve"> </w:t>
      </w:r>
      <w:proofErr w:type="spellStart"/>
      <w:r w:rsidRPr="00ED1CF7">
        <w:rPr>
          <w:i/>
          <w:lang w:val="en-US"/>
        </w:rPr>
        <w:t>deutscher</w:t>
      </w:r>
      <w:proofErr w:type="spellEnd"/>
      <w:r w:rsidRPr="00ED1CF7">
        <w:rPr>
          <w:i/>
          <w:lang w:val="en-US"/>
        </w:rPr>
        <w:t xml:space="preserve"> </w:t>
      </w:r>
      <w:proofErr w:type="spellStart"/>
      <w:r w:rsidRPr="00ED1CF7">
        <w:rPr>
          <w:i/>
          <w:lang w:val="en-US"/>
        </w:rPr>
        <w:t>Pfandbriefbanken</w:t>
      </w:r>
      <w:proofErr w:type="spellEnd"/>
      <w:r w:rsidRPr="00E878E7">
        <w:rPr>
          <w:lang w:val="en-US"/>
        </w:rPr>
        <w:t xml:space="preserve"> (</w:t>
      </w:r>
      <w:proofErr w:type="spellStart"/>
      <w:r w:rsidRPr="00ED1CF7">
        <w:rPr>
          <w:b/>
          <w:lang w:val="en-US"/>
        </w:rPr>
        <w:t>vdp</w:t>
      </w:r>
      <w:proofErr w:type="spellEnd"/>
      <w:r w:rsidRPr="00E878E7">
        <w:rPr>
          <w:lang w:val="en-US"/>
        </w:rPr>
        <w:t xml:space="preserve">), for the </w:t>
      </w:r>
      <w:proofErr w:type="spellStart"/>
      <w:r w:rsidRPr="00E878E7">
        <w:rPr>
          <w:lang w:val="en-US"/>
        </w:rPr>
        <w:t>Pfandbrief</w:t>
      </w:r>
      <w:proofErr w:type="spellEnd"/>
      <w:r w:rsidRPr="00E878E7">
        <w:rPr>
          <w:lang w:val="en-US"/>
        </w:rPr>
        <w:t xml:space="preserve"> banks. Collectively, they represent</w:t>
      </w:r>
      <w:r>
        <w:rPr>
          <w:lang w:val="en-US"/>
        </w:rPr>
        <w:t xml:space="preserve"> </w:t>
      </w:r>
      <w:r w:rsidRPr="00E878E7">
        <w:rPr>
          <w:lang w:val="en-US"/>
        </w:rPr>
        <w:t>approximately 1,700 banks</w:t>
      </w:r>
      <w:r>
        <w:rPr>
          <w:lang w:val="en-US"/>
        </w:rPr>
        <w:t>.</w:t>
      </w:r>
    </w:p>
    <w:p w14:paraId="4EE6D5FB" w14:textId="49F84693" w:rsidR="00F31BAD" w:rsidRDefault="00F31BAD" w:rsidP="00A31F09">
      <w:pPr>
        <w:rPr>
          <w:lang w:val="en-US"/>
        </w:rPr>
      </w:pPr>
    </w:p>
    <w:p w14:paraId="6F17AEA4" w14:textId="6CEE7175" w:rsidR="00F31BAD" w:rsidRDefault="00F31BAD" w:rsidP="00F31BAD">
      <w:pPr>
        <w:rPr>
          <w:lang w:val="en-US"/>
        </w:rPr>
      </w:pPr>
      <w:r>
        <w:rPr>
          <w:lang w:val="en-US"/>
        </w:rPr>
        <w:t xml:space="preserve">We fully concur with </w:t>
      </w:r>
      <w:r w:rsidRPr="00A81D34">
        <w:rPr>
          <w:lang w:val="en-US"/>
        </w:rPr>
        <w:t xml:space="preserve">ESMA’s proposal </w:t>
      </w:r>
      <w:r>
        <w:rPr>
          <w:lang w:val="en-US"/>
        </w:rPr>
        <w:t xml:space="preserve">to remove </w:t>
      </w:r>
      <w:r w:rsidRPr="00A81D34">
        <w:rPr>
          <w:lang w:val="en-US"/>
        </w:rPr>
        <w:t xml:space="preserve">the separate process </w:t>
      </w:r>
      <w:r>
        <w:rPr>
          <w:lang w:val="en-US"/>
        </w:rPr>
        <w:t xml:space="preserve">of collection and distribution of penalties by CCPs for cleared transactions </w:t>
      </w:r>
      <w:r w:rsidRPr="00A81D34">
        <w:rPr>
          <w:lang w:val="en-US"/>
        </w:rPr>
        <w:t xml:space="preserve">established in Article 19 of the Commission Delegated Regulation 2018/1229 </w:t>
      </w:r>
      <w:r>
        <w:rPr>
          <w:lang w:val="en-US"/>
        </w:rPr>
        <w:t xml:space="preserve">(CSDR RTS). </w:t>
      </w:r>
      <w:r w:rsidRPr="00A81D34">
        <w:rPr>
          <w:lang w:val="en-US"/>
        </w:rPr>
        <w:t xml:space="preserve">CSDs </w:t>
      </w:r>
      <w:r>
        <w:rPr>
          <w:lang w:val="en-US"/>
        </w:rPr>
        <w:t xml:space="preserve">should </w:t>
      </w:r>
      <w:r w:rsidRPr="00A81D34">
        <w:rPr>
          <w:lang w:val="en-US"/>
        </w:rPr>
        <w:t xml:space="preserve">run the entire process of collection and distribution of penalties according to Article 16, 17 and 18 of the </w:t>
      </w:r>
      <w:r>
        <w:rPr>
          <w:lang w:val="en-US"/>
        </w:rPr>
        <w:t>CSDR RTS, instead</w:t>
      </w:r>
      <w:r w:rsidRPr="00A81D34">
        <w:rPr>
          <w:lang w:val="en-US"/>
        </w:rPr>
        <w:t>.</w:t>
      </w:r>
    </w:p>
    <w:p w14:paraId="12838A78" w14:textId="77777777" w:rsidR="007D1713" w:rsidRDefault="007D1713" w:rsidP="00F31BAD">
      <w:pPr>
        <w:rPr>
          <w:lang w:val="en-US"/>
        </w:rPr>
      </w:pPr>
    </w:p>
    <w:p w14:paraId="3FDDD321" w14:textId="293FDE94" w:rsidR="00870611" w:rsidRDefault="00F31BAD" w:rsidP="00F31BAD">
      <w:pPr>
        <w:rPr>
          <w:lang w:val="en-US"/>
        </w:rPr>
      </w:pPr>
      <w:r w:rsidRPr="00B16A5E">
        <w:rPr>
          <w:lang w:val="en-US"/>
        </w:rPr>
        <w:t xml:space="preserve">In our opinion, </w:t>
      </w:r>
      <w:r>
        <w:rPr>
          <w:lang w:val="en-US"/>
        </w:rPr>
        <w:t xml:space="preserve">one single </w:t>
      </w:r>
      <w:r w:rsidR="00870611">
        <w:rPr>
          <w:lang w:val="en-US"/>
        </w:rPr>
        <w:t>party responsible for</w:t>
      </w:r>
      <w:r>
        <w:rPr>
          <w:lang w:val="en-US"/>
        </w:rPr>
        <w:t xml:space="preserve"> </w:t>
      </w:r>
      <w:r w:rsidR="00870611">
        <w:rPr>
          <w:lang w:val="en-US"/>
        </w:rPr>
        <w:t xml:space="preserve">the </w:t>
      </w:r>
      <w:r w:rsidRPr="00A81D34">
        <w:rPr>
          <w:lang w:val="en-US"/>
        </w:rPr>
        <w:t xml:space="preserve">collection and distribution of penalties </w:t>
      </w:r>
      <w:r>
        <w:rPr>
          <w:lang w:val="en-US"/>
        </w:rPr>
        <w:t xml:space="preserve">for both CCP cleared and non-CCP cleared transactions </w:t>
      </w:r>
      <w:r w:rsidRPr="00B16A5E">
        <w:rPr>
          <w:lang w:val="en-US"/>
        </w:rPr>
        <w:t>will lead to a more efficient and transparent process</w:t>
      </w:r>
      <w:r>
        <w:rPr>
          <w:lang w:val="en-US"/>
        </w:rPr>
        <w:t xml:space="preserve"> which will, thus, </w:t>
      </w:r>
      <w:r w:rsidRPr="00B16A5E">
        <w:rPr>
          <w:lang w:val="en-US"/>
        </w:rPr>
        <w:t>become significantly leaner.</w:t>
      </w:r>
      <w:r>
        <w:rPr>
          <w:lang w:val="en-US"/>
        </w:rPr>
        <w:t xml:space="preserve"> T</w:t>
      </w:r>
      <w:r w:rsidRPr="00F233F8">
        <w:rPr>
          <w:lang w:val="en-US"/>
        </w:rPr>
        <w:t xml:space="preserve">he parallel framework </w:t>
      </w:r>
      <w:r w:rsidR="00870611">
        <w:rPr>
          <w:lang w:val="en-US"/>
        </w:rPr>
        <w:t xml:space="preserve">for CCP cleared transactions </w:t>
      </w:r>
      <w:r w:rsidRPr="00F233F8">
        <w:rPr>
          <w:lang w:val="en-US"/>
        </w:rPr>
        <w:t>increases operational risk and liquidity needs. Interacting with a single entity (the CSD) with regards to the single net amount of cash penalties to be paid or received each month would allow to improve th</w:t>
      </w:r>
      <w:r w:rsidR="00870611">
        <w:rPr>
          <w:lang w:val="en-US"/>
        </w:rPr>
        <w:t>e current process</w:t>
      </w:r>
      <w:r w:rsidRPr="00F233F8">
        <w:rPr>
          <w:lang w:val="en-US"/>
        </w:rPr>
        <w:t>.</w:t>
      </w:r>
    </w:p>
    <w:p w14:paraId="6B2D06E5" w14:textId="77777777" w:rsidR="00870611" w:rsidRDefault="00870611" w:rsidP="00F31BAD">
      <w:pPr>
        <w:rPr>
          <w:lang w:val="en-US"/>
        </w:rPr>
      </w:pPr>
    </w:p>
    <w:p w14:paraId="54B852E9" w14:textId="725BFC8A" w:rsidR="00F31BAD" w:rsidRDefault="007D1713" w:rsidP="00F31BAD">
      <w:pPr>
        <w:rPr>
          <w:lang w:val="en-US"/>
        </w:rPr>
      </w:pPr>
      <w:r>
        <w:rPr>
          <w:lang w:val="en-US"/>
        </w:rPr>
        <w:t xml:space="preserve">The reporting process would also be improved as there would not be two separate </w:t>
      </w:r>
      <w:proofErr w:type="spellStart"/>
      <w:r>
        <w:rPr>
          <w:lang w:val="en-US"/>
        </w:rPr>
        <w:t>reportings</w:t>
      </w:r>
      <w:proofErr w:type="spellEnd"/>
      <w:r>
        <w:rPr>
          <w:lang w:val="en-US"/>
        </w:rPr>
        <w:t xml:space="preserve"> (CSD on the one hand, CCP on the other) any longer.</w:t>
      </w:r>
      <w:r w:rsidR="00F31BAD" w:rsidRPr="00F233F8">
        <w:rPr>
          <w:lang w:val="en-US"/>
        </w:rPr>
        <w:t xml:space="preserve"> </w:t>
      </w:r>
      <w:r>
        <w:t xml:space="preserve">This would </w:t>
      </w:r>
      <w:r>
        <w:rPr>
          <w:b/>
          <w:bCs/>
        </w:rPr>
        <w:t xml:space="preserve">simplify </w:t>
      </w:r>
      <w:r>
        <w:t xml:space="preserve">the current process and </w:t>
      </w:r>
      <w:proofErr w:type="gramStart"/>
      <w:r>
        <w:t>insure</w:t>
      </w:r>
      <w:proofErr w:type="gramEnd"/>
      <w:r>
        <w:t xml:space="preserve"> that there is </w:t>
      </w:r>
      <w:r>
        <w:rPr>
          <w:b/>
          <w:bCs/>
        </w:rPr>
        <w:t>only one source</w:t>
      </w:r>
      <w:r>
        <w:t xml:space="preserve"> for the calculation, distribution and collection of late settlement penalties.</w:t>
      </w:r>
    </w:p>
    <w:p w14:paraId="1F387C4E" w14:textId="77777777" w:rsidR="00F31BAD" w:rsidRDefault="00F31BAD" w:rsidP="00A31F09">
      <w:pPr>
        <w:rPr>
          <w:lang w:val="en-US"/>
        </w:rPr>
      </w:pPr>
    </w:p>
    <w:p w14:paraId="3E7DBF1D" w14:textId="0FD5FC30" w:rsidR="00A31F09" w:rsidRDefault="00A31F09" w:rsidP="00A31F09">
      <w:r>
        <w:t>TYPE YOUR TEXT HERE</w:t>
      </w:r>
    </w:p>
    <w:permEnd w:id="911553143"/>
    <w:p w14:paraId="79199812" w14:textId="77777777" w:rsidR="00A31F09" w:rsidRDefault="00A31F09" w:rsidP="00A31F09">
      <w:r>
        <w:t>&lt;ESMA_QUESTION_SETD_1&gt;</w:t>
      </w:r>
    </w:p>
    <w:p w14:paraId="65EBDF46" w14:textId="77777777" w:rsidR="00A31F09" w:rsidRDefault="00A31F09" w:rsidP="00A31F09"/>
    <w:p w14:paraId="24E180A2" w14:textId="77777777" w:rsidR="00A31F09" w:rsidRDefault="00A31F09" w:rsidP="00A31F09">
      <w:pPr>
        <w:pStyle w:val="Questionstyle"/>
      </w:pPr>
      <w:r w:rsidRPr="00A910C9">
        <w:t>Do market participants support amending Article 19 of the CDR on Settlement Discipline as suggested in Annex IV? Please provide justifications, if possible supported by quantitative data.</w:t>
      </w:r>
    </w:p>
    <w:p w14:paraId="7A109885" w14:textId="77777777" w:rsidR="00A31F09" w:rsidRDefault="00A31F09" w:rsidP="00A31F09">
      <w:r>
        <w:t>&lt;ESMA_QUESTION_SETD_2&gt;</w:t>
      </w:r>
    </w:p>
    <w:p w14:paraId="2A7AC8EE" w14:textId="1ABEAAF2" w:rsidR="007D1713" w:rsidRDefault="007D1713" w:rsidP="00A31F09">
      <w:permStart w:id="2081231068" w:edGrp="everyone"/>
      <w:r>
        <w:t xml:space="preserve">We </w:t>
      </w:r>
      <w:r w:rsidR="008D7B4C">
        <w:t xml:space="preserve">generally </w:t>
      </w:r>
      <w:r>
        <w:t>support amending Article 19 of the CSDR RTS.</w:t>
      </w:r>
    </w:p>
    <w:p w14:paraId="1FB0D56A" w14:textId="07AD8959" w:rsidR="008D7B4C" w:rsidRDefault="008D7B4C" w:rsidP="00A31F09"/>
    <w:p w14:paraId="70873D54" w14:textId="329C355C" w:rsidR="00F710EB" w:rsidRDefault="005328A6" w:rsidP="005328A6">
      <w:r>
        <w:t>A</w:t>
      </w:r>
      <w:r w:rsidR="008D7B4C">
        <w:t xml:space="preserve">s set out by ESMA in the consultation paper, </w:t>
      </w:r>
      <w:r>
        <w:t xml:space="preserve">transactions can occur </w:t>
      </w:r>
      <w:r w:rsidRPr="005328A6">
        <w:t xml:space="preserve">resulting in the CCP appearing as the failing participant for the CSD and the net </w:t>
      </w:r>
      <w:proofErr w:type="gramStart"/>
      <w:r w:rsidRPr="005328A6">
        <w:t>amount</w:t>
      </w:r>
      <w:proofErr w:type="gramEnd"/>
      <w:r w:rsidRPr="005328A6">
        <w:t xml:space="preserve"> of penalties to be collected from, or distributed to, CCPs</w:t>
      </w:r>
      <w:r>
        <w:t>. The CCPs wish to forward such penalties to their clearing members</w:t>
      </w:r>
      <w:r w:rsidRPr="005328A6">
        <w:t xml:space="preserve">. </w:t>
      </w:r>
      <w:r w:rsidR="008D7B4C">
        <w:t>It is important that clear rules exist as to how the cash penalties would be assigned or forwarded to identified CCP clearing members. However, if no referencing of the transaction</w:t>
      </w:r>
      <w:r w:rsidR="00F710EB">
        <w:t xml:space="preserve">s takes place, the identified CCP clearing member would not be </w:t>
      </w:r>
      <w:proofErr w:type="gramStart"/>
      <w:r w:rsidR="00F710EB">
        <w:t>in a position</w:t>
      </w:r>
      <w:proofErr w:type="gramEnd"/>
      <w:r w:rsidR="00F710EB">
        <w:t xml:space="preserve"> to </w:t>
      </w:r>
      <w:r w:rsidR="00F710EB">
        <w:lastRenderedPageBreak/>
        <w:t xml:space="preserve">forward the cash penalties to its clients. </w:t>
      </w:r>
      <w:r>
        <w:t xml:space="preserve">It should be noted that </w:t>
      </w:r>
      <w:r w:rsidR="00F710EB">
        <w:t>CCP clearing members are not necessarily the trading party responsible for the settlement fail. It should therefore generally be possible for CCP clearing members to forward the cash penalties to their non clearing member (NCM) clients.</w:t>
      </w:r>
    </w:p>
    <w:p w14:paraId="679D829F" w14:textId="77777777" w:rsidR="00F710EB" w:rsidRDefault="00F710EB" w:rsidP="00A31F09"/>
    <w:p w14:paraId="277AC598" w14:textId="7A8939EA" w:rsidR="008D7B4C" w:rsidRDefault="00F710EB" w:rsidP="00A31F09">
      <w:r>
        <w:t xml:space="preserve">Furthermore, the reason for </w:t>
      </w:r>
      <w:r w:rsidR="005328A6">
        <w:t xml:space="preserve">any </w:t>
      </w:r>
      <w:r>
        <w:t xml:space="preserve">imbalanced positions may be </w:t>
      </w:r>
      <w:proofErr w:type="spellStart"/>
      <w:r>
        <w:t>intransparent</w:t>
      </w:r>
      <w:proofErr w:type="spellEnd"/>
      <w:r>
        <w:t>. CCP clearing members should be provided with the reason behind any penalties which are forwarded by the CCP.</w:t>
      </w:r>
    </w:p>
    <w:p w14:paraId="32D111ED" w14:textId="7B3D1ACA" w:rsidR="008D7B4C" w:rsidRDefault="008D7B4C" w:rsidP="00A31F09"/>
    <w:p w14:paraId="7239B303" w14:textId="0DCD2B1F" w:rsidR="008D7B4C" w:rsidRDefault="00F710EB" w:rsidP="008D7B4C">
      <w:r w:rsidRPr="009206D3">
        <w:t>It can be noted that our members are currently confronted</w:t>
      </w:r>
      <w:r w:rsidR="009206D3" w:rsidRPr="009206D3">
        <w:t xml:space="preserve"> with different/deviating processes of CCPs. Any </w:t>
      </w:r>
      <w:proofErr w:type="spellStart"/>
      <w:r w:rsidR="009206D3" w:rsidRPr="009206D3">
        <w:t>intransparency</w:t>
      </w:r>
      <w:proofErr w:type="spellEnd"/>
      <w:r w:rsidR="009206D3" w:rsidRPr="009206D3">
        <w:t xml:space="preserve"> of processes and unequal treatment of market participants should be avoided.</w:t>
      </w:r>
      <w:r w:rsidR="009206D3">
        <w:t xml:space="preserve"> </w:t>
      </w:r>
    </w:p>
    <w:p w14:paraId="12FC047A" w14:textId="69448958" w:rsidR="009206D3" w:rsidRDefault="009206D3" w:rsidP="008D7B4C"/>
    <w:p w14:paraId="0555EAAF" w14:textId="0023830F" w:rsidR="009206D3" w:rsidRPr="009206D3" w:rsidRDefault="009206D3" w:rsidP="008D7B4C">
      <w:r>
        <w:t xml:space="preserve">It should therefore be considered to clarify in Art. 19 (b) of the CSDR RTS that CCPs receiving or paying any cash penalties may allocate (forward) those cash penalties to their clients pursuant to a </w:t>
      </w:r>
      <w:r w:rsidR="00D0606C">
        <w:t xml:space="preserve">specified, </w:t>
      </w:r>
      <w:r>
        <w:t xml:space="preserve">EU-wide harmonised mechanism. Referencing of the transactions is key </w:t>
      </w:r>
      <w:proofErr w:type="gramStart"/>
      <w:r>
        <w:t>in order to</w:t>
      </w:r>
      <w:proofErr w:type="gramEnd"/>
      <w:r>
        <w:t xml:space="preserve"> ensure that CCP clearing members can further allocate cash penalties to the responsible client and/or trading party.</w:t>
      </w:r>
    </w:p>
    <w:p w14:paraId="630129F3" w14:textId="77777777" w:rsidR="007D1713" w:rsidRPr="009206D3" w:rsidRDefault="007D1713" w:rsidP="00A31F09"/>
    <w:p w14:paraId="69B82611" w14:textId="437B0F27" w:rsidR="00A31F09" w:rsidRDefault="00A31F09" w:rsidP="00A31F09">
      <w:r>
        <w:t>TYPE YOUR TEXT HERE</w:t>
      </w:r>
    </w:p>
    <w:permEnd w:id="2081231068"/>
    <w:p w14:paraId="58994ED7" w14:textId="77777777" w:rsidR="00A31F09" w:rsidRDefault="00A31F09" w:rsidP="00A31F09">
      <w:r>
        <w:t>&lt;ESMA_QUESTION_SETD_2&gt;</w:t>
      </w:r>
    </w:p>
    <w:p w14:paraId="0C7260D4" w14:textId="77777777" w:rsidR="00A31F09" w:rsidRDefault="00A31F09" w:rsidP="00A31F09"/>
    <w:p w14:paraId="1AF96CE0" w14:textId="77777777" w:rsidR="00A31F09" w:rsidRPr="00A910C9" w:rsidRDefault="00A31F09" w:rsidP="00A31F09">
      <w:pPr>
        <w:pStyle w:val="Questionstyle"/>
      </w:pPr>
      <w:r w:rsidRPr="00A910C9">
        <w:t>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14:paraId="6DD28844" w14:textId="77777777" w:rsidR="00A31F09" w:rsidRDefault="00A31F09" w:rsidP="00A31F09">
      <w:r>
        <w:t>&lt;ESMA_QUESTION_SETD_3&gt;</w:t>
      </w:r>
    </w:p>
    <w:p w14:paraId="70B7F79B" w14:textId="379BD63B" w:rsidR="007D1713" w:rsidRDefault="007D1713" w:rsidP="00A31F09">
      <w:permStart w:id="1439189165" w:edGrp="everyone"/>
      <w:r>
        <w:t xml:space="preserve">Given that the proposed amendment would trigger IT implementation and testing activities, GBIC recommends a delay of </w:t>
      </w:r>
      <w:r>
        <w:rPr>
          <w:b/>
          <w:bCs/>
        </w:rPr>
        <w:t>at least 12 months.</w:t>
      </w:r>
    </w:p>
    <w:p w14:paraId="73948A31" w14:textId="77777777" w:rsidR="007D1713" w:rsidRDefault="007D1713" w:rsidP="00A31F09"/>
    <w:p w14:paraId="40C29010" w14:textId="5CA2FB6E" w:rsidR="00A31F09" w:rsidRDefault="00A31F09" w:rsidP="00A31F09">
      <w:r>
        <w:t>TYPE YOUR TEXT HERE</w:t>
      </w:r>
    </w:p>
    <w:permEnd w:id="1439189165"/>
    <w:p w14:paraId="031D9D4B" w14:textId="77777777" w:rsidR="00A31F09" w:rsidRDefault="00A31F09" w:rsidP="00A31F09">
      <w:r>
        <w:t>&lt;ESMA_QUESTION_SETD_3&gt;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8CC3" w14:textId="77777777" w:rsidR="00CA36F5" w:rsidRDefault="00CA36F5" w:rsidP="007E7997">
      <w:r>
        <w:separator/>
      </w:r>
    </w:p>
  </w:endnote>
  <w:endnote w:type="continuationSeparator" w:id="0">
    <w:p w14:paraId="5C5D7D23" w14:textId="77777777" w:rsidR="00CA36F5" w:rsidRDefault="00CA36F5" w:rsidP="007E7997">
      <w:r>
        <w:continuationSeparator/>
      </w:r>
    </w:p>
  </w:endnote>
  <w:endnote w:type="continuationNotice" w:id="1">
    <w:p w14:paraId="6F92E3A2" w14:textId="77777777" w:rsidR="00CA36F5" w:rsidRDefault="00CA3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7BBE207B"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322FCA">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322FCA">
      <w:rPr>
        <w:rFonts w:asciiTheme="majorHAnsi" w:hAnsiTheme="majorHAnsi"/>
        <w:color w:val="FFFFFF" w:themeColor="background1"/>
      </w:rPr>
      <w:t>70-450-1185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90239" w14:textId="77777777" w:rsidR="00CA36F5" w:rsidRDefault="00CA36F5" w:rsidP="007E7997">
      <w:r>
        <w:separator/>
      </w:r>
    </w:p>
  </w:footnote>
  <w:footnote w:type="continuationSeparator" w:id="0">
    <w:p w14:paraId="22B10673" w14:textId="77777777" w:rsidR="00CA36F5" w:rsidRDefault="00CA36F5" w:rsidP="007E7997">
      <w:r>
        <w:continuationSeparator/>
      </w:r>
    </w:p>
  </w:footnote>
  <w:footnote w:type="continuationNotice" w:id="1">
    <w:p w14:paraId="51E9F51C" w14:textId="77777777" w:rsidR="00CA36F5" w:rsidRDefault="00CA36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E9BDEF7" w:rsidR="00E36813" w:rsidRDefault="00E36813">
    <w:pPr>
      <w:pStyle w:val="Kopfzeile"/>
    </w:pPr>
    <w:r>
      <w:rPr>
        <w:noProof/>
      </w:rPr>
      <w:drawing>
        <wp:anchor distT="0" distB="0" distL="114300" distR="114300" simplePos="0" relativeHeight="25165824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Kopfzeile"/>
      <w:jc w:val="right"/>
      <w:rPr>
        <w:b/>
        <w:color w:val="FF0000"/>
      </w:rPr>
    </w:pPr>
    <w:r w:rsidRPr="008D5F86">
      <w:rPr>
        <w:rFonts w:ascii="Arial" w:hAnsi="Arial" w:cs="Arial"/>
        <w:noProof/>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BC9E8BD"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2240E"/>
    <w:multiLevelType w:val="hybridMultilevel"/>
    <w:tmpl w:val="BB24E5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3"/>
  </w:num>
  <w:num w:numId="3">
    <w:abstractNumId w:val="22"/>
  </w:num>
  <w:num w:numId="4">
    <w:abstractNumId w:val="4"/>
  </w:num>
  <w:num w:numId="5">
    <w:abstractNumId w:val="13"/>
  </w:num>
  <w:num w:numId="6">
    <w:abstractNumId w:val="24"/>
  </w:num>
  <w:num w:numId="7">
    <w:abstractNumId w:val="12"/>
  </w:num>
  <w:num w:numId="8">
    <w:abstractNumId w:val="6"/>
  </w:num>
  <w:num w:numId="9">
    <w:abstractNumId w:val="9"/>
  </w:num>
  <w:num w:numId="10">
    <w:abstractNumId w:val="8"/>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9"/>
  </w:num>
  <w:num w:numId="16">
    <w:abstractNumId w:val="23"/>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4"/>
  </w:num>
  <w:num w:numId="20">
    <w:abstractNumId w:val="11"/>
  </w:num>
  <w:num w:numId="21">
    <w:abstractNumId w:val="21"/>
  </w:num>
  <w:num w:numId="22">
    <w:abstractNumId w:val="14"/>
  </w:num>
  <w:num w:numId="23">
    <w:abstractNumId w:val="18"/>
  </w:num>
  <w:num w:numId="24">
    <w:abstractNumId w:val="0"/>
  </w:num>
  <w:num w:numId="25">
    <w:abstractNumId w:val="17"/>
  </w:num>
  <w:num w:numId="26">
    <w:abstractNumId w:val="15"/>
  </w:num>
  <w:num w:numId="27">
    <w:abstractNumId w:val="10"/>
  </w:num>
  <w:num w:numId="28">
    <w:abstractNumId w:val="2"/>
  </w:num>
  <w:num w:numId="29">
    <w:abstractNumId w:val="16"/>
  </w:num>
  <w:num w:numId="30">
    <w:abstractNumId w:val="5"/>
  </w:num>
  <w:num w:numId="3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de-D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kayhBuFfJIrqO5z8PedBw05ErBqpScP7ROFitJ5TgCv39mRCHa5BDZ6YcM4Z2WtzGG2la9MRQP13jNiJ4s+0+A==" w:salt="7ydt1xiksss8oMf0APaT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0BA8"/>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2726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2FCA"/>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6B04"/>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1234"/>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8A6"/>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36FE"/>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0D7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41D"/>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6BE2"/>
    <w:rsid w:val="007B0BC1"/>
    <w:rsid w:val="007B354B"/>
    <w:rsid w:val="007B4FC3"/>
    <w:rsid w:val="007B73F3"/>
    <w:rsid w:val="007B7EE5"/>
    <w:rsid w:val="007C1C28"/>
    <w:rsid w:val="007C2A2C"/>
    <w:rsid w:val="007C3577"/>
    <w:rsid w:val="007C5E08"/>
    <w:rsid w:val="007D0002"/>
    <w:rsid w:val="007D1713"/>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0611"/>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D7B4C"/>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206D3"/>
    <w:rsid w:val="0093261E"/>
    <w:rsid w:val="0094008E"/>
    <w:rsid w:val="00941C0C"/>
    <w:rsid w:val="009437F2"/>
    <w:rsid w:val="0094528B"/>
    <w:rsid w:val="00946B70"/>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7890"/>
    <w:rsid w:val="00A11D0C"/>
    <w:rsid w:val="00A16579"/>
    <w:rsid w:val="00A24843"/>
    <w:rsid w:val="00A26D48"/>
    <w:rsid w:val="00A31C7C"/>
    <w:rsid w:val="00A31F09"/>
    <w:rsid w:val="00A367AA"/>
    <w:rsid w:val="00A378DF"/>
    <w:rsid w:val="00A37A64"/>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078A"/>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6F5"/>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0606C"/>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1BAD"/>
    <w:rsid w:val="00F3279A"/>
    <w:rsid w:val="00F332B7"/>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10EB"/>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Absatz-Standardschriftart"/>
    <w:link w:val="Questionstyle"/>
    <w:rsid w:val="00871163"/>
    <w:rPr>
      <w:rFonts w:eastAsia="Times New Roman" w:cstheme="minorHAnsi"/>
      <w:b/>
      <w:bCs/>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0520232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72158626">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ESMA70-450-1185</_dlc_DocId>
    <TaxCatchAll xmlns="20fbe147-bbda-4e53-b6b1-7e8bbff3fe19">
      <Value>14</Value>
      <Value>1744</Value>
      <Value>1748</Value>
      <Value>484</Value>
      <Value>91</Value>
    </TaxCatchAll>
    <_dlc_DocIdUrl xmlns="20fbe147-bbda-4e53-b6b1-7e8bbff3fe19">
      <Url>https://sherpa.esma.europa.eu/sites/MKT/SMK/_layouts/15/DocIdRedir.aspx?ID=ESMA70-450-1185</Url>
      <Description>ESMA70-450-1185</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SDR Policy Document" ma:contentTypeID="0x01010001BD15C3986B91498E0AE644B715B9EE15006399F63989C99841BC623FF7757EFADE" ma:contentTypeVersion="8" ma:contentTypeDescription="" ma:contentTypeScope="" ma:versionID="5d3648b3d05ffe1278047f3308c46c66">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e2246aa925ec958ffc20836630c0c6c0"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90688103-1e8a-4f61-b7e0-9f62eca5dc1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0380FD37-60E8-4C30-93A1-F4D62329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6</Pages>
  <Words>1033</Words>
  <Characters>6511</Characters>
  <Application>Microsoft Office Word</Application>
  <DocSecurity>8</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Kohlhase, Miye</cp:lastModifiedBy>
  <cp:revision>2</cp:revision>
  <cp:lastPrinted>2017-07-24T14:47:00Z</cp:lastPrinted>
  <dcterms:created xsi:type="dcterms:W3CDTF">2022-09-09T14:37:00Z</dcterms:created>
  <dcterms:modified xsi:type="dcterms:W3CDTF">2022-09-09T14:37:00Z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0x01010001BD15C3986B91498E0AE644B715B9EE15006399F63989C99841BC623FF7757EFADE</vt:lpwstr>
  </property>
  <property fmtid="{D5CDD505-2E9C-101B-9397-08002B2CF9AE}" pid="5" name="_dlc_DocIdItemGuid">
    <vt:lpwstr>dd54ae39-bc56-442f-9acd-9c02a6557d36</vt:lpwstr>
  </property>
  <property fmtid="{D5CDD505-2E9C-101B-9397-08002B2CF9AE}" pid="6" name="DocumentType">
    <vt:lpwstr>91;#Consultation Paper|c6238baf-c3d7-4bb8-8cf2-f28a89601f52</vt:lpwstr>
  </property>
  <property fmtid="{D5CDD505-2E9C-101B-9397-08002B2CF9AE}" pid="7" name="Topic">
    <vt:lpwstr>1744;#CSDR - CSDR Settlement Discipline|393de213-8012-41d4-9665-a8ccd1c8fe8b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1748;#CSDR Settlement Discipline - RTS on Settlement Discipline|94b829d6-c106-4b87-85b5-2af31436c382</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