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5"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6"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7339F2C7" w:rsidR="00C85C8B" w:rsidRPr="00B16706" w:rsidRDefault="00341007" w:rsidP="00C85C8B">
                <w:pPr>
                  <w:rPr>
                    <w:rFonts w:ascii="Arial" w:hAnsi="Arial" w:cs="Arial"/>
                    <w:color w:val="808080"/>
                    <w:sz w:val="16"/>
                    <w:szCs w:val="20"/>
                    <w:lang w:eastAsia="de-DE"/>
                  </w:rPr>
                </w:pPr>
                <w:r>
                  <w:rPr>
                    <w:rFonts w:ascii="Arial" w:hAnsi="Arial" w:cs="Arial"/>
                    <w:color w:val="808080"/>
                    <w:sz w:val="16"/>
                    <w:szCs w:val="20"/>
                    <w:lang w:eastAsia="de-DE"/>
                  </w:rPr>
                  <w:t>European Central Securities Depositories Association (ECSDA)</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954FBE5" w:rsidR="00C85C8B" w:rsidRPr="00B16706" w:rsidRDefault="000F1AF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41007">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77767026" w:rsidR="00C85C8B" w:rsidRPr="00B16706" w:rsidRDefault="00341007"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5571C05" w:rsidR="00C85C8B" w:rsidRPr="00B16706" w:rsidRDefault="00341007"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68AE34F6" w14:textId="77777777" w:rsidR="008A4A23" w:rsidRDefault="008A4A23" w:rsidP="008A4A23">
      <w:pPr>
        <w:pBdr>
          <w:bottom w:val="single" w:sz="6" w:space="1" w:color="auto"/>
        </w:pBdr>
        <w:jc w:val="both"/>
        <w:rPr>
          <w:rFonts w:ascii="Candara" w:hAnsi="Candara"/>
          <w:b/>
          <w:bCs/>
          <w:color w:val="002060"/>
          <w:sz w:val="28"/>
          <w:szCs w:val="28"/>
        </w:rPr>
      </w:pPr>
      <w:permStart w:id="911553143" w:edGrp="everyone"/>
      <w:r>
        <w:rPr>
          <w:rFonts w:ascii="Candara" w:hAnsi="Candara"/>
          <w:b/>
          <w:bCs/>
          <w:color w:val="002060"/>
          <w:sz w:val="28"/>
          <w:szCs w:val="28"/>
        </w:rPr>
        <w:t>Introduction / general remarks</w:t>
      </w:r>
    </w:p>
    <w:p w14:paraId="7E32C324" w14:textId="77777777" w:rsidR="008A4A23" w:rsidRDefault="008A4A23" w:rsidP="008A4A23">
      <w:pPr>
        <w:jc w:val="both"/>
        <w:rPr>
          <w:rFonts w:ascii="Candara" w:hAnsi="Candara"/>
          <w:color w:val="002060"/>
        </w:rPr>
      </w:pPr>
      <w:r>
        <w:rPr>
          <w:rFonts w:ascii="Candara" w:hAnsi="Candara"/>
          <w:color w:val="002060"/>
        </w:rPr>
        <w:t xml:space="preserve">ECSDA welcomes the </w:t>
      </w:r>
      <w:hyperlink r:id="rId17" w:history="1">
        <w:r w:rsidRPr="00AB0A00">
          <w:rPr>
            <w:rStyle w:val="Hyperlink"/>
            <w:rFonts w:ascii="Candara" w:eastAsiaTheme="majorEastAsia" w:hAnsi="Candara"/>
          </w:rPr>
          <w:t xml:space="preserve">ESMA initiative of consulting the relevant stakeholders on the </w:t>
        </w:r>
        <w:r>
          <w:rPr>
            <w:rStyle w:val="Hyperlink"/>
            <w:rFonts w:ascii="Candara" w:eastAsiaTheme="majorEastAsia" w:hAnsi="Candara"/>
          </w:rPr>
          <w:t>change</w:t>
        </w:r>
        <w:r w:rsidRPr="00AB0A00">
          <w:rPr>
            <w:rStyle w:val="Hyperlink"/>
            <w:rFonts w:ascii="Candara" w:eastAsiaTheme="majorEastAsia" w:hAnsi="Candara"/>
          </w:rPr>
          <w:t xml:space="preserve"> of the dedicated penalties collection and distribution process for cleared transactions</w:t>
        </w:r>
      </w:hyperlink>
      <w:r>
        <w:rPr>
          <w:rFonts w:ascii="Candara" w:hAnsi="Candara"/>
          <w:color w:val="002060"/>
        </w:rPr>
        <w:t xml:space="preserve">, as currently foreseen under Article </w:t>
      </w:r>
      <w:r w:rsidRPr="00D20B88">
        <w:rPr>
          <w:rFonts w:ascii="Candara" w:hAnsi="Candara"/>
          <w:color w:val="002060"/>
        </w:rPr>
        <w:t xml:space="preserve">19 of </w:t>
      </w:r>
      <w:r w:rsidRPr="00B55C2A">
        <w:rPr>
          <w:rFonts w:ascii="Candara" w:hAnsi="Candara"/>
          <w:color w:val="002060"/>
        </w:rPr>
        <w:t>Commission Delegated Regulation (EU) 2018/1229</w:t>
      </w:r>
      <w:r>
        <w:rPr>
          <w:rFonts w:ascii="Candara" w:hAnsi="Candara"/>
          <w:color w:val="002060"/>
        </w:rPr>
        <w:t xml:space="preserve"> (CDR).</w:t>
      </w:r>
    </w:p>
    <w:p w14:paraId="7C752CFE" w14:textId="77777777" w:rsidR="008A4A23" w:rsidRDefault="008A4A23" w:rsidP="008A4A23">
      <w:pPr>
        <w:jc w:val="both"/>
        <w:rPr>
          <w:rFonts w:ascii="Candara" w:hAnsi="Candara"/>
          <w:color w:val="002060"/>
        </w:rPr>
      </w:pPr>
      <w:r>
        <w:rPr>
          <w:rFonts w:ascii="Candara" w:hAnsi="Candara"/>
          <w:color w:val="002060"/>
        </w:rPr>
        <w:t>ECSDA is generally supportive of the ESMA proposal. In addition, the following elements are essential for CSDs:</w:t>
      </w:r>
    </w:p>
    <w:p w14:paraId="364C0249" w14:textId="77777777" w:rsidR="008A4A23" w:rsidRPr="00B55C2A" w:rsidRDefault="008A4A23" w:rsidP="008A4A23">
      <w:pPr>
        <w:pStyle w:val="ListParagraph"/>
        <w:numPr>
          <w:ilvl w:val="0"/>
          <w:numId w:val="33"/>
        </w:numPr>
        <w:tabs>
          <w:tab w:val="clear" w:pos="0"/>
          <w:tab w:val="clear" w:pos="142"/>
          <w:tab w:val="clear" w:pos="284"/>
          <w:tab w:val="clear" w:pos="567"/>
        </w:tabs>
        <w:autoSpaceDE/>
        <w:autoSpaceDN/>
        <w:adjustRightInd/>
        <w:spacing w:line="240" w:lineRule="auto"/>
        <w:rPr>
          <w:rFonts w:ascii="Candara" w:hAnsi="Candara"/>
          <w:color w:val="002060"/>
          <w:sz w:val="24"/>
          <w:szCs w:val="24"/>
        </w:rPr>
      </w:pPr>
      <w:r>
        <w:rPr>
          <w:rFonts w:ascii="Candara" w:hAnsi="Candara"/>
          <w:color w:val="002060"/>
          <w:sz w:val="24"/>
          <w:szCs w:val="24"/>
        </w:rPr>
        <w:t>t</w:t>
      </w:r>
      <w:r w:rsidRPr="00B55C2A">
        <w:rPr>
          <w:rFonts w:ascii="Candara" w:hAnsi="Candara"/>
          <w:color w:val="002060"/>
          <w:sz w:val="24"/>
          <w:szCs w:val="24"/>
        </w:rPr>
        <w:t xml:space="preserve">hat further light is shed on the interaction between CSDR Article 7(11) and the changed Article 19 (and eventually, recital 22), </w:t>
      </w:r>
    </w:p>
    <w:p w14:paraId="1D0087A8" w14:textId="77777777" w:rsidR="008A4A23" w:rsidRDefault="008A4A23" w:rsidP="008A4A23">
      <w:pPr>
        <w:pStyle w:val="ListParagraph"/>
        <w:numPr>
          <w:ilvl w:val="0"/>
          <w:numId w:val="33"/>
        </w:numPr>
        <w:tabs>
          <w:tab w:val="clear" w:pos="0"/>
          <w:tab w:val="clear" w:pos="142"/>
          <w:tab w:val="clear" w:pos="284"/>
          <w:tab w:val="clear" w:pos="567"/>
        </w:tabs>
        <w:autoSpaceDE/>
        <w:autoSpaceDN/>
        <w:adjustRightInd/>
        <w:spacing w:line="240" w:lineRule="auto"/>
        <w:rPr>
          <w:rFonts w:ascii="Candara" w:hAnsi="Candara"/>
          <w:color w:val="002060"/>
          <w:sz w:val="24"/>
          <w:szCs w:val="24"/>
        </w:rPr>
      </w:pPr>
      <w:r>
        <w:rPr>
          <w:rFonts w:ascii="Candara" w:hAnsi="Candara"/>
          <w:color w:val="002060"/>
          <w:sz w:val="24"/>
          <w:szCs w:val="24"/>
        </w:rPr>
        <w:t xml:space="preserve">receiving the information on the timeline for the entry into force of the regime as soon as possible, and  </w:t>
      </w:r>
    </w:p>
    <w:p w14:paraId="38610967" w14:textId="77777777" w:rsidR="008A4A23" w:rsidRPr="007242DB" w:rsidRDefault="008A4A23" w:rsidP="008A4A23">
      <w:pPr>
        <w:pStyle w:val="ListParagraph"/>
        <w:numPr>
          <w:ilvl w:val="0"/>
          <w:numId w:val="33"/>
        </w:numPr>
        <w:tabs>
          <w:tab w:val="clear" w:pos="0"/>
          <w:tab w:val="clear" w:pos="142"/>
          <w:tab w:val="clear" w:pos="284"/>
          <w:tab w:val="clear" w:pos="567"/>
        </w:tabs>
        <w:autoSpaceDE/>
        <w:autoSpaceDN/>
        <w:adjustRightInd/>
        <w:spacing w:line="240" w:lineRule="auto"/>
        <w:rPr>
          <w:rFonts w:ascii="Candara" w:hAnsi="Candara"/>
          <w:color w:val="002060"/>
          <w:sz w:val="24"/>
          <w:szCs w:val="24"/>
        </w:rPr>
      </w:pPr>
      <w:r w:rsidRPr="007242DB">
        <w:rPr>
          <w:rFonts w:ascii="Candara" w:hAnsi="Candara"/>
          <w:color w:val="002060"/>
          <w:sz w:val="24"/>
          <w:szCs w:val="24"/>
        </w:rPr>
        <w:t xml:space="preserve">that the date of </w:t>
      </w:r>
      <w:r>
        <w:rPr>
          <w:rFonts w:ascii="Candara" w:hAnsi="Candara"/>
          <w:color w:val="002060"/>
          <w:sz w:val="24"/>
          <w:szCs w:val="24"/>
        </w:rPr>
        <w:t xml:space="preserve">activation </w:t>
      </w:r>
      <w:r w:rsidRPr="007242DB">
        <w:rPr>
          <w:rFonts w:ascii="Candara" w:hAnsi="Candara"/>
          <w:color w:val="002060"/>
          <w:sz w:val="24"/>
          <w:szCs w:val="24"/>
        </w:rPr>
        <w:t>of the regime is foreseen on the first business day of the month.</w:t>
      </w:r>
    </w:p>
    <w:p w14:paraId="7DB2984B" w14:textId="77777777" w:rsidR="008A4A23" w:rsidRDefault="008A4A23" w:rsidP="008A4A23">
      <w:pPr>
        <w:jc w:val="both"/>
        <w:rPr>
          <w:rFonts w:ascii="Candara" w:hAnsi="Candara"/>
          <w:color w:val="002060"/>
        </w:rPr>
      </w:pPr>
    </w:p>
    <w:p w14:paraId="47897A52" w14:textId="77777777" w:rsidR="008A4A23" w:rsidRPr="007962EB" w:rsidRDefault="008A4A23" w:rsidP="008A4A23">
      <w:pPr>
        <w:jc w:val="both"/>
        <w:rPr>
          <w:rFonts w:ascii="Candara" w:hAnsi="Candara"/>
          <w:i/>
          <w:iCs/>
          <w:color w:val="002060"/>
        </w:rPr>
      </w:pPr>
      <w:r w:rsidRPr="007962EB">
        <w:rPr>
          <w:rFonts w:ascii="Candara" w:hAnsi="Candara"/>
          <w:i/>
          <w:iCs/>
          <w:color w:val="002060"/>
        </w:rPr>
        <w:t>In the interest of clarity, we suggest structurally clarifying the treatment of CCP transactions and penalties in CSDR itself, ideally as part of the CSDR Refit exercise.</w:t>
      </w:r>
    </w:p>
    <w:p w14:paraId="69832EFB" w14:textId="0729C355" w:rsidR="008A4A23" w:rsidRDefault="008A4A23" w:rsidP="00341007">
      <w:pPr>
        <w:pStyle w:val="paragraph"/>
        <w:spacing w:before="0" w:beforeAutospacing="0" w:after="0" w:afterAutospacing="0"/>
        <w:jc w:val="both"/>
        <w:textAlignment w:val="baseline"/>
        <w:rPr>
          <w:rFonts w:ascii="Candara" w:hAnsi="Candara" w:cstheme="minorBidi"/>
          <w:b/>
          <w:bCs/>
          <w:color w:val="002060"/>
          <w:sz w:val="24"/>
          <w:szCs w:val="24"/>
          <w:lang w:val="en-GB" w:eastAsia="en-US"/>
        </w:rPr>
      </w:pPr>
    </w:p>
    <w:p w14:paraId="68374029" w14:textId="514F74F0" w:rsidR="008A4A23" w:rsidRPr="008A4A23" w:rsidRDefault="008A4A23" w:rsidP="00341007">
      <w:pPr>
        <w:pStyle w:val="paragraph"/>
        <w:spacing w:before="0" w:beforeAutospacing="0" w:after="0" w:afterAutospacing="0"/>
        <w:jc w:val="both"/>
        <w:textAlignment w:val="baseline"/>
        <w:rPr>
          <w:rFonts w:ascii="Candara" w:hAnsi="Candara" w:cstheme="minorBidi"/>
          <w:b/>
          <w:bCs/>
          <w:color w:val="002060"/>
          <w:sz w:val="24"/>
          <w:szCs w:val="24"/>
          <w:u w:val="single"/>
          <w:lang w:val="en-GB" w:eastAsia="en-US"/>
        </w:rPr>
      </w:pPr>
      <w:r w:rsidRPr="008A4A23">
        <w:rPr>
          <w:rFonts w:ascii="Candara" w:hAnsi="Candara" w:cstheme="minorBidi"/>
          <w:b/>
          <w:bCs/>
          <w:color w:val="002060"/>
          <w:sz w:val="24"/>
          <w:szCs w:val="24"/>
          <w:u w:val="single"/>
          <w:lang w:val="en-GB" w:eastAsia="en-US"/>
        </w:rPr>
        <w:t>ECSDA feedback to Q1</w:t>
      </w:r>
    </w:p>
    <w:p w14:paraId="7045F9F8" w14:textId="77777777" w:rsidR="008A4A23" w:rsidRDefault="008A4A23" w:rsidP="00341007">
      <w:pPr>
        <w:pStyle w:val="paragraph"/>
        <w:spacing w:before="0" w:beforeAutospacing="0" w:after="0" w:afterAutospacing="0"/>
        <w:jc w:val="both"/>
        <w:textAlignment w:val="baseline"/>
        <w:rPr>
          <w:rFonts w:ascii="Candara" w:hAnsi="Candara" w:cstheme="minorBidi"/>
          <w:b/>
          <w:bCs/>
          <w:color w:val="002060"/>
          <w:sz w:val="24"/>
          <w:szCs w:val="24"/>
          <w:lang w:val="en-GB" w:eastAsia="en-US"/>
        </w:rPr>
      </w:pPr>
    </w:p>
    <w:p w14:paraId="1A6105C8" w14:textId="479CE828" w:rsidR="00341007" w:rsidRPr="00905966" w:rsidRDefault="00341007" w:rsidP="00341007">
      <w:pPr>
        <w:pStyle w:val="paragraph"/>
        <w:spacing w:before="0" w:beforeAutospacing="0" w:after="0" w:afterAutospacing="0"/>
        <w:jc w:val="both"/>
        <w:textAlignment w:val="baseline"/>
        <w:rPr>
          <w:rFonts w:ascii="Candara" w:hAnsi="Candara" w:cstheme="minorBidi"/>
          <w:b/>
          <w:bCs/>
          <w:color w:val="002060"/>
          <w:sz w:val="24"/>
          <w:szCs w:val="24"/>
          <w:lang w:val="en-GB" w:eastAsia="en-US"/>
        </w:rPr>
      </w:pPr>
      <w:r w:rsidRPr="00905966">
        <w:rPr>
          <w:rFonts w:ascii="Candara" w:hAnsi="Candara" w:cstheme="minorBidi"/>
          <w:b/>
          <w:bCs/>
          <w:color w:val="002060"/>
          <w:sz w:val="24"/>
          <w:szCs w:val="24"/>
          <w:lang w:val="en-GB" w:eastAsia="en-US"/>
        </w:rPr>
        <w:t>ECSDA Members are supportive of the change of the current special process of collection and distribution of penalties by CCPs for cleared transactions.</w:t>
      </w:r>
      <w:r w:rsidRPr="00905966">
        <w:rPr>
          <w:rFonts w:ascii="Candara" w:hAnsi="Candara" w:cstheme="minorBidi"/>
          <w:b/>
          <w:bCs/>
          <w:color w:val="002060"/>
          <w:sz w:val="24"/>
          <w:szCs w:val="24"/>
          <w:lang w:eastAsia="en-US"/>
        </w:rPr>
        <w:t> </w:t>
      </w:r>
    </w:p>
    <w:p w14:paraId="1727866D" w14:textId="77777777" w:rsidR="00341007" w:rsidRPr="00905966" w:rsidRDefault="00341007" w:rsidP="00341007">
      <w:pPr>
        <w:pStyle w:val="paragraph"/>
        <w:spacing w:before="0" w:beforeAutospacing="0" w:after="0" w:afterAutospacing="0"/>
        <w:jc w:val="both"/>
        <w:textAlignment w:val="baseline"/>
        <w:rPr>
          <w:rFonts w:ascii="Candara" w:hAnsi="Candara" w:cstheme="minorBidi"/>
          <w:color w:val="002060"/>
          <w:sz w:val="24"/>
          <w:szCs w:val="24"/>
          <w:lang w:val="en-GB" w:eastAsia="en-US"/>
        </w:rPr>
      </w:pPr>
      <w:r w:rsidRPr="00905966">
        <w:rPr>
          <w:rFonts w:ascii="Candara" w:hAnsi="Candara" w:cstheme="minorBidi"/>
          <w:color w:val="002060"/>
          <w:sz w:val="24"/>
          <w:szCs w:val="24"/>
          <w:lang w:eastAsia="en-US"/>
        </w:rPr>
        <w:t> </w:t>
      </w:r>
    </w:p>
    <w:p w14:paraId="625CC2FC" w14:textId="77777777" w:rsidR="00341007" w:rsidRPr="00905966" w:rsidRDefault="00341007" w:rsidP="00341007">
      <w:pPr>
        <w:pStyle w:val="paragraph"/>
        <w:spacing w:before="0" w:beforeAutospacing="0" w:after="0" w:afterAutospacing="0"/>
        <w:jc w:val="both"/>
        <w:textAlignment w:val="baseline"/>
        <w:rPr>
          <w:rFonts w:ascii="Candara" w:hAnsi="Candara" w:cstheme="minorBidi"/>
          <w:color w:val="002060"/>
          <w:sz w:val="24"/>
          <w:szCs w:val="24"/>
          <w:lang w:val="en-GB" w:eastAsia="en-US"/>
        </w:rPr>
      </w:pPr>
      <w:r w:rsidRPr="00905966">
        <w:rPr>
          <w:rFonts w:ascii="Candara" w:hAnsi="Candara" w:cstheme="minorBidi"/>
          <w:color w:val="002060"/>
          <w:sz w:val="24"/>
          <w:szCs w:val="24"/>
          <w:lang w:val="en-GB" w:eastAsia="en-US"/>
        </w:rPr>
        <w:t>ECSDA believes that stakeholders involved in the collection and redistribution of cash penalties would benefit from the introduction of a mechanism for failed settlement penalties payments that would be as coherent as possible for cleared and non-cleared transactions. This view is aligned with the previous EACH and ECSDA position paper highlighting the benefits of the removal to the maximum extent of the differences between the processes described in CDR Articles 17 and 19, and has been confirmed by our practical experience.</w:t>
      </w:r>
      <w:r w:rsidRPr="00905966">
        <w:rPr>
          <w:rFonts w:ascii="Candara" w:hAnsi="Candara" w:cstheme="minorBidi"/>
          <w:color w:val="002060"/>
          <w:sz w:val="24"/>
          <w:szCs w:val="24"/>
          <w:lang w:eastAsia="en-US"/>
        </w:rPr>
        <w:t> </w:t>
      </w:r>
    </w:p>
    <w:p w14:paraId="1BB13104" w14:textId="77777777" w:rsidR="00341007" w:rsidRPr="00905966" w:rsidRDefault="00341007" w:rsidP="00341007">
      <w:pPr>
        <w:pStyle w:val="paragraph"/>
        <w:spacing w:before="0" w:beforeAutospacing="0" w:after="0" w:afterAutospacing="0"/>
        <w:jc w:val="both"/>
        <w:textAlignment w:val="baseline"/>
        <w:rPr>
          <w:rFonts w:ascii="Candara" w:hAnsi="Candara" w:cstheme="minorBidi"/>
          <w:color w:val="002060"/>
          <w:sz w:val="24"/>
          <w:szCs w:val="24"/>
          <w:lang w:val="en-GB" w:eastAsia="en-US"/>
        </w:rPr>
      </w:pPr>
      <w:r w:rsidRPr="00905966">
        <w:rPr>
          <w:rFonts w:ascii="Candara" w:hAnsi="Candara" w:cstheme="minorBidi"/>
          <w:color w:val="002060"/>
          <w:sz w:val="24"/>
          <w:szCs w:val="24"/>
          <w:lang w:eastAsia="en-US"/>
        </w:rPr>
        <w:t> </w:t>
      </w:r>
    </w:p>
    <w:p w14:paraId="77B21667" w14:textId="77777777" w:rsidR="00341007" w:rsidRPr="009A07E4" w:rsidRDefault="00341007" w:rsidP="00341007">
      <w:pPr>
        <w:pStyle w:val="paragraph"/>
        <w:spacing w:before="0" w:beforeAutospacing="0" w:after="0" w:afterAutospacing="0"/>
        <w:jc w:val="both"/>
        <w:textAlignment w:val="baseline"/>
        <w:rPr>
          <w:rFonts w:ascii="Candara" w:hAnsi="Candara" w:cstheme="minorBidi"/>
          <w:b/>
          <w:bCs/>
          <w:color w:val="002060"/>
          <w:sz w:val="24"/>
          <w:szCs w:val="24"/>
          <w:lang w:val="en-GB" w:eastAsia="en-US"/>
        </w:rPr>
      </w:pPr>
      <w:r w:rsidRPr="009A07E4">
        <w:rPr>
          <w:rFonts w:ascii="Candara" w:hAnsi="Candara" w:cstheme="minorBidi"/>
          <w:b/>
          <w:bCs/>
          <w:color w:val="002060"/>
          <w:sz w:val="24"/>
          <w:szCs w:val="24"/>
          <w:lang w:val="en-GB" w:eastAsia="en-US"/>
        </w:rPr>
        <w:t>The purpose of the amendment to CDR Article 19 should be to no longer differentiate between CCP transactions and other transactions settlement in a CSD.</w:t>
      </w:r>
      <w:r w:rsidRPr="00905966">
        <w:rPr>
          <w:rFonts w:ascii="Candara" w:hAnsi="Candara" w:cstheme="minorBidi"/>
          <w:color w:val="002060"/>
          <w:sz w:val="24"/>
          <w:szCs w:val="24"/>
          <w:lang w:val="en-GB" w:eastAsia="en-US"/>
        </w:rPr>
        <w:t xml:space="preserve"> </w:t>
      </w:r>
      <w:r w:rsidRPr="009A07E4">
        <w:rPr>
          <w:rFonts w:ascii="Candara" w:hAnsi="Candara" w:cstheme="minorBidi"/>
          <w:b/>
          <w:bCs/>
          <w:color w:val="002060"/>
          <w:sz w:val="24"/>
          <w:szCs w:val="24"/>
          <w:lang w:val="en-GB" w:eastAsia="en-US"/>
        </w:rPr>
        <w:t>Accordingly and for the sake of simplicity and clarity, we believe that the changes in Article 19 should, ultimately, be reflected in level 1 (Article 7(11)).</w:t>
      </w:r>
    </w:p>
    <w:p w14:paraId="06127737" w14:textId="77777777" w:rsidR="00341007" w:rsidRPr="00905966" w:rsidRDefault="00341007" w:rsidP="00341007">
      <w:pPr>
        <w:pStyle w:val="paragraph"/>
        <w:spacing w:before="0" w:beforeAutospacing="0" w:after="0" w:afterAutospacing="0"/>
        <w:jc w:val="both"/>
        <w:textAlignment w:val="baseline"/>
        <w:rPr>
          <w:rFonts w:ascii="Candara" w:hAnsi="Candara" w:cstheme="minorBidi"/>
          <w:color w:val="002060"/>
          <w:sz w:val="24"/>
          <w:szCs w:val="24"/>
          <w:lang w:val="en-GB" w:eastAsia="en-US"/>
        </w:rPr>
      </w:pPr>
      <w:r w:rsidRPr="00905966">
        <w:rPr>
          <w:rFonts w:ascii="Candara" w:hAnsi="Candara" w:cstheme="minorBidi"/>
          <w:color w:val="002060"/>
          <w:sz w:val="24"/>
          <w:szCs w:val="24"/>
          <w:lang w:eastAsia="en-US"/>
        </w:rPr>
        <w:t> </w:t>
      </w:r>
    </w:p>
    <w:p w14:paraId="3E7DBF1D" w14:textId="3D3DF1D1" w:rsidR="00A31F09" w:rsidRDefault="00341007" w:rsidP="004902DA">
      <w:pPr>
        <w:pStyle w:val="paragraph"/>
        <w:spacing w:before="0" w:beforeAutospacing="0" w:after="0" w:afterAutospacing="0"/>
        <w:jc w:val="both"/>
        <w:textAlignment w:val="baseline"/>
      </w:pPr>
      <w:r w:rsidRPr="00905966">
        <w:rPr>
          <w:rFonts w:ascii="Candara" w:hAnsi="Candara" w:cstheme="minorBidi"/>
          <w:color w:val="002060"/>
          <w:sz w:val="24"/>
          <w:szCs w:val="24"/>
          <w:lang w:val="en-GB" w:eastAsia="en-US"/>
        </w:rPr>
        <w:t>Finally, as a consequence of more aligned processes for collection and distribution of penalties for cleared and non-cleared transactions, CSDs are not expecting to see significant differences in the number of transactions subject to the regime.</w:t>
      </w:r>
      <w:r w:rsidRPr="00905966">
        <w:rPr>
          <w:rFonts w:ascii="Candara" w:hAnsi="Candara" w:cstheme="minorBidi"/>
          <w:color w:val="002060"/>
          <w:sz w:val="24"/>
          <w:szCs w:val="24"/>
          <w:lang w:eastAsia="en-US"/>
        </w:rPr>
        <w:t> </w:t>
      </w:r>
    </w:p>
    <w:permEnd w:id="911553143"/>
    <w:p w14:paraId="79199812" w14:textId="77777777"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lastRenderedPageBreak/>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48CB89CC" w14:textId="77777777" w:rsidR="00341007" w:rsidRPr="00341007" w:rsidRDefault="00341007" w:rsidP="00341007">
      <w:pPr>
        <w:pStyle w:val="body"/>
        <w:rPr>
          <w:rFonts w:ascii="Candara" w:hAnsi="Candara"/>
          <w:color w:val="002060"/>
        </w:rPr>
      </w:pPr>
      <w:permStart w:id="2081231068" w:edGrp="everyone"/>
      <w:r w:rsidRPr="00341007">
        <w:rPr>
          <w:rFonts w:ascii="Candara" w:hAnsi="Candara"/>
          <w:color w:val="002060"/>
        </w:rPr>
        <w:t xml:space="preserve">ECSDA supports the amendment of Article 19 as proposed by ESMA in the consultation.  We would however recommend staying closer to the drafting of the current CSDR Article 7(11). Article 7(11) states that the penalties (and buy-in) process </w:t>
      </w:r>
      <w:r w:rsidRPr="00341007">
        <w:rPr>
          <w:rFonts w:ascii="Candara" w:hAnsi="Candara"/>
          <w:i/>
          <w:iCs/>
          <w:color w:val="002060"/>
        </w:rPr>
        <w:t>“shall not apply to failing participants which are CCPs”</w:t>
      </w:r>
      <w:r w:rsidRPr="00341007">
        <w:rPr>
          <w:rFonts w:ascii="Candara" w:hAnsi="Candara"/>
          <w:color w:val="002060"/>
        </w:rPr>
        <w:t xml:space="preserve">. This drafting is broadly reflected in the current text of the CDR (recital 22 and Article 19) which refers to </w:t>
      </w:r>
      <w:r w:rsidRPr="00341007">
        <w:rPr>
          <w:rFonts w:ascii="Candara" w:hAnsi="Candara"/>
          <w:i/>
          <w:iCs/>
          <w:color w:val="002060"/>
        </w:rPr>
        <w:t>“where the failing or receiving participant is a CCP”</w:t>
      </w:r>
      <w:r w:rsidRPr="00341007">
        <w:rPr>
          <w:rFonts w:ascii="Candara" w:hAnsi="Candara"/>
          <w:color w:val="002060"/>
        </w:rPr>
        <w:t xml:space="preserve">. The proposal from ESMA to refer to </w:t>
      </w:r>
      <w:r w:rsidRPr="00341007">
        <w:rPr>
          <w:rFonts w:ascii="Candara" w:hAnsi="Candara"/>
          <w:i/>
          <w:iCs/>
          <w:color w:val="002060"/>
        </w:rPr>
        <w:t>“transactions cleared by a CCP”</w:t>
      </w:r>
      <w:r w:rsidRPr="00341007">
        <w:rPr>
          <w:rFonts w:ascii="Candara" w:hAnsi="Candara"/>
          <w:color w:val="002060"/>
        </w:rPr>
        <w:t xml:space="preserve"> in CDR Article 19 may create confusion about whether this effectively addresses the full scope of CSDR Article 7(11) or not.</w:t>
      </w:r>
    </w:p>
    <w:p w14:paraId="0F67E4F8" w14:textId="77777777" w:rsidR="00341007" w:rsidRPr="00341007" w:rsidRDefault="00341007" w:rsidP="00341007">
      <w:pPr>
        <w:pStyle w:val="body"/>
        <w:rPr>
          <w:rFonts w:ascii="Candara" w:hAnsi="Candara"/>
          <w:color w:val="002060"/>
          <w:lang w:val="en-GB" w:eastAsia="zh-CN"/>
        </w:rPr>
      </w:pPr>
      <w:r w:rsidRPr="00341007">
        <w:rPr>
          <w:rFonts w:ascii="Candara" w:hAnsi="Candara"/>
          <w:color w:val="002060"/>
        </w:rPr>
        <w:t>In line with our comment in response to Q1, we suggest continuing to use the existing terminology and referring to CCPs as failing or receiving participants in this context.</w:t>
      </w:r>
      <w:r w:rsidRPr="00341007">
        <w:rPr>
          <w:rFonts w:ascii="Candara" w:hAnsi="Candara"/>
          <w:color w:val="002060"/>
          <w:lang w:val="en-GB" w:eastAsia="zh-CN"/>
        </w:rPr>
        <w:t xml:space="preserve"> Please see our proposal below.</w:t>
      </w:r>
    </w:p>
    <w:p w14:paraId="4C07F34C" w14:textId="77777777" w:rsidR="00341007" w:rsidRPr="00341007" w:rsidRDefault="00341007" w:rsidP="00E375CF">
      <w:pPr>
        <w:rPr>
          <w:rFonts w:ascii="Candara" w:hAnsi="Candara"/>
          <w:i/>
          <w:iCs/>
          <w:color w:val="002060"/>
          <w:lang w:eastAsia="zh-CN"/>
        </w:rPr>
      </w:pPr>
      <w:r w:rsidRPr="00341007">
        <w:rPr>
          <w:rFonts w:ascii="Candara" w:hAnsi="Candara"/>
          <w:i/>
          <w:iCs/>
          <w:color w:val="002060"/>
          <w:lang w:eastAsia="zh-CN"/>
        </w:rPr>
        <w:t xml:space="preserve">Article 19 - Penalty mechanism </w:t>
      </w:r>
      <w:r w:rsidRPr="00341007">
        <w:rPr>
          <w:rFonts w:ascii="Candara" w:hAnsi="Candara"/>
          <w:i/>
          <w:iCs/>
          <w:strike/>
          <w:color w:val="002060"/>
          <w:lang w:eastAsia="zh-CN"/>
        </w:rPr>
        <w:t xml:space="preserve">for transactions cleared by a CCP  </w:t>
      </w:r>
      <w:r w:rsidRPr="00341007">
        <w:rPr>
          <w:rFonts w:ascii="Candara" w:hAnsi="Candara"/>
          <w:b/>
          <w:bCs/>
          <w:i/>
          <w:iCs/>
          <w:color w:val="002060"/>
          <w:lang w:eastAsia="zh-CN"/>
        </w:rPr>
        <w:t>where the participant is a CCP</w:t>
      </w:r>
    </w:p>
    <w:p w14:paraId="680D7802" w14:textId="77777777" w:rsidR="00341007" w:rsidRPr="00D124E4" w:rsidRDefault="00341007" w:rsidP="00E375CF">
      <w:pPr>
        <w:jc w:val="both"/>
        <w:rPr>
          <w:rFonts w:ascii="Candara" w:hAnsi="Candara"/>
          <w:i/>
          <w:iCs/>
          <w:color w:val="002060"/>
          <w:lang w:eastAsia="zh-CN"/>
        </w:rPr>
      </w:pPr>
      <w:r w:rsidRPr="007962EB">
        <w:rPr>
          <w:rFonts w:ascii="Candara" w:hAnsi="Candara"/>
          <w:i/>
          <w:iCs/>
          <w:color w:val="002060"/>
          <w:lang w:eastAsia="zh-CN"/>
        </w:rPr>
        <w:t>“</w:t>
      </w:r>
      <w:r w:rsidRPr="007962EB">
        <w:rPr>
          <w:rFonts w:ascii="Candara" w:hAnsi="Candara"/>
          <w:i/>
          <w:iCs/>
          <w:strike/>
          <w:color w:val="002060"/>
          <w:lang w:eastAsia="zh-CN"/>
        </w:rPr>
        <w:t>With respect to settlement fails related to transactions cleared by CCPs</w:t>
      </w:r>
      <w:r w:rsidRPr="007962EB">
        <w:rPr>
          <w:rFonts w:ascii="Candara" w:hAnsi="Candara"/>
          <w:i/>
          <w:iCs/>
          <w:color w:val="002060"/>
          <w:lang w:eastAsia="zh-CN"/>
        </w:rPr>
        <w:t xml:space="preserve"> </w:t>
      </w:r>
      <w:r w:rsidRPr="00D124E4">
        <w:rPr>
          <w:rFonts w:ascii="Candara" w:hAnsi="Candara"/>
          <w:b/>
          <w:bCs/>
          <w:i/>
          <w:iCs/>
          <w:color w:val="002060"/>
          <w:lang w:eastAsia="zh-CN"/>
        </w:rPr>
        <w:t>Where the failing or the receiving participant is a CCP</w:t>
      </w:r>
      <w:r w:rsidRPr="00D124E4">
        <w:rPr>
          <w:rFonts w:ascii="Candara" w:hAnsi="Candara"/>
          <w:i/>
          <w:iCs/>
          <w:color w:val="002060"/>
          <w:lang w:eastAsia="zh-CN"/>
        </w:rPr>
        <w:t>,</w:t>
      </w:r>
    </w:p>
    <w:p w14:paraId="125EC852" w14:textId="49B5E548" w:rsidR="00341007" w:rsidRPr="002369CE" w:rsidRDefault="00341007" w:rsidP="00341007">
      <w:pPr>
        <w:pStyle w:val="ListParagraph"/>
        <w:numPr>
          <w:ilvl w:val="0"/>
          <w:numId w:val="31"/>
        </w:numPr>
        <w:tabs>
          <w:tab w:val="clear" w:pos="0"/>
          <w:tab w:val="clear" w:pos="142"/>
          <w:tab w:val="clear" w:pos="284"/>
          <w:tab w:val="clear" w:pos="567"/>
        </w:tabs>
        <w:autoSpaceDE/>
        <w:autoSpaceDN/>
        <w:adjustRightInd/>
        <w:spacing w:line="240" w:lineRule="auto"/>
        <w:ind w:left="426"/>
        <w:rPr>
          <w:rFonts w:ascii="Candara" w:eastAsia="Times New Roman" w:hAnsi="Candara"/>
          <w:i/>
          <w:iCs/>
          <w:color w:val="002060"/>
          <w:sz w:val="24"/>
          <w:szCs w:val="24"/>
          <w:lang w:eastAsia="zh-CN"/>
        </w:rPr>
      </w:pPr>
      <w:r w:rsidRPr="00D124E4">
        <w:rPr>
          <w:rFonts w:ascii="Candara" w:eastAsia="Times New Roman" w:hAnsi="Candara"/>
          <w:i/>
          <w:iCs/>
          <w:color w:val="002060"/>
          <w:sz w:val="24"/>
          <w:szCs w:val="24"/>
          <w:lang w:eastAsia="zh-CN"/>
        </w:rPr>
        <w:t>CSDs shall</w:t>
      </w:r>
      <w:r>
        <w:rPr>
          <w:rFonts w:ascii="Candara" w:eastAsia="Times New Roman" w:hAnsi="Candara"/>
          <w:i/>
          <w:iCs/>
          <w:color w:val="002060"/>
          <w:sz w:val="24"/>
          <w:szCs w:val="24"/>
          <w:lang w:eastAsia="zh-CN"/>
        </w:rPr>
        <w:t>:</w:t>
      </w:r>
    </w:p>
    <w:p w14:paraId="5937A830" w14:textId="77777777" w:rsidR="00341007" w:rsidRPr="007962EB" w:rsidRDefault="00341007" w:rsidP="00341007">
      <w:pPr>
        <w:pStyle w:val="ListParagraph"/>
        <w:numPr>
          <w:ilvl w:val="0"/>
          <w:numId w:val="32"/>
        </w:numPr>
        <w:tabs>
          <w:tab w:val="clear" w:pos="0"/>
          <w:tab w:val="clear" w:pos="142"/>
          <w:tab w:val="clear" w:pos="284"/>
          <w:tab w:val="clear" w:pos="567"/>
        </w:tabs>
        <w:autoSpaceDE/>
        <w:autoSpaceDN/>
        <w:adjustRightInd/>
        <w:spacing w:line="240" w:lineRule="auto"/>
        <w:rPr>
          <w:rFonts w:ascii="Candara" w:hAnsi="Candara"/>
          <w:i/>
          <w:iCs/>
          <w:color w:val="002060"/>
          <w:sz w:val="24"/>
          <w:szCs w:val="24"/>
        </w:rPr>
      </w:pPr>
      <w:r w:rsidRPr="007962EB">
        <w:rPr>
          <w:rFonts w:ascii="Candara" w:hAnsi="Candara"/>
          <w:i/>
          <w:iCs/>
          <w:color w:val="002060"/>
          <w:sz w:val="24"/>
          <w:szCs w:val="24"/>
        </w:rPr>
        <w:t xml:space="preserve">calculate and apply the cash penalties in accordance with Article 16; </w:t>
      </w:r>
    </w:p>
    <w:p w14:paraId="473C0E55" w14:textId="77777777" w:rsidR="00341007" w:rsidRPr="00D124E4" w:rsidRDefault="00341007" w:rsidP="00341007">
      <w:pPr>
        <w:pStyle w:val="ListParagraph"/>
        <w:numPr>
          <w:ilvl w:val="0"/>
          <w:numId w:val="32"/>
        </w:numPr>
        <w:tabs>
          <w:tab w:val="clear" w:pos="0"/>
          <w:tab w:val="clear" w:pos="142"/>
          <w:tab w:val="clear" w:pos="284"/>
          <w:tab w:val="clear" w:pos="567"/>
        </w:tabs>
        <w:autoSpaceDE/>
        <w:autoSpaceDN/>
        <w:adjustRightInd/>
        <w:spacing w:line="240" w:lineRule="auto"/>
        <w:rPr>
          <w:rFonts w:ascii="Candara" w:eastAsia="Times New Roman" w:hAnsi="Candara"/>
          <w:i/>
          <w:iCs/>
          <w:color w:val="002060"/>
          <w:sz w:val="24"/>
          <w:szCs w:val="24"/>
          <w:lang w:eastAsia="zh-CN"/>
        </w:rPr>
      </w:pPr>
      <w:r w:rsidRPr="007962EB">
        <w:rPr>
          <w:rFonts w:ascii="Candara" w:hAnsi="Candara"/>
          <w:i/>
          <w:iCs/>
          <w:color w:val="002060"/>
          <w:sz w:val="24"/>
          <w:szCs w:val="24"/>
        </w:rPr>
        <w:t>collect from and distribute to their participants the net amount of cash penalties in accordance with Article 17</w:t>
      </w:r>
      <w:r w:rsidRPr="007962EB">
        <w:rPr>
          <w:rFonts w:ascii="Candara" w:hAnsi="Candara"/>
          <w:b/>
          <w:bCs/>
          <w:i/>
          <w:iCs/>
          <w:color w:val="002060"/>
          <w:sz w:val="24"/>
          <w:szCs w:val="24"/>
        </w:rPr>
        <w:t>; and</w:t>
      </w:r>
    </w:p>
    <w:p w14:paraId="65FEA500" w14:textId="77777777" w:rsidR="00341007" w:rsidRPr="00D124E4" w:rsidRDefault="00341007" w:rsidP="00341007">
      <w:pPr>
        <w:pStyle w:val="ListParagraph"/>
        <w:numPr>
          <w:ilvl w:val="0"/>
          <w:numId w:val="32"/>
        </w:numPr>
        <w:tabs>
          <w:tab w:val="clear" w:pos="0"/>
          <w:tab w:val="clear" w:pos="142"/>
          <w:tab w:val="clear" w:pos="284"/>
          <w:tab w:val="clear" w:pos="567"/>
        </w:tabs>
        <w:autoSpaceDE/>
        <w:autoSpaceDN/>
        <w:adjustRightInd/>
        <w:spacing w:line="240" w:lineRule="auto"/>
        <w:rPr>
          <w:rFonts w:ascii="Candara" w:eastAsia="Times New Roman" w:hAnsi="Candara"/>
          <w:i/>
          <w:iCs/>
          <w:color w:val="002060"/>
          <w:sz w:val="24"/>
          <w:szCs w:val="24"/>
          <w:lang w:eastAsia="zh-CN"/>
        </w:rPr>
      </w:pPr>
      <w:r w:rsidRPr="007962EB">
        <w:rPr>
          <w:rFonts w:ascii="Candara" w:hAnsi="Candara"/>
          <w:i/>
          <w:iCs/>
          <w:color w:val="002060"/>
          <w:sz w:val="24"/>
          <w:szCs w:val="24"/>
        </w:rPr>
        <w:t xml:space="preserve">manage costs relating to the application of the cash penalties mechanism to such transactions in accordance with Article 18. </w:t>
      </w:r>
    </w:p>
    <w:p w14:paraId="0741669C" w14:textId="77777777" w:rsidR="00341007" w:rsidRPr="00D124E4" w:rsidRDefault="00341007" w:rsidP="00341007">
      <w:pPr>
        <w:pStyle w:val="ListParagraph"/>
        <w:numPr>
          <w:ilvl w:val="0"/>
          <w:numId w:val="31"/>
        </w:numPr>
        <w:tabs>
          <w:tab w:val="clear" w:pos="0"/>
          <w:tab w:val="clear" w:pos="142"/>
          <w:tab w:val="clear" w:pos="284"/>
          <w:tab w:val="clear" w:pos="567"/>
        </w:tabs>
        <w:autoSpaceDE/>
        <w:autoSpaceDN/>
        <w:adjustRightInd/>
        <w:spacing w:line="240" w:lineRule="auto"/>
        <w:ind w:left="426"/>
        <w:rPr>
          <w:rFonts w:ascii="Candara" w:eastAsia="Times New Roman" w:hAnsi="Candara"/>
          <w:i/>
          <w:iCs/>
          <w:color w:val="002060"/>
          <w:sz w:val="24"/>
          <w:szCs w:val="24"/>
          <w:lang w:eastAsia="zh-CN"/>
        </w:rPr>
      </w:pPr>
      <w:r w:rsidRPr="007962EB">
        <w:rPr>
          <w:rFonts w:ascii="Candara" w:eastAsia="Times New Roman" w:hAnsi="Candara"/>
          <w:i/>
          <w:iCs/>
          <w:color w:val="002060"/>
          <w:sz w:val="24"/>
          <w:szCs w:val="24"/>
          <w:lang w:eastAsia="zh-CN"/>
        </w:rPr>
        <w:t>CCPs may allocate to their clearing members the net amount of penalties, credit or debit, received from or paid to the other CSD participants pursuant to point (a). In such cases, CCPs shall establish relevant mechanism in their rules.”</w:t>
      </w:r>
    </w:p>
    <w:p w14:paraId="4D5900FE" w14:textId="77777777" w:rsidR="00341007" w:rsidRDefault="00341007" w:rsidP="00A31F09">
      <w:pPr>
        <w:rPr>
          <w:rFonts w:ascii="Candara" w:hAnsi="Candara"/>
          <w:color w:val="002060"/>
        </w:rPr>
      </w:pPr>
    </w:p>
    <w:p w14:paraId="5DBCCA15" w14:textId="77777777" w:rsidR="004902DA" w:rsidRDefault="00341007" w:rsidP="00A31F09">
      <w:pPr>
        <w:rPr>
          <w:rFonts w:ascii="Candara" w:hAnsi="Candara"/>
          <w:color w:val="002060"/>
        </w:rPr>
      </w:pPr>
      <w:r>
        <w:rPr>
          <w:rFonts w:ascii="Candara" w:hAnsi="Candara"/>
          <w:color w:val="002060"/>
        </w:rPr>
        <w:t xml:space="preserve">As indicated in our response to Q1, </w:t>
      </w:r>
      <w:r w:rsidRPr="00A22246">
        <w:rPr>
          <w:rFonts w:ascii="Candara" w:hAnsi="Candara"/>
          <w:color w:val="002060"/>
        </w:rPr>
        <w:t xml:space="preserve">ECSDA is not providing quantitative data </w:t>
      </w:r>
      <w:r>
        <w:rPr>
          <w:rFonts w:ascii="Candara" w:hAnsi="Candara"/>
          <w:color w:val="002060"/>
        </w:rPr>
        <w:t>on</w:t>
      </w:r>
      <w:r w:rsidRPr="00A22246">
        <w:rPr>
          <w:rFonts w:ascii="Candara" w:hAnsi="Candara"/>
          <w:color w:val="002060"/>
        </w:rPr>
        <w:t xml:space="preserve"> the ESMA amendment proposal</w:t>
      </w:r>
      <w:r>
        <w:rPr>
          <w:rFonts w:ascii="Candara" w:hAnsi="Candara"/>
          <w:color w:val="002060"/>
        </w:rPr>
        <w:t>s</w:t>
      </w:r>
      <w:r w:rsidRPr="00A22246">
        <w:rPr>
          <w:rFonts w:ascii="Candara" w:hAnsi="Candara"/>
          <w:color w:val="002060"/>
        </w:rPr>
        <w:t>.</w:t>
      </w:r>
    </w:p>
    <w:permEnd w:id="2081231068"/>
    <w:p w14:paraId="58994ED7" w14:textId="1DDA60B5" w:rsidR="00A31F09" w:rsidRDefault="00A31F09" w:rsidP="00A31F09">
      <w:r>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632D91EC" w14:textId="77777777" w:rsidR="00341007" w:rsidRPr="00341007" w:rsidRDefault="00341007" w:rsidP="00341007">
      <w:pPr>
        <w:ind w:left="-360"/>
        <w:rPr>
          <w:rFonts w:ascii="Candara" w:hAnsi="Candara"/>
          <w:color w:val="002060"/>
        </w:rPr>
      </w:pPr>
      <w:permStart w:id="1439189165" w:edGrp="everyone"/>
      <w:r w:rsidRPr="00341007">
        <w:rPr>
          <w:rFonts w:ascii="Candara" w:hAnsi="Candara"/>
          <w:color w:val="002060"/>
        </w:rPr>
        <w:t xml:space="preserve">Although we cannot commit on behalf of specific ECSDA Members, ECSDA CSDs generally support a minimum six-month delay after the publication of the changes in the EU Official Journal for the actual implementation of the change. </w:t>
      </w:r>
    </w:p>
    <w:p w14:paraId="6643E7CB" w14:textId="77777777" w:rsidR="00341007" w:rsidRPr="00341007" w:rsidRDefault="00341007" w:rsidP="00341007">
      <w:pPr>
        <w:ind w:left="-360"/>
        <w:rPr>
          <w:rFonts w:ascii="Candara" w:hAnsi="Candara"/>
          <w:color w:val="002060"/>
        </w:rPr>
      </w:pPr>
    </w:p>
    <w:p w14:paraId="56204783" w14:textId="77777777" w:rsidR="00341007" w:rsidRPr="00341007" w:rsidRDefault="00341007" w:rsidP="00341007">
      <w:pPr>
        <w:ind w:left="-360"/>
        <w:rPr>
          <w:rFonts w:ascii="Candara" w:hAnsi="Candara"/>
          <w:iCs/>
          <w:color w:val="002060"/>
        </w:rPr>
      </w:pPr>
      <w:r w:rsidRPr="00341007">
        <w:rPr>
          <w:rFonts w:ascii="Candara" w:hAnsi="Candara"/>
          <w:color w:val="002060"/>
        </w:rPr>
        <w:lastRenderedPageBreak/>
        <w:t>As highlighted by ECSDA in previous exchanges, some CSDs would appreciate having twelve months, due to internal governance and IT releases schedule.</w:t>
      </w:r>
      <w:r w:rsidRPr="00341007">
        <w:rPr>
          <w:rFonts w:ascii="Candara" w:hAnsi="Candara"/>
          <w:iCs/>
          <w:color w:val="002060"/>
        </w:rPr>
        <w:t xml:space="preserve"> In this context, ECSDA would appreciate for ESMA to provide an indicative timing for the publication of the amendment in the Official Journal as soon as possible.</w:t>
      </w:r>
    </w:p>
    <w:p w14:paraId="2F645497" w14:textId="77777777" w:rsidR="00341007" w:rsidRPr="00341007" w:rsidRDefault="00341007" w:rsidP="00341007">
      <w:pPr>
        <w:ind w:left="-360"/>
        <w:rPr>
          <w:rFonts w:ascii="Candara" w:hAnsi="Candara"/>
          <w:i/>
          <w:color w:val="002060"/>
        </w:rPr>
      </w:pPr>
    </w:p>
    <w:p w14:paraId="7480158E" w14:textId="4B004136" w:rsidR="00341007" w:rsidRPr="00341007" w:rsidRDefault="00341007" w:rsidP="00341007">
      <w:pPr>
        <w:ind w:left="-360"/>
        <w:rPr>
          <w:rFonts w:ascii="Candara" w:hAnsi="Candara"/>
          <w:color w:val="002060"/>
        </w:rPr>
      </w:pPr>
      <w:r w:rsidRPr="00341007">
        <w:rPr>
          <w:rFonts w:ascii="Candara" w:hAnsi="Candara"/>
          <w:color w:val="002060"/>
        </w:rPr>
        <w:t xml:space="preserve">Moreover, it is essential that ESMA specifies that the implementation date of the new regime considers the monthly penalties lifecycle. </w:t>
      </w:r>
      <w:r w:rsidRPr="00341007">
        <w:rPr>
          <w:rFonts w:ascii="Candara" w:hAnsi="Candara"/>
          <w:b/>
          <w:bCs/>
          <w:color w:val="002060"/>
        </w:rPr>
        <w:t xml:space="preserve">The change should be implemented as of the first business day of the month for any settlement fails in the scope of CDR that occurred on that day and after. </w:t>
      </w:r>
      <w:r w:rsidRPr="00341007">
        <w:rPr>
          <w:rFonts w:ascii="Candara" w:hAnsi="Candara"/>
          <w:color w:val="002060"/>
        </w:rPr>
        <w:t>This will avoid the need to maintain and apply multiple penalties reporting and payment mechanisms in the same month (for which the current systems are not conceived).</w:t>
      </w:r>
    </w:p>
    <w:permEnd w:id="1439189165"/>
    <w:p w14:paraId="031D9D4B" w14:textId="77777777" w:rsidR="00A31F09" w:rsidRDefault="00A31F09" w:rsidP="00A31F09">
      <w:r>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DD1D" w14:textId="77777777" w:rsidR="00332ADF" w:rsidRDefault="00332ADF" w:rsidP="007E7997">
      <w:r>
        <w:separator/>
      </w:r>
    </w:p>
  </w:endnote>
  <w:endnote w:type="continuationSeparator" w:id="0">
    <w:p w14:paraId="5958BE3E" w14:textId="77777777" w:rsidR="00332ADF" w:rsidRDefault="00332ADF" w:rsidP="007E7997">
      <w:r>
        <w:continuationSeparator/>
      </w:r>
    </w:p>
  </w:endnote>
  <w:endnote w:type="continuationNotice" w:id="1">
    <w:p w14:paraId="2BCC7CCA" w14:textId="77777777" w:rsidR="00332ADF" w:rsidRDefault="00332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5D54" w14:textId="77777777" w:rsidR="00332ADF" w:rsidRDefault="00332ADF" w:rsidP="007E7997">
      <w:r>
        <w:separator/>
      </w:r>
    </w:p>
  </w:footnote>
  <w:footnote w:type="continuationSeparator" w:id="0">
    <w:p w14:paraId="6BD35231" w14:textId="77777777" w:rsidR="00332ADF" w:rsidRDefault="00332ADF" w:rsidP="007E7997">
      <w:r>
        <w:continuationSeparator/>
      </w:r>
    </w:p>
  </w:footnote>
  <w:footnote w:type="continuationNotice" w:id="1">
    <w:p w14:paraId="4DBA775B" w14:textId="77777777" w:rsidR="00332ADF" w:rsidRDefault="00332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Header"/>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D8F23"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22A46"/>
    <w:multiLevelType w:val="hybridMultilevel"/>
    <w:tmpl w:val="C0342CD4"/>
    <w:lvl w:ilvl="0" w:tplc="4CF6C91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64D4D7B"/>
    <w:multiLevelType w:val="hybridMultilevel"/>
    <w:tmpl w:val="3F48FDA8"/>
    <w:lvl w:ilvl="0" w:tplc="20000005">
      <w:start w:val="1"/>
      <w:numFmt w:val="bullet"/>
      <w:lvlText w:val=""/>
      <w:lvlJc w:val="left"/>
      <w:pPr>
        <w:ind w:left="765" w:hanging="360"/>
      </w:pPr>
      <w:rPr>
        <w:rFonts w:ascii="Wingdings" w:hAnsi="Wingdings"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3"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B63586"/>
    <w:multiLevelType w:val="hybridMultilevel"/>
    <w:tmpl w:val="3D5C7C36"/>
    <w:lvl w:ilvl="0" w:tplc="779C30C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4"/>
  </w:num>
  <w:num w:numId="2" w16cid:durableId="1495532731">
    <w:abstractNumId w:val="4"/>
  </w:num>
  <w:num w:numId="3" w16cid:durableId="994409496">
    <w:abstractNumId w:val="24"/>
  </w:num>
  <w:num w:numId="4" w16cid:durableId="1880320868">
    <w:abstractNumId w:val="5"/>
  </w:num>
  <w:num w:numId="5" w16cid:durableId="290864581">
    <w:abstractNumId w:val="14"/>
  </w:num>
  <w:num w:numId="6" w16cid:durableId="952590553">
    <w:abstractNumId w:val="26"/>
  </w:num>
  <w:num w:numId="7" w16cid:durableId="1159686949">
    <w:abstractNumId w:val="13"/>
  </w:num>
  <w:num w:numId="8" w16cid:durableId="765269892">
    <w:abstractNumId w:val="7"/>
  </w:num>
  <w:num w:numId="9" w16cid:durableId="1301960395">
    <w:abstractNumId w:val="10"/>
  </w:num>
  <w:num w:numId="10" w16cid:durableId="1228616548">
    <w:abstractNumId w:val="9"/>
  </w:num>
  <w:num w:numId="11" w16cid:durableId="2051027016">
    <w:abstractNumId w:val="8"/>
  </w:num>
  <w:num w:numId="12" w16cid:durableId="8338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7"/>
  </w:num>
  <w:num w:numId="15" w16cid:durableId="986476960">
    <w:abstractNumId w:val="20"/>
  </w:num>
  <w:num w:numId="16" w16cid:durableId="398749299">
    <w:abstractNumId w:val="25"/>
  </w:num>
  <w:num w:numId="17" w16cid:durableId="1407611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1"/>
  </w:num>
  <w:num w:numId="19" w16cid:durableId="558588771">
    <w:abstractNumId w:val="26"/>
  </w:num>
  <w:num w:numId="20" w16cid:durableId="1306933315">
    <w:abstractNumId w:val="12"/>
  </w:num>
  <w:num w:numId="21" w16cid:durableId="1623876054">
    <w:abstractNumId w:val="23"/>
  </w:num>
  <w:num w:numId="22" w16cid:durableId="783383837">
    <w:abstractNumId w:val="15"/>
  </w:num>
  <w:num w:numId="23" w16cid:durableId="2112964618">
    <w:abstractNumId w:val="19"/>
  </w:num>
  <w:num w:numId="24" w16cid:durableId="1958565453">
    <w:abstractNumId w:val="0"/>
  </w:num>
  <w:num w:numId="25" w16cid:durableId="1372725395">
    <w:abstractNumId w:val="18"/>
  </w:num>
  <w:num w:numId="26" w16cid:durableId="1686445133">
    <w:abstractNumId w:val="16"/>
  </w:num>
  <w:num w:numId="27" w16cid:durableId="1247768697">
    <w:abstractNumId w:val="11"/>
  </w:num>
  <w:num w:numId="28" w16cid:durableId="954170948">
    <w:abstractNumId w:val="3"/>
  </w:num>
  <w:num w:numId="29" w16cid:durableId="837424337">
    <w:abstractNumId w:val="17"/>
  </w:num>
  <w:num w:numId="30" w16cid:durableId="299657983">
    <w:abstractNumId w:val="6"/>
  </w:num>
  <w:num w:numId="31" w16cid:durableId="815072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609480">
    <w:abstractNumId w:val="22"/>
  </w:num>
  <w:num w:numId="33" w16cid:durableId="134493830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0sTQzNzYytLQ0NTRW0lEKTi0uzszPAykwrAUABmshRywAAAA="/>
  </w:docVars>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1AF0"/>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369CE"/>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2ADF"/>
    <w:rsid w:val="0033324D"/>
    <w:rsid w:val="0033587C"/>
    <w:rsid w:val="00336BF9"/>
    <w:rsid w:val="003371E8"/>
    <w:rsid w:val="00337471"/>
    <w:rsid w:val="00341007"/>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02DA"/>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4A23"/>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41007"/>
    <w:pPr>
      <w:spacing w:before="100" w:beforeAutospacing="1" w:after="100" w:afterAutospacing="1"/>
    </w:pPr>
    <w:rPr>
      <w:rFonts w:ascii="Calibri" w:eastAsiaTheme="minorHAnsi" w:hAnsi="Calibri" w:cs="Calibri"/>
      <w:sz w:val="22"/>
      <w:szCs w:val="22"/>
      <w:lang w:val="en-BE" w:eastAsia="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sma.europa.eu/press-news/consultations/consultation-paper-amendment-article-19-csdr-rts-settlement-discipline" TargetMode="External"/><Relationship Id="rId2" Type="http://schemas.openxmlformats.org/officeDocument/2006/relationships/customXml" Target="../customXml/item2.xml"/><Relationship Id="rId16" Type="http://schemas.openxmlformats.org/officeDocument/2006/relationships/hyperlink" Target="http://www.esma.europa.eu/legal-no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b21993-ce11-4ddf-a65b-24cbd7bc94d0">
      <Value>14</Value>
      <Value>1744</Value>
      <Value>1748</Value>
      <Value>484</Value>
      <Value>91</Value>
    </TaxCatchAll>
    <lcf76f155ced4ddcb4097134ff3c332f xmlns="35e1946b-fef1-4c4b-941f-d1055d26aa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5B5139E7AC14EB152C526099D042F" ma:contentTypeVersion="15" ma:contentTypeDescription="Create a new document." ma:contentTypeScope="" ma:versionID="20995526ac12b64c501fa8525cd8ee76">
  <xsd:schema xmlns:xsd="http://www.w3.org/2001/XMLSchema" xmlns:xs="http://www.w3.org/2001/XMLSchema" xmlns:p="http://schemas.microsoft.com/office/2006/metadata/properties" xmlns:ns2="5dd7d9a2-19fe-4da7-b1b5-7993cafc840d" xmlns:ns3="35e1946b-fef1-4c4b-941f-d1055d26aaba" xmlns:ns4="d8b21993-ce11-4ddf-a65b-24cbd7bc94d0" targetNamespace="http://schemas.microsoft.com/office/2006/metadata/properties" ma:root="true" ma:fieldsID="f1599d07298f6f39e3aac08c887cb6eb" ns2:_="" ns3:_="" ns4:_="">
    <xsd:import namespace="5dd7d9a2-19fe-4da7-b1b5-7993cafc840d"/>
    <xsd:import namespace="35e1946b-fef1-4c4b-941f-d1055d26aaba"/>
    <xsd:import namespace="d8b21993-ce11-4ddf-a65b-24cbd7bc94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7d9a2-19fe-4da7-b1b5-7993cafc84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1946b-fef1-4c4b-941f-d1055d26aab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b796ad-c845-4334-9eb7-2cb8c3c86e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b21993-ce11-4ddf-a65b-24cbd7bc94d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3443dbb-b4ee-47b0-a9ca-7a0380ebe64c}" ma:internalName="TaxCatchAll" ma:showField="CatchAllData" ma:web="d8b21993-ce11-4ddf-a65b-24cbd7bc9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F5EE-E87B-49CE-96B5-F95CE63A0DF2}">
  <ds:schemaRefs>
    <ds:schemaRef ds:uri="5dd7d9a2-19fe-4da7-b1b5-7993cafc840d"/>
    <ds:schemaRef ds:uri="http://purl.org/dc/elements/1.1/"/>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d8b21993-ce11-4ddf-a65b-24cbd7bc94d0"/>
    <ds:schemaRef ds:uri="35e1946b-fef1-4c4b-941f-d1055d26aaba"/>
    <ds:schemaRef ds:uri="http://schemas.microsoft.com/office/2006/metadata/properties"/>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C3FA0C1E-001A-463C-B3F0-EF2103823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7d9a2-19fe-4da7-b1b5-7993cafc840d"/>
    <ds:schemaRef ds:uri="35e1946b-fef1-4c4b-941f-d1055d26aaba"/>
    <ds:schemaRef ds:uri="d8b21993-ce11-4ddf-a65b-24cbd7bc9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7</Pages>
  <Words>1339</Words>
  <Characters>7638</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Anna Kulik</cp:lastModifiedBy>
  <cp:revision>2</cp:revision>
  <cp:lastPrinted>2017-07-24T14:47:00Z</cp:lastPrinted>
  <dcterms:created xsi:type="dcterms:W3CDTF">2022-09-09T14:26:00Z</dcterms:created>
  <dcterms:modified xsi:type="dcterms:W3CDTF">2022-09-09T14:26:00Z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0x01010004C5B5139E7AC14EB152C526099D042F</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