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FB909B7"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the clearing and derivative trading obligations in view of the 2022 status of the benchmark transition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35DD5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w:t>
          </w:r>
          <w:r w:rsidR="00871163">
            <w:rPr>
              <w:rFonts w:eastAsiaTheme="minorEastAsia" w:cstheme="minorBidi"/>
              <w:sz w:val="18"/>
              <w:szCs w:val="16"/>
              <w:lang w:eastAsia="en-US"/>
            </w:rPr>
            <w:t>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2987571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w:t>
          </w:r>
          <w:r w:rsidR="00871163">
            <w:rPr>
              <w:rFonts w:eastAsiaTheme="minorEastAsia" w:cstheme="minorBidi"/>
              <w:sz w:val="18"/>
              <w:szCs w:val="16"/>
              <w:lang w:eastAsia="en-US"/>
            </w:rPr>
            <w:t>R</w:t>
          </w:r>
          <w:r w:rsidRPr="00A409C2">
            <w:rPr>
              <w:rFonts w:eastAsiaTheme="minorEastAsia" w:cstheme="minorBidi"/>
              <w:sz w:val="18"/>
              <w:szCs w:val="16"/>
              <w:lang w:eastAsia="en-US"/>
            </w:rPr>
            <w:t>_nameofrespondent_RESPONSEFORM. For example, for a respondent named ABCD, the response form would be entitled ESMA_RFRS_ABCD_RESPONSEFORM.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5"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6"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1B8BB60C" w:rsidR="00C85C8B" w:rsidRPr="00B16706" w:rsidRDefault="00B01180" w:rsidP="00C85C8B">
                <w:pPr>
                  <w:rPr>
                    <w:rFonts w:ascii="Arial" w:hAnsi="Arial" w:cs="Arial"/>
                    <w:color w:val="808080"/>
                    <w:sz w:val="16"/>
                    <w:szCs w:val="20"/>
                    <w:lang w:eastAsia="de-DE"/>
                  </w:rPr>
                </w:pPr>
                <w:r>
                  <w:rPr>
                    <w:rFonts w:ascii="Arial" w:hAnsi="Arial" w:cs="Arial"/>
                    <w:color w:val="808080"/>
                    <w:sz w:val="16"/>
                    <w:szCs w:val="20"/>
                    <w:lang w:eastAsia="de-DE"/>
                  </w:rPr>
                  <w:t>European Association of CCP Clearing Houses</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455A5DF"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01180">
                  <w:rPr>
                    <w:rFonts w:ascii="Arial" w:hAnsi="Arial" w:cs="Arial"/>
                    <w:sz w:val="16"/>
                    <w:szCs w:val="20"/>
                    <w:lang w:eastAsia="de-DE"/>
                  </w:rPr>
                  <w:t>Central Counterparty</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75475163" w:rsidR="00C85C8B" w:rsidRPr="00B16706" w:rsidRDefault="00B01180"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74BD7CEA" w:rsidR="00C85C8B" w:rsidRPr="00B16706" w:rsidRDefault="00B01180"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214F30D1" w:rsidR="00D57019" w:rsidRPr="00871163" w:rsidRDefault="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Introduction</w:t>
      </w:r>
    </w:p>
    <w:bookmarkEnd w:id="0"/>
    <w:p w14:paraId="38B80885" w14:textId="77777777" w:rsidR="00871163" w:rsidRDefault="00871163" w:rsidP="00871163">
      <w:pPr>
        <w:pStyle w:val="Questionstyle"/>
      </w:pPr>
      <w:r>
        <w:t xml:space="preserve">Are </w:t>
      </w:r>
      <w:r w:rsidRPr="00A354D9">
        <w:t>there any general comments you would like to raise?</w:t>
      </w:r>
    </w:p>
    <w:p w14:paraId="072BB0FC" w14:textId="77777777" w:rsidR="00871163" w:rsidRDefault="00871163" w:rsidP="00871163">
      <w:r>
        <w:t>&lt;ESMA_QUESTION_RFRR_1&gt;</w:t>
      </w:r>
    </w:p>
    <w:p w14:paraId="56300FD2" w14:textId="77777777" w:rsidR="0001591E" w:rsidRPr="0001591E" w:rsidRDefault="007E6EBC" w:rsidP="0001591E">
      <w:pPr>
        <w:rPr>
          <w:bCs/>
        </w:rPr>
      </w:pPr>
      <w:permStart w:id="2139645067" w:edGrp="everyone"/>
      <w:r w:rsidRPr="007E6EBC">
        <w:rPr>
          <w:bCs/>
        </w:rPr>
        <w:t xml:space="preserve"> </w:t>
      </w:r>
      <w:r w:rsidR="0001591E" w:rsidRPr="0001591E">
        <w:rPr>
          <w:bCs/>
        </w:rPr>
        <w:t xml:space="preserve">EACH welcomes ESMA’s consultation paper on the clearing and derivative trading obligations in view of the 2022 status of the benchmark transition. We support ESMA’s the proposal to extend to scope of the EU Clearing Obligation to certain Overnight Index Swaps (OIS) that reference SOFR and TONA and subsequently removing contracts referencing USD LIBOR. We have no objections with regards to the timing proposed for the entry into force of such requirement. </w:t>
      </w:r>
    </w:p>
    <w:p w14:paraId="0CDBE128" w14:textId="77777777" w:rsidR="0001591E" w:rsidRPr="0001591E" w:rsidRDefault="0001591E" w:rsidP="0001591E">
      <w:pPr>
        <w:rPr>
          <w:bCs/>
        </w:rPr>
      </w:pPr>
    </w:p>
    <w:p w14:paraId="6A59644A" w14:textId="77777777" w:rsidR="0001591E" w:rsidRPr="0001591E" w:rsidRDefault="0001591E" w:rsidP="0001591E">
      <w:pPr>
        <w:rPr>
          <w:bCs/>
        </w:rPr>
      </w:pPr>
      <w:r w:rsidRPr="0001591E">
        <w:rPr>
          <w:bCs/>
        </w:rPr>
        <w:t>We believe that the proposed modification reflects the latest developments in the market, which has observed a significant increase in USD SOFR and TONA liquidity as well as in the portion of SOFR risk traded and cleared by market participants ahead of the USD LIBOR cessation. In addition, the proposed modification is consistent with the objectives of EMIR and the G20 programme initiated in 2009, both aiming at reducing systemic risk through the requirement to clear standardised OTC derivatives contracts through CCPs. By reducing systemic risk, this in turn helps to achieve the financial stability objective of protecting and enhancing the stability of the financial system of the European Union.</w:t>
      </w:r>
    </w:p>
    <w:p w14:paraId="026963E5" w14:textId="77777777" w:rsidR="0001591E" w:rsidRPr="0001591E" w:rsidRDefault="0001591E" w:rsidP="0001591E">
      <w:pPr>
        <w:rPr>
          <w:bCs/>
        </w:rPr>
      </w:pPr>
    </w:p>
    <w:p w14:paraId="63A38954" w14:textId="202A0915" w:rsidR="007E6EBC" w:rsidRPr="007E6EBC" w:rsidRDefault="0001591E" w:rsidP="0001591E">
      <w:pPr>
        <w:rPr>
          <w:bCs/>
        </w:rPr>
      </w:pPr>
      <w:r w:rsidRPr="0001591E">
        <w:rPr>
          <w:bCs/>
        </w:rPr>
        <w:t>With the US move from USD LIBOR to SOFR in June of next year, only Euribor will remain of the major currency term rates. Any clarity that can be provided regarding the future of Euribor, including information on the next renewal of the mandate to panel banks compelling their continued submission to Euribor, would be greatly appreciated.</w:t>
      </w:r>
    </w:p>
    <w:permEnd w:id="2139645067"/>
    <w:p w14:paraId="2B0DF114" w14:textId="77777777" w:rsidR="00871163" w:rsidRDefault="00871163" w:rsidP="00871163">
      <w:r>
        <w:t>&lt;ESMA_QUESTION_RFRR_1&gt;</w:t>
      </w:r>
    </w:p>
    <w:p w14:paraId="50E65E9C" w14:textId="0B4E9737" w:rsidR="00871163" w:rsidRDefault="00871163" w:rsidP="00871163"/>
    <w:p w14:paraId="610BDAC4" w14:textId="3C0A178A"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 xml:space="preserve">General analysis </w:t>
      </w:r>
    </w:p>
    <w:p w14:paraId="6A35DE8C" w14:textId="77777777" w:rsidR="00871163" w:rsidRDefault="00871163" w:rsidP="00871163"/>
    <w:p w14:paraId="30C8786A" w14:textId="77777777" w:rsidR="00871163" w:rsidRDefault="00871163" w:rsidP="00871163">
      <w:pPr>
        <w:pStyle w:val="Questionstyle"/>
      </w:pPr>
      <w:r>
        <w:t>Are there any other aspects of the transition that need to be taken into account? Please share any data that would help qualify further the progress with the transition or any other aspects that you think should be considered.</w:t>
      </w:r>
    </w:p>
    <w:p w14:paraId="15C04A02" w14:textId="77777777" w:rsidR="00871163" w:rsidRDefault="00871163" w:rsidP="00871163">
      <w:r>
        <w:t>&lt;ESMA_QUESTION_RFRR_2&gt;</w:t>
      </w:r>
    </w:p>
    <w:p w14:paraId="0A95C757" w14:textId="77777777" w:rsidR="00CD38C1" w:rsidRPr="00CD38C1" w:rsidRDefault="00CD38C1" w:rsidP="00CD38C1">
      <w:permStart w:id="1413441955" w:edGrp="everyone"/>
      <w:r w:rsidRPr="00CD38C1">
        <w:rPr>
          <w:lang w:val="en-US"/>
        </w:rPr>
        <w:t xml:space="preserve">EACH Members consider that all the aspects of the transition stated in Section 3 cover the status of the progress of the transition </w:t>
      </w:r>
      <w:r w:rsidRPr="00CD38C1">
        <w:t>in G4 OTC derivatives. We especially appreciate the assessment by currency and notional outstanding per tenor. This shows how liquidity have moved from the “old” benchmarks to the new risk-free rates (RFR) ones.</w:t>
      </w:r>
    </w:p>
    <w:p w14:paraId="2F0D071C" w14:textId="77777777" w:rsidR="00CD38C1" w:rsidRPr="00CD38C1" w:rsidRDefault="00CD38C1" w:rsidP="00CD38C1"/>
    <w:p w14:paraId="0CE3FDDB" w14:textId="21D680FC" w:rsidR="00871163" w:rsidRDefault="00CD38C1" w:rsidP="00CD38C1">
      <w:r w:rsidRPr="00CD38C1">
        <w:t>Furthermore, we believe that the ESMA’s proposal is consistent with similar changes proposed in other major jurisdictions. The UK has now extended the scope of the UK Clearing Obligation to TONA and SOFR and the US CFTC final rule to implement similar requirements will soon be effective. We believe international alignment is key in supporting a successful benchmark transition and provide certainty to market participants.</w:t>
      </w:r>
    </w:p>
    <w:permEnd w:id="1413441955"/>
    <w:p w14:paraId="218E66D8" w14:textId="77777777" w:rsidR="00871163" w:rsidRDefault="00871163" w:rsidP="00871163">
      <w:r>
        <w:t>&lt;ESMA_QUESTION_RFRR_2&gt;</w:t>
      </w:r>
    </w:p>
    <w:p w14:paraId="6F0C2D5B" w14:textId="44794D9F" w:rsidR="00871163" w:rsidRDefault="00871163" w:rsidP="00871163"/>
    <w:p w14:paraId="5B30F570" w14:textId="1F0DAF78" w:rsidR="00871163" w:rsidRPr="00871163" w:rsidRDefault="00871163" w:rsidP="00871163">
      <w:pPr>
        <w:spacing w:after="120" w:line="264" w:lineRule="auto"/>
        <w:rPr>
          <w:rFonts w:ascii="Arial" w:hAnsi="Arial" w:cs="Arial"/>
          <w:b/>
          <w:sz w:val="22"/>
          <w:szCs w:val="22"/>
          <w:u w:val="single"/>
          <w:lang w:val="en-US" w:eastAsia="en-US"/>
        </w:rPr>
      </w:pPr>
      <w:r>
        <w:rPr>
          <w:rFonts w:ascii="Arial" w:hAnsi="Arial" w:cs="Arial"/>
          <w:b/>
          <w:sz w:val="22"/>
          <w:szCs w:val="22"/>
          <w:u w:val="single"/>
          <w:lang w:val="en-US" w:eastAsia="en-US"/>
        </w:rPr>
        <w:t>Clearing obligation</w:t>
      </w:r>
    </w:p>
    <w:p w14:paraId="7CA3A2C7" w14:textId="77777777" w:rsidR="00871163" w:rsidRDefault="00871163" w:rsidP="00871163"/>
    <w:p w14:paraId="4134E170" w14:textId="77777777" w:rsidR="00871163" w:rsidRPr="005B6B12" w:rsidRDefault="00871163" w:rsidP="00871163">
      <w:pPr>
        <w:pStyle w:val="Questionstyle"/>
      </w:pPr>
      <w:r w:rsidRPr="00ED0167">
        <w:t>Do you agree with the assessment of the EMIR criteria and with the proposed classes? Do you also agree that the maturities for SOFR OIS could be extended, including up to 50 years? If not, please detail how the assessment could differ and please also provide data and information to justify a different assessment.</w:t>
      </w:r>
    </w:p>
    <w:p w14:paraId="24B95663" w14:textId="77777777" w:rsidR="00871163" w:rsidRDefault="00871163" w:rsidP="00871163">
      <w:r>
        <w:t>&lt;ESMA_QUESTION_RFRR_3&gt;</w:t>
      </w:r>
    </w:p>
    <w:p w14:paraId="27F9199E" w14:textId="77777777" w:rsidR="004C0F24" w:rsidRPr="004C0F24" w:rsidRDefault="004C0F24" w:rsidP="004C0F24">
      <w:permStart w:id="2092976095" w:edGrp="everyone"/>
      <w:r w:rsidRPr="004C0F24">
        <w:t>EACH Members believe that the assessment of the EMIR criteria is correct and that no underlying foundations of the clearing obligation have changed, beyond the inherent to the RFR change. Degree of standardisation, availability of the pricing information and Liquidity remain good indicators of the clearing obligation’s scope. Contracts linked to the new RFR should be subject to clearing obligation.</w:t>
      </w:r>
    </w:p>
    <w:permEnd w:id="2092976095"/>
    <w:p w14:paraId="6211C235" w14:textId="77777777" w:rsidR="00871163" w:rsidRDefault="00871163" w:rsidP="00871163">
      <w:r>
        <w:t>&lt;ESMA_QUESTION_RFRR_3&gt;</w:t>
      </w:r>
    </w:p>
    <w:p w14:paraId="5E545893" w14:textId="77777777" w:rsidR="00871163" w:rsidRDefault="00871163" w:rsidP="00871163"/>
    <w:p w14:paraId="64D6D9C4" w14:textId="77777777" w:rsidR="00871163" w:rsidRDefault="00871163" w:rsidP="00871163">
      <w:pPr>
        <w:pStyle w:val="Questionstyle"/>
      </w:pPr>
      <w:r w:rsidRPr="0032419B">
        <w:t>Do you agree with the proposed implementation of the changes? if not please provide details that could justify a different implementation</w:t>
      </w:r>
      <w:r>
        <w:t>.</w:t>
      </w:r>
    </w:p>
    <w:p w14:paraId="216D104B" w14:textId="77777777" w:rsidR="00871163" w:rsidRDefault="00871163" w:rsidP="00871163">
      <w:r>
        <w:t>&lt;ESMA_QUESTION_RFRR_4&gt;</w:t>
      </w:r>
    </w:p>
    <w:p w14:paraId="3B69D3CD" w14:textId="77777777" w:rsidR="008B7A18" w:rsidRPr="008B7A18" w:rsidRDefault="008B7A18" w:rsidP="008B7A18">
      <w:pPr>
        <w:rPr>
          <w:lang w:val="en-US"/>
        </w:rPr>
      </w:pPr>
      <w:permStart w:id="234366504" w:edGrp="everyone"/>
      <w:r w:rsidRPr="008B7A18">
        <w:rPr>
          <w:lang w:val="en-BE"/>
        </w:rPr>
        <w:t xml:space="preserve">EACH has no objections with the proposed dates for when the modifications will come into force. </w:t>
      </w:r>
      <w:r w:rsidRPr="008B7A18">
        <w:rPr>
          <w:lang w:val="en-US"/>
        </w:rPr>
        <w:t>We believe that there is no need to introduce an additional phase-in order to ensure an orderly and timely implementation of the changes to the scope of the clearing obligation, as several CCPs already clear these kinds of contract.</w:t>
      </w:r>
    </w:p>
    <w:p w14:paraId="65EF3723" w14:textId="77777777" w:rsidR="008B7A18" w:rsidRPr="008B7A18" w:rsidRDefault="008B7A18" w:rsidP="008B7A18">
      <w:pPr>
        <w:rPr>
          <w:lang w:val="en-US"/>
        </w:rPr>
      </w:pPr>
    </w:p>
    <w:p w14:paraId="465E38BA" w14:textId="77777777" w:rsidR="008B7A18" w:rsidRDefault="008B7A18" w:rsidP="00871163">
      <w:pPr>
        <w:rPr>
          <w:lang w:val="en-BE"/>
        </w:rPr>
      </w:pPr>
      <w:r w:rsidRPr="008B7A18">
        <w:rPr>
          <w:lang w:val="en-BE"/>
        </w:rPr>
        <w:t>However, we note that as much notice as possible should be given to market participants for the implementation of these changes in their systems and that an implementation period of less than 3 months might be challenging for some market participants.</w:t>
      </w:r>
    </w:p>
    <w:permEnd w:id="234366504"/>
    <w:p w14:paraId="35481B3B" w14:textId="52C0B7F6" w:rsidR="00871163" w:rsidRDefault="00871163" w:rsidP="00871163">
      <w:r>
        <w:t>&lt;ESMA_QUESTION_RFRR_4&gt;</w:t>
      </w:r>
    </w:p>
    <w:p w14:paraId="2A497FF9" w14:textId="1364F895" w:rsidR="00871163" w:rsidRDefault="00871163" w:rsidP="00871163"/>
    <w:p w14:paraId="23A11544" w14:textId="6A15F785" w:rsid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Trading Obligation</w:t>
      </w:r>
    </w:p>
    <w:p w14:paraId="67C59343" w14:textId="77777777" w:rsidR="00871163" w:rsidRPr="00871163" w:rsidRDefault="00871163" w:rsidP="00871163">
      <w:pPr>
        <w:spacing w:after="120" w:line="264" w:lineRule="auto"/>
        <w:rPr>
          <w:rFonts w:ascii="Arial" w:hAnsi="Arial" w:cs="Arial"/>
          <w:b/>
          <w:sz w:val="22"/>
          <w:szCs w:val="22"/>
          <w:u w:val="single"/>
          <w:lang w:val="en-US" w:eastAsia="en-US"/>
        </w:rPr>
      </w:pPr>
    </w:p>
    <w:p w14:paraId="60BF4F9E" w14:textId="77777777" w:rsidR="00871163" w:rsidRDefault="00871163" w:rsidP="00871163">
      <w:pPr>
        <w:pStyle w:val="Questionstyle"/>
      </w:pPr>
      <w:r>
        <w:t>Do you agree with this assessment and therefore, not to introduce DTO for contracts referencing TONA, SONIA and for the time being SOFR? If not, please explain.</w:t>
      </w:r>
    </w:p>
    <w:p w14:paraId="265E4A46" w14:textId="77777777" w:rsidR="00871163" w:rsidRDefault="00871163" w:rsidP="00871163">
      <w:r>
        <w:t>&lt;ESMA_QUESTION_RFRR_5&gt;</w:t>
      </w:r>
    </w:p>
    <w:p w14:paraId="0A542C29" w14:textId="10FC4694" w:rsidR="00871163" w:rsidRDefault="00871163" w:rsidP="00871163">
      <w:permStart w:id="1682966186" w:edGrp="everyone"/>
      <w:r>
        <w:t>TYPE YOUR TEXT</w:t>
      </w:r>
      <w:r w:rsidR="008D59F9">
        <w:t xml:space="preserve"> </w:t>
      </w:r>
      <w:r>
        <w:t>HERE</w:t>
      </w:r>
    </w:p>
    <w:permEnd w:id="1682966186"/>
    <w:p w14:paraId="5A2ED45E" w14:textId="77777777" w:rsidR="00871163" w:rsidRDefault="00871163" w:rsidP="00871163">
      <w:r>
        <w:t>&lt;ESMA_QUESTION_RFRR_5&gt;</w:t>
      </w:r>
    </w:p>
    <w:p w14:paraId="5196122F" w14:textId="77777777" w:rsidR="00871163" w:rsidRDefault="00871163" w:rsidP="00871163"/>
    <w:p w14:paraId="05446E78" w14:textId="77777777" w:rsidR="00871163" w:rsidRDefault="00871163" w:rsidP="00871163">
      <w:pPr>
        <w:pStyle w:val="Questionstyle"/>
      </w:pPr>
      <w:r>
        <w:t>Do you agree with this assessment? Do you consider that also contracts with constant notional and 3 months tenor and trade start date Spot (t+0) should be subject to the DTO? If so, please specify also the other relevant standardised parameters used with those contracts. Do you consider that also contracts with constant notional and 3 years tenor and trade start date second next IMM date shall be subject to the DTO? If so, please specify also the other relevant standardised parameters used with those contracts. Should other tenors be considered for the DTO?</w:t>
      </w:r>
    </w:p>
    <w:p w14:paraId="2D4E9975" w14:textId="77777777" w:rsidR="00871163" w:rsidRDefault="00871163" w:rsidP="00871163">
      <w:r>
        <w:t>&lt;ESMA_QUESTION_RFRR_6&gt;</w:t>
      </w:r>
    </w:p>
    <w:p w14:paraId="3B61E942" w14:textId="745BCA05" w:rsidR="00871163" w:rsidRDefault="00871163" w:rsidP="00871163">
      <w:permStart w:id="1012211534" w:edGrp="everyone"/>
      <w:r>
        <w:lastRenderedPageBreak/>
        <w:t>TYPE YOUR TEXT</w:t>
      </w:r>
      <w:r w:rsidR="008D59F9">
        <w:t xml:space="preserve"> </w:t>
      </w:r>
      <w:r>
        <w:t>HERE</w:t>
      </w:r>
    </w:p>
    <w:permEnd w:id="1012211534"/>
    <w:p w14:paraId="363E54F4" w14:textId="77777777" w:rsidR="00871163" w:rsidRDefault="00871163" w:rsidP="00871163">
      <w:r>
        <w:t>&lt;ESMA_QUESTION_RFRR_6&gt;</w:t>
      </w:r>
    </w:p>
    <w:p w14:paraId="104DF587" w14:textId="77777777" w:rsidR="00871163" w:rsidRDefault="00871163" w:rsidP="00871163"/>
    <w:p w14:paraId="19D0EA34" w14:textId="77777777" w:rsidR="00871163" w:rsidRPr="00871163" w:rsidRDefault="00871163" w:rsidP="00871163">
      <w:pPr>
        <w:pStyle w:val="Questionstyle"/>
      </w:pPr>
      <w:r w:rsidRPr="00871163">
        <w:t>Do you agree with this assessment? Do you consider that also the daily floating leg reset frequency is a standardised contract feature that could be considered for the DTO?</w:t>
      </w:r>
    </w:p>
    <w:p w14:paraId="7EB57C2B" w14:textId="77777777" w:rsidR="00871163" w:rsidRDefault="00871163" w:rsidP="00871163">
      <w:r>
        <w:t>&lt;ESMA_QUESTION_RFRR_7&gt;</w:t>
      </w:r>
    </w:p>
    <w:p w14:paraId="13696F11" w14:textId="4DF9BFFF" w:rsidR="00871163" w:rsidRDefault="00871163" w:rsidP="00871163">
      <w:permStart w:id="1184186567" w:edGrp="everyone"/>
      <w:r>
        <w:t>TYPE YOUR TEXT</w:t>
      </w:r>
      <w:r w:rsidR="008D59F9">
        <w:t xml:space="preserve"> </w:t>
      </w:r>
      <w:r>
        <w:t>HERE</w:t>
      </w:r>
    </w:p>
    <w:permEnd w:id="1184186567"/>
    <w:p w14:paraId="4ED692F3" w14:textId="77777777" w:rsidR="00871163" w:rsidRDefault="00871163" w:rsidP="00871163">
      <w:r>
        <w:t>&lt;ESMA_QUESTION_RFRR_7&gt;</w:t>
      </w:r>
    </w:p>
    <w:p w14:paraId="18D061D3" w14:textId="77777777" w:rsidR="00871163" w:rsidRDefault="00871163" w:rsidP="00871163"/>
    <w:p w14:paraId="0D45A490" w14:textId="77777777" w:rsidR="00871163" w:rsidRPr="00871163" w:rsidRDefault="00871163" w:rsidP="00871163">
      <w:pPr>
        <w:pStyle w:val="Questionstyle"/>
      </w:pPr>
      <w:r w:rsidRPr="00871163">
        <w:t>Do you agree with this proposal? If not, what amendments do you think are necessary?</w:t>
      </w:r>
    </w:p>
    <w:p w14:paraId="43C6D1AC" w14:textId="77777777" w:rsidR="00871163" w:rsidRDefault="00871163" w:rsidP="00871163">
      <w:r>
        <w:t>&lt;ESMA_QUESTION_RFRR_8&gt;</w:t>
      </w:r>
    </w:p>
    <w:p w14:paraId="3D669784" w14:textId="39EA224B" w:rsidR="00871163" w:rsidRDefault="00871163" w:rsidP="00871163">
      <w:permStart w:id="585369704" w:edGrp="everyone"/>
      <w:r>
        <w:t>TYPE YOUR TEX</w:t>
      </w:r>
      <w:r w:rsidR="008D59F9">
        <w:t>T</w:t>
      </w:r>
      <w:r>
        <w:t xml:space="preserve"> HERE</w:t>
      </w:r>
    </w:p>
    <w:permEnd w:id="585369704"/>
    <w:p w14:paraId="23CF693D" w14:textId="77777777" w:rsidR="00871163" w:rsidRDefault="00871163" w:rsidP="00871163">
      <w:r>
        <w:t>&lt;ESMA_QUESTION_RFRR_8&gt;</w:t>
      </w:r>
    </w:p>
    <w:p w14:paraId="67050B2C" w14:textId="77777777" w:rsidR="00871163" w:rsidRDefault="00871163" w:rsidP="00871163"/>
    <w:p w14:paraId="478A71CC" w14:textId="77777777" w:rsidR="00871163" w:rsidRPr="00871163" w:rsidRDefault="00871163" w:rsidP="00871163">
      <w:pPr>
        <w:pStyle w:val="Questionstyle"/>
      </w:pPr>
      <w:r w:rsidRPr="00871163">
        <w:t>Do you agree with proposing to not provide for an implementation period for the entry into force of the amended DTO? If not, please explain.</w:t>
      </w:r>
    </w:p>
    <w:p w14:paraId="253C7EA5" w14:textId="77777777" w:rsidR="00871163" w:rsidRDefault="00871163" w:rsidP="00871163">
      <w:r>
        <w:t>&lt;ESMA_QUESTION_RFRR_9&gt;</w:t>
      </w:r>
    </w:p>
    <w:p w14:paraId="1CD34A1F" w14:textId="77777777" w:rsidR="00871163" w:rsidRDefault="00871163" w:rsidP="00871163">
      <w:permStart w:id="1970031820" w:edGrp="everyone"/>
      <w:r>
        <w:t>TYPE YOUR TEXT HERE</w:t>
      </w:r>
    </w:p>
    <w:permEnd w:id="1970031820"/>
    <w:p w14:paraId="70CF5A5B" w14:textId="21AF6B66" w:rsidR="00871163" w:rsidRDefault="00871163" w:rsidP="00871163">
      <w:r>
        <w:t>&lt;ESMA_QUESTION_RFRR_9&gt;</w:t>
      </w:r>
    </w:p>
    <w:p w14:paraId="61B7FDC5" w14:textId="6A8F66F9" w:rsidR="00871163" w:rsidRDefault="00871163" w:rsidP="00871163"/>
    <w:p w14:paraId="1A6E5AB1" w14:textId="65F55A9D"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Cost-benefit analysis</w:t>
      </w:r>
    </w:p>
    <w:p w14:paraId="5DCA3FC1" w14:textId="77777777" w:rsidR="00871163" w:rsidRDefault="00871163" w:rsidP="00871163"/>
    <w:p w14:paraId="32FCC221" w14:textId="77777777" w:rsidR="00871163" w:rsidRPr="00871163" w:rsidRDefault="00871163" w:rsidP="00871163">
      <w:pPr>
        <w:pStyle w:val="Questionstyle"/>
      </w:pPr>
      <w:r w:rsidRPr="00871163">
        <w:t>Are there other elements that should be taken into account and that would impact the outcome of the cost-benefit analysis? Please provide quantitative and qualitative details</w:t>
      </w:r>
    </w:p>
    <w:p w14:paraId="25B03EDC" w14:textId="77777777" w:rsidR="00871163" w:rsidRDefault="00871163" w:rsidP="00871163">
      <w:r>
        <w:t>&lt;ESMA_QUESTION_RFRR_10&gt;</w:t>
      </w:r>
    </w:p>
    <w:p w14:paraId="5AA0BB5A" w14:textId="77777777" w:rsidR="00472BA0" w:rsidRPr="00472BA0" w:rsidRDefault="00472BA0" w:rsidP="00472BA0">
      <w:pPr>
        <w:rPr>
          <w:lang w:val="en-US"/>
        </w:rPr>
      </w:pPr>
      <w:permStart w:id="414610086" w:edGrp="everyone"/>
      <w:r w:rsidRPr="00472BA0">
        <w:t xml:space="preserve">EACH Members agree with the ESMA’s assessment for the cost-benefit analysis, as the most relevant elements of potential impact are </w:t>
      </w:r>
      <w:proofErr w:type="gramStart"/>
      <w:r w:rsidRPr="00472BA0">
        <w:t>taken into account</w:t>
      </w:r>
      <w:proofErr w:type="gramEnd"/>
      <w:r w:rsidRPr="00472BA0">
        <w:t>.</w:t>
      </w:r>
    </w:p>
    <w:permEnd w:id="414610086"/>
    <w:p w14:paraId="3E606C7F" w14:textId="77777777" w:rsidR="00871163" w:rsidRDefault="00871163" w:rsidP="00871163">
      <w:r>
        <w:t>&lt;ESMA_QUESTION_RFRR_10&gt;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2A50" w14:textId="77777777" w:rsidR="002A39A9" w:rsidRDefault="002A39A9" w:rsidP="007E7997">
      <w:r>
        <w:separator/>
      </w:r>
    </w:p>
  </w:endnote>
  <w:endnote w:type="continuationSeparator" w:id="0">
    <w:p w14:paraId="02637F89" w14:textId="77777777" w:rsidR="002A39A9" w:rsidRDefault="002A39A9" w:rsidP="007E7997">
      <w:r>
        <w:continuationSeparator/>
      </w:r>
    </w:p>
  </w:endnote>
  <w:endnote w:type="continuationNotice" w:id="1">
    <w:p w14:paraId="7B00263B" w14:textId="77777777" w:rsidR="002A39A9" w:rsidRDefault="002A3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88BBC2A"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871163">
      <w:rPr>
        <w:rFonts w:asciiTheme="majorHAnsi" w:hAnsiTheme="majorHAnsi"/>
        <w:color w:val="FFFFFF" w:themeColor="background1"/>
      </w:rPr>
      <w:t xml:space="preserve">7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446-675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F5BC" w14:textId="77777777" w:rsidR="002A39A9" w:rsidRDefault="002A39A9" w:rsidP="007E7997">
      <w:r>
        <w:separator/>
      </w:r>
    </w:p>
  </w:footnote>
  <w:footnote w:type="continuationSeparator" w:id="0">
    <w:p w14:paraId="5DB77F65" w14:textId="77777777" w:rsidR="002A39A9" w:rsidRDefault="002A39A9" w:rsidP="007E7997">
      <w:r>
        <w:continuationSeparator/>
      </w:r>
    </w:p>
  </w:footnote>
  <w:footnote w:type="continuationNotice" w:id="1">
    <w:p w14:paraId="6C5E00FF" w14:textId="77777777" w:rsidR="002A39A9" w:rsidRDefault="002A3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FB72"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Ou7ugxPJPCX2P6k59S/HuMRvmC9s1jueiPqQHuli0OBv/YikfvwfgW2YYSMEsE58bmcI7sXqGeGH7wIYu6I0CQ==" w:salt="osMIa1wG5C+9I8oDutLD2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591E"/>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39A9"/>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2BA0"/>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0F24"/>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6EBC"/>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0D87"/>
    <w:rsid w:val="008B1FD9"/>
    <w:rsid w:val="008B2AF1"/>
    <w:rsid w:val="008B5191"/>
    <w:rsid w:val="008B710D"/>
    <w:rsid w:val="008B7A18"/>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180"/>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38C1"/>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legal-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1" ma:contentTypeDescription="Create a new document." ma:contentTypeScope="" ma:versionID="43c6835af3994a0755c792c3223dafa2">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e1e2dac66bf342e77d46aa031bc6a46"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1FCCA1CE-9896-481A-875E-84B9140E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TotalTime>
  <Pages>7</Pages>
  <Words>1389</Words>
  <Characters>7922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EACH</cp:lastModifiedBy>
  <cp:revision>10</cp:revision>
  <cp:lastPrinted>2017-07-24T14:47:00Z</cp:lastPrinted>
  <dcterms:created xsi:type="dcterms:W3CDTF">2022-07-11T08:50:00Z</dcterms:created>
  <dcterms:modified xsi:type="dcterms:W3CDTF">2022-09-30T12:25:00Z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0x01010001BD15C3986B91498E0AE644B715B9EE01020058E2799CE84276429C3526F9AD40ED6D</vt:lpwstr>
  </property>
  <property fmtid="{D5CDD505-2E9C-101B-9397-08002B2CF9AE}" pid="5" name="_dlc_DocIdItemGuid">
    <vt:lpwstr>7f9e1fdb-b638-4822-8189-46ef9c5abdfd</vt:lpwstr>
  </property>
  <property fmtid="{D5CDD505-2E9C-101B-9397-08002B2CF9AE}" pid="6" name="DocumentType">
    <vt:lpwstr>12;#Report|78753201-1e9e-4a21-a088-6ff602b5c999</vt:lpwstr>
  </property>
  <property fmtid="{D5CDD505-2E9C-101B-9397-08002B2CF9AE}" pid="7" name="Topic">
    <vt:lpwstr>1600;#Transversal - EMIR-CO and MiFIR-DTO|64be65b4-3656-4586-a273-cba194bf0ee6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1941;#EMIR-CO and MiFIR DTO - Report 2 (CP and FR)|560a6160-3487-472a-86e6-6dc8e08a60d4</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