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0665DB26" w14:textId="3FB909B7" w:rsidR="006A5E48" w:rsidRPr="00B16706" w:rsidRDefault="006A5E48" w:rsidP="006A5E48">
                <w:pPr>
                  <w:pStyle w:val="Titre"/>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Consultation Paper on </w:t>
                </w:r>
                <w:r w:rsidRPr="00871163">
                  <w:rPr>
                    <w:rFonts w:asciiTheme="minorHAnsi" w:hAnsiTheme="minorHAnsi" w:cstheme="minorHAnsi"/>
                    <w:sz w:val="40"/>
                    <w:szCs w:val="40"/>
                  </w:rPr>
                  <w:t>the clearing and derivative trading obligations in view of the 2022 status of the benchmark transition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Titre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B63379">
          <w:pPr>
            <w:pStyle w:val="Titre2"/>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3A06569"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871163">
            <w:rPr>
              <w:rFonts w:asciiTheme="minorHAnsi" w:eastAsiaTheme="minorEastAsia" w:hAnsiTheme="minorHAnsi" w:cstheme="minorBidi"/>
              <w:b/>
              <w:sz w:val="18"/>
              <w:szCs w:val="16"/>
              <w:lang w:eastAsia="en-US"/>
            </w:rPr>
            <w:t>30</w:t>
          </w:r>
          <w:r w:rsidR="00B16706" w:rsidRPr="00B16706">
            <w:rPr>
              <w:rFonts w:asciiTheme="minorHAnsi" w:eastAsiaTheme="minorEastAsia" w:hAnsiTheme="minorHAnsi" w:cstheme="minorBidi"/>
              <w:b/>
              <w:sz w:val="18"/>
              <w:szCs w:val="16"/>
              <w:lang w:eastAsia="en-US"/>
            </w:rPr>
            <w:t xml:space="preserve"> September 202</w:t>
          </w:r>
          <w:r w:rsidR="00871163">
            <w:rPr>
              <w:rFonts w:asciiTheme="minorHAnsi" w:eastAsiaTheme="minorEastAsia" w:hAnsiTheme="minorHAnsi" w:cstheme="minorBidi"/>
              <w:b/>
              <w:sz w:val="18"/>
              <w:szCs w:val="16"/>
              <w:lang w:eastAsia="en-US"/>
            </w:rPr>
            <w:t>2</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Paragraphedeliste"/>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235DD5BA" w:rsidR="00B16706"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_RFR</w:t>
          </w:r>
          <w:r w:rsidR="00871163">
            <w:rPr>
              <w:rFonts w:eastAsiaTheme="minorEastAsia" w:cstheme="minorBidi"/>
              <w:sz w:val="18"/>
              <w:szCs w:val="16"/>
              <w:lang w:eastAsia="en-US"/>
            </w:rPr>
            <w:t>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2987571C" w:rsidR="00B16706"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ESMA_RFR</w:t>
          </w:r>
          <w:r w:rsidR="00871163">
            <w:rPr>
              <w:rFonts w:eastAsiaTheme="minorEastAsia" w:cstheme="minorBidi"/>
              <w:sz w:val="18"/>
              <w:szCs w:val="16"/>
              <w:lang w:eastAsia="en-US"/>
            </w:rPr>
            <w:t>R</w:t>
          </w:r>
          <w:r w:rsidRPr="00A409C2">
            <w:rPr>
              <w:rFonts w:eastAsiaTheme="minorEastAsia" w:cstheme="minorBidi"/>
              <w:sz w:val="18"/>
              <w:szCs w:val="16"/>
              <w:lang w:eastAsia="en-US"/>
            </w:rPr>
            <w:t>_nameofrespondent_RESPONSEFORM. For example, for a respondent named ABCD, the response form would be entitled ESMA_RFRS_ABCD_RESPONSEFORM.</w:t>
          </w:r>
        </w:p>
        <w:p w14:paraId="28EEA743" w14:textId="38A78F85" w:rsidR="00A02199" w:rsidRPr="00A409C2" w:rsidRDefault="00B16706" w:rsidP="00AF2EF7">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7"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0AC791C" w14:textId="32E1F568" w:rsidR="00AF2EF7" w:rsidRPr="00B16706" w:rsidRDefault="00A409C2" w:rsidP="00AF2EF7">
      <w:pPr>
        <w:spacing w:after="120" w:line="276" w:lineRule="auto"/>
        <w:rPr>
          <w:rFonts w:asciiTheme="minorHAnsi" w:hAnsiTheme="minorHAnsi" w:cstheme="minorHAnsi"/>
          <w:sz w:val="20"/>
          <w:szCs w:val="20"/>
        </w:rPr>
      </w:pPr>
      <w:r w:rsidRPr="00A409C2">
        <w:rPr>
          <w:rFonts w:ascii="Arial" w:hAnsi="Arial" w:cs="Arial"/>
          <w:sz w:val="18"/>
          <w:szCs w:val="18"/>
          <w:lang w:eastAsia="it-IT"/>
        </w:rPr>
        <w:t>All interested stakeholders are invited to respond to this consultation paper. In particular, responses are sought from counterparties of OTC derivatives transactions which are subject to the clearing obligation or to the derivative trading obligation as well as from CCPs and Trading Venues.</w:t>
      </w:r>
    </w:p>
    <w:p w14:paraId="13AEDA0D" w14:textId="77777777" w:rsidR="00AF2EF7" w:rsidRPr="00B16706" w:rsidRDefault="00AF2EF7" w:rsidP="00AF2EF7">
      <w:pPr>
        <w:spacing w:after="120" w:line="276" w:lineRule="auto"/>
        <w:rPr>
          <w:rFonts w:asciiTheme="minorHAnsi" w:hAnsiTheme="minorHAnsi" w:cstheme="minorHAnsi"/>
          <w:sz w:val="20"/>
          <w:szCs w:val="20"/>
        </w:rPr>
      </w:pPr>
    </w:p>
    <w:p w14:paraId="1F90B8D3" w14:textId="5957C175" w:rsidR="00C85C8B" w:rsidRDefault="00AF2EF7" w:rsidP="008279D3">
      <w:pPr>
        <w:pStyle w:val="Titre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tc>
          <w:tcPr>
            <w:tcW w:w="5595" w:type="dxa"/>
            <w:shd w:val="clear" w:color="auto" w:fill="auto"/>
          </w:tcPr>
          <w:p w14:paraId="1B67440D" w14:textId="183CB08B" w:rsidR="00C85C8B" w:rsidRPr="00B16706" w:rsidRDefault="0031426E" w:rsidP="00C85C8B">
            <w:pPr>
              <w:rPr>
                <w:rFonts w:ascii="Arial" w:hAnsi="Arial" w:cs="Arial"/>
                <w:color w:val="808080"/>
                <w:sz w:val="16"/>
                <w:szCs w:val="20"/>
                <w:lang w:eastAsia="de-DE"/>
              </w:rPr>
            </w:pPr>
            <w:r>
              <w:rPr>
                <w:rFonts w:ascii="Arial" w:hAnsi="Arial" w:cs="Arial"/>
                <w:color w:val="808080"/>
                <w:sz w:val="16"/>
                <w:szCs w:val="20"/>
                <w:lang w:eastAsia="de-DE"/>
              </w:rPr>
              <w:t xml:space="preserve">Fédération </w:t>
            </w:r>
            <w:proofErr w:type="spellStart"/>
            <w:r>
              <w:rPr>
                <w:rFonts w:ascii="Arial" w:hAnsi="Arial" w:cs="Arial"/>
                <w:color w:val="808080"/>
                <w:sz w:val="16"/>
                <w:szCs w:val="20"/>
                <w:lang w:eastAsia="de-DE"/>
              </w:rPr>
              <w:t>bancaire</w:t>
            </w:r>
            <w:proofErr w:type="spellEnd"/>
            <w:r>
              <w:rPr>
                <w:rFonts w:ascii="Arial" w:hAnsi="Arial" w:cs="Arial"/>
                <w:color w:val="808080"/>
                <w:sz w:val="16"/>
                <w:szCs w:val="20"/>
                <w:lang w:eastAsia="de-DE"/>
              </w:rPr>
              <w:t xml:space="preserve"> française – FBF]</w:t>
            </w:r>
          </w:p>
        </w:tc>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23EF4B4C" w:rsidR="00C85C8B" w:rsidRPr="00B16706" w:rsidRDefault="001F1EB7"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1426E">
                  <w:rPr>
                    <w:rFonts w:ascii="Arial" w:hAnsi="Arial" w:cs="Arial"/>
                    <w:sz w:val="16"/>
                    <w:szCs w:val="20"/>
                    <w:lang w:eastAsia="de-DE"/>
                  </w:rPr>
                  <w:t>Banking sector</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3F23CC03" w:rsidR="00C85C8B" w:rsidRPr="00B16706" w:rsidRDefault="0031426E"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7358D3BF" w:rsidR="00C85C8B" w:rsidRPr="00B16706" w:rsidRDefault="0031426E" w:rsidP="00C85C8B">
                <w:pPr>
                  <w:rPr>
                    <w:rFonts w:ascii="Arial" w:hAnsi="Arial" w:cs="Arial"/>
                    <w:sz w:val="16"/>
                    <w:szCs w:val="20"/>
                    <w:lang w:eastAsia="de-DE"/>
                  </w:rPr>
                </w:pPr>
                <w:r>
                  <w:rPr>
                    <w:rFonts w:ascii="Arial" w:hAnsi="Arial" w:cs="Arial"/>
                    <w:sz w:val="16"/>
                    <w:szCs w:val="20"/>
                    <w:lang w:eastAsia="de-DE"/>
                  </w:rPr>
                  <w:t>France</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25073A77" w14:textId="214F30D1" w:rsidR="00D57019" w:rsidRPr="00871163" w:rsidRDefault="00871163">
      <w:pPr>
        <w:spacing w:after="120" w:line="264" w:lineRule="auto"/>
        <w:rPr>
          <w:rFonts w:ascii="Arial" w:hAnsi="Arial" w:cs="Arial"/>
          <w:b/>
          <w:sz w:val="22"/>
          <w:szCs w:val="22"/>
          <w:u w:val="single"/>
          <w:lang w:val="en-US" w:eastAsia="en-US"/>
        </w:rPr>
      </w:pPr>
      <w:r w:rsidRPr="00871163">
        <w:rPr>
          <w:rFonts w:ascii="Arial" w:hAnsi="Arial" w:cs="Arial"/>
          <w:b/>
          <w:sz w:val="22"/>
          <w:szCs w:val="22"/>
          <w:u w:val="single"/>
          <w:lang w:val="en-US" w:eastAsia="en-US"/>
        </w:rPr>
        <w:t>Introduction</w:t>
      </w:r>
    </w:p>
    <w:bookmarkEnd w:id="0"/>
    <w:p w14:paraId="38B80885" w14:textId="77777777" w:rsidR="00871163" w:rsidRDefault="00871163" w:rsidP="00871163">
      <w:pPr>
        <w:pStyle w:val="Questionstyle"/>
      </w:pPr>
      <w:r>
        <w:t xml:space="preserve">Are </w:t>
      </w:r>
      <w:r w:rsidRPr="00A354D9">
        <w:t>there any general comments you would like to raise?</w:t>
      </w:r>
    </w:p>
    <w:p w14:paraId="072BB0FC" w14:textId="77777777" w:rsidR="00871163" w:rsidRDefault="00871163" w:rsidP="00871163">
      <w:r>
        <w:t>&lt;ESMA_QUESTION_RFRR_1&gt;</w:t>
      </w:r>
    </w:p>
    <w:p w14:paraId="4CC921D3" w14:textId="77777777" w:rsidR="0031426E" w:rsidRDefault="0031426E" w:rsidP="0031426E">
      <w:pPr>
        <w:jc w:val="both"/>
        <w:rPr>
          <w:rFonts w:ascii="Arial" w:hAnsi="Arial" w:cs="Arial"/>
        </w:rPr>
      </w:pPr>
      <w:permStart w:id="2139645067" w:edGrp="everyone"/>
      <w:r>
        <w:rPr>
          <w:rFonts w:ascii="Arial" w:hAnsi="Arial" w:cs="Arial"/>
        </w:rPr>
        <w:t>The FBF would like to thank ESMA and express its support for the Authority’s</w:t>
      </w:r>
      <w:r w:rsidRPr="000B390F">
        <w:rPr>
          <w:rFonts w:ascii="Arial" w:hAnsi="Arial" w:cs="Arial"/>
        </w:rPr>
        <w:t xml:space="preserve"> efforts </w:t>
      </w:r>
      <w:r w:rsidRPr="00D141E8">
        <w:rPr>
          <w:rFonts w:ascii="Arial" w:hAnsi="Arial" w:cs="Arial"/>
        </w:rPr>
        <w:t xml:space="preserve">on adapting the EU EMIR derivatives </w:t>
      </w:r>
      <w:r>
        <w:rPr>
          <w:rFonts w:ascii="Arial" w:hAnsi="Arial" w:cs="Arial"/>
        </w:rPr>
        <w:t>c</w:t>
      </w:r>
      <w:r w:rsidRPr="00D141E8">
        <w:rPr>
          <w:rFonts w:ascii="Arial" w:hAnsi="Arial" w:cs="Arial"/>
        </w:rPr>
        <w:t xml:space="preserve">learing </w:t>
      </w:r>
      <w:r>
        <w:rPr>
          <w:rFonts w:ascii="Arial" w:hAnsi="Arial" w:cs="Arial"/>
        </w:rPr>
        <w:t>o</w:t>
      </w:r>
      <w:r w:rsidRPr="00D141E8">
        <w:rPr>
          <w:rFonts w:ascii="Arial" w:hAnsi="Arial" w:cs="Arial"/>
        </w:rPr>
        <w:t>bligation (</w:t>
      </w:r>
      <w:r>
        <w:rPr>
          <w:rFonts w:ascii="Arial" w:hAnsi="Arial" w:cs="Arial"/>
        </w:rPr>
        <w:t>“</w:t>
      </w:r>
      <w:r w:rsidRPr="00D141E8">
        <w:rPr>
          <w:rFonts w:ascii="Arial" w:hAnsi="Arial" w:cs="Arial"/>
        </w:rPr>
        <w:t>CO</w:t>
      </w:r>
      <w:r>
        <w:rPr>
          <w:rFonts w:ascii="Arial" w:hAnsi="Arial" w:cs="Arial"/>
        </w:rPr>
        <w:t>”</w:t>
      </w:r>
      <w:r w:rsidRPr="00D141E8">
        <w:rPr>
          <w:rFonts w:ascii="Arial" w:hAnsi="Arial" w:cs="Arial"/>
        </w:rPr>
        <w:t xml:space="preserve">) and the EU </w:t>
      </w:r>
      <w:proofErr w:type="spellStart"/>
      <w:r w:rsidRPr="00D141E8">
        <w:rPr>
          <w:rFonts w:ascii="Arial" w:hAnsi="Arial" w:cs="Arial"/>
        </w:rPr>
        <w:t>M</w:t>
      </w:r>
      <w:r>
        <w:rPr>
          <w:rFonts w:ascii="Arial" w:hAnsi="Arial" w:cs="Arial"/>
        </w:rPr>
        <w:t>i</w:t>
      </w:r>
      <w:r w:rsidRPr="00D141E8">
        <w:rPr>
          <w:rFonts w:ascii="Arial" w:hAnsi="Arial" w:cs="Arial"/>
        </w:rPr>
        <w:t>FIR</w:t>
      </w:r>
      <w:proofErr w:type="spellEnd"/>
      <w:r w:rsidRPr="00D141E8">
        <w:rPr>
          <w:rFonts w:ascii="Arial" w:hAnsi="Arial" w:cs="Arial"/>
        </w:rPr>
        <w:t xml:space="preserve"> </w:t>
      </w:r>
      <w:r>
        <w:rPr>
          <w:rFonts w:ascii="Arial" w:hAnsi="Arial" w:cs="Arial"/>
        </w:rPr>
        <w:t>d</w:t>
      </w:r>
      <w:r w:rsidRPr="00D141E8">
        <w:rPr>
          <w:rFonts w:ascii="Arial" w:hAnsi="Arial" w:cs="Arial"/>
        </w:rPr>
        <w:t xml:space="preserve">erivatives </w:t>
      </w:r>
      <w:r>
        <w:rPr>
          <w:rFonts w:ascii="Arial" w:hAnsi="Arial" w:cs="Arial"/>
        </w:rPr>
        <w:t>t</w:t>
      </w:r>
      <w:r w:rsidRPr="00D141E8">
        <w:rPr>
          <w:rFonts w:ascii="Arial" w:hAnsi="Arial" w:cs="Arial"/>
        </w:rPr>
        <w:t xml:space="preserve">rading </w:t>
      </w:r>
      <w:r>
        <w:rPr>
          <w:rFonts w:ascii="Arial" w:hAnsi="Arial" w:cs="Arial"/>
        </w:rPr>
        <w:t>o</w:t>
      </w:r>
      <w:r w:rsidRPr="00D141E8">
        <w:rPr>
          <w:rFonts w:ascii="Arial" w:hAnsi="Arial" w:cs="Arial"/>
        </w:rPr>
        <w:t>bligation (</w:t>
      </w:r>
      <w:r>
        <w:rPr>
          <w:rFonts w:ascii="Arial" w:hAnsi="Arial" w:cs="Arial"/>
        </w:rPr>
        <w:t>“</w:t>
      </w:r>
      <w:r w:rsidRPr="00D141E8">
        <w:rPr>
          <w:rFonts w:ascii="Arial" w:hAnsi="Arial" w:cs="Arial"/>
        </w:rPr>
        <w:t>DTO</w:t>
      </w:r>
      <w:r>
        <w:rPr>
          <w:rFonts w:ascii="Arial" w:hAnsi="Arial" w:cs="Arial"/>
        </w:rPr>
        <w:t>”</w:t>
      </w:r>
      <w:r w:rsidRPr="00D141E8">
        <w:rPr>
          <w:rFonts w:ascii="Arial" w:hAnsi="Arial" w:cs="Arial"/>
        </w:rPr>
        <w:t>) in the context of the on-going interest rate benchmark reform.</w:t>
      </w:r>
    </w:p>
    <w:p w14:paraId="5B238C1E" w14:textId="77777777" w:rsidR="0031426E" w:rsidRPr="00A53F99" w:rsidRDefault="0031426E" w:rsidP="0031426E">
      <w:pPr>
        <w:jc w:val="both"/>
        <w:rPr>
          <w:rFonts w:ascii="Arial" w:hAnsi="Arial" w:cs="Arial"/>
        </w:rPr>
      </w:pPr>
    </w:p>
    <w:p w14:paraId="7DC34D63" w14:textId="77777777" w:rsidR="0031426E" w:rsidRPr="004912F9" w:rsidRDefault="0031426E" w:rsidP="0031426E">
      <w:pPr>
        <w:jc w:val="both"/>
        <w:rPr>
          <w:rFonts w:ascii="Arial" w:hAnsi="Arial" w:cs="Arial"/>
          <w:lang w:val="en-US"/>
        </w:rPr>
      </w:pPr>
      <w:r>
        <w:rPr>
          <w:rFonts w:ascii="Arial" w:hAnsi="Arial" w:cs="Arial"/>
        </w:rPr>
        <w:t xml:space="preserve">While the FBF welcomes the proposed adjustments to the EU CO, </w:t>
      </w:r>
      <w:r w:rsidRPr="00A21459">
        <w:rPr>
          <w:rFonts w:ascii="Arial" w:hAnsi="Arial" w:cs="Arial"/>
          <w:lang w:val="en-US"/>
        </w:rPr>
        <w:t>we request that ESMA does not introduce</w:t>
      </w:r>
      <w:r>
        <w:rPr>
          <w:rFonts w:ascii="Arial" w:hAnsi="Arial" w:cs="Arial"/>
          <w:lang w:val="en-US"/>
        </w:rPr>
        <w:t xml:space="preserve"> any class of </w:t>
      </w:r>
      <w:r w:rsidRPr="004912F9">
        <w:rPr>
          <w:rFonts w:ascii="Arial" w:hAnsi="Arial" w:cs="Arial"/>
          <w:lang w:val="en-US"/>
        </w:rPr>
        <w:t xml:space="preserve">OIS contracts referencing €STR (EUR) to the EU DTO until the </w:t>
      </w:r>
      <w:bookmarkStart w:id="1" w:name="_Hlk111109118"/>
      <w:r w:rsidRPr="004912F9">
        <w:rPr>
          <w:rFonts w:ascii="Arial" w:hAnsi="Arial" w:cs="Arial"/>
          <w:lang w:val="en-US"/>
        </w:rPr>
        <w:t xml:space="preserve">new DTO suspension mechanism proposed by the European Commission (“EC”) as part of the </w:t>
      </w:r>
      <w:proofErr w:type="spellStart"/>
      <w:r w:rsidRPr="004912F9">
        <w:rPr>
          <w:rFonts w:ascii="Arial" w:hAnsi="Arial" w:cs="Arial"/>
          <w:lang w:val="en-US"/>
        </w:rPr>
        <w:t>MiFIR</w:t>
      </w:r>
      <w:proofErr w:type="spellEnd"/>
      <w:r w:rsidRPr="004912F9">
        <w:rPr>
          <w:rFonts w:ascii="Arial" w:hAnsi="Arial" w:cs="Arial"/>
          <w:lang w:val="en-US"/>
        </w:rPr>
        <w:t xml:space="preserve"> Review is in place</w:t>
      </w:r>
      <w:bookmarkEnd w:id="1"/>
      <w:r w:rsidRPr="004912F9">
        <w:rPr>
          <w:rFonts w:ascii="Arial" w:hAnsi="Arial" w:cs="Arial"/>
          <w:lang w:val="en-US"/>
        </w:rPr>
        <w:t xml:space="preserve">. </w:t>
      </w:r>
    </w:p>
    <w:p w14:paraId="487CBDC9" w14:textId="77777777" w:rsidR="0031426E" w:rsidRPr="004912F9" w:rsidRDefault="0031426E" w:rsidP="0031426E">
      <w:pPr>
        <w:jc w:val="both"/>
        <w:rPr>
          <w:rFonts w:ascii="Arial" w:hAnsi="Arial" w:cs="Arial"/>
          <w:lang w:val="en-US"/>
        </w:rPr>
      </w:pPr>
    </w:p>
    <w:p w14:paraId="7489945E" w14:textId="77777777" w:rsidR="0031426E" w:rsidRPr="004912F9" w:rsidRDefault="0031426E" w:rsidP="0031426E">
      <w:pPr>
        <w:jc w:val="both"/>
        <w:rPr>
          <w:rFonts w:ascii="Arial" w:hAnsi="Arial" w:cs="Arial"/>
          <w:lang w:val="en-US"/>
        </w:rPr>
      </w:pPr>
      <w:r w:rsidRPr="004912F9">
        <w:rPr>
          <w:rFonts w:ascii="Arial" w:hAnsi="Arial" w:cs="Arial"/>
          <w:lang w:val="en-US"/>
        </w:rPr>
        <w:t>In fact, as mentioned by ESMA in its consultation paper</w:t>
      </w:r>
      <w:r w:rsidRPr="004912F9">
        <w:rPr>
          <w:rStyle w:val="Appelnotedebasdep"/>
          <w:rFonts w:ascii="Arial" w:eastAsiaTheme="majorEastAsia" w:hAnsi="Arial" w:cs="Arial"/>
          <w:lang w:val="en-US"/>
        </w:rPr>
        <w:footnoteReference w:id="2"/>
      </w:r>
      <w:r w:rsidRPr="004912F9">
        <w:rPr>
          <w:rFonts w:ascii="Arial" w:hAnsi="Arial" w:cs="Arial"/>
          <w:lang w:val="en-US"/>
        </w:rPr>
        <w:t xml:space="preserve">, the on-going </w:t>
      </w:r>
      <w:proofErr w:type="spellStart"/>
      <w:r w:rsidRPr="004912F9">
        <w:rPr>
          <w:rFonts w:ascii="Arial" w:hAnsi="Arial" w:cs="Arial"/>
          <w:lang w:val="en-US"/>
        </w:rPr>
        <w:t>MiFIR</w:t>
      </w:r>
      <w:proofErr w:type="spellEnd"/>
      <w:r w:rsidRPr="004912F9">
        <w:rPr>
          <w:rFonts w:ascii="Arial" w:hAnsi="Arial" w:cs="Arial"/>
          <w:lang w:val="en-US"/>
        </w:rPr>
        <w:t xml:space="preserve"> Review proposes, </w:t>
      </w:r>
      <w:proofErr w:type="gramStart"/>
      <w:r w:rsidRPr="004912F9">
        <w:rPr>
          <w:rFonts w:ascii="Arial" w:hAnsi="Arial" w:cs="Arial"/>
          <w:lang w:val="en-US"/>
        </w:rPr>
        <w:t>in order to</w:t>
      </w:r>
      <w:proofErr w:type="gramEnd"/>
      <w:r w:rsidRPr="004912F9">
        <w:rPr>
          <w:rFonts w:ascii="Arial" w:hAnsi="Arial" w:cs="Arial"/>
          <w:lang w:val="en-US"/>
        </w:rPr>
        <w:t xml:space="preserve"> solve a competitiveness issue, to provide for the possibility to suspend the DTO for certain investment firms that would be subject to overlapping obligations when interacting with non-EU counterparties. Although negotiations on the </w:t>
      </w:r>
      <w:proofErr w:type="spellStart"/>
      <w:r w:rsidRPr="004912F9">
        <w:rPr>
          <w:rFonts w:ascii="Arial" w:hAnsi="Arial" w:cs="Arial"/>
          <w:lang w:val="en-US"/>
        </w:rPr>
        <w:t>MiFIR</w:t>
      </w:r>
      <w:proofErr w:type="spellEnd"/>
      <w:r w:rsidRPr="004912F9">
        <w:rPr>
          <w:rFonts w:ascii="Arial" w:hAnsi="Arial" w:cs="Arial"/>
          <w:lang w:val="en-US"/>
        </w:rPr>
        <w:t xml:space="preserve"> Review are still in progress both at the Council’s and Parliament’s levels, there seems to be a political consensus about the introduction of the abovementioned mechanism. Therefore, it would be inconsistent to add new obligations regarding the EU DTO that would aggravate the existing competitive disadvantage for EU banks when interacting with non-EU counterparties, while at the same time, the EC is trying to find a solution to solve this crucial issue.</w:t>
      </w:r>
    </w:p>
    <w:p w14:paraId="5D0DDDDF" w14:textId="77777777" w:rsidR="0031426E" w:rsidRPr="004912F9" w:rsidRDefault="0031426E" w:rsidP="0031426E">
      <w:pPr>
        <w:jc w:val="both"/>
        <w:rPr>
          <w:rFonts w:ascii="Arial" w:hAnsi="Arial" w:cs="Arial"/>
          <w:lang w:val="en-US"/>
        </w:rPr>
      </w:pPr>
    </w:p>
    <w:p w14:paraId="78059A70" w14:textId="77777777" w:rsidR="0031426E" w:rsidRPr="004912F9" w:rsidRDefault="0031426E" w:rsidP="0031426E">
      <w:pPr>
        <w:jc w:val="both"/>
        <w:rPr>
          <w:rFonts w:ascii="Arial" w:hAnsi="Arial" w:cs="Arial"/>
          <w:lang w:val="en-US"/>
        </w:rPr>
      </w:pPr>
      <w:r w:rsidRPr="004912F9">
        <w:rPr>
          <w:rFonts w:ascii="Arial" w:hAnsi="Arial" w:cs="Arial"/>
          <w:lang w:val="en-US"/>
        </w:rPr>
        <w:t>Considering the above, the FBF requests that ESMA considers the CO and DTO topics separately by proceeding with two distinct RTSs, as envisaged by the Authority itself in its consultation paper</w:t>
      </w:r>
      <w:r w:rsidRPr="004912F9">
        <w:rPr>
          <w:rStyle w:val="Appelnotedebasdep"/>
          <w:rFonts w:ascii="Arial" w:eastAsiaTheme="majorEastAsia" w:hAnsi="Arial" w:cs="Arial"/>
          <w:lang w:val="en-US"/>
        </w:rPr>
        <w:footnoteReference w:id="3"/>
      </w:r>
      <w:r w:rsidRPr="004912F9">
        <w:rPr>
          <w:rFonts w:ascii="Arial" w:hAnsi="Arial" w:cs="Arial"/>
          <w:lang w:val="en-US"/>
        </w:rPr>
        <w:t>, with the RTS for DTO being addressed at a later stage after the EC’s proposed solution has been fully implemented.</w:t>
      </w:r>
    </w:p>
    <w:p w14:paraId="0A02A025" w14:textId="77777777" w:rsidR="0031426E" w:rsidRPr="004912F9" w:rsidRDefault="0031426E" w:rsidP="0031426E">
      <w:pPr>
        <w:jc w:val="both"/>
        <w:rPr>
          <w:rFonts w:ascii="Arial" w:hAnsi="Arial" w:cs="Arial"/>
          <w:lang w:val="en-US"/>
        </w:rPr>
      </w:pPr>
    </w:p>
    <w:p w14:paraId="32315EC8" w14:textId="73EAD800" w:rsidR="00871163" w:rsidRPr="0031426E" w:rsidRDefault="0031426E" w:rsidP="0031426E">
      <w:pPr>
        <w:jc w:val="both"/>
        <w:rPr>
          <w:rFonts w:ascii="Arial" w:hAnsi="Arial" w:cs="Arial"/>
          <w:lang w:val="en-US"/>
        </w:rPr>
      </w:pPr>
      <w:r w:rsidRPr="004912F9">
        <w:rPr>
          <w:rFonts w:ascii="Arial" w:hAnsi="Arial" w:cs="Arial"/>
          <w:lang w:val="en-US"/>
        </w:rPr>
        <w:t>Furthermore, it should be noted that ESMA's consultation occurs as the DTO exemption for European and British pension funds will both expire in June 2023. While the UK authorities have already decided that they could extend the exemption for their national pension funds for two more years, no such possibility has been envisaged on the European side. Were UK authorities to unilaterally extend the exemption, European players would face another aggravating factor of the unlevel playing field between them and their international competitors.</w:t>
      </w:r>
    </w:p>
    <w:permEnd w:id="2139645067"/>
    <w:p w14:paraId="2B0DF114" w14:textId="77777777" w:rsidR="00871163" w:rsidRDefault="00871163" w:rsidP="00871163">
      <w:r>
        <w:t>&lt;ESMA_QUESTION_RFRR_1&gt;</w:t>
      </w:r>
    </w:p>
    <w:p w14:paraId="50E65E9C" w14:textId="0B4E9737" w:rsidR="00871163" w:rsidRDefault="00871163" w:rsidP="00871163"/>
    <w:p w14:paraId="610BDAC4" w14:textId="3C0A178A" w:rsidR="00871163" w:rsidRPr="00871163" w:rsidRDefault="00871163" w:rsidP="00871163">
      <w:pPr>
        <w:spacing w:after="120" w:line="264" w:lineRule="auto"/>
        <w:rPr>
          <w:rFonts w:ascii="Arial" w:hAnsi="Arial" w:cs="Arial"/>
          <w:b/>
          <w:sz w:val="22"/>
          <w:szCs w:val="22"/>
          <w:u w:val="single"/>
          <w:lang w:val="en-US" w:eastAsia="en-US"/>
        </w:rPr>
      </w:pPr>
      <w:r w:rsidRPr="00871163">
        <w:rPr>
          <w:rFonts w:ascii="Arial" w:hAnsi="Arial" w:cs="Arial"/>
          <w:b/>
          <w:sz w:val="22"/>
          <w:szCs w:val="22"/>
          <w:u w:val="single"/>
          <w:lang w:val="en-US" w:eastAsia="en-US"/>
        </w:rPr>
        <w:t xml:space="preserve">General analysis </w:t>
      </w:r>
    </w:p>
    <w:p w14:paraId="6A35DE8C" w14:textId="77777777" w:rsidR="00871163" w:rsidRDefault="00871163" w:rsidP="00871163"/>
    <w:p w14:paraId="30C8786A" w14:textId="77777777" w:rsidR="00871163" w:rsidRDefault="00871163" w:rsidP="00871163">
      <w:pPr>
        <w:pStyle w:val="Questionstyle"/>
      </w:pPr>
      <w:r>
        <w:lastRenderedPageBreak/>
        <w:t>Are there any other aspects of the transition that need to be taken into account? Please share any data that would help qualify further the progress with the transition or any other aspects that you think should be considered.</w:t>
      </w:r>
    </w:p>
    <w:p w14:paraId="15C04A02" w14:textId="77777777" w:rsidR="00871163" w:rsidRDefault="00871163" w:rsidP="00871163">
      <w:r>
        <w:t>&lt;ESMA_QUESTION_RFRR_2&gt;</w:t>
      </w:r>
    </w:p>
    <w:p w14:paraId="1A816E5A" w14:textId="77777777" w:rsidR="0031426E" w:rsidRDefault="0031426E" w:rsidP="0031426E">
      <w:pPr>
        <w:jc w:val="both"/>
        <w:rPr>
          <w:rFonts w:ascii="Arial" w:hAnsi="Arial" w:cs="Arial"/>
          <w:lang w:val="en-US"/>
        </w:rPr>
      </w:pPr>
      <w:bookmarkStart w:id="2" w:name="_Hlk111105398"/>
      <w:permStart w:id="1413441955" w:edGrp="everyone"/>
      <w:r w:rsidRPr="00A21459">
        <w:rPr>
          <w:rFonts w:ascii="Arial" w:hAnsi="Arial" w:cs="Arial"/>
          <w:lang w:val="en-US"/>
        </w:rPr>
        <w:t>We welcome the thorough analysis provided by ESMA.</w:t>
      </w:r>
    </w:p>
    <w:bookmarkEnd w:id="2"/>
    <w:p w14:paraId="72733933" w14:textId="77777777" w:rsidR="0031426E" w:rsidRPr="00AD020E" w:rsidRDefault="0031426E" w:rsidP="0031426E">
      <w:pPr>
        <w:jc w:val="both"/>
        <w:rPr>
          <w:rFonts w:ascii="Arial" w:hAnsi="Arial" w:cs="Arial"/>
          <w:lang w:val="en-US"/>
        </w:rPr>
      </w:pPr>
    </w:p>
    <w:p w14:paraId="0CE3FDDB" w14:textId="496656CF" w:rsidR="00871163" w:rsidRDefault="0031426E" w:rsidP="0031426E">
      <w:r w:rsidRPr="00AD020E">
        <w:rPr>
          <w:rFonts w:ascii="Arial" w:hAnsi="Arial" w:cs="Arial"/>
          <w:lang w:val="en-US"/>
        </w:rPr>
        <w:t>We do not have any other comments.</w:t>
      </w:r>
    </w:p>
    <w:permEnd w:id="1413441955"/>
    <w:p w14:paraId="218E66D8" w14:textId="77777777" w:rsidR="00871163" w:rsidRDefault="00871163" w:rsidP="00871163">
      <w:r>
        <w:t>&lt;ESMA_QUESTION_RFRR_2&gt;</w:t>
      </w:r>
    </w:p>
    <w:p w14:paraId="6F0C2D5B" w14:textId="44794D9F" w:rsidR="00871163" w:rsidRDefault="00871163" w:rsidP="00871163"/>
    <w:p w14:paraId="5B30F570" w14:textId="1F0DAF78" w:rsidR="00871163" w:rsidRPr="00871163" w:rsidRDefault="00871163" w:rsidP="00871163">
      <w:pPr>
        <w:spacing w:after="120" w:line="264" w:lineRule="auto"/>
        <w:rPr>
          <w:rFonts w:ascii="Arial" w:hAnsi="Arial" w:cs="Arial"/>
          <w:b/>
          <w:sz w:val="22"/>
          <w:szCs w:val="22"/>
          <w:u w:val="single"/>
          <w:lang w:val="en-US" w:eastAsia="en-US"/>
        </w:rPr>
      </w:pPr>
      <w:r>
        <w:rPr>
          <w:rFonts w:ascii="Arial" w:hAnsi="Arial" w:cs="Arial"/>
          <w:b/>
          <w:sz w:val="22"/>
          <w:szCs w:val="22"/>
          <w:u w:val="single"/>
          <w:lang w:val="en-US" w:eastAsia="en-US"/>
        </w:rPr>
        <w:t>Clearing obligation</w:t>
      </w:r>
    </w:p>
    <w:p w14:paraId="7CA3A2C7" w14:textId="77777777" w:rsidR="00871163" w:rsidRDefault="00871163" w:rsidP="00871163"/>
    <w:p w14:paraId="4134E170" w14:textId="77777777" w:rsidR="00871163" w:rsidRPr="005B6B12" w:rsidRDefault="00871163" w:rsidP="00871163">
      <w:pPr>
        <w:pStyle w:val="Questionstyle"/>
      </w:pPr>
      <w:r w:rsidRPr="00ED0167">
        <w:t>Do you agree with the assessment of the EMIR criteria and with the proposed classes? Do you also agree that the maturities for SOFR OIS could be extended, including up to 50 years? If not, please detail how the assessment could differ and please also provide data and information to justify a different assessment.</w:t>
      </w:r>
    </w:p>
    <w:p w14:paraId="24B95663" w14:textId="77777777" w:rsidR="00871163" w:rsidRDefault="00871163" w:rsidP="00871163">
      <w:r>
        <w:t>&lt;ESMA_QUESTION_RFRR_3&gt;</w:t>
      </w:r>
    </w:p>
    <w:p w14:paraId="0D62B7BA" w14:textId="77777777" w:rsidR="0031426E" w:rsidRDefault="0031426E" w:rsidP="0031426E">
      <w:pPr>
        <w:jc w:val="both"/>
        <w:rPr>
          <w:rFonts w:ascii="Arial" w:hAnsi="Arial" w:cs="Arial"/>
          <w:lang w:val="en-US"/>
        </w:rPr>
      </w:pPr>
      <w:permStart w:id="2092976095" w:edGrp="everyone"/>
      <w:r>
        <w:rPr>
          <w:rFonts w:ascii="Arial" w:hAnsi="Arial" w:cs="Arial"/>
          <w:lang w:val="en-US"/>
        </w:rPr>
        <w:t xml:space="preserve">The FBF welcomes the </w:t>
      </w:r>
      <w:r w:rsidRPr="00D61B83">
        <w:rPr>
          <w:rFonts w:ascii="Arial" w:hAnsi="Arial" w:cs="Arial"/>
          <w:lang w:val="en-US"/>
        </w:rPr>
        <w:t>thorough analysis provided by ESMA</w:t>
      </w:r>
      <w:r>
        <w:rPr>
          <w:rFonts w:ascii="Arial" w:hAnsi="Arial" w:cs="Arial"/>
          <w:lang w:val="en-US"/>
        </w:rPr>
        <w:t xml:space="preserve"> and generally agrees with the assessment of the EMIR criteria and the proposed asset classes. </w:t>
      </w:r>
    </w:p>
    <w:p w14:paraId="1F2F18D7" w14:textId="77777777" w:rsidR="0031426E" w:rsidRDefault="0031426E" w:rsidP="0031426E">
      <w:pPr>
        <w:jc w:val="both"/>
        <w:rPr>
          <w:rFonts w:ascii="Arial" w:hAnsi="Arial" w:cs="Arial"/>
          <w:lang w:val="en-US"/>
        </w:rPr>
      </w:pPr>
    </w:p>
    <w:p w14:paraId="7533DF7D" w14:textId="1193CCE8" w:rsidR="00871163" w:rsidRPr="0031426E" w:rsidRDefault="0031426E" w:rsidP="0031426E">
      <w:pPr>
        <w:jc w:val="both"/>
        <w:rPr>
          <w:rFonts w:ascii="Arial" w:hAnsi="Arial" w:cs="Arial"/>
          <w:lang w:val="en-US"/>
        </w:rPr>
      </w:pPr>
      <w:r>
        <w:rPr>
          <w:rFonts w:ascii="Arial" w:hAnsi="Arial" w:cs="Arial"/>
        </w:rPr>
        <w:t xml:space="preserve">The FBF </w:t>
      </w:r>
      <w:r w:rsidRPr="00F86263">
        <w:rPr>
          <w:rFonts w:ascii="Arial" w:hAnsi="Arial" w:cs="Arial"/>
        </w:rPr>
        <w:t xml:space="preserve">notes that </w:t>
      </w:r>
      <w:r>
        <w:rPr>
          <w:rFonts w:ascii="Arial" w:hAnsi="Arial" w:cs="Arial"/>
        </w:rPr>
        <w:t xml:space="preserve">the proposed </w:t>
      </w:r>
      <w:r w:rsidRPr="00F86263">
        <w:rPr>
          <w:rFonts w:ascii="Arial" w:hAnsi="Arial" w:cs="Arial"/>
        </w:rPr>
        <w:t xml:space="preserve">changes </w:t>
      </w:r>
      <w:r>
        <w:rPr>
          <w:rFonts w:ascii="Arial" w:hAnsi="Arial" w:cs="Arial"/>
        </w:rPr>
        <w:t xml:space="preserve">to the CO </w:t>
      </w:r>
      <w:r w:rsidRPr="00F86263">
        <w:rPr>
          <w:rFonts w:ascii="Arial" w:hAnsi="Arial" w:cs="Arial"/>
        </w:rPr>
        <w:t xml:space="preserve">are aligning the EU with other major jurisdictions such as the US and the UK. </w:t>
      </w:r>
      <w:r>
        <w:rPr>
          <w:rFonts w:ascii="Arial" w:hAnsi="Arial" w:cs="Arial"/>
        </w:rPr>
        <w:t>A</w:t>
      </w:r>
      <w:r w:rsidRPr="00F86263">
        <w:rPr>
          <w:rFonts w:ascii="Arial" w:hAnsi="Arial" w:cs="Arial"/>
        </w:rPr>
        <w:t xml:space="preserve">n implementation date </w:t>
      </w:r>
      <w:r w:rsidRPr="00D61B83">
        <w:rPr>
          <w:rFonts w:ascii="Arial" w:hAnsi="Arial" w:cs="Arial"/>
        </w:rPr>
        <w:t xml:space="preserve">after the enforcement date in </w:t>
      </w:r>
      <w:r>
        <w:rPr>
          <w:rFonts w:ascii="Arial" w:hAnsi="Arial" w:cs="Arial"/>
        </w:rPr>
        <w:t>those</w:t>
      </w:r>
      <w:r w:rsidRPr="00D61B83">
        <w:rPr>
          <w:rFonts w:ascii="Arial" w:hAnsi="Arial" w:cs="Arial"/>
        </w:rPr>
        <w:t xml:space="preserve"> jurisdiction</w:t>
      </w:r>
      <w:r>
        <w:rPr>
          <w:rFonts w:ascii="Arial" w:hAnsi="Arial" w:cs="Arial"/>
        </w:rPr>
        <w:t xml:space="preserve">s would be preferable </w:t>
      </w:r>
      <w:r w:rsidRPr="00F86263">
        <w:rPr>
          <w:rFonts w:ascii="Arial" w:hAnsi="Arial" w:cs="Arial"/>
        </w:rPr>
        <w:t xml:space="preserve">to avoid </w:t>
      </w:r>
      <w:r>
        <w:rPr>
          <w:rFonts w:ascii="Arial" w:hAnsi="Arial" w:cs="Arial"/>
        </w:rPr>
        <w:t xml:space="preserve">any </w:t>
      </w:r>
      <w:r w:rsidRPr="00F86263">
        <w:rPr>
          <w:rFonts w:ascii="Arial" w:hAnsi="Arial" w:cs="Arial"/>
        </w:rPr>
        <w:t>regulatory arbitrage and competitive disadvantage</w:t>
      </w:r>
      <w:r>
        <w:rPr>
          <w:rFonts w:ascii="Arial" w:hAnsi="Arial" w:cs="Arial"/>
        </w:rPr>
        <w:t>.</w:t>
      </w:r>
    </w:p>
    <w:permEnd w:id="2092976095"/>
    <w:p w14:paraId="6211C235" w14:textId="77777777" w:rsidR="00871163" w:rsidRDefault="00871163" w:rsidP="00871163">
      <w:r>
        <w:t>&lt;ESMA_QUESTION_RFRR_3&gt;</w:t>
      </w:r>
    </w:p>
    <w:p w14:paraId="5E545893" w14:textId="77777777" w:rsidR="00871163" w:rsidRDefault="00871163" w:rsidP="00871163"/>
    <w:p w14:paraId="64D6D9C4" w14:textId="77777777" w:rsidR="00871163" w:rsidRDefault="00871163" w:rsidP="00871163">
      <w:pPr>
        <w:pStyle w:val="Questionstyle"/>
      </w:pPr>
      <w:r w:rsidRPr="0032419B">
        <w:t>Do you agree with the proposed implementation of the changes? if not please provide details that could justify a different implementation</w:t>
      </w:r>
      <w:r>
        <w:t>.</w:t>
      </w:r>
    </w:p>
    <w:p w14:paraId="216D104B" w14:textId="77777777" w:rsidR="00871163" w:rsidRDefault="00871163" w:rsidP="00871163">
      <w:r>
        <w:t>&lt;ESMA_QUESTION_RFRR_4&gt;</w:t>
      </w:r>
    </w:p>
    <w:p w14:paraId="0FF4F506" w14:textId="77777777" w:rsidR="00A12F05" w:rsidRDefault="00A12F05" w:rsidP="00A12F05">
      <w:pPr>
        <w:jc w:val="both"/>
        <w:rPr>
          <w:rFonts w:ascii="Arial" w:hAnsi="Arial" w:cs="Arial"/>
          <w:lang w:val="en-US"/>
        </w:rPr>
      </w:pPr>
      <w:permStart w:id="234366504" w:edGrp="everyone"/>
      <w:r>
        <w:rPr>
          <w:rFonts w:ascii="Arial" w:hAnsi="Arial" w:cs="Arial"/>
          <w:lang w:val="en-US"/>
        </w:rPr>
        <w:t>The FBF broadly agrees with the proposed implementation changes but would like to emphasize that sufficient notice is needed for market participants prior to the application date of the new requirements to ensure:</w:t>
      </w:r>
    </w:p>
    <w:p w14:paraId="4368AD03" w14:textId="77777777" w:rsidR="00A12F05" w:rsidRPr="001D3A7F" w:rsidRDefault="00A12F05" w:rsidP="00A12F05">
      <w:pPr>
        <w:numPr>
          <w:ilvl w:val="0"/>
          <w:numId w:val="31"/>
        </w:numPr>
        <w:tabs>
          <w:tab w:val="left" w:pos="426"/>
        </w:tabs>
        <w:ind w:left="426" w:hanging="426"/>
        <w:jc w:val="both"/>
        <w:rPr>
          <w:rFonts w:ascii="Arial" w:hAnsi="Arial" w:cs="Arial"/>
        </w:rPr>
      </w:pPr>
      <w:r>
        <w:rPr>
          <w:rFonts w:ascii="Arial" w:hAnsi="Arial" w:cs="Arial"/>
        </w:rPr>
        <w:t xml:space="preserve">Adaptation of </w:t>
      </w:r>
      <w:r w:rsidRPr="001D3A7F">
        <w:rPr>
          <w:rFonts w:ascii="Arial" w:hAnsi="Arial" w:cs="Arial"/>
        </w:rPr>
        <w:t xml:space="preserve">internal </w:t>
      </w:r>
      <w:r>
        <w:rPr>
          <w:rFonts w:ascii="Arial" w:hAnsi="Arial" w:cs="Arial"/>
        </w:rPr>
        <w:t xml:space="preserve">information </w:t>
      </w:r>
      <w:r w:rsidRPr="001D3A7F">
        <w:rPr>
          <w:rFonts w:ascii="Arial" w:hAnsi="Arial" w:cs="Arial"/>
        </w:rPr>
        <w:t xml:space="preserve">systems </w:t>
      </w:r>
      <w:r>
        <w:rPr>
          <w:rFonts w:ascii="Arial" w:hAnsi="Arial" w:cs="Arial"/>
        </w:rPr>
        <w:t>and procedures,</w:t>
      </w:r>
    </w:p>
    <w:p w14:paraId="21C23105" w14:textId="77777777" w:rsidR="00A12F05" w:rsidRPr="001D3A7F" w:rsidRDefault="00A12F05" w:rsidP="00A12F05">
      <w:pPr>
        <w:numPr>
          <w:ilvl w:val="0"/>
          <w:numId w:val="31"/>
        </w:numPr>
        <w:tabs>
          <w:tab w:val="left" w:pos="426"/>
        </w:tabs>
        <w:ind w:left="426" w:hanging="426"/>
        <w:jc w:val="both"/>
        <w:rPr>
          <w:rFonts w:ascii="Arial" w:hAnsi="Arial" w:cs="Arial"/>
        </w:rPr>
      </w:pPr>
      <w:r>
        <w:rPr>
          <w:rFonts w:ascii="Arial" w:hAnsi="Arial" w:cs="Arial"/>
        </w:rPr>
        <w:t xml:space="preserve">staff </w:t>
      </w:r>
      <w:r w:rsidRPr="001D3A7F">
        <w:rPr>
          <w:rFonts w:ascii="Arial" w:hAnsi="Arial" w:cs="Arial"/>
        </w:rPr>
        <w:t>communication and training</w:t>
      </w:r>
      <w:r>
        <w:rPr>
          <w:rFonts w:ascii="Arial" w:hAnsi="Arial" w:cs="Arial"/>
        </w:rPr>
        <w:t>,</w:t>
      </w:r>
    </w:p>
    <w:p w14:paraId="31DF59FE" w14:textId="77777777" w:rsidR="00A12F05" w:rsidRPr="00481AF6" w:rsidRDefault="00A12F05" w:rsidP="00A12F05">
      <w:pPr>
        <w:numPr>
          <w:ilvl w:val="0"/>
          <w:numId w:val="31"/>
        </w:numPr>
        <w:tabs>
          <w:tab w:val="left" w:pos="426"/>
        </w:tabs>
        <w:ind w:left="426" w:hanging="426"/>
        <w:jc w:val="both"/>
        <w:rPr>
          <w:rFonts w:ascii="Arial" w:hAnsi="Arial" w:cs="Arial"/>
          <w:lang w:val="en-US"/>
        </w:rPr>
      </w:pPr>
      <w:r w:rsidRPr="00481AF6">
        <w:rPr>
          <w:rFonts w:ascii="Arial" w:hAnsi="Arial" w:cs="Arial"/>
        </w:rPr>
        <w:t>proper information for the relevant clients</w:t>
      </w:r>
      <w:r>
        <w:rPr>
          <w:rFonts w:ascii="Arial" w:hAnsi="Arial" w:cs="Arial"/>
        </w:rPr>
        <w:t>.</w:t>
      </w:r>
    </w:p>
    <w:p w14:paraId="608C428F" w14:textId="77777777" w:rsidR="00A12F05" w:rsidRDefault="00A12F05" w:rsidP="00A12F05">
      <w:pPr>
        <w:tabs>
          <w:tab w:val="left" w:pos="426"/>
        </w:tabs>
        <w:jc w:val="both"/>
        <w:rPr>
          <w:rFonts w:ascii="Arial" w:hAnsi="Arial" w:cs="Arial"/>
          <w:lang w:val="en-US"/>
        </w:rPr>
      </w:pPr>
    </w:p>
    <w:p w14:paraId="7016C9C9" w14:textId="681D7C41" w:rsidR="00871163" w:rsidRPr="00A12F05" w:rsidRDefault="00A12F05" w:rsidP="00A12F05">
      <w:pPr>
        <w:tabs>
          <w:tab w:val="left" w:pos="426"/>
        </w:tabs>
        <w:jc w:val="both"/>
        <w:rPr>
          <w:rFonts w:ascii="Arial" w:hAnsi="Arial" w:cs="Arial"/>
          <w:lang w:val="en-US"/>
        </w:rPr>
      </w:pPr>
      <w:r>
        <w:rPr>
          <w:rFonts w:ascii="Arial" w:hAnsi="Arial" w:cs="Arial"/>
          <w:lang w:val="en-US"/>
        </w:rPr>
        <w:t>A</w:t>
      </w:r>
      <w:r w:rsidRPr="00FC1B39">
        <w:rPr>
          <w:rFonts w:ascii="Arial" w:hAnsi="Arial" w:cs="Arial"/>
          <w:lang w:val="en-US"/>
        </w:rPr>
        <w:t xml:space="preserve"> three-month delay between the date of entry into force of the </w:t>
      </w:r>
      <w:r>
        <w:rPr>
          <w:rFonts w:ascii="Arial" w:hAnsi="Arial" w:cs="Arial"/>
          <w:lang w:val="en-US"/>
        </w:rPr>
        <w:t xml:space="preserve">new </w:t>
      </w:r>
      <w:r w:rsidRPr="00FC1B39">
        <w:rPr>
          <w:rFonts w:ascii="Arial" w:hAnsi="Arial" w:cs="Arial"/>
          <w:lang w:val="en-US"/>
        </w:rPr>
        <w:t xml:space="preserve">regulation and its effective </w:t>
      </w:r>
      <w:r>
        <w:rPr>
          <w:rFonts w:ascii="Arial" w:hAnsi="Arial" w:cs="Arial"/>
          <w:lang w:val="en-US"/>
        </w:rPr>
        <w:t xml:space="preserve">application </w:t>
      </w:r>
      <w:r w:rsidRPr="00FC1B39">
        <w:rPr>
          <w:rFonts w:ascii="Arial" w:hAnsi="Arial" w:cs="Arial"/>
          <w:lang w:val="en-US"/>
        </w:rPr>
        <w:t>date seems appropriate</w:t>
      </w:r>
      <w:r>
        <w:rPr>
          <w:rFonts w:ascii="Arial" w:hAnsi="Arial" w:cs="Arial"/>
          <w:lang w:val="en-US"/>
        </w:rPr>
        <w:t xml:space="preserve">, bearing in mind that, as abovementioned, </w:t>
      </w:r>
      <w:r>
        <w:rPr>
          <w:rFonts w:ascii="Arial" w:hAnsi="Arial" w:cs="Arial"/>
        </w:rPr>
        <w:t>a</w:t>
      </w:r>
      <w:r w:rsidRPr="00F86263">
        <w:rPr>
          <w:rFonts w:ascii="Arial" w:hAnsi="Arial" w:cs="Arial"/>
        </w:rPr>
        <w:t xml:space="preserve">n implementation date </w:t>
      </w:r>
      <w:r w:rsidRPr="00D61B83">
        <w:rPr>
          <w:rFonts w:ascii="Arial" w:hAnsi="Arial" w:cs="Arial"/>
        </w:rPr>
        <w:t xml:space="preserve">after the enforcement </w:t>
      </w:r>
      <w:r>
        <w:rPr>
          <w:rFonts w:ascii="Arial" w:hAnsi="Arial" w:cs="Arial"/>
        </w:rPr>
        <w:t xml:space="preserve">of the new rules </w:t>
      </w:r>
      <w:r w:rsidRPr="00D61B83">
        <w:rPr>
          <w:rFonts w:ascii="Arial" w:hAnsi="Arial" w:cs="Arial"/>
        </w:rPr>
        <w:t xml:space="preserve">in </w:t>
      </w:r>
      <w:r>
        <w:rPr>
          <w:rFonts w:ascii="Arial" w:hAnsi="Arial" w:cs="Arial"/>
        </w:rPr>
        <w:t xml:space="preserve">the US and the UK would be preferable </w:t>
      </w:r>
      <w:r w:rsidRPr="00F86263">
        <w:rPr>
          <w:rFonts w:ascii="Arial" w:hAnsi="Arial" w:cs="Arial"/>
        </w:rPr>
        <w:t xml:space="preserve">to avoid </w:t>
      </w:r>
      <w:r>
        <w:rPr>
          <w:rFonts w:ascii="Arial" w:hAnsi="Arial" w:cs="Arial"/>
        </w:rPr>
        <w:t xml:space="preserve">any </w:t>
      </w:r>
      <w:r w:rsidRPr="00F86263">
        <w:rPr>
          <w:rFonts w:ascii="Arial" w:hAnsi="Arial" w:cs="Arial"/>
        </w:rPr>
        <w:t>regulatory arbitrage and competitive disadvantage</w:t>
      </w:r>
      <w:r>
        <w:rPr>
          <w:rFonts w:ascii="Arial" w:hAnsi="Arial" w:cs="Arial"/>
        </w:rPr>
        <w:t>.</w:t>
      </w:r>
    </w:p>
    <w:permEnd w:id="234366504"/>
    <w:p w14:paraId="35481B3B" w14:textId="77777777" w:rsidR="00871163" w:rsidRDefault="00871163" w:rsidP="00871163">
      <w:r>
        <w:t>&lt;ESMA_QUESTION_RFRR_4&gt;</w:t>
      </w:r>
    </w:p>
    <w:p w14:paraId="2A497FF9" w14:textId="1364F895" w:rsidR="00871163" w:rsidRDefault="00871163" w:rsidP="00871163"/>
    <w:p w14:paraId="23A11544" w14:textId="6A15F785" w:rsidR="00871163" w:rsidRDefault="00871163" w:rsidP="00871163">
      <w:pPr>
        <w:spacing w:after="120" w:line="264" w:lineRule="auto"/>
        <w:rPr>
          <w:rFonts w:ascii="Arial" w:hAnsi="Arial" w:cs="Arial"/>
          <w:b/>
          <w:sz w:val="22"/>
          <w:szCs w:val="22"/>
          <w:u w:val="single"/>
          <w:lang w:val="en-US" w:eastAsia="en-US"/>
        </w:rPr>
      </w:pPr>
      <w:r w:rsidRPr="00871163">
        <w:rPr>
          <w:rFonts w:ascii="Arial" w:hAnsi="Arial" w:cs="Arial"/>
          <w:b/>
          <w:sz w:val="22"/>
          <w:szCs w:val="22"/>
          <w:u w:val="single"/>
          <w:lang w:val="en-US" w:eastAsia="en-US"/>
        </w:rPr>
        <w:t>Trading Obligation</w:t>
      </w:r>
    </w:p>
    <w:p w14:paraId="67C59343" w14:textId="77777777" w:rsidR="00871163" w:rsidRPr="00871163" w:rsidRDefault="00871163" w:rsidP="00871163">
      <w:pPr>
        <w:spacing w:after="120" w:line="264" w:lineRule="auto"/>
        <w:rPr>
          <w:rFonts w:ascii="Arial" w:hAnsi="Arial" w:cs="Arial"/>
          <w:b/>
          <w:sz w:val="22"/>
          <w:szCs w:val="22"/>
          <w:u w:val="single"/>
          <w:lang w:val="en-US" w:eastAsia="en-US"/>
        </w:rPr>
      </w:pPr>
    </w:p>
    <w:p w14:paraId="60BF4F9E" w14:textId="77777777" w:rsidR="00871163" w:rsidRDefault="00871163" w:rsidP="00871163">
      <w:pPr>
        <w:pStyle w:val="Questionstyle"/>
      </w:pPr>
      <w:r>
        <w:lastRenderedPageBreak/>
        <w:t>Do you agree with this assessment and therefore, not to introduce DTO for contracts referencing TONA, SONIA and for the time being SOFR? If not, please explain.</w:t>
      </w:r>
    </w:p>
    <w:p w14:paraId="265E4A46" w14:textId="77777777" w:rsidR="00871163" w:rsidRDefault="00871163" w:rsidP="00871163">
      <w:r>
        <w:t>&lt;ESMA_QUESTION_RFRR_5&gt;</w:t>
      </w:r>
    </w:p>
    <w:p w14:paraId="0AC6C66E" w14:textId="77777777" w:rsidR="00A12F05" w:rsidRDefault="00A12F05" w:rsidP="00A12F05">
      <w:pPr>
        <w:jc w:val="both"/>
        <w:rPr>
          <w:rFonts w:ascii="Arial" w:hAnsi="Arial" w:cs="Arial"/>
          <w:lang w:val="en-US"/>
        </w:rPr>
      </w:pPr>
      <w:permStart w:id="1682966186" w:edGrp="everyone"/>
      <w:r>
        <w:rPr>
          <w:rFonts w:ascii="Arial" w:hAnsi="Arial" w:cs="Arial"/>
          <w:lang w:val="en-US"/>
        </w:rPr>
        <w:t xml:space="preserve">The FBF agrees with ESMA </w:t>
      </w:r>
      <w:r w:rsidRPr="00553945">
        <w:rPr>
          <w:rFonts w:ascii="Arial" w:hAnsi="Arial" w:cs="Arial"/>
          <w:lang w:val="en-US"/>
        </w:rPr>
        <w:t>not</w:t>
      </w:r>
      <w:r>
        <w:rPr>
          <w:rFonts w:ascii="Arial" w:hAnsi="Arial" w:cs="Arial"/>
          <w:lang w:val="en-US"/>
        </w:rPr>
        <w:t xml:space="preserve"> to introduce DTO for contracts referencing TONIA, SONIA and SOFR.</w:t>
      </w:r>
    </w:p>
    <w:p w14:paraId="06B716EC" w14:textId="77777777" w:rsidR="00A12F05" w:rsidRDefault="00A12F05" w:rsidP="00A12F05">
      <w:pPr>
        <w:jc w:val="both"/>
        <w:rPr>
          <w:rFonts w:ascii="Arial" w:hAnsi="Arial" w:cs="Arial"/>
          <w:lang w:val="en-US"/>
        </w:rPr>
      </w:pPr>
    </w:p>
    <w:p w14:paraId="0A542C29" w14:textId="1E4C42DF" w:rsidR="00871163" w:rsidRPr="00A12F05" w:rsidRDefault="00A12F05" w:rsidP="00A12F05">
      <w:pPr>
        <w:jc w:val="both"/>
        <w:rPr>
          <w:rFonts w:ascii="Arial" w:hAnsi="Arial" w:cs="Arial"/>
          <w:lang w:val="en-US"/>
        </w:rPr>
      </w:pPr>
      <w:r w:rsidRPr="00DD6E15">
        <w:rPr>
          <w:rFonts w:ascii="Arial" w:hAnsi="Arial" w:cs="Arial"/>
          <w:lang w:val="en-US"/>
        </w:rPr>
        <w:t>As previously stated, the FBF requests ESMA not to add new class</w:t>
      </w:r>
      <w:r>
        <w:rPr>
          <w:rFonts w:ascii="Arial" w:hAnsi="Arial" w:cs="Arial"/>
          <w:lang w:val="en-US"/>
        </w:rPr>
        <w:t>es</w:t>
      </w:r>
      <w:r w:rsidRPr="00DD6E15">
        <w:rPr>
          <w:rFonts w:ascii="Arial" w:hAnsi="Arial" w:cs="Arial"/>
          <w:lang w:val="en-US"/>
        </w:rPr>
        <w:t xml:space="preserve"> of derivatives to the DTO</w:t>
      </w:r>
      <w:r>
        <w:rPr>
          <w:rFonts w:ascii="Arial" w:hAnsi="Arial" w:cs="Arial"/>
          <w:lang w:val="en-US"/>
        </w:rPr>
        <w:t xml:space="preserve"> until the </w:t>
      </w:r>
      <w:r w:rsidRPr="00A21459">
        <w:rPr>
          <w:rFonts w:ascii="Arial" w:hAnsi="Arial" w:cs="Arial"/>
          <w:lang w:val="en-US"/>
        </w:rPr>
        <w:t>new DTO suspension mechanism proposed by</w:t>
      </w:r>
      <w:r>
        <w:rPr>
          <w:rFonts w:ascii="Arial" w:hAnsi="Arial" w:cs="Arial"/>
          <w:lang w:val="en-US"/>
        </w:rPr>
        <w:t xml:space="preserve"> the EC as part of the </w:t>
      </w:r>
      <w:proofErr w:type="spellStart"/>
      <w:r w:rsidRPr="00A21459">
        <w:rPr>
          <w:rFonts w:ascii="Arial" w:hAnsi="Arial" w:cs="Arial"/>
          <w:lang w:val="en-US"/>
        </w:rPr>
        <w:t>MiFIR</w:t>
      </w:r>
      <w:proofErr w:type="spellEnd"/>
      <w:r w:rsidRPr="00A21459">
        <w:rPr>
          <w:rFonts w:ascii="Arial" w:hAnsi="Arial" w:cs="Arial"/>
          <w:lang w:val="en-US"/>
        </w:rPr>
        <w:t xml:space="preserve"> R</w:t>
      </w:r>
      <w:r>
        <w:rPr>
          <w:rFonts w:ascii="Arial" w:hAnsi="Arial" w:cs="Arial"/>
          <w:lang w:val="en-US"/>
        </w:rPr>
        <w:t>eview</w:t>
      </w:r>
      <w:r w:rsidRPr="00A21459">
        <w:rPr>
          <w:rFonts w:ascii="Arial" w:hAnsi="Arial" w:cs="Arial"/>
          <w:lang w:val="en-US"/>
        </w:rPr>
        <w:t xml:space="preserve"> </w:t>
      </w:r>
      <w:r>
        <w:rPr>
          <w:rFonts w:ascii="Arial" w:hAnsi="Arial" w:cs="Arial"/>
          <w:lang w:val="en-US"/>
        </w:rPr>
        <w:t>has been fully implemented, in order not to aggravate the unlevel playing field between European financial institutions and their international competitors.</w:t>
      </w:r>
    </w:p>
    <w:permEnd w:id="1682966186"/>
    <w:p w14:paraId="5A2ED45E" w14:textId="77777777" w:rsidR="00871163" w:rsidRDefault="00871163" w:rsidP="00871163">
      <w:r>
        <w:t>&lt;ESMA_QUESTION_RFRR_5&gt;</w:t>
      </w:r>
    </w:p>
    <w:p w14:paraId="5196122F" w14:textId="77777777" w:rsidR="00871163" w:rsidRDefault="00871163" w:rsidP="00871163"/>
    <w:p w14:paraId="05446E78" w14:textId="77777777" w:rsidR="00871163" w:rsidRDefault="00871163" w:rsidP="00871163">
      <w:pPr>
        <w:pStyle w:val="Questionstyle"/>
      </w:pPr>
      <w:r>
        <w:t>Do you agree with this assessment? Do you consider that also contracts with constant notional and 3 months tenor and trade start date Spot (t+0) should be subject to the DTO? If so, please specify also the other relevant standardised parameters used with those contracts. Do you consider that also contracts with constant notional and 3 years tenor and trade start date second next IMM date shall be subject to the DTO? If so, please specify also the other relevant standardised parameters used with those contracts. Should other tenors be considered for the DTO?</w:t>
      </w:r>
    </w:p>
    <w:p w14:paraId="2D4E9975" w14:textId="77777777" w:rsidR="00871163" w:rsidRDefault="00871163" w:rsidP="00871163">
      <w:r>
        <w:t>&lt;ESMA_QUESTION_RFRR_6&gt;</w:t>
      </w:r>
    </w:p>
    <w:p w14:paraId="64F598C5" w14:textId="77777777" w:rsidR="00A12F05" w:rsidRDefault="00A12F05" w:rsidP="00A12F05">
      <w:pPr>
        <w:jc w:val="both"/>
        <w:rPr>
          <w:rFonts w:ascii="Arial" w:hAnsi="Arial" w:cs="Arial"/>
          <w:lang w:val="en-US"/>
        </w:rPr>
      </w:pPr>
      <w:permStart w:id="1012211534" w:edGrp="everyone"/>
      <w:r>
        <w:rPr>
          <w:rFonts w:ascii="Arial" w:hAnsi="Arial" w:cs="Arial"/>
          <w:lang w:val="en-US"/>
        </w:rPr>
        <w:t xml:space="preserve">As explained in Q1 and Q5, the FBF does not agree with ESMA’s proposal to add new classes of derivatives to the DTO before the </w:t>
      </w:r>
      <w:r w:rsidRPr="00A21459">
        <w:rPr>
          <w:rFonts w:ascii="Arial" w:hAnsi="Arial" w:cs="Arial"/>
          <w:lang w:val="en-US"/>
        </w:rPr>
        <w:t>new DTO suspension mechanism proposed by</w:t>
      </w:r>
      <w:r>
        <w:rPr>
          <w:rFonts w:ascii="Arial" w:hAnsi="Arial" w:cs="Arial"/>
          <w:lang w:val="en-US"/>
        </w:rPr>
        <w:t xml:space="preserve"> the EC as part of the </w:t>
      </w:r>
      <w:proofErr w:type="spellStart"/>
      <w:r w:rsidRPr="00A21459">
        <w:rPr>
          <w:rFonts w:ascii="Arial" w:hAnsi="Arial" w:cs="Arial"/>
          <w:lang w:val="en-US"/>
        </w:rPr>
        <w:t>MiFIR</w:t>
      </w:r>
      <w:proofErr w:type="spellEnd"/>
      <w:r w:rsidRPr="00A21459">
        <w:rPr>
          <w:rFonts w:ascii="Arial" w:hAnsi="Arial" w:cs="Arial"/>
          <w:lang w:val="en-US"/>
        </w:rPr>
        <w:t xml:space="preserve"> R</w:t>
      </w:r>
      <w:r>
        <w:rPr>
          <w:rFonts w:ascii="Arial" w:hAnsi="Arial" w:cs="Arial"/>
          <w:lang w:val="en-US"/>
        </w:rPr>
        <w:t>eview</w:t>
      </w:r>
      <w:r w:rsidRPr="00A21459">
        <w:rPr>
          <w:rFonts w:ascii="Arial" w:hAnsi="Arial" w:cs="Arial"/>
          <w:lang w:val="en-US"/>
        </w:rPr>
        <w:t xml:space="preserve"> </w:t>
      </w:r>
      <w:r>
        <w:rPr>
          <w:rFonts w:ascii="Arial" w:hAnsi="Arial" w:cs="Arial"/>
          <w:lang w:val="en-US"/>
        </w:rPr>
        <w:t>has been fully implemented.</w:t>
      </w:r>
    </w:p>
    <w:p w14:paraId="3CF2AF3C" w14:textId="77777777" w:rsidR="00A12F05" w:rsidRDefault="00A12F05" w:rsidP="00A12F05">
      <w:pPr>
        <w:jc w:val="both"/>
        <w:rPr>
          <w:rFonts w:ascii="Arial" w:hAnsi="Arial" w:cs="Arial"/>
          <w:lang w:val="en-US"/>
        </w:rPr>
      </w:pPr>
    </w:p>
    <w:p w14:paraId="45395954" w14:textId="77777777" w:rsidR="00A12F05" w:rsidRDefault="00A12F05" w:rsidP="00A12F05">
      <w:pPr>
        <w:jc w:val="both"/>
        <w:rPr>
          <w:rFonts w:ascii="Arial" w:hAnsi="Arial" w:cs="Arial"/>
          <w:lang w:val="en-US"/>
        </w:rPr>
      </w:pPr>
      <w:r>
        <w:rPr>
          <w:rFonts w:ascii="Arial" w:hAnsi="Arial" w:cs="Arial"/>
          <w:lang w:val="en-US"/>
        </w:rPr>
        <w:t>In fact, it would be inconsistent to add new obligations regarding the EU DTO that would aggravate the existing competitive disadvantage for EU banks, while at the same time, the EC is trying to find a solution to solve this crucial issue.</w:t>
      </w:r>
    </w:p>
    <w:p w14:paraId="4424BEC3" w14:textId="77777777" w:rsidR="00A12F05" w:rsidRPr="00AD020E" w:rsidRDefault="00A12F05" w:rsidP="00A12F05">
      <w:pPr>
        <w:jc w:val="both"/>
        <w:rPr>
          <w:rFonts w:ascii="Arial" w:hAnsi="Arial" w:cs="Arial"/>
          <w:lang w:val="en-US"/>
        </w:rPr>
      </w:pPr>
    </w:p>
    <w:p w14:paraId="3B61E942" w14:textId="4046FEAA" w:rsidR="00871163" w:rsidRPr="00A12F05" w:rsidRDefault="00A12F05" w:rsidP="00A12F05">
      <w:pPr>
        <w:jc w:val="both"/>
        <w:rPr>
          <w:rFonts w:ascii="Arial" w:hAnsi="Arial" w:cs="Arial"/>
          <w:lang w:val="en-US"/>
        </w:rPr>
      </w:pPr>
      <w:r>
        <w:rPr>
          <w:rFonts w:ascii="Arial" w:hAnsi="Arial" w:cs="Arial"/>
          <w:lang w:val="en-US"/>
        </w:rPr>
        <w:t>Furthermore, the data provided by ESMA confirm that the volumes of €STR OIS swaps with constant notional and 3 months tenor and trade start date Spot (t+0) are marginal, the liquidity being concentrated on swaps with trade start date Spot (t+2). Consequently, the application of the DTO to the first abovementioned category of swaps (trade start date Spot (t+0)) may be questioned.</w:t>
      </w:r>
    </w:p>
    <w:permEnd w:id="1012211534"/>
    <w:p w14:paraId="363E54F4" w14:textId="77777777" w:rsidR="00871163" w:rsidRDefault="00871163" w:rsidP="00871163">
      <w:r>
        <w:t>&lt;ESMA_QUESTION_RFRR_6&gt;</w:t>
      </w:r>
    </w:p>
    <w:p w14:paraId="104DF587" w14:textId="77777777" w:rsidR="00871163" w:rsidRDefault="00871163" w:rsidP="00871163"/>
    <w:p w14:paraId="19D0EA34" w14:textId="77777777" w:rsidR="00871163" w:rsidRPr="00871163" w:rsidRDefault="00871163" w:rsidP="00871163">
      <w:pPr>
        <w:pStyle w:val="Questionstyle"/>
      </w:pPr>
      <w:r w:rsidRPr="00871163">
        <w:t>Do you agree with this assessment? Do you consider that also the daily floating leg reset frequency is a standardised contract feature that could be considered for the DTO?</w:t>
      </w:r>
    </w:p>
    <w:p w14:paraId="7EB57C2B" w14:textId="77777777" w:rsidR="00871163" w:rsidRDefault="00871163" w:rsidP="00871163">
      <w:r>
        <w:t>&lt;ESMA_QUESTION_RFRR_7&gt;</w:t>
      </w:r>
    </w:p>
    <w:p w14:paraId="13696F11" w14:textId="50293A4D" w:rsidR="00871163" w:rsidRPr="00A12F05" w:rsidRDefault="00A12F05" w:rsidP="00A12F05">
      <w:pPr>
        <w:jc w:val="both"/>
        <w:rPr>
          <w:rFonts w:ascii="Arial" w:hAnsi="Arial" w:cs="Arial"/>
          <w:lang w:val="en-US"/>
        </w:rPr>
      </w:pPr>
      <w:permStart w:id="1184186567" w:edGrp="everyone"/>
      <w:r>
        <w:rPr>
          <w:rFonts w:ascii="Arial" w:hAnsi="Arial" w:cs="Arial"/>
          <w:lang w:val="en-US"/>
        </w:rPr>
        <w:t xml:space="preserve">As previously mentioned in Q1, Q5 and Q6, the FBF does not agree with ESMA’s proposal to add new classes of derivatives to the DTO before the </w:t>
      </w:r>
      <w:r w:rsidRPr="00A21459">
        <w:rPr>
          <w:rFonts w:ascii="Arial" w:hAnsi="Arial" w:cs="Arial"/>
          <w:lang w:val="en-US"/>
        </w:rPr>
        <w:t>new DTO suspension mechanism proposed by</w:t>
      </w:r>
      <w:r>
        <w:rPr>
          <w:rFonts w:ascii="Arial" w:hAnsi="Arial" w:cs="Arial"/>
          <w:lang w:val="en-US"/>
        </w:rPr>
        <w:t xml:space="preserve"> the EC as part of the </w:t>
      </w:r>
      <w:proofErr w:type="spellStart"/>
      <w:r w:rsidRPr="00A21459">
        <w:rPr>
          <w:rFonts w:ascii="Arial" w:hAnsi="Arial" w:cs="Arial"/>
          <w:lang w:val="en-US"/>
        </w:rPr>
        <w:t>MiFIR</w:t>
      </w:r>
      <w:proofErr w:type="spellEnd"/>
      <w:r w:rsidRPr="00A21459">
        <w:rPr>
          <w:rFonts w:ascii="Arial" w:hAnsi="Arial" w:cs="Arial"/>
          <w:lang w:val="en-US"/>
        </w:rPr>
        <w:t xml:space="preserve"> R</w:t>
      </w:r>
      <w:r>
        <w:rPr>
          <w:rFonts w:ascii="Arial" w:hAnsi="Arial" w:cs="Arial"/>
          <w:lang w:val="en-US"/>
        </w:rPr>
        <w:t>eview</w:t>
      </w:r>
      <w:r w:rsidRPr="00A21459">
        <w:rPr>
          <w:rFonts w:ascii="Arial" w:hAnsi="Arial" w:cs="Arial"/>
          <w:lang w:val="en-US"/>
        </w:rPr>
        <w:t xml:space="preserve"> </w:t>
      </w:r>
      <w:r>
        <w:rPr>
          <w:rFonts w:ascii="Arial" w:hAnsi="Arial" w:cs="Arial"/>
          <w:lang w:val="en-US"/>
        </w:rPr>
        <w:t>has been fully implemented, in order not to aggravate the unlevel playing field between European financial institutions and their international competitors.</w:t>
      </w:r>
    </w:p>
    <w:permEnd w:id="1184186567"/>
    <w:p w14:paraId="4ED692F3" w14:textId="77777777" w:rsidR="00871163" w:rsidRDefault="00871163" w:rsidP="00871163">
      <w:r>
        <w:lastRenderedPageBreak/>
        <w:t>&lt;ESMA_QUESTION_RFRR_7&gt;</w:t>
      </w:r>
    </w:p>
    <w:p w14:paraId="18D061D3" w14:textId="77777777" w:rsidR="00871163" w:rsidRDefault="00871163" w:rsidP="00871163"/>
    <w:p w14:paraId="0D45A490" w14:textId="77777777" w:rsidR="00871163" w:rsidRPr="00871163" w:rsidRDefault="00871163" w:rsidP="00871163">
      <w:pPr>
        <w:pStyle w:val="Questionstyle"/>
      </w:pPr>
      <w:r w:rsidRPr="00871163">
        <w:t>Do you agree with this proposal? If not, what amendments do you think are necessary?</w:t>
      </w:r>
    </w:p>
    <w:p w14:paraId="43C6D1AC" w14:textId="77777777" w:rsidR="00871163" w:rsidRDefault="00871163" w:rsidP="00871163">
      <w:r>
        <w:t>&lt;ESMA_QUESTION_RFRR_8&gt;</w:t>
      </w:r>
    </w:p>
    <w:p w14:paraId="3D669784" w14:textId="41336A49" w:rsidR="00871163" w:rsidRPr="00A12F05" w:rsidRDefault="00A12F05" w:rsidP="00A12F05">
      <w:pPr>
        <w:jc w:val="both"/>
        <w:rPr>
          <w:rFonts w:ascii="Arial" w:hAnsi="Arial" w:cs="Arial"/>
          <w:lang w:val="en-US"/>
        </w:rPr>
      </w:pPr>
      <w:permStart w:id="585369704" w:edGrp="everyone"/>
      <w:r>
        <w:rPr>
          <w:rFonts w:ascii="Arial" w:hAnsi="Arial" w:cs="Arial"/>
          <w:lang w:val="en-US"/>
        </w:rPr>
        <w:t xml:space="preserve">As previously mentioned in Q1, Q5 and Q6, the FBF does not agree with ESMA’s proposal to add new classes of derivatives to the DTO before the </w:t>
      </w:r>
      <w:r w:rsidRPr="00A21459">
        <w:rPr>
          <w:rFonts w:ascii="Arial" w:hAnsi="Arial" w:cs="Arial"/>
          <w:lang w:val="en-US"/>
        </w:rPr>
        <w:t>new DTO suspension mechanism proposed by</w:t>
      </w:r>
      <w:r>
        <w:rPr>
          <w:rFonts w:ascii="Arial" w:hAnsi="Arial" w:cs="Arial"/>
          <w:lang w:val="en-US"/>
        </w:rPr>
        <w:t xml:space="preserve"> the EC as part of the </w:t>
      </w:r>
      <w:proofErr w:type="spellStart"/>
      <w:r w:rsidRPr="00A21459">
        <w:rPr>
          <w:rFonts w:ascii="Arial" w:hAnsi="Arial" w:cs="Arial"/>
          <w:lang w:val="en-US"/>
        </w:rPr>
        <w:t>MiFIR</w:t>
      </w:r>
      <w:proofErr w:type="spellEnd"/>
      <w:r w:rsidRPr="00A21459">
        <w:rPr>
          <w:rFonts w:ascii="Arial" w:hAnsi="Arial" w:cs="Arial"/>
          <w:lang w:val="en-US"/>
        </w:rPr>
        <w:t xml:space="preserve"> R</w:t>
      </w:r>
      <w:r>
        <w:rPr>
          <w:rFonts w:ascii="Arial" w:hAnsi="Arial" w:cs="Arial"/>
          <w:lang w:val="en-US"/>
        </w:rPr>
        <w:t>eview</w:t>
      </w:r>
      <w:r w:rsidRPr="00A21459">
        <w:rPr>
          <w:rFonts w:ascii="Arial" w:hAnsi="Arial" w:cs="Arial"/>
          <w:lang w:val="en-US"/>
        </w:rPr>
        <w:t xml:space="preserve"> </w:t>
      </w:r>
      <w:r>
        <w:rPr>
          <w:rFonts w:ascii="Arial" w:hAnsi="Arial" w:cs="Arial"/>
          <w:lang w:val="en-US"/>
        </w:rPr>
        <w:t>has been fully implemented, in order not to aggravate the unlevel playing field between European financial institutions and their international competitors.</w:t>
      </w:r>
    </w:p>
    <w:permEnd w:id="585369704"/>
    <w:p w14:paraId="23CF693D" w14:textId="77777777" w:rsidR="00871163" w:rsidRDefault="00871163" w:rsidP="00871163">
      <w:r>
        <w:t>&lt;ESMA_QUESTION_RFRR_8&gt;</w:t>
      </w:r>
    </w:p>
    <w:p w14:paraId="67050B2C" w14:textId="77777777" w:rsidR="00871163" w:rsidRDefault="00871163" w:rsidP="00871163"/>
    <w:p w14:paraId="478A71CC" w14:textId="77777777" w:rsidR="00871163" w:rsidRPr="00871163" w:rsidRDefault="00871163" w:rsidP="00871163">
      <w:pPr>
        <w:pStyle w:val="Questionstyle"/>
      </w:pPr>
      <w:r w:rsidRPr="00871163">
        <w:t>Do you agree with proposing to not provide for an implementation period for the entry into force of the amended DTO? If not, please explain.</w:t>
      </w:r>
    </w:p>
    <w:p w14:paraId="253C7EA5" w14:textId="77777777" w:rsidR="00871163" w:rsidRDefault="00871163" w:rsidP="00871163">
      <w:r>
        <w:t>&lt;ESMA_QUESTION_RFRR_9&gt;</w:t>
      </w:r>
    </w:p>
    <w:p w14:paraId="192913AA" w14:textId="77777777" w:rsidR="00A12F05" w:rsidRDefault="00A12F05" w:rsidP="00A12F05">
      <w:pPr>
        <w:jc w:val="both"/>
        <w:rPr>
          <w:rFonts w:ascii="Arial" w:hAnsi="Arial" w:cs="Arial"/>
          <w:lang w:val="en-US"/>
        </w:rPr>
      </w:pPr>
      <w:permStart w:id="1970031820" w:edGrp="everyone"/>
      <w:r>
        <w:rPr>
          <w:rFonts w:ascii="Arial" w:hAnsi="Arial" w:cs="Arial"/>
          <w:lang w:val="en-US"/>
        </w:rPr>
        <w:t xml:space="preserve">As previously mentioned in Q1, Q5 and Q6, the FBF does not agree with ESMA’s proposal to add new classes of derivatives to the DTO before the </w:t>
      </w:r>
      <w:r w:rsidRPr="00A21459">
        <w:rPr>
          <w:rFonts w:ascii="Arial" w:hAnsi="Arial" w:cs="Arial"/>
          <w:lang w:val="en-US"/>
        </w:rPr>
        <w:t>new DTO suspension mechanism proposed by</w:t>
      </w:r>
      <w:r>
        <w:rPr>
          <w:rFonts w:ascii="Arial" w:hAnsi="Arial" w:cs="Arial"/>
          <w:lang w:val="en-US"/>
        </w:rPr>
        <w:t xml:space="preserve"> the EC as part of the </w:t>
      </w:r>
      <w:proofErr w:type="spellStart"/>
      <w:r w:rsidRPr="00A21459">
        <w:rPr>
          <w:rFonts w:ascii="Arial" w:hAnsi="Arial" w:cs="Arial"/>
          <w:lang w:val="en-US"/>
        </w:rPr>
        <w:t>MiFIR</w:t>
      </w:r>
      <w:proofErr w:type="spellEnd"/>
      <w:r w:rsidRPr="00A21459">
        <w:rPr>
          <w:rFonts w:ascii="Arial" w:hAnsi="Arial" w:cs="Arial"/>
          <w:lang w:val="en-US"/>
        </w:rPr>
        <w:t xml:space="preserve"> R</w:t>
      </w:r>
      <w:r>
        <w:rPr>
          <w:rFonts w:ascii="Arial" w:hAnsi="Arial" w:cs="Arial"/>
          <w:lang w:val="en-US"/>
        </w:rPr>
        <w:t>eview</w:t>
      </w:r>
      <w:r w:rsidRPr="00A21459">
        <w:rPr>
          <w:rFonts w:ascii="Arial" w:hAnsi="Arial" w:cs="Arial"/>
          <w:lang w:val="en-US"/>
        </w:rPr>
        <w:t xml:space="preserve"> </w:t>
      </w:r>
      <w:r>
        <w:rPr>
          <w:rFonts w:ascii="Arial" w:hAnsi="Arial" w:cs="Arial"/>
          <w:lang w:val="en-US"/>
        </w:rPr>
        <w:t>has been fully implemented, in order not to aggravate the unlevel playing field between European financial institutions and their international competitors.</w:t>
      </w:r>
    </w:p>
    <w:p w14:paraId="57E410DC" w14:textId="77777777" w:rsidR="00A12F05" w:rsidRPr="00AD020E" w:rsidRDefault="00A12F05" w:rsidP="00A12F05">
      <w:pPr>
        <w:jc w:val="both"/>
        <w:rPr>
          <w:rFonts w:ascii="Arial" w:hAnsi="Arial" w:cs="Arial"/>
          <w:lang w:val="en-US"/>
        </w:rPr>
      </w:pPr>
    </w:p>
    <w:p w14:paraId="6367B949" w14:textId="77777777" w:rsidR="00A12F05" w:rsidRDefault="00A12F05" w:rsidP="00A12F05">
      <w:pPr>
        <w:jc w:val="both"/>
        <w:rPr>
          <w:rFonts w:ascii="Arial" w:hAnsi="Arial" w:cs="Arial"/>
          <w:lang w:val="en-US"/>
        </w:rPr>
      </w:pPr>
      <w:r>
        <w:rPr>
          <w:rFonts w:ascii="Arial" w:hAnsi="Arial" w:cs="Arial"/>
          <w:lang w:val="en-US"/>
        </w:rPr>
        <w:t>Besides, as explained in Q4, once the DTO RTS are published, we remind that sufficient notice is needed for market participants prior to the application date of new requirements to ensure:</w:t>
      </w:r>
    </w:p>
    <w:p w14:paraId="1D3C1EE8" w14:textId="77777777" w:rsidR="00A12F05" w:rsidRPr="001D3A7F" w:rsidRDefault="00A12F05" w:rsidP="00A12F05">
      <w:pPr>
        <w:numPr>
          <w:ilvl w:val="0"/>
          <w:numId w:val="31"/>
        </w:numPr>
        <w:tabs>
          <w:tab w:val="left" w:pos="426"/>
        </w:tabs>
        <w:ind w:left="426" w:hanging="426"/>
        <w:jc w:val="both"/>
        <w:rPr>
          <w:rFonts w:ascii="Arial" w:hAnsi="Arial" w:cs="Arial"/>
        </w:rPr>
      </w:pPr>
      <w:r>
        <w:rPr>
          <w:rFonts w:ascii="Arial" w:hAnsi="Arial" w:cs="Arial"/>
        </w:rPr>
        <w:t xml:space="preserve">Adaptation of </w:t>
      </w:r>
      <w:r w:rsidRPr="001D3A7F">
        <w:rPr>
          <w:rFonts w:ascii="Arial" w:hAnsi="Arial" w:cs="Arial"/>
        </w:rPr>
        <w:t xml:space="preserve">internal </w:t>
      </w:r>
      <w:r>
        <w:rPr>
          <w:rFonts w:ascii="Arial" w:hAnsi="Arial" w:cs="Arial"/>
        </w:rPr>
        <w:t xml:space="preserve">information </w:t>
      </w:r>
      <w:r w:rsidRPr="001D3A7F">
        <w:rPr>
          <w:rFonts w:ascii="Arial" w:hAnsi="Arial" w:cs="Arial"/>
        </w:rPr>
        <w:t xml:space="preserve">systems </w:t>
      </w:r>
      <w:r>
        <w:rPr>
          <w:rFonts w:ascii="Arial" w:hAnsi="Arial" w:cs="Arial"/>
        </w:rPr>
        <w:t>and procedures,</w:t>
      </w:r>
    </w:p>
    <w:p w14:paraId="267A67A6" w14:textId="77777777" w:rsidR="00A12F05" w:rsidRPr="001D3A7F" w:rsidRDefault="00A12F05" w:rsidP="00A12F05">
      <w:pPr>
        <w:numPr>
          <w:ilvl w:val="0"/>
          <w:numId w:val="31"/>
        </w:numPr>
        <w:tabs>
          <w:tab w:val="left" w:pos="426"/>
        </w:tabs>
        <w:ind w:left="426" w:hanging="426"/>
        <w:jc w:val="both"/>
        <w:rPr>
          <w:rFonts w:ascii="Arial" w:hAnsi="Arial" w:cs="Arial"/>
        </w:rPr>
      </w:pPr>
      <w:r>
        <w:rPr>
          <w:rFonts w:ascii="Arial" w:hAnsi="Arial" w:cs="Arial"/>
        </w:rPr>
        <w:t xml:space="preserve">staff </w:t>
      </w:r>
      <w:r w:rsidRPr="001D3A7F">
        <w:rPr>
          <w:rFonts w:ascii="Arial" w:hAnsi="Arial" w:cs="Arial"/>
        </w:rPr>
        <w:t>communication and training</w:t>
      </w:r>
      <w:r>
        <w:rPr>
          <w:rFonts w:ascii="Arial" w:hAnsi="Arial" w:cs="Arial"/>
        </w:rPr>
        <w:t>,</w:t>
      </w:r>
    </w:p>
    <w:p w14:paraId="40E71C14" w14:textId="77777777" w:rsidR="00A12F05" w:rsidRPr="00481AF6" w:rsidRDefault="00A12F05" w:rsidP="00A12F05">
      <w:pPr>
        <w:numPr>
          <w:ilvl w:val="0"/>
          <w:numId w:val="31"/>
        </w:numPr>
        <w:tabs>
          <w:tab w:val="left" w:pos="426"/>
        </w:tabs>
        <w:ind w:left="426" w:hanging="426"/>
        <w:jc w:val="both"/>
        <w:rPr>
          <w:rFonts w:ascii="Arial" w:hAnsi="Arial" w:cs="Arial"/>
          <w:lang w:val="en-US"/>
        </w:rPr>
      </w:pPr>
      <w:r w:rsidRPr="00481AF6">
        <w:rPr>
          <w:rFonts w:ascii="Arial" w:hAnsi="Arial" w:cs="Arial"/>
        </w:rPr>
        <w:t>proper information for the relevant clients</w:t>
      </w:r>
      <w:r>
        <w:rPr>
          <w:rFonts w:ascii="Arial" w:hAnsi="Arial" w:cs="Arial"/>
        </w:rPr>
        <w:t>.</w:t>
      </w:r>
    </w:p>
    <w:p w14:paraId="7D2CFDC2" w14:textId="77777777" w:rsidR="00A12F05" w:rsidRDefault="00A12F05" w:rsidP="00A12F05">
      <w:pPr>
        <w:jc w:val="both"/>
        <w:rPr>
          <w:rFonts w:ascii="Arial" w:hAnsi="Arial" w:cs="Arial"/>
          <w:lang w:val="en-US"/>
        </w:rPr>
      </w:pPr>
    </w:p>
    <w:p w14:paraId="1CD34A1F" w14:textId="2391D589" w:rsidR="00871163" w:rsidRPr="00A12F05" w:rsidRDefault="00A12F05" w:rsidP="00A12F05">
      <w:pPr>
        <w:jc w:val="both"/>
        <w:rPr>
          <w:rFonts w:ascii="Arial" w:hAnsi="Arial" w:cs="Arial"/>
          <w:lang w:val="en-US"/>
        </w:rPr>
      </w:pPr>
      <w:r>
        <w:rPr>
          <w:rFonts w:ascii="Arial" w:hAnsi="Arial" w:cs="Arial"/>
          <w:lang w:val="en-US"/>
        </w:rPr>
        <w:t>A</w:t>
      </w:r>
      <w:r w:rsidRPr="00FC1B39">
        <w:rPr>
          <w:rFonts w:ascii="Arial" w:hAnsi="Arial" w:cs="Arial"/>
          <w:lang w:val="en-US"/>
        </w:rPr>
        <w:t xml:space="preserve"> three-month delay between the date of entry into force of the </w:t>
      </w:r>
      <w:r>
        <w:rPr>
          <w:rFonts w:ascii="Arial" w:hAnsi="Arial" w:cs="Arial"/>
          <w:lang w:val="en-US"/>
        </w:rPr>
        <w:t xml:space="preserve">new </w:t>
      </w:r>
      <w:r w:rsidRPr="00FC1B39">
        <w:rPr>
          <w:rFonts w:ascii="Arial" w:hAnsi="Arial" w:cs="Arial"/>
          <w:lang w:val="en-US"/>
        </w:rPr>
        <w:t xml:space="preserve">regulation and its effective </w:t>
      </w:r>
      <w:r>
        <w:rPr>
          <w:rFonts w:ascii="Arial" w:hAnsi="Arial" w:cs="Arial"/>
          <w:lang w:val="en-US"/>
        </w:rPr>
        <w:t xml:space="preserve">application </w:t>
      </w:r>
      <w:r w:rsidRPr="00FC1B39">
        <w:rPr>
          <w:rFonts w:ascii="Arial" w:hAnsi="Arial" w:cs="Arial"/>
          <w:lang w:val="en-US"/>
        </w:rPr>
        <w:t>date seems appropriate</w:t>
      </w:r>
      <w:r>
        <w:rPr>
          <w:rFonts w:ascii="Arial" w:hAnsi="Arial" w:cs="Arial"/>
          <w:lang w:val="en-US"/>
        </w:rPr>
        <w:t>.</w:t>
      </w:r>
    </w:p>
    <w:permEnd w:id="1970031820"/>
    <w:p w14:paraId="70CF5A5B" w14:textId="21AF6B66" w:rsidR="00871163" w:rsidRDefault="00871163" w:rsidP="00871163">
      <w:r>
        <w:t>&lt;ESMA_QUESTION_RFRR_9&gt;</w:t>
      </w:r>
    </w:p>
    <w:p w14:paraId="61B7FDC5" w14:textId="6A8F66F9" w:rsidR="00871163" w:rsidRDefault="00871163" w:rsidP="00871163"/>
    <w:p w14:paraId="1A6E5AB1" w14:textId="65F55A9D" w:rsidR="00871163" w:rsidRPr="00871163" w:rsidRDefault="00871163" w:rsidP="00871163">
      <w:pPr>
        <w:spacing w:after="120" w:line="264" w:lineRule="auto"/>
        <w:rPr>
          <w:rFonts w:ascii="Arial" w:hAnsi="Arial" w:cs="Arial"/>
          <w:b/>
          <w:sz w:val="22"/>
          <w:szCs w:val="22"/>
          <w:u w:val="single"/>
          <w:lang w:val="en-US" w:eastAsia="en-US"/>
        </w:rPr>
      </w:pPr>
      <w:r w:rsidRPr="00871163">
        <w:rPr>
          <w:rFonts w:ascii="Arial" w:hAnsi="Arial" w:cs="Arial"/>
          <w:b/>
          <w:sz w:val="22"/>
          <w:szCs w:val="22"/>
          <w:u w:val="single"/>
          <w:lang w:val="en-US" w:eastAsia="en-US"/>
        </w:rPr>
        <w:t>Cost-benefit analysis</w:t>
      </w:r>
    </w:p>
    <w:p w14:paraId="5DCA3FC1" w14:textId="77777777" w:rsidR="00871163" w:rsidRDefault="00871163" w:rsidP="00871163"/>
    <w:p w14:paraId="32FCC221" w14:textId="77777777" w:rsidR="00871163" w:rsidRPr="00871163" w:rsidRDefault="00871163" w:rsidP="00871163">
      <w:pPr>
        <w:pStyle w:val="Questionstyle"/>
      </w:pPr>
      <w:r w:rsidRPr="00871163">
        <w:t>Are there other elements that should be taken into account and that would impact the outcome of the cost-benefit analysis? Please provide quantitative and qualitative details</w:t>
      </w:r>
    </w:p>
    <w:p w14:paraId="25B03EDC" w14:textId="77777777" w:rsidR="00871163" w:rsidRDefault="00871163" w:rsidP="00871163">
      <w:r>
        <w:t>&lt;ESMA_QUESTION_RFRR_10&gt;</w:t>
      </w:r>
    </w:p>
    <w:p w14:paraId="04526EB8" w14:textId="77777777" w:rsidR="00A12F05" w:rsidRDefault="00A12F05" w:rsidP="00A12F05">
      <w:pPr>
        <w:jc w:val="both"/>
        <w:rPr>
          <w:rFonts w:ascii="Arial" w:hAnsi="Arial" w:cs="Arial"/>
          <w:lang w:val="en-US"/>
        </w:rPr>
      </w:pPr>
      <w:permStart w:id="414610086" w:edGrp="everyone"/>
    </w:p>
    <w:p w14:paraId="696E47EE" w14:textId="77777777" w:rsidR="00A12F05" w:rsidRDefault="00A12F05" w:rsidP="00A12F05">
      <w:pPr>
        <w:jc w:val="both"/>
        <w:rPr>
          <w:rFonts w:ascii="Arial" w:hAnsi="Arial" w:cs="Arial"/>
          <w:lang w:val="en-US"/>
        </w:rPr>
      </w:pPr>
      <w:r>
        <w:rPr>
          <w:rFonts w:ascii="Arial" w:hAnsi="Arial" w:cs="Arial"/>
          <w:lang w:val="en-US"/>
        </w:rPr>
        <w:t xml:space="preserve">The FBF would like to thank ESMA for having carried out a cost-benefit analysis before issuing its proposals but </w:t>
      </w:r>
      <w:r w:rsidRPr="006D7216">
        <w:rPr>
          <w:rFonts w:ascii="Arial" w:hAnsi="Arial" w:cs="Arial"/>
          <w:lang w:val="en-US"/>
        </w:rPr>
        <w:t>regret</w:t>
      </w:r>
      <w:r>
        <w:rPr>
          <w:rFonts w:ascii="Arial" w:hAnsi="Arial" w:cs="Arial"/>
          <w:lang w:val="en-US"/>
        </w:rPr>
        <w:t>s</w:t>
      </w:r>
      <w:r w:rsidRPr="006D7216">
        <w:rPr>
          <w:rFonts w:ascii="Arial" w:hAnsi="Arial" w:cs="Arial"/>
          <w:lang w:val="en-US"/>
        </w:rPr>
        <w:t xml:space="preserve"> that the negative effects of the DTO </w:t>
      </w:r>
      <w:r>
        <w:rPr>
          <w:rFonts w:ascii="Arial" w:hAnsi="Arial" w:cs="Arial"/>
          <w:lang w:val="en-US"/>
        </w:rPr>
        <w:t xml:space="preserve">amendments </w:t>
      </w:r>
      <w:r w:rsidRPr="006D7216">
        <w:rPr>
          <w:rFonts w:ascii="Arial" w:hAnsi="Arial" w:cs="Arial"/>
          <w:lang w:val="en-US"/>
        </w:rPr>
        <w:t xml:space="preserve">on the competitiveness of </w:t>
      </w:r>
      <w:r>
        <w:rPr>
          <w:rFonts w:ascii="Arial" w:hAnsi="Arial" w:cs="Arial"/>
          <w:lang w:val="en-US"/>
        </w:rPr>
        <w:t>E</w:t>
      </w:r>
      <w:r w:rsidRPr="006D7216">
        <w:rPr>
          <w:rFonts w:ascii="Arial" w:hAnsi="Arial" w:cs="Arial"/>
          <w:lang w:val="en-US"/>
        </w:rPr>
        <w:t xml:space="preserve">uropean financial </w:t>
      </w:r>
      <w:r>
        <w:rPr>
          <w:rFonts w:ascii="Arial" w:hAnsi="Arial" w:cs="Arial"/>
          <w:lang w:val="en-US"/>
        </w:rPr>
        <w:t xml:space="preserve">institutions </w:t>
      </w:r>
      <w:r w:rsidRPr="006D7216">
        <w:rPr>
          <w:rFonts w:ascii="Arial" w:hAnsi="Arial" w:cs="Arial"/>
          <w:lang w:val="en-US"/>
        </w:rPr>
        <w:t>have not been considered.</w:t>
      </w:r>
    </w:p>
    <w:p w14:paraId="46CA736A" w14:textId="77777777" w:rsidR="00A12F05" w:rsidRDefault="00A12F05" w:rsidP="00A12F05">
      <w:pPr>
        <w:jc w:val="both"/>
        <w:rPr>
          <w:rFonts w:ascii="Arial" w:hAnsi="Arial" w:cs="Arial"/>
          <w:lang w:val="en-US"/>
        </w:rPr>
      </w:pPr>
    </w:p>
    <w:p w14:paraId="5FBA904F" w14:textId="77777777" w:rsidR="00A12F05" w:rsidRDefault="00A12F05" w:rsidP="00A12F05">
      <w:pPr>
        <w:jc w:val="both"/>
        <w:rPr>
          <w:rFonts w:ascii="Arial" w:hAnsi="Arial" w:cs="Arial"/>
          <w:lang w:val="en-US"/>
        </w:rPr>
      </w:pPr>
      <w:r w:rsidRPr="00DD6E15">
        <w:rPr>
          <w:rFonts w:ascii="Arial" w:hAnsi="Arial" w:cs="Arial"/>
          <w:lang w:val="en-US"/>
        </w:rPr>
        <w:t xml:space="preserve">As previously stated, </w:t>
      </w:r>
      <w:r>
        <w:rPr>
          <w:rFonts w:ascii="Arial" w:hAnsi="Arial" w:cs="Arial"/>
          <w:lang w:val="en-US"/>
        </w:rPr>
        <w:t xml:space="preserve">no </w:t>
      </w:r>
      <w:r w:rsidRPr="00DD6E15">
        <w:rPr>
          <w:rFonts w:ascii="Arial" w:hAnsi="Arial" w:cs="Arial"/>
          <w:lang w:val="en-US"/>
        </w:rPr>
        <w:t>new class</w:t>
      </w:r>
      <w:r>
        <w:rPr>
          <w:rFonts w:ascii="Arial" w:hAnsi="Arial" w:cs="Arial"/>
          <w:lang w:val="en-US"/>
        </w:rPr>
        <w:t>es</w:t>
      </w:r>
      <w:r w:rsidRPr="00DD6E15">
        <w:rPr>
          <w:rFonts w:ascii="Arial" w:hAnsi="Arial" w:cs="Arial"/>
          <w:lang w:val="en-US"/>
        </w:rPr>
        <w:t xml:space="preserve"> of derivatives </w:t>
      </w:r>
      <w:r>
        <w:rPr>
          <w:rFonts w:ascii="Arial" w:hAnsi="Arial" w:cs="Arial"/>
          <w:lang w:val="en-US"/>
        </w:rPr>
        <w:t xml:space="preserve">should be added </w:t>
      </w:r>
      <w:r w:rsidRPr="00DD6E15">
        <w:rPr>
          <w:rFonts w:ascii="Arial" w:hAnsi="Arial" w:cs="Arial"/>
          <w:lang w:val="en-US"/>
        </w:rPr>
        <w:t>to the DTO</w:t>
      </w:r>
      <w:r>
        <w:rPr>
          <w:rFonts w:ascii="Arial" w:hAnsi="Arial" w:cs="Arial"/>
          <w:lang w:val="en-US"/>
        </w:rPr>
        <w:t xml:space="preserve"> until the </w:t>
      </w:r>
      <w:r w:rsidRPr="00A21459">
        <w:rPr>
          <w:rFonts w:ascii="Arial" w:hAnsi="Arial" w:cs="Arial"/>
          <w:lang w:val="en-US"/>
        </w:rPr>
        <w:t>new DTO suspension mechanism proposed by</w:t>
      </w:r>
      <w:r>
        <w:rPr>
          <w:rFonts w:ascii="Arial" w:hAnsi="Arial" w:cs="Arial"/>
          <w:lang w:val="en-US"/>
        </w:rPr>
        <w:t xml:space="preserve"> the EC as part of the </w:t>
      </w:r>
      <w:proofErr w:type="spellStart"/>
      <w:r w:rsidRPr="00A21459">
        <w:rPr>
          <w:rFonts w:ascii="Arial" w:hAnsi="Arial" w:cs="Arial"/>
          <w:lang w:val="en-US"/>
        </w:rPr>
        <w:t>MiFIR</w:t>
      </w:r>
      <w:proofErr w:type="spellEnd"/>
      <w:r w:rsidRPr="00A21459">
        <w:rPr>
          <w:rFonts w:ascii="Arial" w:hAnsi="Arial" w:cs="Arial"/>
          <w:lang w:val="en-US"/>
        </w:rPr>
        <w:t xml:space="preserve"> R</w:t>
      </w:r>
      <w:r>
        <w:rPr>
          <w:rFonts w:ascii="Arial" w:hAnsi="Arial" w:cs="Arial"/>
          <w:lang w:val="en-US"/>
        </w:rPr>
        <w:t>eview</w:t>
      </w:r>
      <w:r w:rsidRPr="00A21459">
        <w:rPr>
          <w:rFonts w:ascii="Arial" w:hAnsi="Arial" w:cs="Arial"/>
          <w:lang w:val="en-US"/>
        </w:rPr>
        <w:t xml:space="preserve"> </w:t>
      </w:r>
      <w:r>
        <w:rPr>
          <w:rFonts w:ascii="Arial" w:hAnsi="Arial" w:cs="Arial"/>
          <w:lang w:val="en-US"/>
        </w:rPr>
        <w:lastRenderedPageBreak/>
        <w:t>has been fully implemented, in order not to aggravate the unlevel playing field between European financial institutions and their international competitors.</w:t>
      </w:r>
    </w:p>
    <w:p w14:paraId="133F08A2" w14:textId="77777777" w:rsidR="00A12F05" w:rsidRPr="00AD020E" w:rsidRDefault="00A12F05" w:rsidP="00A12F05">
      <w:pPr>
        <w:jc w:val="both"/>
        <w:rPr>
          <w:rFonts w:ascii="Arial" w:hAnsi="Arial" w:cs="Arial"/>
          <w:lang w:val="en-US"/>
        </w:rPr>
      </w:pPr>
    </w:p>
    <w:p w14:paraId="756853B6" w14:textId="4488DB21" w:rsidR="00871163" w:rsidRPr="00A12F05" w:rsidRDefault="00A12F05" w:rsidP="00A12F05">
      <w:pPr>
        <w:jc w:val="both"/>
        <w:rPr>
          <w:rFonts w:ascii="Arial" w:hAnsi="Arial" w:cs="Arial"/>
          <w:lang w:val="en-US"/>
        </w:rPr>
      </w:pPr>
      <w:r>
        <w:rPr>
          <w:rFonts w:ascii="Arial" w:hAnsi="Arial" w:cs="Arial"/>
          <w:lang w:val="en-US"/>
        </w:rPr>
        <w:t>As recommended in February 2021 by the European Economic and Social Committee in its opinion on the CMU action plan</w:t>
      </w:r>
      <w:r>
        <w:rPr>
          <w:rStyle w:val="Appelnotedebasdep"/>
          <w:rFonts w:ascii="Arial" w:eastAsiaTheme="majorEastAsia" w:hAnsi="Arial" w:cs="Arial"/>
          <w:lang w:val="en-US"/>
        </w:rPr>
        <w:footnoteReference w:id="4"/>
      </w:r>
      <w:r>
        <w:rPr>
          <w:rFonts w:ascii="Arial" w:hAnsi="Arial" w:cs="Arial"/>
          <w:lang w:val="en-US"/>
        </w:rPr>
        <w:t xml:space="preserve">, the FBF is of the opinion that </w:t>
      </w:r>
      <w:r w:rsidRPr="00840DF6">
        <w:rPr>
          <w:rFonts w:ascii="Arial" w:hAnsi="Arial" w:cs="Arial"/>
          <w:lang w:val="en-US"/>
        </w:rPr>
        <w:t>new regulations linked to the building of the CMU should be submitted to four tests, additional to the necessary "traditional" ones (enhancing the single market?; protecting consumers?)</w:t>
      </w:r>
      <w:r>
        <w:rPr>
          <w:rFonts w:ascii="Arial" w:hAnsi="Arial" w:cs="Arial"/>
          <w:lang w:val="en-US"/>
        </w:rPr>
        <w:t xml:space="preserve">, the first of which being: </w:t>
      </w:r>
      <w:r w:rsidRPr="00623B63">
        <w:rPr>
          <w:rFonts w:ascii="Arial" w:hAnsi="Arial" w:cs="Arial"/>
          <w:i/>
          <w:iCs/>
          <w:lang w:val="en-US"/>
        </w:rPr>
        <w:t>"</w:t>
      </w:r>
      <w:r w:rsidRPr="00623B63">
        <w:rPr>
          <w:rFonts w:ascii="Arial" w:hAnsi="Arial" w:cs="Arial"/>
          <w:i/>
          <w:iCs/>
          <w:u w:val="single"/>
          <w:lang w:val="en-US"/>
        </w:rPr>
        <w:t>is it having positive effects on the competitiveness of European financial companies in the world, strengthening the strategic geopolitical autonomy of the EU?</w:t>
      </w:r>
      <w:r w:rsidRPr="00623B63">
        <w:rPr>
          <w:rFonts w:ascii="Arial" w:hAnsi="Arial" w:cs="Arial"/>
          <w:lang w:val="en-US"/>
        </w:rPr>
        <w:t>"</w:t>
      </w:r>
      <w:r>
        <w:rPr>
          <w:rFonts w:ascii="Arial" w:hAnsi="Arial" w:cs="Arial"/>
          <w:lang w:val="en-US"/>
        </w:rPr>
        <w:t>.</w:t>
      </w:r>
    </w:p>
    <w:permEnd w:id="414610086"/>
    <w:p w14:paraId="3E606C7F" w14:textId="77777777" w:rsidR="00871163" w:rsidRDefault="00871163" w:rsidP="00871163">
      <w:r>
        <w:t>&lt;ESMA_QUESTION_RFRR_10&gt;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34214" w14:textId="77777777" w:rsidR="00F45473" w:rsidRDefault="00F45473" w:rsidP="007E7997">
      <w:r>
        <w:separator/>
      </w:r>
    </w:p>
  </w:endnote>
  <w:endnote w:type="continuationSeparator" w:id="0">
    <w:p w14:paraId="738703E7" w14:textId="77777777" w:rsidR="00F45473" w:rsidRDefault="00F45473" w:rsidP="007E7997">
      <w:r>
        <w:continuationSeparator/>
      </w:r>
    </w:p>
  </w:endnote>
  <w:endnote w:type="continuationNotice" w:id="1">
    <w:p w14:paraId="2C915202" w14:textId="77777777" w:rsidR="00F45473" w:rsidRDefault="00F45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Pieddepag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388BBC2A" w:rsidR="00E36813" w:rsidRDefault="00E36813" w:rsidP="007A160F">
    <w:pPr>
      <w:pStyle w:val="Pieddepage"/>
    </w:pPr>
    <w:r>
      <w:rPr>
        <w:rFonts w:asciiTheme="majorHAnsi" w:hAnsiTheme="majorHAnsi"/>
        <w:color w:val="FFFFFF" w:themeColor="background1"/>
      </w:rPr>
      <w:tab/>
    </w:r>
    <w:r>
      <w:rPr>
        <w:rFonts w:asciiTheme="majorHAnsi" w:hAnsiTheme="majorHAnsi"/>
        <w:color w:val="FFFFFF" w:themeColor="background1"/>
      </w:rPr>
      <w:tab/>
    </w:r>
    <w:r w:rsidR="00871163">
      <w:rPr>
        <w:rFonts w:asciiTheme="majorHAnsi" w:hAnsiTheme="majorHAnsi"/>
        <w:color w:val="FFFFFF" w:themeColor="background1"/>
      </w:rPr>
      <w:t xml:space="preserve">7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446-675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Pieddepage"/>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31179" w14:textId="77777777" w:rsidR="00F45473" w:rsidRDefault="00F45473" w:rsidP="007E7997">
      <w:r>
        <w:separator/>
      </w:r>
    </w:p>
  </w:footnote>
  <w:footnote w:type="continuationSeparator" w:id="0">
    <w:p w14:paraId="6CA00480" w14:textId="77777777" w:rsidR="00F45473" w:rsidRDefault="00F45473" w:rsidP="007E7997">
      <w:r>
        <w:continuationSeparator/>
      </w:r>
    </w:p>
  </w:footnote>
  <w:footnote w:type="continuationNotice" w:id="1">
    <w:p w14:paraId="211EF4F0" w14:textId="77777777" w:rsidR="00F45473" w:rsidRDefault="00F45473"/>
  </w:footnote>
  <w:footnote w:id="2">
    <w:p w14:paraId="51E3B2AA" w14:textId="77777777" w:rsidR="0031426E" w:rsidRPr="00EC4A79" w:rsidRDefault="0031426E" w:rsidP="0031426E">
      <w:pPr>
        <w:pStyle w:val="Notedebasdepage"/>
        <w:jc w:val="both"/>
        <w:rPr>
          <w:rFonts w:ascii="Arial" w:hAnsi="Arial" w:cs="Arial"/>
          <w:szCs w:val="16"/>
          <w:lang w:val="en-US"/>
        </w:rPr>
      </w:pPr>
      <w:r w:rsidRPr="00166703">
        <w:rPr>
          <w:rStyle w:val="Appelnotedebasdep"/>
          <w:rFonts w:ascii="Arial" w:eastAsiaTheme="majorEastAsia" w:hAnsi="Arial" w:cs="Arial"/>
          <w:szCs w:val="16"/>
        </w:rPr>
        <w:footnoteRef/>
      </w:r>
      <w:r w:rsidRPr="00EC4A79">
        <w:rPr>
          <w:rFonts w:ascii="Arial" w:hAnsi="Arial" w:cs="Arial"/>
          <w:szCs w:val="16"/>
          <w:lang w:val="en-US"/>
        </w:rPr>
        <w:t xml:space="preserve"> </w:t>
      </w:r>
      <w:r w:rsidRPr="00166703">
        <w:rPr>
          <w:rFonts w:ascii="Arial" w:hAnsi="Arial" w:cs="Arial"/>
          <w:szCs w:val="16"/>
        </w:rPr>
        <w:t>See</w:t>
      </w:r>
      <w:r w:rsidRPr="00EC4A79">
        <w:rPr>
          <w:rFonts w:ascii="Arial" w:hAnsi="Arial" w:cs="Arial"/>
          <w:szCs w:val="16"/>
          <w:lang w:val="en-US"/>
        </w:rPr>
        <w:t xml:space="preserve"> 23. p. 18.</w:t>
      </w:r>
    </w:p>
  </w:footnote>
  <w:footnote w:id="3">
    <w:p w14:paraId="2749FD73" w14:textId="77777777" w:rsidR="0031426E" w:rsidRPr="00C73C55" w:rsidRDefault="0031426E" w:rsidP="0031426E">
      <w:pPr>
        <w:pStyle w:val="Notedebasdepage"/>
        <w:jc w:val="both"/>
        <w:rPr>
          <w:rFonts w:ascii="Arial" w:hAnsi="Arial" w:cs="Arial"/>
          <w:szCs w:val="16"/>
          <w:lang w:val="en-US"/>
        </w:rPr>
      </w:pPr>
      <w:r w:rsidRPr="00C73C55">
        <w:rPr>
          <w:rStyle w:val="Appelnotedebasdep"/>
          <w:rFonts w:ascii="Arial" w:eastAsiaTheme="majorEastAsia" w:hAnsi="Arial" w:cs="Arial"/>
          <w:szCs w:val="16"/>
        </w:rPr>
        <w:footnoteRef/>
      </w:r>
      <w:r w:rsidRPr="00C73C55">
        <w:rPr>
          <w:rFonts w:ascii="Arial" w:hAnsi="Arial" w:cs="Arial"/>
          <w:szCs w:val="16"/>
          <w:lang w:val="en-US"/>
        </w:rPr>
        <w:t xml:space="preserve"> See 60. p. 33.</w:t>
      </w:r>
    </w:p>
  </w:footnote>
  <w:footnote w:id="4">
    <w:p w14:paraId="3CC3E445" w14:textId="77777777" w:rsidR="00A12F05" w:rsidRPr="00623B63" w:rsidRDefault="00A12F05" w:rsidP="00A12F05">
      <w:pPr>
        <w:pStyle w:val="Notedebasdepage"/>
        <w:jc w:val="both"/>
        <w:rPr>
          <w:rFonts w:ascii="Arial" w:hAnsi="Arial" w:cs="Arial"/>
          <w:szCs w:val="16"/>
        </w:rPr>
      </w:pPr>
      <w:r w:rsidRPr="00623B63">
        <w:rPr>
          <w:rStyle w:val="Appelnotedebasdep"/>
          <w:rFonts w:ascii="Arial" w:eastAsiaTheme="majorEastAsia" w:hAnsi="Arial" w:cs="Arial"/>
          <w:szCs w:val="16"/>
        </w:rPr>
        <w:footnoteRef/>
      </w:r>
      <w:r w:rsidRPr="00623B63">
        <w:rPr>
          <w:rFonts w:ascii="Arial" w:hAnsi="Arial" w:cs="Arial"/>
          <w:szCs w:val="16"/>
        </w:rPr>
        <w:t xml:space="preserve"> See:</w:t>
      </w:r>
      <w:r>
        <w:rPr>
          <w:rFonts w:ascii="Arial" w:hAnsi="Arial" w:cs="Arial"/>
          <w:szCs w:val="16"/>
        </w:rPr>
        <w:t xml:space="preserve"> </w:t>
      </w:r>
      <w:hyperlink r:id="rId1" w:history="1">
        <w:r w:rsidRPr="00623B63">
          <w:rPr>
            <w:rStyle w:val="Lienhypertexte"/>
            <w:rFonts w:ascii="Arial" w:hAnsi="Arial" w:cs="Arial"/>
            <w:szCs w:val="16"/>
            <w:lang w:val="en-US"/>
          </w:rPr>
          <w:t>A Capital Markets Union for people and businesses – new action plan | European Economic and Social Committee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En-tte"/>
    </w:pPr>
  </w:p>
  <w:p w14:paraId="59FA3C9D" w14:textId="77777777" w:rsidR="00E36813" w:rsidRDefault="00E3681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035" w14:textId="77777777" w:rsidR="00E36813" w:rsidRDefault="00E36813">
    <w:pPr>
      <w:pStyle w:val="En-tte"/>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5E62980F" w:rsidR="00E36813" w:rsidRDefault="00E36813" w:rsidP="00B50534">
    <w:pPr>
      <w:pStyle w:val="En-tte"/>
      <w:jc w:val="right"/>
      <w:rPr>
        <w:b/>
        <w:color w:val="FF0000"/>
      </w:rPr>
    </w:pPr>
    <w:r w:rsidRPr="008D5F86">
      <w:rPr>
        <w:rFonts w:ascii="Arial" w:hAnsi="Arial" w:cs="Arial"/>
        <w:noProof/>
      </w:rPr>
      <mc:AlternateContent>
        <mc:Choice Requires="wps">
          <w:drawing>
            <wp:anchor distT="0" distB="0" distL="114300" distR="114300" simplePos="0" relativeHeight="251662336"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0FB72" id="Line 1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5EAB6EC5" w14:textId="1E4219F2" w:rsidR="00E36813" w:rsidRPr="00D13661" w:rsidRDefault="00E36813" w:rsidP="00B50534">
    <w:pPr>
      <w:pStyle w:val="En-tt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7216"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En-tte"/>
      <w:jc w:val="right"/>
      <w:rPr>
        <w:color w:val="2F5496" w:themeColor="accent5" w:themeShade="BF"/>
        <w:sz w:val="20"/>
      </w:rPr>
    </w:pPr>
  </w:p>
  <w:p w14:paraId="5EAB6EC6" w14:textId="77777777" w:rsidR="00E36813" w:rsidRPr="00B50534" w:rsidRDefault="00E36813" w:rsidP="00B50534">
    <w:pPr>
      <w:pStyle w:val="En-tt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Titre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Paragraphedeliste"/>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D90BDF"/>
    <w:multiLevelType w:val="hybridMultilevel"/>
    <w:tmpl w:val="88B86AB0"/>
    <w:lvl w:ilvl="0" w:tplc="5770EBA4">
      <w:numFmt w:val="bullet"/>
      <w:lvlText w:val="-"/>
      <w:lvlJc w:val="left"/>
      <w:pPr>
        <w:ind w:left="1080" w:hanging="360"/>
      </w:pPr>
      <w:rPr>
        <w:rFonts w:ascii="Arial" w:eastAsiaTheme="maj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AD1101"/>
    <w:multiLevelType w:val="multilevel"/>
    <w:tmpl w:val="766C753E"/>
    <w:lvl w:ilvl="0">
      <w:start w:val="1"/>
      <w:numFmt w:val="upperRoman"/>
      <w:pStyle w:val="Titre1"/>
      <w:lvlText w:val="%1."/>
      <w:lvlJc w:val="righ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2"/>
  </w:num>
  <w:num w:numId="4" w16cid:durableId="1880320868">
    <w:abstractNumId w:val="3"/>
  </w:num>
  <w:num w:numId="5" w16cid:durableId="290864581">
    <w:abstractNumId w:val="12"/>
  </w:num>
  <w:num w:numId="6" w16cid:durableId="952590553">
    <w:abstractNumId w:val="24"/>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5"/>
  </w:num>
  <w:num w:numId="15" w16cid:durableId="986476960">
    <w:abstractNumId w:val="19"/>
  </w:num>
  <w:num w:numId="16" w16cid:durableId="398749299">
    <w:abstractNumId w:val="23"/>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0"/>
  </w:num>
  <w:num w:numId="19" w16cid:durableId="558588771">
    <w:abstractNumId w:val="24"/>
  </w:num>
  <w:num w:numId="20" w16cid:durableId="1306933315">
    <w:abstractNumId w:val="10"/>
  </w:num>
  <w:num w:numId="21" w16cid:durableId="1623876054">
    <w:abstractNumId w:val="21"/>
  </w:num>
  <w:num w:numId="22" w16cid:durableId="783383837">
    <w:abstractNumId w:val="13"/>
  </w:num>
  <w:num w:numId="23" w16cid:durableId="2112964618">
    <w:abstractNumId w:val="17"/>
  </w:num>
  <w:num w:numId="24" w16cid:durableId="1958565453">
    <w:abstractNumId w:val="0"/>
  </w:num>
  <w:num w:numId="25" w16cid:durableId="1372725395">
    <w:abstractNumId w:val="16"/>
  </w:num>
  <w:num w:numId="26" w16cid:durableId="1686445133">
    <w:abstractNumId w:val="14"/>
  </w:num>
  <w:num w:numId="27" w16cid:durableId="1247768697">
    <w:abstractNumId w:val="9"/>
  </w:num>
  <w:num w:numId="28" w16cid:durableId="954170948">
    <w:abstractNumId w:val="1"/>
  </w:num>
  <w:num w:numId="29" w16cid:durableId="837424337">
    <w:abstractNumId w:val="15"/>
  </w:num>
  <w:num w:numId="30" w16cid:durableId="299657983">
    <w:abstractNumId w:val="4"/>
  </w:num>
  <w:num w:numId="31" w16cid:durableId="632979046">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Ou7ugxPJPCX2P6k59S/HuMRvmC9s1jueiPqQHuli0OBv/YikfvwfgW2YYSMEsE58bmcI7sXqGeGH7wIYu6I0CQ==" w:salt="osMIa1wG5C+9I8oDutLD2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EB7"/>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3013B7"/>
    <w:rsid w:val="00301993"/>
    <w:rsid w:val="00301E55"/>
    <w:rsid w:val="00307397"/>
    <w:rsid w:val="003101EF"/>
    <w:rsid w:val="00312BDD"/>
    <w:rsid w:val="00314117"/>
    <w:rsid w:val="0031426E"/>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3639"/>
    <w:rsid w:val="00366D42"/>
    <w:rsid w:val="0036748C"/>
    <w:rsid w:val="00372615"/>
    <w:rsid w:val="00372EA3"/>
    <w:rsid w:val="0037358E"/>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7FEA"/>
    <w:rsid w:val="004A75F5"/>
    <w:rsid w:val="004B07B2"/>
    <w:rsid w:val="004B0955"/>
    <w:rsid w:val="004B143D"/>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9F9"/>
    <w:rsid w:val="008D5C28"/>
    <w:rsid w:val="008E00A6"/>
    <w:rsid w:val="008E2D26"/>
    <w:rsid w:val="008E4076"/>
    <w:rsid w:val="008E7DBA"/>
    <w:rsid w:val="008F1993"/>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60F"/>
    <w:rsid w:val="009F0ABA"/>
    <w:rsid w:val="009F0AF5"/>
    <w:rsid w:val="00A02199"/>
    <w:rsid w:val="00A026A4"/>
    <w:rsid w:val="00A04044"/>
    <w:rsid w:val="00A11D0C"/>
    <w:rsid w:val="00A12F05"/>
    <w:rsid w:val="00A16579"/>
    <w:rsid w:val="00A24843"/>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Titre1">
    <w:name w:val="heading 1"/>
    <w:basedOn w:val="Normal"/>
    <w:next w:val="Normal"/>
    <w:link w:val="Titre1C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itre2">
    <w:name w:val="heading 2"/>
    <w:basedOn w:val="Normal"/>
    <w:next w:val="Normal"/>
    <w:link w:val="Titre2C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itre3">
    <w:name w:val="heading 3"/>
    <w:basedOn w:val="Normal"/>
    <w:next w:val="Normal"/>
    <w:link w:val="Titre3C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itre4">
    <w:name w:val="heading 4"/>
    <w:basedOn w:val="Normal"/>
    <w:next w:val="Normal"/>
    <w:link w:val="Titre4C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itre5">
    <w:name w:val="heading 5"/>
    <w:basedOn w:val="Normal"/>
    <w:next w:val="Normal"/>
    <w:link w:val="Titre5C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itre6">
    <w:name w:val="heading 6"/>
    <w:basedOn w:val="Normal"/>
    <w:next w:val="Normal"/>
    <w:link w:val="Titre6C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B6B12"/>
    <w:pPr>
      <w:spacing w:after="0" w:line="240" w:lineRule="auto"/>
    </w:pPr>
    <w:rPr>
      <w:lang w:val="en-GB"/>
    </w:rPr>
  </w:style>
  <w:style w:type="character" w:customStyle="1" w:styleId="Titre4Car">
    <w:name w:val="Titre 4 Car"/>
    <w:basedOn w:val="Policepardfaut"/>
    <w:link w:val="Titre4"/>
    <w:rsid w:val="00020300"/>
    <w:rPr>
      <w:rFonts w:asciiTheme="majorHAnsi" w:eastAsiaTheme="majorEastAsia" w:hAnsiTheme="majorHAnsi" w:cstheme="majorBidi"/>
      <w:sz w:val="24"/>
      <w:szCs w:val="22"/>
      <w:lang w:val="en-GB" w:eastAsia="en-GB"/>
    </w:rPr>
  </w:style>
  <w:style w:type="character" w:customStyle="1" w:styleId="Titre3Car">
    <w:name w:val="Titre 3 Car"/>
    <w:basedOn w:val="Policepardfaut"/>
    <w:link w:val="Titre3"/>
    <w:rsid w:val="00020300"/>
    <w:rPr>
      <w:rFonts w:asciiTheme="majorHAnsi" w:eastAsiaTheme="majorEastAsia" w:hAnsiTheme="majorHAnsi" w:cstheme="majorBidi"/>
      <w:sz w:val="24"/>
      <w:szCs w:val="24"/>
      <w:lang w:val="en-GB" w:eastAsia="en-GB"/>
    </w:rPr>
  </w:style>
  <w:style w:type="character" w:customStyle="1" w:styleId="Titre1Car">
    <w:name w:val="Titre 1 Car"/>
    <w:basedOn w:val="Policepardfaut"/>
    <w:link w:val="Titre1"/>
    <w:rsid w:val="00FE0BD8"/>
    <w:rPr>
      <w:rFonts w:asciiTheme="majorHAnsi" w:eastAsiaTheme="majorEastAsia" w:hAnsiTheme="majorHAnsi" w:cstheme="majorBidi"/>
      <w:b/>
      <w:sz w:val="32"/>
      <w:szCs w:val="32"/>
      <w:lang w:val="en-GB" w:eastAsia="en-GB"/>
    </w:rPr>
  </w:style>
  <w:style w:type="character" w:customStyle="1" w:styleId="Titre2Car">
    <w:name w:val="Titre 2 Car"/>
    <w:basedOn w:val="Policepardfaut"/>
    <w:link w:val="Titre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Policepardfaut"/>
    <w:link w:val="Subtitle1"/>
    <w:rsid w:val="003C4EB5"/>
    <w:rPr>
      <w:rFonts w:cs="Times New Roman"/>
      <w:b/>
      <w:sz w:val="20"/>
      <w:szCs w:val="24"/>
      <w:lang w:val="en-GB" w:eastAsia="de-DE"/>
    </w:rPr>
  </w:style>
  <w:style w:type="paragraph" w:customStyle="1" w:styleId="Title1">
    <w:name w:val="Title 1"/>
    <w:basedOn w:val="Paragraphedeliste"/>
    <w:link w:val="Title1Char"/>
    <w:autoRedefine/>
    <w:rsid w:val="002574D1"/>
    <w:pPr>
      <w:numPr>
        <w:numId w:val="2"/>
      </w:numPr>
    </w:pPr>
    <w:rPr>
      <w:b/>
      <w:sz w:val="28"/>
    </w:rPr>
  </w:style>
  <w:style w:type="character" w:customStyle="1" w:styleId="Title1Char">
    <w:name w:val="Title 1 Char"/>
    <w:basedOn w:val="Policepardfaut"/>
    <w:link w:val="Title1"/>
    <w:rsid w:val="003C4EB5"/>
    <w:rPr>
      <w:rFonts w:eastAsiaTheme="majorEastAsia" w:cstheme="minorHAnsi"/>
      <w:b/>
      <w:sz w:val="28"/>
      <w:szCs w:val="22"/>
      <w:lang w:val="en-GB" w:eastAsia="en-GB"/>
    </w:rPr>
  </w:style>
  <w:style w:type="paragraph" w:styleId="Paragraphedeliste">
    <w:name w:val="List Paragraph"/>
    <w:aliases w:val="Paragraphe EI,Paragraphe de liste1,EC,Normal Nivel 1,List Paragraph Main,List first level,List Paragraph_Sections"/>
    <w:basedOn w:val="Normal"/>
    <w:link w:val="ParagraphedelisteC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Paragraphedeliste"/>
    <w:link w:val="Title3Char"/>
    <w:autoRedefine/>
    <w:rsid w:val="002574D1"/>
    <w:pPr>
      <w:numPr>
        <w:ilvl w:val="3"/>
        <w:numId w:val="2"/>
      </w:numPr>
    </w:pPr>
  </w:style>
  <w:style w:type="character" w:customStyle="1" w:styleId="Title3Char">
    <w:name w:val="Title 3 Char"/>
    <w:basedOn w:val="Policepardfau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Policepardfau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Policepardfau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Policepardfau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Policepardfau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Policepardfaut"/>
    <w:link w:val="Introductionheading"/>
    <w:rsid w:val="00044C5A"/>
    <w:rPr>
      <w:rFonts w:ascii="Arial" w:eastAsia="Times New Roman" w:hAnsi="Arial" w:cs="Times New Roman"/>
      <w:b/>
      <w:sz w:val="28"/>
      <w:szCs w:val="24"/>
      <w:lang w:val="en-GB" w:eastAsia="de-DE"/>
    </w:rPr>
  </w:style>
  <w:style w:type="character" w:customStyle="1" w:styleId="Titre5Car">
    <w:name w:val="Titre 5 Car"/>
    <w:basedOn w:val="Policepardfaut"/>
    <w:link w:val="Titre5"/>
    <w:uiPriority w:val="9"/>
    <w:rsid w:val="007E7997"/>
    <w:rPr>
      <w:rFonts w:asciiTheme="majorHAnsi" w:eastAsiaTheme="majorEastAsia" w:hAnsiTheme="majorHAnsi" w:cstheme="majorBidi"/>
      <w:sz w:val="24"/>
      <w:szCs w:val="22"/>
      <w:lang w:val="en-GB" w:eastAsia="en-GB"/>
    </w:rPr>
  </w:style>
  <w:style w:type="paragraph" w:styleId="Corpsdetexte">
    <w:name w:val="Body Text"/>
    <w:basedOn w:val="Normal"/>
    <w:link w:val="CorpsdetexteCar"/>
    <w:uiPriority w:val="99"/>
    <w:semiHidden/>
    <w:unhideWhenUsed/>
    <w:rsid w:val="00044C5A"/>
  </w:style>
  <w:style w:type="character" w:customStyle="1" w:styleId="CorpsdetexteCar">
    <w:name w:val="Corps de texte Car"/>
    <w:basedOn w:val="Policepardfaut"/>
    <w:link w:val="Corpsdetexte"/>
    <w:uiPriority w:val="99"/>
    <w:semiHidden/>
    <w:rsid w:val="00044C5A"/>
    <w:rPr>
      <w:rFonts w:ascii="Arial" w:eastAsiaTheme="minorEastAsia" w:hAnsi="Arial"/>
    </w:rPr>
  </w:style>
  <w:style w:type="paragraph" w:styleId="Retrait1religne">
    <w:name w:val="Body Text First Indent"/>
    <w:basedOn w:val="Corpsdetexte"/>
    <w:link w:val="Retrait1religneCar"/>
    <w:uiPriority w:val="99"/>
    <w:semiHidden/>
    <w:unhideWhenUsed/>
    <w:rsid w:val="00044C5A"/>
    <w:pPr>
      <w:ind w:firstLine="360"/>
    </w:pPr>
  </w:style>
  <w:style w:type="character" w:customStyle="1" w:styleId="Retrait1religneCar">
    <w:name w:val="Retrait 1re ligne Car"/>
    <w:basedOn w:val="CorpsdetexteCar"/>
    <w:link w:val="Retrait1religne"/>
    <w:uiPriority w:val="99"/>
    <w:semiHidden/>
    <w:rsid w:val="00044C5A"/>
    <w:rPr>
      <w:rFonts w:ascii="Arial" w:eastAsiaTheme="minorEastAsia" w:hAnsi="Arial"/>
    </w:rPr>
  </w:style>
  <w:style w:type="character" w:customStyle="1" w:styleId="Titre6Car">
    <w:name w:val="Titre 6 Car"/>
    <w:basedOn w:val="Policepardfaut"/>
    <w:link w:val="Titre6"/>
    <w:rsid w:val="00AA054E"/>
    <w:rPr>
      <w:rFonts w:asciiTheme="majorHAnsi" w:eastAsiaTheme="majorEastAsia" w:hAnsiTheme="majorHAnsi" w:cstheme="majorBidi"/>
      <w:i/>
      <w:iCs/>
      <w:color w:val="44546A" w:themeColor="text2"/>
      <w:sz w:val="21"/>
      <w:szCs w:val="21"/>
      <w:lang w:val="en-GB" w:eastAsia="en-GB"/>
    </w:rPr>
  </w:style>
  <w:style w:type="paragraph" w:styleId="Titre">
    <w:name w:val="Title"/>
    <w:basedOn w:val="Normal"/>
    <w:next w:val="Normal"/>
    <w:link w:val="TitreC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reCar">
    <w:name w:val="Titre Car"/>
    <w:basedOn w:val="Policepardfaut"/>
    <w:link w:val="Titr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ous-titre">
    <w:name w:val="Subtitle"/>
    <w:basedOn w:val="Normal"/>
    <w:next w:val="Normal"/>
    <w:link w:val="Sous-titreCar"/>
    <w:uiPriority w:val="11"/>
    <w:qFormat/>
    <w:rsid w:val="00366D42"/>
    <w:pPr>
      <w:numPr>
        <w:ilvl w:val="1"/>
      </w:numPr>
    </w:pPr>
    <w:rPr>
      <w:rFonts w:asciiTheme="majorHAnsi" w:eastAsiaTheme="majorEastAsia" w:hAnsiTheme="majorHAnsi" w:cstheme="majorBidi"/>
      <w:b/>
      <w:sz w:val="28"/>
    </w:rPr>
  </w:style>
  <w:style w:type="character" w:customStyle="1" w:styleId="Sous-titreCar">
    <w:name w:val="Sous-titre Car"/>
    <w:basedOn w:val="Policepardfaut"/>
    <w:link w:val="Sous-titre"/>
    <w:uiPriority w:val="11"/>
    <w:rsid w:val="00366D42"/>
    <w:rPr>
      <w:rFonts w:asciiTheme="majorHAnsi" w:eastAsiaTheme="majorEastAsia" w:hAnsiTheme="majorHAnsi" w:cstheme="majorBidi"/>
      <w:b/>
      <w:sz w:val="28"/>
      <w:szCs w:val="24"/>
      <w:lang w:val="en-GB"/>
    </w:rPr>
  </w:style>
  <w:style w:type="character" w:customStyle="1" w:styleId="Titre7Car">
    <w:name w:val="Titre 7 Car"/>
    <w:basedOn w:val="Policepardfaut"/>
    <w:link w:val="Titre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itre8Car">
    <w:name w:val="Titre 8 Car"/>
    <w:basedOn w:val="Policepardfaut"/>
    <w:link w:val="Titre8"/>
    <w:rsid w:val="00AA054E"/>
    <w:rPr>
      <w:rFonts w:asciiTheme="majorHAnsi" w:eastAsiaTheme="majorEastAsia" w:hAnsiTheme="majorHAnsi" w:cstheme="majorBidi"/>
      <w:b/>
      <w:bCs/>
      <w:color w:val="44546A" w:themeColor="text2"/>
      <w:sz w:val="24"/>
      <w:szCs w:val="24"/>
      <w:lang w:val="en-GB" w:eastAsia="en-GB"/>
    </w:rPr>
  </w:style>
  <w:style w:type="character" w:customStyle="1" w:styleId="Titre9Car">
    <w:name w:val="Titre 9 Car"/>
    <w:basedOn w:val="Policepardfaut"/>
    <w:link w:val="Titre9"/>
    <w:rsid w:val="00AA054E"/>
    <w:rPr>
      <w:rFonts w:asciiTheme="majorHAnsi" w:eastAsiaTheme="majorEastAsia" w:hAnsiTheme="majorHAnsi" w:cstheme="majorBidi"/>
      <w:b/>
      <w:bCs/>
      <w:i/>
      <w:iCs/>
      <w:color w:val="44546A" w:themeColor="text2"/>
      <w:sz w:val="24"/>
      <w:szCs w:val="24"/>
      <w:lang w:val="en-GB" w:eastAsia="en-GB"/>
    </w:rPr>
  </w:style>
  <w:style w:type="paragraph" w:styleId="Lgende">
    <w:name w:val="caption"/>
    <w:basedOn w:val="Normal"/>
    <w:next w:val="Normal"/>
    <w:uiPriority w:val="35"/>
    <w:semiHidden/>
    <w:unhideWhenUsed/>
    <w:qFormat/>
    <w:rsid w:val="00AA054E"/>
    <w:rPr>
      <w:b/>
      <w:bCs/>
      <w:smallCaps/>
      <w:color w:val="595959" w:themeColor="text1" w:themeTint="A6"/>
      <w:spacing w:val="6"/>
    </w:rPr>
  </w:style>
  <w:style w:type="character" w:styleId="lev">
    <w:name w:val="Strong"/>
    <w:basedOn w:val="Policepardfaut"/>
    <w:uiPriority w:val="22"/>
    <w:qFormat/>
    <w:rsid w:val="00AA054E"/>
    <w:rPr>
      <w:b/>
      <w:bCs/>
    </w:rPr>
  </w:style>
  <w:style w:type="character" w:styleId="Accentuation">
    <w:name w:val="Emphasis"/>
    <w:basedOn w:val="Policepardfaut"/>
    <w:uiPriority w:val="20"/>
    <w:qFormat/>
    <w:rsid w:val="00AA054E"/>
    <w:rPr>
      <w:i/>
      <w:iCs/>
    </w:rPr>
  </w:style>
  <w:style w:type="paragraph" w:styleId="Citation">
    <w:name w:val="Quote"/>
    <w:basedOn w:val="Normal"/>
    <w:next w:val="Normal"/>
    <w:link w:val="CitationCar"/>
    <w:uiPriority w:val="29"/>
    <w:qFormat/>
    <w:rsid w:val="00AA054E"/>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AA054E"/>
    <w:rPr>
      <w:i/>
      <w:iCs/>
      <w:color w:val="404040" w:themeColor="text1" w:themeTint="BF"/>
    </w:rPr>
  </w:style>
  <w:style w:type="paragraph" w:styleId="Citationintense">
    <w:name w:val="Intense Quote"/>
    <w:basedOn w:val="Normal"/>
    <w:next w:val="Normal"/>
    <w:link w:val="CitationintenseC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AA054E"/>
    <w:rPr>
      <w:rFonts w:asciiTheme="majorHAnsi" w:eastAsiaTheme="majorEastAsia" w:hAnsiTheme="majorHAnsi" w:cstheme="majorBidi"/>
      <w:color w:val="5B9BD5" w:themeColor="accent1"/>
      <w:sz w:val="28"/>
      <w:szCs w:val="28"/>
    </w:rPr>
  </w:style>
  <w:style w:type="character" w:styleId="Accentuationlgre">
    <w:name w:val="Subtle Emphasis"/>
    <w:aliases w:val="Text,Emphase pâle,Diskret betoning"/>
    <w:basedOn w:val="Policepardfaut"/>
    <w:uiPriority w:val="19"/>
    <w:qFormat/>
    <w:rsid w:val="00287C8F"/>
    <w:rPr>
      <w:rFonts w:asciiTheme="majorHAnsi" w:hAnsiTheme="majorHAnsi"/>
      <w:i/>
      <w:iCs/>
      <w:color w:val="auto"/>
      <w:sz w:val="22"/>
    </w:rPr>
  </w:style>
  <w:style w:type="character" w:styleId="Accentuationintense">
    <w:name w:val="Intense Emphasis"/>
    <w:basedOn w:val="Policepardfaut"/>
    <w:uiPriority w:val="21"/>
    <w:qFormat/>
    <w:rsid w:val="00AA054E"/>
    <w:rPr>
      <w:b/>
      <w:bCs/>
      <w:i/>
      <w:iCs/>
    </w:rPr>
  </w:style>
  <w:style w:type="character" w:styleId="Rfrencelgre">
    <w:name w:val="Subtle Reference"/>
    <w:basedOn w:val="Policepardfaut"/>
    <w:uiPriority w:val="31"/>
    <w:qFormat/>
    <w:rsid w:val="00AA054E"/>
    <w:rPr>
      <w:smallCaps/>
      <w:color w:val="404040" w:themeColor="text1" w:themeTint="BF"/>
      <w:u w:val="single" w:color="7F7F7F" w:themeColor="text1" w:themeTint="80"/>
    </w:rPr>
  </w:style>
  <w:style w:type="character" w:styleId="Rfrenceintense">
    <w:name w:val="Intense Reference"/>
    <w:basedOn w:val="Policepardfaut"/>
    <w:uiPriority w:val="32"/>
    <w:qFormat/>
    <w:rsid w:val="00AA054E"/>
    <w:rPr>
      <w:b/>
      <w:bCs/>
      <w:smallCaps/>
      <w:spacing w:val="5"/>
      <w:u w:val="single"/>
    </w:rPr>
  </w:style>
  <w:style w:type="character" w:styleId="Titredulivre">
    <w:name w:val="Book Title"/>
    <w:basedOn w:val="Policepardfaut"/>
    <w:uiPriority w:val="33"/>
    <w:qFormat/>
    <w:rsid w:val="00AA054E"/>
    <w:rPr>
      <w:b/>
      <w:bCs/>
      <w:smallCaps/>
    </w:rPr>
  </w:style>
  <w:style w:type="paragraph" w:styleId="En-ttedetabledesmatires">
    <w:name w:val="TOC Heading"/>
    <w:basedOn w:val="Titre1"/>
    <w:next w:val="Normal"/>
    <w:uiPriority w:val="39"/>
    <w:unhideWhenUsed/>
    <w:qFormat/>
    <w:rsid w:val="00AA054E"/>
    <w:pPr>
      <w:outlineLvl w:val="9"/>
    </w:pPr>
  </w:style>
  <w:style w:type="character" w:customStyle="1" w:styleId="SansinterligneCar">
    <w:name w:val="Sans interligne Car"/>
    <w:basedOn w:val="Policepardfaut"/>
    <w:link w:val="Sansinterligne"/>
    <w:uiPriority w:val="1"/>
    <w:rsid w:val="005B6B12"/>
    <w:rPr>
      <w:lang w:val="en-GB"/>
    </w:rPr>
  </w:style>
  <w:style w:type="paragraph" w:styleId="En-tte">
    <w:name w:val="header"/>
    <w:basedOn w:val="Normal"/>
    <w:link w:val="En-tteCar"/>
    <w:unhideWhenUsed/>
    <w:rsid w:val="007E7997"/>
    <w:pPr>
      <w:tabs>
        <w:tab w:val="center" w:pos="4536"/>
        <w:tab w:val="right" w:pos="9072"/>
      </w:tabs>
    </w:pPr>
  </w:style>
  <w:style w:type="character" w:customStyle="1" w:styleId="En-tteCar">
    <w:name w:val="En-tête Car"/>
    <w:basedOn w:val="Policepardfaut"/>
    <w:link w:val="En-tte"/>
    <w:uiPriority w:val="99"/>
    <w:rsid w:val="007E7997"/>
    <w:rPr>
      <w:sz w:val="22"/>
    </w:rPr>
  </w:style>
  <w:style w:type="paragraph" w:styleId="Pieddepage">
    <w:name w:val="footer"/>
    <w:basedOn w:val="Normal"/>
    <w:link w:val="PieddepageCar"/>
    <w:uiPriority w:val="99"/>
    <w:unhideWhenUsed/>
    <w:rsid w:val="007E7997"/>
    <w:pPr>
      <w:tabs>
        <w:tab w:val="center" w:pos="4536"/>
        <w:tab w:val="right" w:pos="9072"/>
      </w:tabs>
    </w:pPr>
  </w:style>
  <w:style w:type="character" w:customStyle="1" w:styleId="PieddepageCar">
    <w:name w:val="Pied de page Car"/>
    <w:basedOn w:val="Policepardfaut"/>
    <w:link w:val="Pieddepage"/>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M1">
    <w:name w:val="toc 1"/>
    <w:basedOn w:val="Normal"/>
    <w:next w:val="Normal"/>
    <w:autoRedefine/>
    <w:uiPriority w:val="39"/>
    <w:unhideWhenUsed/>
    <w:rsid w:val="00B81A44"/>
    <w:pPr>
      <w:tabs>
        <w:tab w:val="left" w:pos="440"/>
        <w:tab w:val="right" w:leader="dot" w:pos="9062"/>
      </w:tabs>
      <w:spacing w:after="100"/>
    </w:pPr>
  </w:style>
  <w:style w:type="paragraph" w:styleId="TM2">
    <w:name w:val="toc 2"/>
    <w:basedOn w:val="Normal"/>
    <w:next w:val="Normal"/>
    <w:autoRedefine/>
    <w:uiPriority w:val="39"/>
    <w:unhideWhenUsed/>
    <w:rsid w:val="00BC422A"/>
    <w:pPr>
      <w:spacing w:after="100"/>
      <w:ind w:left="220"/>
    </w:pPr>
  </w:style>
  <w:style w:type="paragraph" w:styleId="TM3">
    <w:name w:val="toc 3"/>
    <w:basedOn w:val="Normal"/>
    <w:next w:val="Normal"/>
    <w:autoRedefine/>
    <w:uiPriority w:val="39"/>
    <w:unhideWhenUsed/>
    <w:rsid w:val="00BC422A"/>
    <w:pPr>
      <w:spacing w:after="100"/>
      <w:ind w:left="440"/>
    </w:pPr>
  </w:style>
  <w:style w:type="character" w:styleId="Lienhypertexte">
    <w:name w:val="Hyperlink"/>
    <w:basedOn w:val="Policepardfau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Policepardfau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Policepardfaut"/>
    <w:link w:val="Listing2"/>
    <w:rsid w:val="00DF3785"/>
    <w:rPr>
      <w:lang w:val="en-GB"/>
    </w:rPr>
  </w:style>
  <w:style w:type="table" w:styleId="Grilledutableau">
    <w:name w:val="Table Grid"/>
    <w:basedOn w:val="Tableau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B50534"/>
  </w:style>
  <w:style w:type="character" w:customStyle="1" w:styleId="NotedefinCar">
    <w:name w:val="Note de fin Car"/>
    <w:basedOn w:val="Policepardfaut"/>
    <w:link w:val="Notedefin"/>
    <w:uiPriority w:val="99"/>
    <w:semiHidden/>
    <w:rsid w:val="00B50534"/>
    <w:rPr>
      <w:lang w:val="en-GB"/>
    </w:rPr>
  </w:style>
  <w:style w:type="character" w:styleId="Appeldenotedefin">
    <w:name w:val="endnote reference"/>
    <w:basedOn w:val="Policepardfaut"/>
    <w:uiPriority w:val="99"/>
    <w:semiHidden/>
    <w:unhideWhenUsed/>
    <w:rsid w:val="00B50534"/>
    <w:rPr>
      <w:vertAlign w:val="superscript"/>
    </w:rPr>
  </w:style>
  <w:style w:type="paragraph" w:styleId="Notedebasdepage">
    <w:name w:val="footnote text"/>
    <w:basedOn w:val="Normal"/>
    <w:link w:val="NotedebasdepageCar"/>
    <w:autoRedefine/>
    <w:uiPriority w:val="99"/>
    <w:unhideWhenUsed/>
    <w:qFormat/>
    <w:rsid w:val="006F53E8"/>
    <w:rPr>
      <w:sz w:val="16"/>
    </w:rPr>
  </w:style>
  <w:style w:type="character" w:customStyle="1" w:styleId="NotedebasdepageCar">
    <w:name w:val="Note de bas de page Car"/>
    <w:basedOn w:val="Policepardfaut"/>
    <w:link w:val="Notedebasdepage"/>
    <w:uiPriority w:val="99"/>
    <w:rsid w:val="006F53E8"/>
    <w:rPr>
      <w:sz w:val="16"/>
      <w:lang w:val="en-GB"/>
    </w:rPr>
  </w:style>
  <w:style w:type="character" w:styleId="Appelnotedebasdep">
    <w:name w:val="footnote reference"/>
    <w:aliases w:val="SUPERS,Footnote reference number,Footnote symbol,note TESI,-E Fußnotenzeichen,number,BVI fnr,Footnote Reference Superscript,(Footnote Reference),EN Footnote Reference,Voetnootverwijzing,Times 10 Point,Exposant 3 Poi,16 Point"/>
    <w:basedOn w:val="Policepardfaut"/>
    <w:uiPriority w:val="99"/>
    <w:unhideWhenUsed/>
    <w:qFormat/>
    <w:rsid w:val="00A91D91"/>
    <w:rPr>
      <w:rFonts w:asciiTheme="majorHAnsi" w:hAnsiTheme="majorHAnsi"/>
      <w:sz w:val="16"/>
      <w:vertAlign w:val="superscript"/>
    </w:rPr>
  </w:style>
  <w:style w:type="paragraph" w:customStyle="1" w:styleId="Footnote">
    <w:name w:val="Footnote"/>
    <w:basedOn w:val="Notedebasdepage"/>
    <w:link w:val="FootnoteChar"/>
    <w:rsid w:val="00B50534"/>
    <w:rPr>
      <w:lang w:val="nl-BE"/>
    </w:rPr>
  </w:style>
  <w:style w:type="character" w:customStyle="1" w:styleId="FootnoteChar">
    <w:name w:val="Footnote Char"/>
    <w:basedOn w:val="NotedebasdepageCar"/>
    <w:link w:val="Footnote"/>
    <w:rsid w:val="00B50534"/>
    <w:rPr>
      <w:sz w:val="16"/>
      <w:lang w:val="en-GB"/>
    </w:rPr>
  </w:style>
  <w:style w:type="table" w:customStyle="1" w:styleId="GridTable4-Accent11">
    <w:name w:val="Grid Table 4 - Accent 11"/>
    <w:basedOn w:val="Tableau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Textedebulles">
    <w:name w:val="Balloon Text"/>
    <w:basedOn w:val="Normal"/>
    <w:link w:val="TextedebullesCar"/>
    <w:uiPriority w:val="99"/>
    <w:semiHidden/>
    <w:unhideWhenUsed/>
    <w:rsid w:val="003C167E"/>
    <w:rPr>
      <w:rFonts w:ascii="Tahoma" w:hAnsi="Tahoma" w:cs="Tahoma"/>
      <w:sz w:val="16"/>
      <w:szCs w:val="16"/>
    </w:rPr>
  </w:style>
  <w:style w:type="character" w:customStyle="1" w:styleId="TextedebullesCar">
    <w:name w:val="Texte de bulles Car"/>
    <w:basedOn w:val="Policepardfaut"/>
    <w:link w:val="Textedebulles"/>
    <w:uiPriority w:val="99"/>
    <w:semiHidden/>
    <w:rsid w:val="003C167E"/>
    <w:rPr>
      <w:rFonts w:ascii="Tahoma" w:hAnsi="Tahoma" w:cs="Tahoma"/>
      <w:sz w:val="16"/>
      <w:szCs w:val="16"/>
      <w:lang w:val="en-GB"/>
    </w:rPr>
  </w:style>
  <w:style w:type="character" w:styleId="Marquedecommentaire">
    <w:name w:val="annotation reference"/>
    <w:basedOn w:val="Policepardfaut"/>
    <w:uiPriority w:val="99"/>
    <w:semiHidden/>
    <w:unhideWhenUsed/>
    <w:rsid w:val="00FA2400"/>
    <w:rPr>
      <w:sz w:val="16"/>
      <w:szCs w:val="16"/>
    </w:rPr>
  </w:style>
  <w:style w:type="paragraph" w:styleId="Commentaire">
    <w:name w:val="annotation text"/>
    <w:basedOn w:val="Normal"/>
    <w:link w:val="CommentaireCar"/>
    <w:uiPriority w:val="99"/>
    <w:unhideWhenUsed/>
    <w:rsid w:val="00FA2400"/>
    <w:rPr>
      <w:sz w:val="20"/>
    </w:rPr>
  </w:style>
  <w:style w:type="character" w:customStyle="1" w:styleId="CommentaireCar">
    <w:name w:val="Commentaire Car"/>
    <w:basedOn w:val="Policepardfaut"/>
    <w:link w:val="Commentaire"/>
    <w:uiPriority w:val="99"/>
    <w:rsid w:val="00FA2400"/>
    <w:rPr>
      <w:lang w:val="en-GB"/>
    </w:rPr>
  </w:style>
  <w:style w:type="paragraph" w:styleId="Objetducommentaire">
    <w:name w:val="annotation subject"/>
    <w:basedOn w:val="Commentaire"/>
    <w:next w:val="Commentaire"/>
    <w:link w:val="ObjetducommentaireCar"/>
    <w:uiPriority w:val="99"/>
    <w:semiHidden/>
    <w:unhideWhenUsed/>
    <w:rsid w:val="00FA2400"/>
    <w:rPr>
      <w:b/>
      <w:bCs/>
    </w:rPr>
  </w:style>
  <w:style w:type="character" w:customStyle="1" w:styleId="ObjetducommentaireCar">
    <w:name w:val="Objet du commentaire Car"/>
    <w:basedOn w:val="CommentaireCar"/>
    <w:link w:val="Objetducommentaire"/>
    <w:uiPriority w:val="99"/>
    <w:semiHidden/>
    <w:rsid w:val="00FA2400"/>
    <w:rPr>
      <w:b/>
      <w:bCs/>
      <w:lang w:val="en-GB"/>
    </w:rPr>
  </w:style>
  <w:style w:type="paragraph" w:styleId="R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Lienhypertextesuivivisit">
    <w:name w:val="FollowedHyperlink"/>
    <w:basedOn w:val="Policepardfau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Policepardfau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auNormal"/>
    <w:next w:val="Grilledutableau"/>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EI Car,Paragraphe de liste1 Car,EC Car,Normal Nivel 1 Car,List Paragraph Main Car,List first level Car,List Paragraph_Sections Car"/>
    <w:basedOn w:val="Policepardfaut"/>
    <w:link w:val="Paragraphedeliste"/>
    <w:uiPriority w:val="34"/>
    <w:rsid w:val="00695AF2"/>
    <w:rPr>
      <w:rFonts w:eastAsiaTheme="majorEastAsia" w:cstheme="minorHAnsi"/>
      <w:sz w:val="22"/>
      <w:szCs w:val="22"/>
      <w:lang w:val="en-GB" w:eastAsia="en-GB"/>
    </w:rPr>
  </w:style>
  <w:style w:type="table" w:customStyle="1" w:styleId="TableGrid3">
    <w:name w:val="Table Grid3"/>
    <w:basedOn w:val="Tableau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esc.europa.eu/en/our-work/opinions-information-reports/opinions/capital-markets-union-people-and-businesses-new-action-pla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ansversal Document" ma:contentTypeID="0x01010001BD15C3986B91498E0AE644B715B9EE01020058E2799CE84276429C3526F9AD40ED6D" ma:contentTypeVersion="24" ma:contentTypeDescription="" ma:contentTypeScope="" ma:versionID="11e06e7c709e1561e47f345c09e76a30">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e628b6e2756d9ee63852109eff5e0c39"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caa5aeb1a6644849b60fbe2335e12657" minOccurs="0"/>
                <xsd:element ref="ns2:n644e5dfaa29486bad4a4fc019c6d2df" minOccurs="0"/>
                <xsd:element ref="ns2:eed0a0b2ea6941718a34434e243f3d8f" minOccurs="0"/>
                <xsd:element ref="ns2:_dlc_DocIdPersistId" minOccurs="0"/>
                <xsd:element ref="ns2:j69a081f486747f6ac8a5aeed63facfd" minOccurs="0"/>
                <xsd:element ref="ns2:TaxCatchAll" minOccurs="0"/>
                <xsd:element ref="ns2:TaxCatchAllLabel" minOccurs="0"/>
                <xsd:element ref="ns2:a9b3b1dad23b4ba58c3f3e36a96e1d9c" minOccurs="0"/>
                <xsd:element ref="ns2:bce29119141747ccb9ac7d87218ed4af" minOccurs="0"/>
                <xsd:element ref="ns2:_dlc_DocIdUrl"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caa5aeb1a6644849b60fbe2335e12657" ma:index="12" ma:taxonomy="true" ma:internalName="caa5aeb1a6644849b60fbe2335e12657" ma:taxonomyFieldName="Topic" ma:displayName="Topic" ma:readOnly="false" ma:default="" ma:fieldId="{caa5aeb1-a664-4849-b60f-be2335e12657}" ma:sspId="0ac1876e-32bf-4158-94e7-cdbcd053a335"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fieldId="{7644e5df-aa29-486b-ad4a-4fc019c6d2df}" ma:sspId="0ac1876e-32bf-4158-94e7-cdbcd053a335"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16"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j69a081f486747f6ac8a5aeed63facfd" ma:index="18"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a9b3b1dad23b4ba58c3f3e36a96e1d9c" ma:index="21"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20fbe147-bbda-4e53-b6b1-7e8bbff3fe19">ESMA70-446-675</_dlc_DocId>
    <TaxCatchAll xmlns="20fbe147-bbda-4e53-b6b1-7e8bbff3fe19">
      <Value>12</Value>
      <Value>1600</Value>
      <Value>1941</Value>
      <Value>484</Value>
      <Value>14</Value>
    </TaxCatchAll>
    <_dlc_DocIdUrl xmlns="20fbe147-bbda-4e53-b6b1-7e8bbff3fe19">
      <Url>https://sherpa.esma.europa.eu/sites/MKT/SMK/_layouts/15/DocIdRedir.aspx?ID=ESMA70-446-675</Url>
      <Description>ESMA70-446-675</Description>
    </_dlc_DocIdUrl>
    <Year xmlns="20fbe147-bbda-4e53-b6b1-7e8bbff3fe19">2021</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Transversal - EMIR-CO and MiFIR-DTO</TermName>
          <TermId xmlns="http://schemas.microsoft.com/office/infopath/2007/PartnerControls">64be65b4-3656-4586-a273-cba194bf0ee6</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EMIR-CO and MiFIR DTO - Report 2 (CP and FR)</TermName>
          <TermId xmlns="http://schemas.microsoft.com/office/infopath/2007/PartnerControls">560a6160-3487-472a-86e6-6dc8e08a60d4</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documentManagement>
</p:properties>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0190CBD2-5AD5-4F7B-B611-7C40D87A4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37F5EE-E87B-49CE-96B5-F95CE63A0DF2}">
  <ds:schemaRefs>
    <ds:schemaRef ds:uri="http://schemas.microsoft.com/sharepoint/v3"/>
    <ds:schemaRef ds:uri="http://schemas.microsoft.com/sharepoint/v4"/>
    <ds:schemaRef ds:uri="http://purl.org/dc/terms/"/>
    <ds:schemaRef ds:uri="20fbe147-bbda-4e53-b6b1-7e8bbff3fe1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9</TotalTime>
  <Pages>9</Pages>
  <Words>2030</Words>
  <Characters>11169</Characters>
  <Application>Microsoft Office Word</Application>
  <DocSecurity>8</DocSecurity>
  <Lines>93</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Quelhas, Yolande</cp:lastModifiedBy>
  <cp:revision>3</cp:revision>
  <cp:lastPrinted>2017-07-24T14:47:00Z</cp:lastPrinted>
  <dcterms:created xsi:type="dcterms:W3CDTF">2022-09-26T12:37:00Z</dcterms:created>
  <dcterms:modified xsi:type="dcterms:W3CDTF">2022-09-26T12:47:00Z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0x01010001BD15C3986B91498E0AE644B715B9EE01020058E2799CE84276429C3526F9AD40ED6D</vt:lpwstr>
  </property>
  <property fmtid="{D5CDD505-2E9C-101B-9397-08002B2CF9AE}" pid="5" name="_dlc_DocIdItemGuid">
    <vt:lpwstr>7f9e1fdb-b638-4822-8189-46ef9c5abdfd</vt:lpwstr>
  </property>
  <property fmtid="{D5CDD505-2E9C-101B-9397-08002B2CF9AE}" pid="6" name="DocumentType">
    <vt:lpwstr>12;#Report|78753201-1e9e-4a21-a088-6ff602b5c999</vt:lpwstr>
  </property>
  <property fmtid="{D5CDD505-2E9C-101B-9397-08002B2CF9AE}" pid="7" name="Topic">
    <vt:lpwstr>1600;#Transversal - EMIR-CO and MiFIR-DTO|64be65b4-3656-4586-a273-cba194bf0ee6</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1941;#EMIR-CO and MiFIR DTO - Report 2 (CP and FR)|560a6160-3487-472a-86e6-6dc8e08a60d4</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