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FB909B7" w:rsidR="006A5E48" w:rsidRPr="00B16706" w:rsidRDefault="006A5E48" w:rsidP="006A5E48">
                <w:pPr>
                  <w:pStyle w:val="Titolo"/>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the clearing and derivative trading obligations in view of the 2022 status of the benchmark transition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o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olo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35DD5B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w:t>
          </w:r>
          <w:r w:rsidR="00871163">
            <w:rPr>
              <w:rFonts w:eastAsiaTheme="minorEastAsia" w:cstheme="minorBidi"/>
              <w:sz w:val="18"/>
              <w:szCs w:val="16"/>
              <w:lang w:eastAsia="en-US"/>
            </w:rPr>
            <w:t>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987571C"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w:t>
          </w:r>
          <w:r w:rsidR="00871163">
            <w:rPr>
              <w:rFonts w:eastAsiaTheme="minorEastAsia" w:cstheme="minorBidi"/>
              <w:sz w:val="18"/>
              <w:szCs w:val="16"/>
              <w:lang w:eastAsia="en-US"/>
            </w:rPr>
            <w:t>R</w:t>
          </w:r>
          <w:r w:rsidRPr="00A409C2">
            <w:rPr>
              <w:rFonts w:eastAsiaTheme="minorEastAsia" w:cstheme="minorBidi"/>
              <w:sz w:val="18"/>
              <w:szCs w:val="16"/>
              <w:lang w:eastAsia="en-US"/>
            </w:rPr>
            <w:t>_nameofrespondent_RESPONSEFORM. For example, for a respondent named ABCD, the response form would be entitled ESMA_RFRS_ABCD_RESPONSEFORM.</w:t>
          </w:r>
        </w:p>
        <w:p w14:paraId="28EEA743" w14:textId="38A78F85"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Titolo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39CF3C35" w:rsidR="00C85C8B" w:rsidRPr="00B16706" w:rsidRDefault="00C25118"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Associazione</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Intermediari</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Mercati</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Finanziari</w:t>
                </w:r>
                <w:proofErr w:type="spellEnd"/>
                <w:r>
                  <w:rPr>
                    <w:rFonts w:ascii="Arial" w:hAnsi="Arial" w:cs="Arial"/>
                    <w:color w:val="808080"/>
                    <w:sz w:val="16"/>
                    <w:szCs w:val="20"/>
                    <w:lang w:eastAsia="de-DE"/>
                  </w:rPr>
                  <w:t xml:space="preserve"> - ASSOSIM</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201974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5118">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550CA6D" w:rsidR="00C85C8B" w:rsidRPr="00B16706" w:rsidRDefault="00C2511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F4F71A9" w:rsidR="00C85C8B" w:rsidRPr="00B16706" w:rsidRDefault="00C25118"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214F30D1" w:rsidR="00D57019" w:rsidRPr="00871163" w:rsidRDefault="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Introduction</w:t>
      </w:r>
    </w:p>
    <w:bookmarkEnd w:id="0"/>
    <w:p w14:paraId="38B80885" w14:textId="77777777" w:rsidR="00871163" w:rsidRDefault="00871163" w:rsidP="00871163">
      <w:pPr>
        <w:pStyle w:val="Questionstyle"/>
      </w:pPr>
      <w:r>
        <w:t xml:space="preserve">Are </w:t>
      </w:r>
      <w:r w:rsidRPr="00A354D9">
        <w:t>there any general comments you would like to raise?</w:t>
      </w:r>
    </w:p>
    <w:p w14:paraId="072BB0FC" w14:textId="77777777" w:rsidR="00871163" w:rsidRDefault="00871163" w:rsidP="00871163">
      <w:r>
        <w:t>&lt;ESMA_QUESTION_RFRR_1&gt;</w:t>
      </w:r>
    </w:p>
    <w:p w14:paraId="1BCC770D" w14:textId="77777777" w:rsidR="007305B3" w:rsidRDefault="007305B3" w:rsidP="007305B3">
      <w:pPr>
        <w:jc w:val="both"/>
      </w:pPr>
      <w:permStart w:id="2139645067" w:edGrp="everyone"/>
      <w:r>
        <w:t>Preliminarily, please note that all the responses were drafted in cooperation with the Italian Banking Association – ABI.</w:t>
      </w:r>
    </w:p>
    <w:p w14:paraId="32315EC8" w14:textId="10029C9F" w:rsidR="00871163" w:rsidRPr="00C25118" w:rsidRDefault="00C25118" w:rsidP="00C25118">
      <w:pPr>
        <w:jc w:val="both"/>
      </w:pPr>
      <w:r w:rsidRPr="00C25118">
        <w:rPr>
          <w:szCs w:val="20"/>
        </w:rPr>
        <w:t>We do not have any general remarks on the Introduction, the “Status of the Benchmark Reform” (section 2.1), the “Status of the CO and DTO in other jurisdictions” and the “Status of the CO and DTO RTSs affected by the benchmark reform” (respectively, sections 2.2 and 2.3).</w:t>
      </w:r>
    </w:p>
    <w:permEnd w:id="2139645067"/>
    <w:p w14:paraId="2B0DF114" w14:textId="77777777" w:rsidR="00871163" w:rsidRDefault="00871163" w:rsidP="00871163">
      <w:r>
        <w:t>&lt;ESMA_QUESTION_RFRR_1&gt;</w:t>
      </w:r>
    </w:p>
    <w:p w14:paraId="50E65E9C" w14:textId="0B4E9737" w:rsidR="00871163" w:rsidRDefault="00871163" w:rsidP="00871163"/>
    <w:p w14:paraId="610BDAC4" w14:textId="3C0A178A"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 xml:space="preserve">General analysis </w:t>
      </w:r>
    </w:p>
    <w:p w14:paraId="6A35DE8C" w14:textId="77777777" w:rsidR="00871163" w:rsidRDefault="00871163" w:rsidP="00871163"/>
    <w:p w14:paraId="30C8786A" w14:textId="77777777" w:rsidR="00871163" w:rsidRDefault="00871163" w:rsidP="00871163">
      <w:pPr>
        <w:pStyle w:val="Questionstyle"/>
      </w:pPr>
      <w:r>
        <w:t>Are there any other aspects of the transition that need to be taken into account? Please share any data that would help qualify further the progress with the transition or any other aspects that you think should be considered.</w:t>
      </w:r>
    </w:p>
    <w:p w14:paraId="15C04A02" w14:textId="77777777" w:rsidR="00871163" w:rsidRDefault="00871163" w:rsidP="00871163">
      <w:r>
        <w:t>&lt;ESMA_QUESTION_RFRR_2&gt;</w:t>
      </w:r>
    </w:p>
    <w:p w14:paraId="0CE3FDDB" w14:textId="4FA9E9B7" w:rsidR="00871163" w:rsidRPr="00C25118" w:rsidRDefault="00C25118" w:rsidP="00C25118">
      <w:pPr>
        <w:jc w:val="both"/>
        <w:rPr>
          <w:szCs w:val="20"/>
        </w:rPr>
      </w:pPr>
      <w:permStart w:id="1413441955" w:edGrp="everyone"/>
      <w:r w:rsidRPr="00C25118">
        <w:rPr>
          <w:szCs w:val="20"/>
        </w:rPr>
        <w:t>We do not have remarks to add on the analysis of the transition described by ESMA.</w:t>
      </w:r>
    </w:p>
    <w:permEnd w:id="1413441955"/>
    <w:p w14:paraId="218E66D8" w14:textId="77777777" w:rsidR="00871163" w:rsidRDefault="00871163" w:rsidP="00871163">
      <w:r>
        <w:t>&lt;ESMA_QUESTION_RFRR_2&gt;</w:t>
      </w:r>
    </w:p>
    <w:p w14:paraId="6F0C2D5B" w14:textId="44794D9F" w:rsidR="00871163" w:rsidRDefault="00871163" w:rsidP="00871163"/>
    <w:p w14:paraId="5B30F570" w14:textId="1F0DAF78" w:rsidR="00871163" w:rsidRPr="00871163" w:rsidRDefault="00871163" w:rsidP="00871163">
      <w:pPr>
        <w:spacing w:after="120" w:line="264" w:lineRule="auto"/>
        <w:rPr>
          <w:rFonts w:ascii="Arial" w:hAnsi="Arial" w:cs="Arial"/>
          <w:b/>
          <w:sz w:val="22"/>
          <w:szCs w:val="22"/>
          <w:u w:val="single"/>
          <w:lang w:val="en-US" w:eastAsia="en-US"/>
        </w:rPr>
      </w:pPr>
      <w:r>
        <w:rPr>
          <w:rFonts w:ascii="Arial" w:hAnsi="Arial" w:cs="Arial"/>
          <w:b/>
          <w:sz w:val="22"/>
          <w:szCs w:val="22"/>
          <w:u w:val="single"/>
          <w:lang w:val="en-US" w:eastAsia="en-US"/>
        </w:rPr>
        <w:t>Clearing obligation</w:t>
      </w:r>
    </w:p>
    <w:p w14:paraId="7CA3A2C7" w14:textId="77777777" w:rsidR="00871163" w:rsidRDefault="00871163" w:rsidP="00871163"/>
    <w:p w14:paraId="4134E170" w14:textId="77777777" w:rsidR="00871163" w:rsidRPr="005B6B12" w:rsidRDefault="00871163" w:rsidP="00871163">
      <w:pPr>
        <w:pStyle w:val="Questionstyle"/>
      </w:pPr>
      <w:r w:rsidRPr="00ED0167">
        <w:t>Do you agree with the assessment of the EMIR criteria and with the proposed classes? Do you also agree that the maturities for SOFR OIS could be extended, including up to 50 years? If not, please detail how the assessment could differ and please also provide data and information to justify a different assessment.</w:t>
      </w:r>
    </w:p>
    <w:p w14:paraId="24B95663" w14:textId="77777777" w:rsidR="00871163" w:rsidRDefault="00871163" w:rsidP="00871163">
      <w:r>
        <w:t>&lt;ESMA_QUESTION_RFRR_3&gt;</w:t>
      </w:r>
    </w:p>
    <w:p w14:paraId="4C7B8892" w14:textId="77777777" w:rsidR="00C25118" w:rsidRPr="00C25118" w:rsidRDefault="00C25118" w:rsidP="00C25118">
      <w:pPr>
        <w:jc w:val="both"/>
      </w:pPr>
      <w:permStart w:id="2092976095" w:edGrp="everyone"/>
      <w:r w:rsidRPr="00C25118">
        <w:t xml:space="preserve">The proposal to extend the scope of application of EMIR’s clearing obligation (CO) to certain OIS contracts referring to JPY TONA (7D-30Y) does not seem to have </w:t>
      </w:r>
      <w:proofErr w:type="gramStart"/>
      <w:r w:rsidRPr="00C25118">
        <w:t>particular implications</w:t>
      </w:r>
      <w:proofErr w:type="gramEnd"/>
      <w:r w:rsidRPr="00C25118">
        <w:t xml:space="preserve">. </w:t>
      </w:r>
    </w:p>
    <w:p w14:paraId="3A3333D0" w14:textId="77777777" w:rsidR="00C25118" w:rsidRPr="00C25118" w:rsidRDefault="00C25118" w:rsidP="00C25118">
      <w:pPr>
        <w:jc w:val="both"/>
      </w:pPr>
      <w:r w:rsidRPr="00C25118">
        <w:t>As far as it concerns the following proposals:</w:t>
      </w:r>
    </w:p>
    <w:p w14:paraId="5957862E" w14:textId="77777777" w:rsidR="00C25118" w:rsidRPr="00C25118" w:rsidRDefault="00C25118" w:rsidP="00C25118">
      <w:pPr>
        <w:pStyle w:val="Paragrafoelenco"/>
        <w:numPr>
          <w:ilvl w:val="0"/>
          <w:numId w:val="31"/>
        </w:numPr>
        <w:contextualSpacing/>
        <w:rPr>
          <w:rFonts w:ascii="Times New Roman" w:eastAsia="Times New Roman" w:hAnsi="Times New Roman" w:cs="Times New Roman"/>
          <w:sz w:val="24"/>
          <w:szCs w:val="24"/>
        </w:rPr>
      </w:pPr>
      <w:r w:rsidRPr="00C25118">
        <w:rPr>
          <w:rFonts w:ascii="Times New Roman" w:eastAsia="Times New Roman" w:hAnsi="Times New Roman" w:cs="Times New Roman"/>
          <w:sz w:val="24"/>
          <w:szCs w:val="24"/>
        </w:rPr>
        <w:t>to extend the CO’s scope of application to certain OIS contracts referring to USD SOFR (up to 50Y), and</w:t>
      </w:r>
    </w:p>
    <w:p w14:paraId="0DC387D4" w14:textId="77777777" w:rsidR="00C25118" w:rsidRPr="00C25118" w:rsidRDefault="00C25118" w:rsidP="00C25118">
      <w:pPr>
        <w:pStyle w:val="Paragrafoelenco"/>
        <w:numPr>
          <w:ilvl w:val="0"/>
          <w:numId w:val="31"/>
        </w:numPr>
        <w:contextualSpacing/>
        <w:rPr>
          <w:rFonts w:ascii="Times New Roman" w:eastAsia="Times New Roman" w:hAnsi="Times New Roman" w:cs="Times New Roman"/>
          <w:sz w:val="24"/>
          <w:szCs w:val="24"/>
        </w:rPr>
      </w:pPr>
      <w:r w:rsidRPr="00C25118">
        <w:rPr>
          <w:rFonts w:ascii="Times New Roman" w:eastAsia="Times New Roman" w:hAnsi="Times New Roman" w:cs="Times New Roman"/>
          <w:sz w:val="24"/>
          <w:szCs w:val="24"/>
        </w:rPr>
        <w:t>to extend the scope of application of the DTO (trading obligation on the trading venue for derivative instruments) to certain classes of OIS referring to €STR,</w:t>
      </w:r>
    </w:p>
    <w:p w14:paraId="7533DF7D" w14:textId="213E7FD2" w:rsidR="00871163" w:rsidRPr="00C25118" w:rsidRDefault="00C25118" w:rsidP="00C25118">
      <w:pPr>
        <w:jc w:val="both"/>
      </w:pPr>
      <w:r w:rsidRPr="00C25118">
        <w:t>although</w:t>
      </w:r>
      <w:proofErr w:type="gramStart"/>
      <w:r w:rsidRPr="00C25118">
        <w:t>, as a whole, they</w:t>
      </w:r>
      <w:proofErr w:type="gramEnd"/>
      <w:r w:rsidRPr="00C25118">
        <w:t xml:space="preserve"> appear to be viable and acceptable, as consistent with the market evolution, we cannot exclude that they might have some implications (specifically for the USD based contracts).</w:t>
      </w:r>
    </w:p>
    <w:permEnd w:id="2092976095"/>
    <w:p w14:paraId="6211C235" w14:textId="77777777" w:rsidR="00871163" w:rsidRDefault="00871163" w:rsidP="00871163">
      <w:r>
        <w:t>&lt;ESMA_QUESTION_RFRR_3&gt;</w:t>
      </w:r>
    </w:p>
    <w:p w14:paraId="5E545893" w14:textId="77777777" w:rsidR="00871163" w:rsidRDefault="00871163" w:rsidP="00871163"/>
    <w:p w14:paraId="64D6D9C4" w14:textId="77777777" w:rsidR="00871163" w:rsidRDefault="00871163" w:rsidP="00871163">
      <w:pPr>
        <w:pStyle w:val="Questionstyle"/>
      </w:pPr>
      <w:r w:rsidRPr="0032419B">
        <w:t>Do you agree with the proposed implementation of the changes? if not please provide details that could justify a different implementation</w:t>
      </w:r>
      <w:r>
        <w:t>.</w:t>
      </w:r>
    </w:p>
    <w:p w14:paraId="216D104B" w14:textId="77777777" w:rsidR="00871163" w:rsidRDefault="00871163" w:rsidP="00871163">
      <w:r>
        <w:t>&lt;ESMA_QUESTION_RFRR_4&gt;</w:t>
      </w:r>
    </w:p>
    <w:p w14:paraId="28A4368F" w14:textId="77777777" w:rsidR="00C25118" w:rsidRPr="00C25118" w:rsidRDefault="00C25118" w:rsidP="00C25118">
      <w:pPr>
        <w:jc w:val="both"/>
        <w:rPr>
          <w:szCs w:val="20"/>
        </w:rPr>
      </w:pPr>
      <w:permStart w:id="234366504" w:edGrp="everyone"/>
      <w:r w:rsidRPr="00C25118">
        <w:rPr>
          <w:szCs w:val="20"/>
        </w:rPr>
        <w:lastRenderedPageBreak/>
        <w:t xml:space="preserve">The implementation timeline suggested by ESMA deserves some specific attention, as the Authority does not provide for "phase-in" periods which would ensure an orderly and timely implementation of the changes proposed. </w:t>
      </w:r>
    </w:p>
    <w:p w14:paraId="3ECDC1D3" w14:textId="77777777" w:rsidR="00C25118" w:rsidRPr="00C25118" w:rsidRDefault="00C25118" w:rsidP="00C25118">
      <w:pPr>
        <w:jc w:val="both"/>
        <w:rPr>
          <w:szCs w:val="20"/>
        </w:rPr>
      </w:pPr>
    </w:p>
    <w:p w14:paraId="76918621" w14:textId="77777777" w:rsidR="00C25118" w:rsidRPr="00C25118" w:rsidRDefault="00C25118" w:rsidP="00C25118">
      <w:pPr>
        <w:jc w:val="both"/>
        <w:rPr>
          <w:szCs w:val="20"/>
        </w:rPr>
      </w:pPr>
      <w:r w:rsidRPr="00C25118">
        <w:rPr>
          <w:szCs w:val="20"/>
        </w:rPr>
        <w:t>In fact, it should be noted that in the period 2021-2022 the entire process that led to the adoption of the Delegated Regulations EU 2022/749 and 2022/750 lasted approximately ten months (we refer to the process starting with ESMA’s consultation, followed by the publication of the ESMA RTS Draft and the legislative process in the EU of the Delegated Regulations, up to their adoption by the European Commission and their entry into force).</w:t>
      </w:r>
    </w:p>
    <w:p w14:paraId="47D38EF5" w14:textId="77777777" w:rsidR="00C25118" w:rsidRPr="00C25118" w:rsidRDefault="00C25118" w:rsidP="00C25118">
      <w:pPr>
        <w:jc w:val="both"/>
        <w:rPr>
          <w:szCs w:val="20"/>
        </w:rPr>
      </w:pPr>
    </w:p>
    <w:p w14:paraId="1A20274C" w14:textId="77777777" w:rsidR="00C25118" w:rsidRPr="00C25118" w:rsidRDefault="00C25118" w:rsidP="00C25118">
      <w:pPr>
        <w:jc w:val="both"/>
        <w:rPr>
          <w:szCs w:val="20"/>
        </w:rPr>
      </w:pPr>
      <w:r w:rsidRPr="00C25118">
        <w:rPr>
          <w:szCs w:val="20"/>
        </w:rPr>
        <w:t>Should this consultation (dated 11/07) represent the beginning of a similar process lasting approximately a year, the changes proposed by ESMA could potentially be applied approximately from June 2023, i.e., a particularly critical time of the year as coinciding with the final discontinuation of the USD LIBOR (which could be somehow defined as “a turning point”).</w:t>
      </w:r>
    </w:p>
    <w:p w14:paraId="5E903D5D" w14:textId="77777777" w:rsidR="00C25118" w:rsidRPr="00C25118" w:rsidRDefault="00C25118" w:rsidP="00C25118">
      <w:pPr>
        <w:jc w:val="both"/>
        <w:rPr>
          <w:szCs w:val="20"/>
        </w:rPr>
      </w:pPr>
    </w:p>
    <w:p w14:paraId="7016C9C9" w14:textId="79456FDE" w:rsidR="00871163" w:rsidRPr="00C25118" w:rsidRDefault="00C25118" w:rsidP="00C25118">
      <w:pPr>
        <w:jc w:val="both"/>
        <w:rPr>
          <w:szCs w:val="20"/>
        </w:rPr>
      </w:pPr>
      <w:r w:rsidRPr="00C25118">
        <w:rPr>
          <w:szCs w:val="20"/>
        </w:rPr>
        <w:t>Therefore, given the likelihood of this scenario, we would consider appropriate for ESMA to provide for a delay between the date of entry into force of the proposed changes and their effective application, calibrated in such a way as to avoid coincidence with the month of June 2023.</w:t>
      </w:r>
    </w:p>
    <w:permEnd w:id="234366504"/>
    <w:p w14:paraId="35481B3B" w14:textId="77777777" w:rsidR="00871163" w:rsidRDefault="00871163" w:rsidP="00871163">
      <w:r>
        <w:t>&lt;ESMA_QUESTION_RFRR_4&gt;</w:t>
      </w:r>
    </w:p>
    <w:p w14:paraId="2A497FF9" w14:textId="1364F895" w:rsidR="00871163" w:rsidRDefault="00871163" w:rsidP="00871163"/>
    <w:p w14:paraId="23A11544" w14:textId="6A15F785" w:rsid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Trading Obligation</w:t>
      </w:r>
    </w:p>
    <w:p w14:paraId="67C59343" w14:textId="77777777" w:rsidR="00871163" w:rsidRPr="00871163" w:rsidRDefault="00871163" w:rsidP="00871163">
      <w:pPr>
        <w:spacing w:after="120" w:line="264" w:lineRule="auto"/>
        <w:rPr>
          <w:rFonts w:ascii="Arial" w:hAnsi="Arial" w:cs="Arial"/>
          <w:b/>
          <w:sz w:val="22"/>
          <w:szCs w:val="22"/>
          <w:u w:val="single"/>
          <w:lang w:val="en-US" w:eastAsia="en-US"/>
        </w:rPr>
      </w:pPr>
    </w:p>
    <w:p w14:paraId="60BF4F9E" w14:textId="77777777" w:rsidR="00871163" w:rsidRDefault="00871163" w:rsidP="00871163">
      <w:pPr>
        <w:pStyle w:val="Questionstyle"/>
      </w:pPr>
      <w:r>
        <w:t>Do you agree with this assessment and therefore, not to introduce DTO for contracts referencing TONA, SONIA and for the time being SOFR? If not, please explain.</w:t>
      </w:r>
    </w:p>
    <w:p w14:paraId="265E4A46" w14:textId="77777777" w:rsidR="00871163" w:rsidRDefault="00871163" w:rsidP="00871163">
      <w:r>
        <w:t>&lt;ESMA_QUESTION_RFRR_5&gt;</w:t>
      </w:r>
    </w:p>
    <w:p w14:paraId="0A542C29" w14:textId="4D83DF15" w:rsidR="00871163" w:rsidRPr="00C25118" w:rsidRDefault="00C25118" w:rsidP="00C25118">
      <w:pPr>
        <w:jc w:val="both"/>
        <w:rPr>
          <w:szCs w:val="20"/>
        </w:rPr>
      </w:pPr>
      <w:permStart w:id="1682966186" w:edGrp="everyone"/>
      <w:r w:rsidRPr="00C25118">
        <w:rPr>
          <w:szCs w:val="20"/>
        </w:rPr>
        <w:t>We do not have remarks opposing the assessment presented by ESMA not to introduce DTO for contracts referencing TONA, SONA and SOFR.</w:t>
      </w:r>
    </w:p>
    <w:permEnd w:id="1682966186"/>
    <w:p w14:paraId="5A2ED45E" w14:textId="77777777" w:rsidR="00871163" w:rsidRDefault="00871163" w:rsidP="00871163">
      <w:r>
        <w:t>&lt;ESMA_QUESTION_RFRR_5&gt;</w:t>
      </w:r>
    </w:p>
    <w:p w14:paraId="5196122F" w14:textId="77777777" w:rsidR="00871163" w:rsidRDefault="00871163" w:rsidP="00871163"/>
    <w:p w14:paraId="05446E78" w14:textId="77777777" w:rsidR="00871163" w:rsidRDefault="00871163" w:rsidP="00871163">
      <w:pPr>
        <w:pStyle w:val="Questionstyle"/>
      </w:pPr>
      <w:r>
        <w:t>Do you agree with this assessment? Do you consider that also contracts with constant notional and 3 months tenor and trade start date Spot (t+0) should be subject to the DTO? If so, please specify also the other relevant standardised parameters used with those contracts. Do you consider that also contracts with constant notional and 3 years tenor and trade start date second next IMM date shall be subject to the DTO? If so, please specify also the other relevant standardised parameters used with those contracts. Should other tenors be considered for the DTO?</w:t>
      </w:r>
    </w:p>
    <w:p w14:paraId="2D4E9975" w14:textId="77777777" w:rsidR="00871163" w:rsidRDefault="00871163" w:rsidP="00871163">
      <w:r>
        <w:t>&lt;ESMA_QUESTION_RFRR_6&gt;</w:t>
      </w:r>
    </w:p>
    <w:p w14:paraId="3B61E942" w14:textId="4A310166" w:rsidR="00871163" w:rsidRPr="00C25118" w:rsidRDefault="00C25118" w:rsidP="00871163">
      <w:permStart w:id="1012211534" w:edGrp="everyone"/>
      <w:r w:rsidRPr="00C25118">
        <w:rPr>
          <w:szCs w:val="20"/>
        </w:rPr>
        <w:t>We do not have remarks contrary to the assessment presented under Section 6.2.2 on contracts referencing €STR and their inclusion under DTO.</w:t>
      </w:r>
    </w:p>
    <w:permEnd w:id="1012211534"/>
    <w:p w14:paraId="363E54F4" w14:textId="77777777" w:rsidR="00871163" w:rsidRDefault="00871163" w:rsidP="00871163">
      <w:r>
        <w:t>&lt;ESMA_QUESTION_RFRR_6&gt;</w:t>
      </w:r>
    </w:p>
    <w:p w14:paraId="104DF587" w14:textId="77777777" w:rsidR="00871163" w:rsidRDefault="00871163" w:rsidP="00871163"/>
    <w:p w14:paraId="19D0EA34" w14:textId="77777777" w:rsidR="00871163" w:rsidRPr="00871163" w:rsidRDefault="00871163" w:rsidP="00871163">
      <w:pPr>
        <w:pStyle w:val="Questionstyle"/>
      </w:pPr>
      <w:r w:rsidRPr="00871163">
        <w:lastRenderedPageBreak/>
        <w:t>Do you agree with this assessment? Do you consider that also the daily floating leg reset frequency is a standardised contract feature that could be considered for the DTO?</w:t>
      </w:r>
    </w:p>
    <w:p w14:paraId="7EB57C2B" w14:textId="77777777" w:rsidR="00871163" w:rsidRDefault="00871163" w:rsidP="00871163">
      <w:r>
        <w:t>&lt;ESMA_QUESTION_RFRR_7&gt;</w:t>
      </w:r>
    </w:p>
    <w:p w14:paraId="13696F11" w14:textId="3196EC25" w:rsidR="00871163" w:rsidRPr="00C25118" w:rsidRDefault="00C25118" w:rsidP="00C25118">
      <w:pPr>
        <w:jc w:val="both"/>
        <w:rPr>
          <w:szCs w:val="20"/>
        </w:rPr>
      </w:pPr>
      <w:permStart w:id="1184186567" w:edGrp="everyone"/>
      <w:r w:rsidRPr="00C25118">
        <w:rPr>
          <w:szCs w:val="20"/>
        </w:rPr>
        <w:t>On this specific regard, we have not gathered sufficient evidence and, accordingly, we do not have remarks contrary to the assessment presented under pages 51-54 by ESMA.</w:t>
      </w:r>
    </w:p>
    <w:permEnd w:id="1184186567"/>
    <w:p w14:paraId="4ED692F3" w14:textId="77777777" w:rsidR="00871163" w:rsidRDefault="00871163" w:rsidP="00871163">
      <w:r>
        <w:t>&lt;ESMA_QUESTION_RFRR_7&gt;</w:t>
      </w:r>
    </w:p>
    <w:p w14:paraId="18D061D3" w14:textId="77777777" w:rsidR="00871163" w:rsidRDefault="00871163" w:rsidP="00871163"/>
    <w:p w14:paraId="0D45A490" w14:textId="77777777" w:rsidR="00871163" w:rsidRPr="00871163" w:rsidRDefault="00871163" w:rsidP="00871163">
      <w:pPr>
        <w:pStyle w:val="Questionstyle"/>
      </w:pPr>
      <w:r w:rsidRPr="00871163">
        <w:t>Do you agree with this proposal? If not, what amendments do you think are necessary?</w:t>
      </w:r>
    </w:p>
    <w:p w14:paraId="43C6D1AC" w14:textId="77777777" w:rsidR="00871163" w:rsidRDefault="00871163" w:rsidP="00871163">
      <w:r>
        <w:t>&lt;ESMA_QUESTION_RFRR_8&gt;</w:t>
      </w:r>
    </w:p>
    <w:p w14:paraId="3D669784" w14:textId="50947917" w:rsidR="00871163" w:rsidRPr="00C25118" w:rsidRDefault="00C25118" w:rsidP="00C25118">
      <w:pPr>
        <w:jc w:val="both"/>
        <w:rPr>
          <w:szCs w:val="20"/>
        </w:rPr>
      </w:pPr>
      <w:permStart w:id="585369704" w:edGrp="everyone"/>
      <w:r w:rsidRPr="00C25118">
        <w:rPr>
          <w:szCs w:val="20"/>
        </w:rPr>
        <w:t>We agree on the content presented on page 55 and we gathered no comments as to any possible amendments.</w:t>
      </w:r>
    </w:p>
    <w:permEnd w:id="585369704"/>
    <w:p w14:paraId="23CF693D" w14:textId="77777777" w:rsidR="00871163" w:rsidRDefault="00871163" w:rsidP="00871163">
      <w:r>
        <w:t>&lt;ESMA_QUESTION_RFRR_8&gt;</w:t>
      </w:r>
    </w:p>
    <w:p w14:paraId="67050B2C" w14:textId="77777777" w:rsidR="00871163" w:rsidRDefault="00871163" w:rsidP="00871163"/>
    <w:p w14:paraId="478A71CC" w14:textId="77777777" w:rsidR="00871163" w:rsidRPr="00871163" w:rsidRDefault="00871163" w:rsidP="00871163">
      <w:pPr>
        <w:pStyle w:val="Questionstyle"/>
      </w:pPr>
      <w:r w:rsidRPr="00871163">
        <w:t>Do you agree with proposing to not provide for an implementation period for the entry into force of the amended DTO? If not, please explain.</w:t>
      </w:r>
    </w:p>
    <w:p w14:paraId="253C7EA5" w14:textId="77777777" w:rsidR="00871163" w:rsidRDefault="00871163" w:rsidP="00871163">
      <w:r>
        <w:t>&lt;ESMA_QUESTION_RFRR_9&gt;</w:t>
      </w:r>
    </w:p>
    <w:p w14:paraId="31F0C470" w14:textId="77777777" w:rsidR="00787E8F" w:rsidRPr="00787E8F" w:rsidRDefault="00787E8F" w:rsidP="00787E8F">
      <w:pPr>
        <w:jc w:val="both"/>
        <w:rPr>
          <w:szCs w:val="20"/>
        </w:rPr>
      </w:pPr>
      <w:permStart w:id="1970031820" w:edGrp="everyone"/>
      <w:r w:rsidRPr="00787E8F">
        <w:rPr>
          <w:szCs w:val="20"/>
        </w:rPr>
        <w:t>Regrettably, we do not agree with the proposal of excluding any implementation period for the entry into force of the amended DTO.</w:t>
      </w:r>
    </w:p>
    <w:p w14:paraId="7CACBC73" w14:textId="77777777" w:rsidR="00787E8F" w:rsidRPr="00787E8F" w:rsidRDefault="00787E8F" w:rsidP="00787E8F">
      <w:pPr>
        <w:jc w:val="both"/>
        <w:rPr>
          <w:szCs w:val="20"/>
        </w:rPr>
      </w:pPr>
    </w:p>
    <w:p w14:paraId="09C677B9" w14:textId="77777777" w:rsidR="00787E8F" w:rsidRPr="00787E8F" w:rsidRDefault="00787E8F" w:rsidP="00787E8F">
      <w:pPr>
        <w:jc w:val="both"/>
        <w:rPr>
          <w:szCs w:val="20"/>
        </w:rPr>
      </w:pPr>
      <w:r w:rsidRPr="00787E8F">
        <w:rPr>
          <w:szCs w:val="20"/>
        </w:rPr>
        <w:t xml:space="preserve">We believe that providing for a "phase-in" period would ensure an orderly and timely implementation of the changes proposed. </w:t>
      </w:r>
    </w:p>
    <w:p w14:paraId="1DEBB612" w14:textId="77777777" w:rsidR="00787E8F" w:rsidRPr="00787E8F" w:rsidRDefault="00787E8F" w:rsidP="00787E8F">
      <w:pPr>
        <w:jc w:val="both"/>
        <w:rPr>
          <w:szCs w:val="20"/>
        </w:rPr>
      </w:pPr>
    </w:p>
    <w:p w14:paraId="76B49D6A" w14:textId="77777777" w:rsidR="00787E8F" w:rsidRPr="00787E8F" w:rsidRDefault="00787E8F" w:rsidP="00787E8F">
      <w:pPr>
        <w:jc w:val="both"/>
        <w:rPr>
          <w:szCs w:val="20"/>
        </w:rPr>
      </w:pPr>
      <w:r w:rsidRPr="00787E8F">
        <w:rPr>
          <w:szCs w:val="20"/>
        </w:rPr>
        <w:t>In fact, as also reported under Q.4, it should be noted that in the period 2021-2022 the entire process that led to the adoption of the Delegated Regulations EU 2022/749 and 2022/750 lasted approximately ten months (we refer to the process starting with ESMA’s consultation, followed by the publication of the ESMA RTS Draft and the legislative process in the EU of the Delegated Regulations, up to their adoption by the European Commission and their entry into force).</w:t>
      </w:r>
    </w:p>
    <w:p w14:paraId="0A07D34A" w14:textId="77777777" w:rsidR="00787E8F" w:rsidRPr="00787E8F" w:rsidRDefault="00787E8F" w:rsidP="00787E8F">
      <w:pPr>
        <w:jc w:val="both"/>
        <w:rPr>
          <w:szCs w:val="20"/>
        </w:rPr>
      </w:pPr>
    </w:p>
    <w:p w14:paraId="69416106" w14:textId="77777777" w:rsidR="00787E8F" w:rsidRPr="00787E8F" w:rsidRDefault="00787E8F" w:rsidP="00787E8F">
      <w:pPr>
        <w:jc w:val="both"/>
        <w:rPr>
          <w:szCs w:val="20"/>
        </w:rPr>
      </w:pPr>
      <w:r w:rsidRPr="00787E8F">
        <w:rPr>
          <w:szCs w:val="20"/>
        </w:rPr>
        <w:t>Should this consultation (dated 11/07) represent the beginning of a similar process lasting approximately a year, the changes proposed by ESMA could potentially be applied approximately from June 2023, i.e., a particularly critical time of the year as coinciding with the final discontinuation of the USD LIBOR (which could be somehow defined as “a turning point”).</w:t>
      </w:r>
    </w:p>
    <w:p w14:paraId="0C34044A" w14:textId="77777777" w:rsidR="00787E8F" w:rsidRPr="00787E8F" w:rsidRDefault="00787E8F" w:rsidP="00787E8F">
      <w:pPr>
        <w:jc w:val="both"/>
        <w:rPr>
          <w:szCs w:val="20"/>
        </w:rPr>
      </w:pPr>
    </w:p>
    <w:p w14:paraId="1CD34A1F" w14:textId="5EB2AEFB" w:rsidR="00871163" w:rsidRPr="00787E8F" w:rsidRDefault="00787E8F" w:rsidP="00787E8F">
      <w:pPr>
        <w:jc w:val="both"/>
        <w:rPr>
          <w:szCs w:val="20"/>
        </w:rPr>
      </w:pPr>
      <w:r w:rsidRPr="00787E8F">
        <w:rPr>
          <w:szCs w:val="20"/>
        </w:rPr>
        <w:t>Therefore, given the likelihood of this scenario, we would consider appropriate for ESMA to provide for a delay between the date of entry into force of the proposed changes and their effective application, calibrated in such a way as to avoid coincidence with the month of June 2023.</w:t>
      </w:r>
    </w:p>
    <w:permEnd w:id="1970031820"/>
    <w:p w14:paraId="70CF5A5B" w14:textId="21AF6B66" w:rsidR="00871163" w:rsidRDefault="00871163" w:rsidP="00871163">
      <w:r>
        <w:t>&lt;ESMA_QUESTION_RFRR_9&gt;</w:t>
      </w:r>
    </w:p>
    <w:p w14:paraId="61B7FDC5" w14:textId="6A8F66F9" w:rsidR="00871163" w:rsidRDefault="00871163" w:rsidP="00871163"/>
    <w:p w14:paraId="1A6E5AB1" w14:textId="65F55A9D"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Cost-benefit analysis</w:t>
      </w:r>
    </w:p>
    <w:p w14:paraId="5DCA3FC1" w14:textId="77777777" w:rsidR="00871163" w:rsidRDefault="00871163" w:rsidP="00871163"/>
    <w:p w14:paraId="32FCC221" w14:textId="77777777" w:rsidR="00871163" w:rsidRPr="00871163" w:rsidRDefault="00871163" w:rsidP="00871163">
      <w:pPr>
        <w:pStyle w:val="Questionstyle"/>
      </w:pPr>
      <w:r w:rsidRPr="00871163">
        <w:lastRenderedPageBreak/>
        <w:t>Are there other elements that should be taken into account and that would impact the outcome of the cost-benefit analysis? Please provide quantitative and qualitative details</w:t>
      </w:r>
    </w:p>
    <w:p w14:paraId="25B03EDC" w14:textId="77777777" w:rsidR="00871163" w:rsidRDefault="00871163" w:rsidP="00871163">
      <w:r>
        <w:t>&lt;ESMA_QUESTION_RFRR_10&gt;</w:t>
      </w:r>
    </w:p>
    <w:p w14:paraId="756853B6" w14:textId="41620DAE" w:rsidR="00871163" w:rsidRPr="00787E8F" w:rsidRDefault="00787E8F" w:rsidP="00871163">
      <w:permStart w:id="414610086" w:edGrp="everyone"/>
      <w:r w:rsidRPr="00787E8F">
        <w:rPr>
          <w:szCs w:val="20"/>
        </w:rPr>
        <w:t xml:space="preserve">We have not gathered other elements that should be </w:t>
      </w:r>
      <w:proofErr w:type="gramStart"/>
      <w:r w:rsidRPr="00787E8F">
        <w:rPr>
          <w:szCs w:val="20"/>
        </w:rPr>
        <w:t>taken into account</w:t>
      </w:r>
      <w:proofErr w:type="gramEnd"/>
      <w:r w:rsidRPr="00787E8F">
        <w:rPr>
          <w:szCs w:val="20"/>
        </w:rPr>
        <w:t xml:space="preserve"> and that would impact the outcome of the cost-benefit analysis.</w:t>
      </w:r>
    </w:p>
    <w:permEnd w:id="414610086"/>
    <w:p w14:paraId="3E606C7F" w14:textId="77777777" w:rsidR="00871163" w:rsidRDefault="00871163" w:rsidP="00871163">
      <w:r>
        <w:t>&lt;ESMA_QUESTION_RFRR_10&gt;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22EB" w14:textId="77777777" w:rsidR="00880DFC" w:rsidRDefault="00880DFC" w:rsidP="007E7997">
      <w:r>
        <w:separator/>
      </w:r>
    </w:p>
  </w:endnote>
  <w:endnote w:type="continuationSeparator" w:id="0">
    <w:p w14:paraId="706EB9E0" w14:textId="77777777" w:rsidR="00880DFC" w:rsidRDefault="00880DFC" w:rsidP="007E7997">
      <w:r>
        <w:continuationSeparator/>
      </w:r>
    </w:p>
  </w:endnote>
  <w:endnote w:type="continuationNotice" w:id="1">
    <w:p w14:paraId="71E40467" w14:textId="77777777" w:rsidR="00880DFC" w:rsidRDefault="00880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88BBC2A"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871163">
      <w:rPr>
        <w:rFonts w:asciiTheme="majorHAnsi" w:hAnsiTheme="majorHAnsi"/>
        <w:color w:val="FFFFFF" w:themeColor="background1"/>
      </w:rPr>
      <w:t xml:space="preserve">7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446-675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135F" w14:textId="77777777" w:rsidR="00880DFC" w:rsidRDefault="00880DFC" w:rsidP="007E7997">
      <w:r>
        <w:separator/>
      </w:r>
    </w:p>
  </w:footnote>
  <w:footnote w:type="continuationSeparator" w:id="0">
    <w:p w14:paraId="114641A9" w14:textId="77777777" w:rsidR="00880DFC" w:rsidRDefault="00880DFC" w:rsidP="007E7997">
      <w:r>
        <w:continuationSeparator/>
      </w:r>
    </w:p>
  </w:footnote>
  <w:footnote w:type="continuationNotice" w:id="1">
    <w:p w14:paraId="0AB20C0F" w14:textId="77777777" w:rsidR="00880DFC" w:rsidRDefault="00880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Intestazion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FB72"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C1B70"/>
    <w:multiLevelType w:val="hybridMultilevel"/>
    <w:tmpl w:val="7F22C2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2"/>
  </w:num>
  <w:num w:numId="4" w16cid:durableId="1880320868">
    <w:abstractNumId w:val="4"/>
  </w:num>
  <w:num w:numId="5" w16cid:durableId="290864581">
    <w:abstractNumId w:val="13"/>
  </w:num>
  <w:num w:numId="6" w16cid:durableId="952590553">
    <w:abstractNumId w:val="24"/>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1"/>
  </w:num>
  <w:num w:numId="21" w16cid:durableId="1623876054">
    <w:abstractNumId w:val="21"/>
  </w:num>
  <w:num w:numId="22" w16cid:durableId="783383837">
    <w:abstractNumId w:val="14"/>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10"/>
  </w:num>
  <w:num w:numId="28" w16cid:durableId="954170948">
    <w:abstractNumId w:val="1"/>
  </w:num>
  <w:num w:numId="29" w16cid:durableId="837424337">
    <w:abstractNumId w:val="16"/>
  </w:num>
  <w:num w:numId="30" w16cid:durableId="299657983">
    <w:abstractNumId w:val="5"/>
  </w:num>
  <w:num w:numId="31" w16cid:durableId="203831055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Ou7ugxPJPCX2P6k59S/HuMRvmC9s1jueiPqQHuli0OBv/YikfvwfgW2YYSMEsE58bmcI7sXqGeGH7wIYu6I0CQ==" w:salt="osMIa1wG5C+9I8oDutLD2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B781B"/>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16C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05B3"/>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87E8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0DFC"/>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118"/>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2A0C"/>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ansversal Document" ma:contentTypeID="0x01010001BD15C3986B91498E0AE644B715B9EE01020058E2799CE84276429C3526F9AD40ED6D" ma:contentTypeVersion="24" ma:contentTypeDescription="" ma:contentTypeScope="" ma:versionID="11e06e7c709e1561e47f345c09e76a30">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e628b6e2756d9ee63852109eff5e0c39"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caa5aeb1a6644849b60fbe2335e12657" minOccurs="0"/>
                <xsd:element ref="ns2:n644e5dfaa29486bad4a4fc019c6d2df" minOccurs="0"/>
                <xsd:element ref="ns2:eed0a0b2ea6941718a34434e243f3d8f" minOccurs="0"/>
                <xsd:element ref="ns2:_dlc_DocIdPersistId" minOccurs="0"/>
                <xsd:element ref="ns2:j69a081f486747f6ac8a5aeed63facfd" minOccurs="0"/>
                <xsd:element ref="ns2:TaxCatchAll" minOccurs="0"/>
                <xsd:element ref="ns2:TaxCatchAllLabel" minOccurs="0"/>
                <xsd:element ref="ns2:a9b3b1dad23b4ba58c3f3e36a96e1d9c" minOccurs="0"/>
                <xsd:element ref="ns2:bce29119141747ccb9ac7d87218ed4af" minOccurs="0"/>
                <xsd:element ref="ns2:_dlc_DocIdUrl"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caa5aeb1a6644849b60fbe2335e12657" ma:index="12" ma:taxonomy="true" ma:internalName="caa5aeb1a6644849b60fbe2335e12657" ma:taxonomyFieldName="Topic" ma:displayName="Topic" ma:readOnly="false" ma:default="" ma:fieldId="{caa5aeb1-a664-4849-b60f-be2335e12657}" ma:sspId="0ac1876e-32bf-4158-94e7-cdbcd053a335" ma:termSetId="653347f7-9ee5-42e9-8f29-20a8b8a1823a" ma:anchorId="00000000-0000-0000-0000-000000000000" ma:open="tru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fieldId="{7644e5df-aa29-486b-ad4a-4fc019c6d2df}" ma:sspId="0ac1876e-32bf-4158-94e7-cdbcd053a335" ma:termSetId="6f3d291e-5db0-42b6-b200-a30a6f37e7a8" ma:anchorId="00000000-0000-0000-0000-000000000000" ma:open="false" ma:isKeyword="false">
      <xsd:complexType>
        <xsd:sequence>
          <xsd:element ref="pc:Terms" minOccurs="0" maxOccurs="1"/>
        </xsd:sequence>
      </xsd:complexType>
    </xsd:element>
    <xsd:element name="eed0a0b2ea6941718a34434e243f3d8f" ma:index="16"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a9b3b1dad23b4ba58c3f3e36a96e1d9c" ma:index="21"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ESMA70-446-675</_dlc_DocId>
    <TaxCatchAll xmlns="20fbe147-bbda-4e53-b6b1-7e8bbff3fe19">
      <Value>12</Value>
      <Value>1600</Value>
      <Value>1941</Value>
      <Value>484</Value>
      <Value>14</Value>
    </TaxCatchAll>
    <_dlc_DocIdUrl xmlns="20fbe147-bbda-4e53-b6b1-7e8bbff3fe19">
      <Url>https://sherpa.esma.europa.eu/sites/MKT/SMK/_layouts/15/DocIdRedir.aspx?ID=ESMA70-446-675</Url>
      <Description>ESMA70-446-675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Transversal - EMIR-CO and MiFIR-DTO</TermName>
          <TermId xmlns="http://schemas.microsoft.com/office/infopath/2007/PartnerControls">64be65b4-3656-4586-a273-cba194bf0ee6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EMIR-CO and MiFIR DTO - Report 2 (CP and FR)</TermName>
          <TermId xmlns="http://schemas.microsoft.com/office/infopath/2007/PartnerControls">560a6160-3487-472a-86e6-6dc8e08a60d4</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0190CBD2-5AD5-4F7B-B611-7C40D87A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TotalTime>
  <Pages>8</Pages>
  <Words>1547</Words>
  <Characters>8821</Characters>
  <Application>Microsoft Office Word</Application>
  <DocSecurity>8</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Giulia Cataldi</cp:lastModifiedBy>
  <cp:revision>4</cp:revision>
  <cp:lastPrinted>2017-07-24T14:47:00Z</cp:lastPrinted>
  <dcterms:created xsi:type="dcterms:W3CDTF">2022-09-30T07:40:00Z</dcterms:created>
  <dcterms:modified xsi:type="dcterms:W3CDTF">2022-09-30T09:10:00Z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0x01010001BD15C3986B91498E0AE644B715B9EE01020058E2799CE84276429C3526F9AD40ED6D</vt:lpwstr>
  </property>
  <property fmtid="{D5CDD505-2E9C-101B-9397-08002B2CF9AE}" pid="5" name="_dlc_DocIdItemGuid">
    <vt:lpwstr>7f9e1fdb-b638-4822-8189-46ef9c5abdfd</vt:lpwstr>
  </property>
  <property fmtid="{D5CDD505-2E9C-101B-9397-08002B2CF9AE}" pid="6" name="DocumentType">
    <vt:lpwstr>12;#Report|78753201-1e9e-4a21-a088-6ff602b5c999</vt:lpwstr>
  </property>
  <property fmtid="{D5CDD505-2E9C-101B-9397-08002B2CF9AE}" pid="7" name="Topic">
    <vt:lpwstr>1600;#Transversal - EMIR-CO and MiFIR-DTO|64be65b4-3656-4586-a273-cba194bf0ee6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1941;#EMIR-CO and MiFIR DTO - Report 2 (CP and FR)|560a6160-3487-472a-86e6-6dc8e08a60d4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