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tc>
          <w:tcPr>
            <w:tcW w:w="5595" w:type="dxa"/>
            <w:shd w:val="clear" w:color="auto" w:fill="auto"/>
          </w:tcPr>
          <w:p w14:paraId="1B67440D" w14:textId="63F4441E" w:rsidR="00C85C8B" w:rsidRPr="00B16706" w:rsidRDefault="00F05141" w:rsidP="00C85C8B">
            <w:pPr>
              <w:rPr>
                <w:rFonts w:ascii="Arial" w:hAnsi="Arial" w:cs="Arial"/>
                <w:color w:val="808080"/>
                <w:sz w:val="16"/>
                <w:szCs w:val="20"/>
                <w:lang w:eastAsia="de-DE"/>
              </w:rPr>
            </w:pPr>
            <w:r>
              <w:rPr>
                <w:rFonts w:ascii="Arial" w:hAnsi="Arial" w:cs="Arial"/>
                <w:color w:val="808080"/>
                <w:sz w:val="16"/>
                <w:szCs w:val="20"/>
                <w:lang w:eastAsia="de-DE"/>
              </w:rPr>
              <w:t>MarketAxess NL B.V.</w:t>
            </w:r>
          </w:p>
        </w:tc>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AA5A2FA" w:rsidR="00C85C8B" w:rsidRPr="00B16706" w:rsidRDefault="00903F1E"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6B2B9C">
                  <w:rPr>
                    <w:rFonts w:ascii="Arial" w:hAnsi="Arial" w:cs="Arial"/>
                    <w:sz w:val="16"/>
                    <w:szCs w:val="20"/>
                    <w:lang w:eastAsia="de-DE"/>
                  </w:rPr>
                  <w:t>Regulated markets/Exchanges/Trading Systems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3D1D28" w:rsidR="00C85C8B" w:rsidRPr="00B16706" w:rsidRDefault="000C40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F740583" w:rsidR="00C85C8B" w:rsidRPr="00B16706" w:rsidRDefault="006B2B9C" w:rsidP="00C85C8B">
                <w:pPr>
                  <w:rPr>
                    <w:rFonts w:ascii="Arial" w:hAnsi="Arial" w:cs="Arial"/>
                    <w:sz w:val="16"/>
                    <w:szCs w:val="20"/>
                    <w:lang w:eastAsia="de-DE"/>
                  </w:rPr>
                </w:pPr>
                <w:r>
                  <w:rPr>
                    <w:rFonts w:ascii="Arial" w:hAnsi="Arial" w:cs="Arial"/>
                    <w:sz w:val="16"/>
                    <w:szCs w:val="20"/>
                    <w:lang w:eastAsia="de-DE"/>
                  </w:rPr>
                  <w:t>Netherlands</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5A36FBCA" w14:textId="20E32F82" w:rsidR="00A73299" w:rsidRDefault="00B0677F" w:rsidP="00A73299">
      <w:permStart w:id="273960001" w:edGrp="everyone"/>
      <w:r>
        <w:t>For case (i) we would consider pre-hedging to incorporate any scenario whereby two counterparties interact with each other to discuss a potential trade which may</w:t>
      </w:r>
      <w:r w:rsidR="007D150A">
        <w:t xml:space="preserve"> or may not </w:t>
      </w:r>
      <w:r>
        <w:t xml:space="preserve">include an RFQ. This would include those situations where a client discusses the possibility of arranging a trade with a dealer but has not yet launched an RFQ. Such a situation may give rise to the dealer to undertake pre-hedging </w:t>
      </w:r>
      <w:r w:rsidR="00090F67">
        <w:t>whether for legitimate or illegitimate purposes</w:t>
      </w:r>
      <w:r>
        <w:t>. We would not consider case (ii) to qualify as pre-hedging given that the risks of the hedge is known, rather than being unknown.</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A6B5011" w14:textId="4642FD40" w:rsidR="00A73299" w:rsidRDefault="00090F67" w:rsidP="00A73299">
      <w:permStart w:id="37300729" w:edGrp="everyone"/>
      <w:r>
        <w:t>Please refer to our response in Question 1 in relation to case 1</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536D6B3D" w14:textId="46A25914" w:rsidR="004E59ED" w:rsidRDefault="004F6D93" w:rsidP="00566A46">
      <w:permStart w:id="1817013114" w:edGrp="everyone"/>
      <w:r>
        <w:t xml:space="preserve">We </w:t>
      </w:r>
      <w:r w:rsidR="004E59ED">
        <w:t>consider that hedging (as opposed to pre-hedging) may be undertaken before the order has been confirmed by the client or a foreseeable transaction has been executed. This is due to the fact that the</w:t>
      </w:r>
      <w:r w:rsidR="00566A46">
        <w:t>re is a firm commitment to execute the trade</w:t>
      </w:r>
      <w:r w:rsidR="004E59ED">
        <w:t xml:space="preserve"> b</w:t>
      </w:r>
      <w:r w:rsidR="00566A46">
        <w:t>etween</w:t>
      </w:r>
      <w:r w:rsidR="004E59ED">
        <w:t xml:space="preserve"> the client and dealer</w:t>
      </w:r>
      <w:r w:rsidR="00566A46">
        <w:t xml:space="preserve"> and the risk of the hedge is known</w:t>
      </w:r>
      <w:r w:rsidR="004E59ED">
        <w:t xml:space="preserve">. </w:t>
      </w:r>
      <w:r w:rsidR="00566A46">
        <w:t>H</w:t>
      </w:r>
      <w:r w:rsidR="004E59ED">
        <w:t xml:space="preserve">edging, therefore, should </w:t>
      </w:r>
      <w:r w:rsidR="00566A46">
        <w:t>incorporate trading activity relating to (i) dealing on own account, and (ii) to mitigate an inventory risk which is foreseen due to a possible incoming transaction with a client.</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13627DA6" w14:textId="03583D12" w:rsidR="00A73299" w:rsidRDefault="00566A46" w:rsidP="00A73299">
      <w:permStart w:id="810027983" w:edGrp="everyone"/>
      <w:r>
        <w:t xml:space="preserve">TYPE YOUR TEXT HERE </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3C22B0E4" w14:textId="39E057EA" w:rsidR="00A73299" w:rsidRDefault="002E3EB8" w:rsidP="00A73299">
      <w:permStart w:id="1379824319" w:edGrp="everyone"/>
      <w:r>
        <w:t xml:space="preserve">Clearly there are thoughtful arguments for and against pre-hedging.  This suggests that there is no binary answer to determine if pre-hedging is inappropriate even if it is conducted for legitimate purposes.  Generally speaking, we would consider that dealers should incorporate appropriate policies, monitoring and controls to prevent any abusive practices associated with </w:t>
      </w:r>
      <w:r>
        <w:lastRenderedPageBreak/>
        <w:t xml:space="preserve">pre-hedging. This will mitigate the arguments </w:t>
      </w:r>
      <w:r w:rsidRPr="007C1E77">
        <w:rPr>
          <w:u w:val="single"/>
        </w:rPr>
        <w:t>against</w:t>
      </w:r>
      <w:r>
        <w:t xml:space="preserve"> pre-hedging. Conversely, this will promote the arguments </w:t>
      </w:r>
      <w:r w:rsidRPr="007C1E77">
        <w:rPr>
          <w:u w:val="single"/>
        </w:rPr>
        <w:t>for</w:t>
      </w:r>
      <w:r>
        <w:t xml:space="preserve"> pre-hedging which we consider to ultimately benefit the client (e.g. better quality and certainty of execution and supporting liquidity in illiquid products)</w:t>
      </w:r>
    </w:p>
    <w:p w14:paraId="1805EF54" w14:textId="77777777" w:rsidR="002E3EB8" w:rsidRDefault="002E3EB8" w:rsidP="00A73299"/>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7BE3E31D" w14:textId="25F361ED" w:rsidR="00B06E23" w:rsidRDefault="00B06E23" w:rsidP="00A73299">
      <w:permStart w:id="554985269" w:edGrp="everyone"/>
      <w:r>
        <w:t>We do not agree with the conclusion in paragraph 4.1.9 that RFQs can be considered as non-public information altogether</w:t>
      </w:r>
      <w:r w:rsidR="006E0690">
        <w:t xml:space="preserve"> for the reasons set forth below</w:t>
      </w:r>
      <w:r>
        <w:t xml:space="preserve">. </w:t>
      </w:r>
    </w:p>
    <w:p w14:paraId="6543D4D2" w14:textId="77777777" w:rsidR="00B06E23" w:rsidRDefault="00B06E23" w:rsidP="00A73299"/>
    <w:p w14:paraId="1C59D825" w14:textId="248B270F" w:rsidR="00B06E23" w:rsidRPr="006E0690" w:rsidRDefault="00B06E23" w:rsidP="006E0690">
      <w:pPr>
        <w:pStyle w:val="ListParagraph"/>
        <w:rPr>
          <w:rFonts w:ascii="Times New Roman" w:eastAsia="Times New Roman" w:hAnsi="Times New Roman" w:cs="Times New Roman"/>
          <w:sz w:val="24"/>
          <w:szCs w:val="24"/>
        </w:rPr>
      </w:pPr>
      <w:r w:rsidRPr="006E0690">
        <w:rPr>
          <w:rFonts w:ascii="Times New Roman" w:eastAsia="Times New Roman" w:hAnsi="Times New Roman" w:cs="Times New Roman"/>
          <w:sz w:val="24"/>
          <w:szCs w:val="24"/>
        </w:rPr>
        <w:t xml:space="preserve">Whilst RFQs may meet the relevant characteristics of non-public information as described in paragraphs 4.1.6-4.1.8, </w:t>
      </w:r>
      <w:r w:rsidR="00180DE4" w:rsidRPr="006E0690">
        <w:rPr>
          <w:rFonts w:ascii="Times New Roman" w:eastAsia="Times New Roman" w:hAnsi="Times New Roman" w:cs="Times New Roman"/>
          <w:sz w:val="24"/>
          <w:szCs w:val="24"/>
        </w:rPr>
        <w:t>‘</w:t>
      </w:r>
      <w:r w:rsidRPr="006E0690">
        <w:rPr>
          <w:rFonts w:ascii="Times New Roman" w:eastAsia="Times New Roman" w:hAnsi="Times New Roman" w:cs="Times New Roman"/>
          <w:sz w:val="24"/>
          <w:szCs w:val="24"/>
        </w:rPr>
        <w:t>all-to-all</w:t>
      </w:r>
      <w:r w:rsidR="00180DE4" w:rsidRPr="006E0690">
        <w:rPr>
          <w:rFonts w:ascii="Times New Roman" w:eastAsia="Times New Roman" w:hAnsi="Times New Roman" w:cs="Times New Roman"/>
          <w:sz w:val="24"/>
          <w:szCs w:val="24"/>
        </w:rPr>
        <w:t>’</w:t>
      </w:r>
      <w:r w:rsidRPr="006E0690">
        <w:rPr>
          <w:rFonts w:ascii="Times New Roman" w:eastAsia="Times New Roman" w:hAnsi="Times New Roman" w:cs="Times New Roman"/>
          <w:sz w:val="24"/>
          <w:szCs w:val="24"/>
        </w:rPr>
        <w:t xml:space="preserve"> RFQ protocols such as the Open Trading protocol offered by MarketAxess’s MTF enables </w:t>
      </w:r>
      <w:r w:rsidR="007D150A">
        <w:rPr>
          <w:rFonts w:ascii="Times New Roman" w:eastAsia="Times New Roman" w:hAnsi="Times New Roman" w:cs="Times New Roman"/>
          <w:sz w:val="24"/>
          <w:szCs w:val="24"/>
        </w:rPr>
        <w:t>an unlimited number</w:t>
      </w:r>
      <w:r w:rsidRPr="006E0690">
        <w:rPr>
          <w:rFonts w:ascii="Times New Roman" w:eastAsia="Times New Roman" w:hAnsi="Times New Roman" w:cs="Times New Roman"/>
          <w:sz w:val="24"/>
          <w:szCs w:val="24"/>
        </w:rPr>
        <w:t xml:space="preserve"> potential liquidity providers to respond to an RFQ.  </w:t>
      </w:r>
      <w:r w:rsidR="007D150A">
        <w:rPr>
          <w:rFonts w:ascii="Times New Roman" w:eastAsia="Times New Roman" w:hAnsi="Times New Roman" w:cs="Times New Roman"/>
          <w:sz w:val="24"/>
          <w:szCs w:val="24"/>
        </w:rPr>
        <w:t xml:space="preserve"> In such case it is not non public. </w:t>
      </w:r>
    </w:p>
    <w:p w14:paraId="15B93020" w14:textId="77777777" w:rsidR="00180DE4" w:rsidRDefault="00180DE4" w:rsidP="00A73299"/>
    <w:p w14:paraId="1F36237A" w14:textId="400C4299" w:rsidR="006972C6" w:rsidRDefault="00B06E23" w:rsidP="00A73299">
      <w:r>
        <w:t xml:space="preserve">In terms of </w:t>
      </w:r>
      <w:r w:rsidR="00180DE4">
        <w:t xml:space="preserve">market </w:t>
      </w:r>
      <w:r>
        <w:t>coverage, this is no different to those market participants having access to a central limit order book</w:t>
      </w:r>
      <w:r w:rsidR="00180DE4">
        <w:t xml:space="preserve"> (‘CLOB’)</w:t>
      </w:r>
      <w:r>
        <w:t xml:space="preserve">, where they can </w:t>
      </w:r>
      <w:r w:rsidR="00180DE4">
        <w:t>see</w:t>
      </w:r>
      <w:r>
        <w:t xml:space="preserve"> actionable trading interests of </w:t>
      </w:r>
      <w:r w:rsidR="006972C6">
        <w:t xml:space="preserve">a large number </w:t>
      </w:r>
      <w:r>
        <w:t>other market participants (bids/offers)</w:t>
      </w:r>
      <w:r w:rsidR="00180DE4">
        <w:t xml:space="preserve">. CLOBs are not considered in the CfE as a source of non-public information, </w:t>
      </w:r>
      <w:r w:rsidR="006972C6">
        <w:t>and all-to-all RFQ</w:t>
      </w:r>
      <w:r w:rsidR="007D150A">
        <w:t xml:space="preserve"> (or an RFQ to many)</w:t>
      </w:r>
      <w:r w:rsidR="006972C6">
        <w:t xml:space="preserve"> ought to be considered in the same way.</w:t>
      </w:r>
      <w:r w:rsidR="007D150A">
        <w:t xml:space="preserve"> The question of what constitutes “many” and when “many” is no longer non public depends on other characteristics of the instrument and the inquiry, case by case and there is unlikely to be a hard and fast rule that can be applied abset the characteristics of the market and the inquiry in question. See further answer to Q8 </w:t>
      </w:r>
    </w:p>
    <w:p w14:paraId="286566FC" w14:textId="77777777" w:rsidR="006972C6" w:rsidRDefault="006972C6" w:rsidP="00A73299"/>
    <w:p w14:paraId="22C9F37D" w14:textId="330301E4" w:rsidR="00A73299" w:rsidRPr="006E0690" w:rsidRDefault="006E0690" w:rsidP="006E0690">
      <w:pPr>
        <w:pStyle w:val="ListParagraph"/>
        <w:rPr>
          <w:rFonts w:ascii="Times New Roman" w:eastAsia="Times New Roman" w:hAnsi="Times New Roman" w:cs="Times New Roman"/>
          <w:sz w:val="24"/>
          <w:szCs w:val="24"/>
        </w:rPr>
      </w:pPr>
      <w:r w:rsidRPr="006E0690">
        <w:rPr>
          <w:rFonts w:ascii="Times New Roman" w:eastAsia="Times New Roman" w:hAnsi="Times New Roman" w:cs="Times New Roman"/>
          <w:sz w:val="24"/>
          <w:szCs w:val="24"/>
        </w:rPr>
        <w:t xml:space="preserve">Article 7 of MAR does not specifically contemplate RFQs </w:t>
      </w:r>
      <w:r>
        <w:rPr>
          <w:rFonts w:ascii="Times New Roman" w:eastAsia="Times New Roman" w:hAnsi="Times New Roman" w:cs="Times New Roman"/>
          <w:sz w:val="24"/>
          <w:szCs w:val="24"/>
        </w:rPr>
        <w:t xml:space="preserve">as being a type of protocol falling with the concept of inside information </w:t>
      </w:r>
      <w:r w:rsidRPr="006E0690">
        <w:rPr>
          <w:rFonts w:ascii="Times New Roman" w:eastAsia="Times New Roman" w:hAnsi="Times New Roman" w:cs="Times New Roman"/>
          <w:sz w:val="24"/>
          <w:szCs w:val="24"/>
        </w:rPr>
        <w:t xml:space="preserve">rather, client orders </w:t>
      </w:r>
      <w:r>
        <w:rPr>
          <w:rFonts w:ascii="Times New Roman" w:eastAsia="Times New Roman" w:hAnsi="Times New Roman" w:cs="Times New Roman"/>
          <w:sz w:val="24"/>
          <w:szCs w:val="24"/>
        </w:rPr>
        <w:t xml:space="preserve">(see </w:t>
      </w:r>
      <w:r w:rsidRPr="006E0690">
        <w:rPr>
          <w:rFonts w:ascii="Times New Roman" w:eastAsia="Times New Roman" w:hAnsi="Times New Roman" w:cs="Times New Roman"/>
          <w:sz w:val="24"/>
          <w:szCs w:val="24"/>
        </w:rPr>
        <w:t>Article 7.1(d) MAR</w:t>
      </w:r>
      <w:r>
        <w:rPr>
          <w:rFonts w:ascii="Times New Roman" w:eastAsia="Times New Roman" w:hAnsi="Times New Roman" w:cs="Times New Roman"/>
          <w:sz w:val="24"/>
          <w:szCs w:val="24"/>
        </w:rPr>
        <w:t>)</w:t>
      </w:r>
      <w:r w:rsidRPr="006E0690">
        <w:rPr>
          <w:rFonts w:ascii="Times New Roman" w:eastAsia="Times New Roman" w:hAnsi="Times New Roman" w:cs="Times New Roman"/>
          <w:sz w:val="24"/>
          <w:szCs w:val="24"/>
        </w:rPr>
        <w:t>.</w:t>
      </w:r>
      <w:r w:rsidR="00C737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 consideration of RFQ to be considered as ‘inside information’ could have detrimental outcomes for price discovery in illiquid markets (such as bonds) and</w:t>
      </w:r>
      <w:r w:rsidR="00C737C3">
        <w:rPr>
          <w:rFonts w:ascii="Times New Roman" w:eastAsia="Times New Roman" w:hAnsi="Times New Roman" w:cs="Times New Roman"/>
          <w:sz w:val="24"/>
          <w:szCs w:val="24"/>
        </w:rPr>
        <w:t xml:space="preserve"> (price discovery via RFQ)</w:t>
      </w:r>
      <w:r>
        <w:rPr>
          <w:rFonts w:ascii="Times New Roman" w:eastAsia="Times New Roman" w:hAnsi="Times New Roman" w:cs="Times New Roman"/>
          <w:sz w:val="24"/>
          <w:szCs w:val="24"/>
        </w:rPr>
        <w:t xml:space="preserve"> is essential for the provision of liquidity</w:t>
      </w:r>
      <w:r w:rsidR="00C737C3">
        <w:rPr>
          <w:rFonts w:ascii="Times New Roman" w:eastAsia="Times New Roman" w:hAnsi="Times New Roman" w:cs="Times New Roman"/>
          <w:sz w:val="24"/>
          <w:szCs w:val="24"/>
        </w:rPr>
        <w:t xml:space="preserve"> in such markets</w:t>
      </w:r>
      <w:r>
        <w:rPr>
          <w:rFonts w:ascii="Times New Roman" w:eastAsia="Times New Roman" w:hAnsi="Times New Roman" w:cs="Times New Roman"/>
          <w:sz w:val="24"/>
          <w:szCs w:val="24"/>
        </w:rPr>
        <w:t xml:space="preserve">.  </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17F297EE" w14:textId="0861CEAA" w:rsidR="00A73299" w:rsidRDefault="00A73299" w:rsidP="00A73299">
      <w:permStart w:id="116469412" w:edGrp="everyone"/>
      <w:r>
        <w:t>TYPE YOUR TEXT HERE</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lastRenderedPageBreak/>
        <w:t>&lt;ESMA_QUESTION_PHDG_8&gt;</w:t>
      </w:r>
    </w:p>
    <w:p w14:paraId="0B89B420" w14:textId="32CB3111" w:rsidR="00A73299" w:rsidRDefault="00C737C3" w:rsidP="00A73299">
      <w:permStart w:id="2023978491" w:edGrp="everyone"/>
      <w:r>
        <w:t>The size of an RFQ could have a significant impact on the price on the instrument but there are also other factors namely the characteristics of the instrument such as liquidity, material news, and the type of the instrument itself. Creating parameters would be a challenging if not impossible task to prescribe criteria noting that instruments are constantly updated on a daily basis and would require significant resources to assess and support the policy approach. Such action may be disproportionate to the risk that is trying to be managed,</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126700CD" w14:textId="77777777" w:rsidR="00A73299" w:rsidRDefault="00A73299" w:rsidP="00A73299">
      <w:permStart w:id="1646090865" w:edGrp="everyone"/>
      <w:r>
        <w:t>TYPE YOUR TEXT HERE</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21760586" w14:textId="1AC19D9A" w:rsidR="00A73299" w:rsidRDefault="00C737C3" w:rsidP="00A73299">
      <w:permStart w:id="104741344" w:edGrp="everyone"/>
      <w:r>
        <w:t>No, we cannot, nor is it clear if there is any justification to pre-hedge without a risk management rationale. Our expectation is that clients and dealers have appropriate controls to ensure that pre-hedging is appropriate and justifiable in whichever circumstances it is undertaken.</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0A8BF43C" w14:textId="7C630F95" w:rsidR="00A73299" w:rsidRDefault="00B065EC" w:rsidP="00A73299">
      <w:permStart w:id="1736514824" w:edGrp="everyone"/>
      <w:r>
        <w:t>We do not consider that pre-hedging will be considered to be legitimate in the manner contemplated in this question. This type of behaviour is potentially unhedged risk taking and a counter intuitive practice.</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1A08572B" w14:textId="0124CB0D" w:rsidR="00A73299" w:rsidRDefault="00B065EC" w:rsidP="00A73299">
      <w:permStart w:id="664279198" w:edGrp="everyone"/>
      <w:r>
        <w:t>None that we would consider that should or should not be used for pre-hedging. The practice of pre-hedging should not be limited to one instrument or another if undertaken for legitimate purposes and under monitoring and control by the dealer.</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0EA85B50" w14:textId="77777777" w:rsidR="00A73299" w:rsidRDefault="00A73299" w:rsidP="00A73299">
      <w:permStart w:id="1472084367" w:edGrp="everyone"/>
      <w:r>
        <w:lastRenderedPageBreak/>
        <w:t>TYPE YOUR TEXT HERE</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39517D1B" w14:textId="77777777" w:rsidR="00A73299" w:rsidRDefault="00A73299" w:rsidP="00A73299">
      <w:permStart w:id="1778341178" w:edGrp="everyone"/>
      <w:r>
        <w:t>TYPE YOUR TEXT HERE</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18F74691" w14:textId="77777777" w:rsidR="00A73299" w:rsidRDefault="00A73299" w:rsidP="00A73299">
      <w:permStart w:id="113129472" w:edGrp="everyone"/>
      <w:r>
        <w:t>TYPE YOUR TEXT HERE</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0091FA66" w14:textId="77777777" w:rsidR="00A73299" w:rsidRDefault="00A73299" w:rsidP="00A73299">
      <w:permStart w:id="934892473" w:edGrp="everyone"/>
      <w:r>
        <w:t>TYPE YOUR TEXT HERE</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4336367C" w14:textId="666A6CB2" w:rsidR="00A73299" w:rsidRDefault="00B065EC" w:rsidP="00A73299">
      <w:permStart w:id="232944764" w:edGrp="everyone"/>
      <w:r>
        <w:t xml:space="preserve">No. It should not make a difference as pre-hedging </w:t>
      </w:r>
      <w:r w:rsidR="003A2F56">
        <w:t xml:space="preserve">in an appropriate manner should apply to both liquid and illiquid markets. </w:t>
      </w:r>
      <w:r>
        <w:t xml:space="preserve"> </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187FB79A" w14:textId="77777777" w:rsidR="00A73299" w:rsidRDefault="00A73299" w:rsidP="00A73299">
      <w:permStart w:id="1521039362" w:edGrp="everyone"/>
      <w:r>
        <w:t>TYPE YOUR TEXT HERE</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lastRenderedPageBreak/>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77777777" w:rsidR="00A73299" w:rsidRDefault="00A73299" w:rsidP="00A73299">
      <w:permStart w:id="1295605557" w:edGrp="everyone"/>
      <w:r>
        <w:t>TYPE YOUR TEXT HERE</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B99248F" w14:textId="77777777" w:rsidR="00A73299" w:rsidRDefault="00A73299" w:rsidP="00A73299">
      <w:permStart w:id="508713136" w:edGrp="everyone"/>
      <w:r>
        <w:t>TYPE YOUR TEXT HERE</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77777777" w:rsidR="00A73299" w:rsidRDefault="00A73299" w:rsidP="00A73299">
      <w:permStart w:id="220690189" w:edGrp="everyone"/>
      <w:r>
        <w:t>TYPE YOUR TEXT HERE</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D6F1C80" w14:textId="77777777" w:rsidR="00A73299" w:rsidRDefault="00A73299" w:rsidP="00A73299">
      <w:permStart w:id="1124810317" w:edGrp="everyone"/>
      <w:r>
        <w:t>TYPE YOUR TEXT HERE</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77777777" w:rsidR="00A73299" w:rsidRDefault="00A73299" w:rsidP="00A73299">
      <w:permStart w:id="333139389" w:edGrp="everyone"/>
      <w:r>
        <w:t>TYPE YOUR TEXT HERE</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215745E1" w:rsidR="00A73299" w:rsidRDefault="00A73299" w:rsidP="00A73299">
      <w:permStart w:id="638745335" w:edGrp="everyone"/>
      <w:r>
        <w:t>TYPE YOUR TEXT HERE</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0F4D" w14:textId="77777777" w:rsidR="00503A3F" w:rsidRDefault="00503A3F" w:rsidP="007E7997">
      <w:r>
        <w:separator/>
      </w:r>
    </w:p>
  </w:endnote>
  <w:endnote w:type="continuationSeparator" w:id="0">
    <w:p w14:paraId="5CA6C8BD" w14:textId="77777777" w:rsidR="00503A3F" w:rsidRDefault="00503A3F" w:rsidP="007E7997">
      <w:r>
        <w:continuationSeparator/>
      </w:r>
    </w:p>
  </w:endnote>
  <w:endnote w:type="continuationNotice" w:id="1">
    <w:p w14:paraId="31D2BAA9" w14:textId="77777777" w:rsidR="00503A3F" w:rsidRDefault="0050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FD3" w14:textId="77777777" w:rsidR="00503A3F" w:rsidRDefault="00503A3F" w:rsidP="007E7997">
      <w:r>
        <w:separator/>
      </w:r>
    </w:p>
  </w:footnote>
  <w:footnote w:type="continuationSeparator" w:id="0">
    <w:p w14:paraId="096FB77E" w14:textId="77777777" w:rsidR="00503A3F" w:rsidRDefault="00503A3F" w:rsidP="007E7997">
      <w:r>
        <w:continuationSeparator/>
      </w:r>
    </w:p>
  </w:footnote>
  <w:footnote w:type="continuationNotice" w:id="1">
    <w:p w14:paraId="1284CD28" w14:textId="77777777" w:rsidR="00503A3F" w:rsidRDefault="00503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0B0F96"/>
    <w:multiLevelType w:val="hybridMultilevel"/>
    <w:tmpl w:val="2B50EB9A"/>
    <w:lvl w:ilvl="0" w:tplc="19CC0C10">
      <w:start w:val="1"/>
      <w:numFmt w:val="lowerLetter"/>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 w:numId="3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0F67"/>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DE4"/>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3EB8"/>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2F56"/>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E59ED"/>
    <w:rsid w:val="004F0CF3"/>
    <w:rsid w:val="004F5740"/>
    <w:rsid w:val="004F58C9"/>
    <w:rsid w:val="004F6D93"/>
    <w:rsid w:val="005028B9"/>
    <w:rsid w:val="00503A3F"/>
    <w:rsid w:val="00505E17"/>
    <w:rsid w:val="00511042"/>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66A46"/>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3985"/>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972C6"/>
    <w:rsid w:val="006A04AE"/>
    <w:rsid w:val="006A0AE4"/>
    <w:rsid w:val="006A23F3"/>
    <w:rsid w:val="006A2CF3"/>
    <w:rsid w:val="006A5047"/>
    <w:rsid w:val="006A5E48"/>
    <w:rsid w:val="006A7A10"/>
    <w:rsid w:val="006B0DA4"/>
    <w:rsid w:val="006B1B6B"/>
    <w:rsid w:val="006B2B9C"/>
    <w:rsid w:val="006B2C57"/>
    <w:rsid w:val="006B391B"/>
    <w:rsid w:val="006B79E0"/>
    <w:rsid w:val="006C0B2D"/>
    <w:rsid w:val="006C1633"/>
    <w:rsid w:val="006C5BF8"/>
    <w:rsid w:val="006C7CCB"/>
    <w:rsid w:val="006D3F14"/>
    <w:rsid w:val="006D6009"/>
    <w:rsid w:val="006D7D41"/>
    <w:rsid w:val="006E0690"/>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1E77"/>
    <w:rsid w:val="007C2A2C"/>
    <w:rsid w:val="007C3577"/>
    <w:rsid w:val="007C5E08"/>
    <w:rsid w:val="007D0002"/>
    <w:rsid w:val="007D150A"/>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3F1E"/>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65EC"/>
    <w:rsid w:val="00B0677F"/>
    <w:rsid w:val="00B06E23"/>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7C3"/>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56B5"/>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5141"/>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E0690"/>
    <w:pPr>
      <w:numPr>
        <w:numId w:val="31"/>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E0690"/>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10</Pages>
  <Words>2105</Words>
  <Characters>12001</Characters>
  <Application>Microsoft Office Word</Application>
  <DocSecurity>12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Geoff Lam</cp:lastModifiedBy>
  <cp:revision>2</cp:revision>
  <cp:lastPrinted>2017-07-24T14:47:00Z</cp:lastPrinted>
  <dcterms:created xsi:type="dcterms:W3CDTF">2022-09-30T14:07:00Z</dcterms:created>
  <dcterms:modified xsi:type="dcterms:W3CDTF">2022-09-30T14:07:00Z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