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Titel"/>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berschrift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3CE91BC7" w:rsidR="00C85C8B" w:rsidRPr="00B16706" w:rsidRDefault="004D2BFC" w:rsidP="00C85C8B">
                <w:pPr>
                  <w:rPr>
                    <w:rFonts w:ascii="Arial" w:hAnsi="Arial" w:cs="Arial"/>
                    <w:color w:val="808080"/>
                    <w:sz w:val="16"/>
                    <w:szCs w:val="20"/>
                    <w:lang w:eastAsia="de-DE"/>
                  </w:rPr>
                </w:pPr>
                <w:r>
                  <w:rPr>
                    <w:rFonts w:ascii="Arial" w:hAnsi="Arial" w:cs="Arial"/>
                    <w:color w:val="808080"/>
                    <w:sz w:val="16"/>
                    <w:szCs w:val="20"/>
                    <w:lang w:eastAsia="de-DE"/>
                  </w:rPr>
                  <w:t>German Banking Industry Committee</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11ACD58" w:rsidR="00C85C8B" w:rsidRPr="00B16706" w:rsidRDefault="00196F7D"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D2BFC">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7B829452" w:rsidR="00C85C8B" w:rsidRPr="00B16706" w:rsidRDefault="004D2BFC"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8010D79" w:rsidR="00C85C8B" w:rsidRPr="00B16706" w:rsidRDefault="004D2BFC"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617E6758" w14:textId="0E58E606" w:rsidR="004D2BFC" w:rsidRDefault="004D2BFC" w:rsidP="004D2BFC">
      <w:permStart w:id="273960001" w:edGrp="everyone"/>
      <w:r>
        <w:t>The German Banking Industry Committee is the joint committee operated by the central associations of the German banking industry. These associations are the Bundesverband der Deutschen Volksbanken und Raiffeisenbanken (BVR), for the cooperative banks, the Bundesverband deutscher Banken (BdB), for the private commercial banks, the Bundesverband Öffentlicher Banken Deutschlands (VÖB), for the public banks, the Deutscher Sparkassen- und Giroverband (DSGV), for the savings banks finance group, and the Verband deutscher Pfandbriefbanken (vdp), for the Pfandbrief banks. Collectively, they represent approximately 1,700 banks.</w:t>
      </w:r>
    </w:p>
    <w:p w14:paraId="08F332DB" w14:textId="77777777" w:rsidR="004D2BFC" w:rsidRDefault="004D2BFC" w:rsidP="004D2BFC"/>
    <w:p w14:paraId="5A36FBCA" w14:textId="16E48984" w:rsidR="00A73299" w:rsidRDefault="004D2BFC" w:rsidP="004D2BFC">
      <w:r w:rsidRPr="004D2BFC">
        <w:t>We generally support ESMA</w:t>
      </w:r>
      <w:r w:rsidR="004D70E1">
        <w:t>’s</w:t>
      </w:r>
      <w:r w:rsidRPr="004D2BFC">
        <w:t xml:space="preserve"> </w:t>
      </w:r>
      <w:r w:rsidR="004D70E1">
        <w:t>intension</w:t>
      </w:r>
      <w:r w:rsidRPr="004D2BFC">
        <w:t xml:space="preserve"> to provide better clarity for the European market with </w:t>
      </w:r>
      <w:r w:rsidR="00261F24">
        <w:t>regard</w:t>
      </w:r>
      <w:r w:rsidRPr="004D2BFC">
        <w:t xml:space="preserve"> to pre-hedging activities. We would like to point out that we strongly support the definitions and guidance relating to pre-hedging set out in the Global FX Code (GFXC) and the FICC Markets Standards Board (FMSB) Guidance on large trades which provide sufficient guidance on this topic in what are essentially global markets. ESMA’s proposed definition of pre-hedging seems workable but needs some clarification. Our understanding of ‘potential’ in no. 5 (of “2 Working defin</w:t>
      </w:r>
      <w:r w:rsidR="004D70E1">
        <w:t>i</w:t>
      </w:r>
      <w:r w:rsidRPr="004D2BFC">
        <w:t xml:space="preserve">tion of pre-hedging”) is that the risk of having to be hedged is unknown. The unknown risk is an </w:t>
      </w:r>
      <w:r w:rsidR="004D70E1" w:rsidRPr="004D2BFC">
        <w:t>essential</w:t>
      </w:r>
      <w:r w:rsidRPr="004D2BFC">
        <w:t xml:space="preserve"> component of pre-hedging which differentiates it from hedging. Therefore, we would suggest a clarification in this regard.</w:t>
      </w:r>
    </w:p>
    <w:permEnd w:id="273960001"/>
    <w:p w14:paraId="0A66617B" w14:textId="77777777" w:rsidR="00A73299" w:rsidRDefault="00A73299" w:rsidP="00A73299">
      <w:r>
        <w:t>&lt;ESMA_QUESTION_PHDG_1&gt;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2A6B5011" w14:textId="607DB432" w:rsidR="00A73299" w:rsidRDefault="004D2BFC" w:rsidP="00A73299">
      <w:permStart w:id="37300729" w:edGrp="everyone"/>
      <w:r w:rsidRPr="004D2BFC">
        <w:t>No, we do not believe that the definition should encompass other market practices – case (i) and (ii) seem sufficient.</w:t>
      </w:r>
    </w:p>
    <w:permEnd w:id="37300729"/>
    <w:p w14:paraId="71EB66BA" w14:textId="77777777" w:rsidR="00A73299" w:rsidRDefault="00A73299" w:rsidP="00A73299">
      <w:r>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t>&lt;ESMA_QUESTION_PHDG_3&gt;</w:t>
      </w:r>
    </w:p>
    <w:p w14:paraId="14EF5858" w14:textId="117DF3B4" w:rsidR="00A73299" w:rsidRDefault="00466DB6" w:rsidP="00A73299">
      <w:permStart w:id="1817013114" w:edGrp="everyone"/>
      <w:r>
        <w:t>We agree in principle but refer also to our answer to Q1</w:t>
      </w:r>
      <w:r w:rsidR="004D70E1">
        <w:t>.</w:t>
      </w:r>
    </w:p>
    <w:permEnd w:id="1817013114"/>
    <w:p w14:paraId="3D1CE017" w14:textId="77777777"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13627DA6" w14:textId="5C7A9CB6" w:rsidR="00A73299" w:rsidRDefault="004D2BFC" w:rsidP="00A73299">
      <w:permStart w:id="810027983" w:edGrp="everyone"/>
      <w:r w:rsidRPr="004D2BFC">
        <w:t xml:space="preserve">No key concerns as existing guidance such as the GFXC is </w:t>
      </w:r>
      <w:r w:rsidR="004D70E1" w:rsidRPr="004D2BFC">
        <w:t>sufficient</w:t>
      </w:r>
      <w:r w:rsidRPr="004D2BFC">
        <w:t xml:space="preserve"> in mitigating potential abusive practices relating to ‘last look’.</w:t>
      </w:r>
    </w:p>
    <w:permEnd w:id="810027983"/>
    <w:p w14:paraId="447B09BE" w14:textId="77777777" w:rsidR="00A73299" w:rsidRDefault="00A73299" w:rsidP="00A73299">
      <w:r>
        <w:t>&lt;ESMA_QUESTION_PHDG_4&gt;</w:t>
      </w:r>
    </w:p>
    <w:p w14:paraId="3F319FF5" w14:textId="77777777" w:rsidR="00A73299" w:rsidRDefault="00A73299" w:rsidP="00A73299"/>
    <w:p w14:paraId="6DD23CFD" w14:textId="77777777" w:rsidR="00A73299" w:rsidRDefault="00A73299" w:rsidP="00A73299">
      <w:pPr>
        <w:pStyle w:val="Questionstyle"/>
      </w:pPr>
      <w:r w:rsidRPr="00D70FF1">
        <w:lastRenderedPageBreak/>
        <w:t xml:space="preserve">What is your view on the arguments presented in favour and against pre-hedging? </w:t>
      </w:r>
    </w:p>
    <w:p w14:paraId="357A9E96" w14:textId="77777777" w:rsidR="00A73299" w:rsidRDefault="00A73299" w:rsidP="00A73299">
      <w:r>
        <w:t>&lt;ESMA_QUESTION_PHDG_5&gt;</w:t>
      </w:r>
    </w:p>
    <w:p w14:paraId="57A49E61" w14:textId="27CA186F" w:rsidR="004D2BFC" w:rsidRDefault="004D2BFC" w:rsidP="004D2BFC">
      <w:permStart w:id="1379824319" w:edGrp="everyone"/>
      <w:r>
        <w:t xml:space="preserve">We agree with the advantages of pre-hedging set out in the CfE, particularly that pre-hedging </w:t>
      </w:r>
      <w:r w:rsidR="004D70E1">
        <w:t>enables</w:t>
      </w:r>
      <w:r>
        <w:t xml:space="preserve"> liquidity providers to provide quotes in less liquid markets. Counterparties who are concerned about pre-hedging can ask for a two-way quote so that the direction is not known. If firms do </w:t>
      </w:r>
      <w:r w:rsidR="004D70E1">
        <w:t>pre-hedge,</w:t>
      </w:r>
      <w:r>
        <w:t xml:space="preserve"> then any price improvement from the inventory acquired at a known price should be passed onto the client and it seems likely in a competitive environment that if that is not done, the liquidity provider would be removed eventually from the panel of firms asked to quote. </w:t>
      </w:r>
    </w:p>
    <w:p w14:paraId="615CE0FA" w14:textId="77777777" w:rsidR="004D2BFC" w:rsidRDefault="004D2BFC" w:rsidP="004D2BFC"/>
    <w:p w14:paraId="3C22B0E4" w14:textId="0319172E" w:rsidR="00A73299" w:rsidRDefault="004D2BFC" w:rsidP="004D2BFC">
      <w:r>
        <w:t xml:space="preserve">We disagree with the argument given about “there not been a risk management rationale existing for pre-hedging in a liquid market”. In liquid markets spreads are very tight and there is </w:t>
      </w:r>
      <w:r w:rsidR="004D70E1">
        <w:t>insufficient</w:t>
      </w:r>
      <w:r>
        <w:t xml:space="preserve"> liquidity at the top of the book to satisfy large client orders without risk being taken by the market maker. Not allowing any pre-hedging might result in wider prices or </w:t>
      </w:r>
      <w:r w:rsidR="004D70E1">
        <w:t>spreads, resulting</w:t>
      </w:r>
      <w:r>
        <w:t xml:space="preserve"> in firms refusing to quote in illiquid financial instruments. Pre-hedging allows for the continuous sourcing of liquidity and mitigates the impact markets faced by potential volatility spikes triggered by significant transactions being brought to the market.</w:t>
      </w:r>
    </w:p>
    <w:permEnd w:id="1379824319"/>
    <w:p w14:paraId="19E8F0D9" w14:textId="77777777" w:rsidR="00A73299" w:rsidRDefault="00A73299" w:rsidP="00A73299">
      <w:r>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22C9F37D" w14:textId="79B6DE58" w:rsidR="00A73299" w:rsidRDefault="004D2BFC" w:rsidP="00A73299">
      <w:permStart w:id="554985269" w:edGrp="everyone"/>
      <w:r w:rsidRPr="004D2BFC">
        <w:t>The Market Abuse Regulation has already set out the definition of what amounts to inside information and what is ‘foreseeable’, therefore we do not see a need for additional guidance on whether an RFQ can amount to inside information. Furthermore, RFQs should not be typically considered as inside information and any assessment of such should be made on a case-by-case basis.</w:t>
      </w:r>
    </w:p>
    <w:permEnd w:id="554985269"/>
    <w:p w14:paraId="388EB716" w14:textId="77777777" w:rsidR="00A73299" w:rsidRDefault="00A73299" w:rsidP="00A73299">
      <w:r>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t>&lt;ESMA_QUESTION_PHDG_7&gt;</w:t>
      </w:r>
    </w:p>
    <w:p w14:paraId="6CBEA6DA" w14:textId="3DC824AB" w:rsidR="004D2BFC" w:rsidRDefault="004D2BFC" w:rsidP="004D2BFC">
      <w:permStart w:id="116469412" w:edGrp="everyone"/>
      <w:r>
        <w:t xml:space="preserve">No, we do not agree. Precise information implies </w:t>
      </w:r>
      <w:r w:rsidR="004D70E1">
        <w:t>certainty,</w:t>
      </w:r>
      <w:r>
        <w:t xml:space="preserve"> and this is not always the case, as in the context of a RFQ or RFM, the liquidity provider could be exploring where the market is. Another example is that liquidity takers will split orders up into different lots, therefore it is very hard to conclude what is happening </w:t>
      </w:r>
      <w:r w:rsidR="00557939">
        <w:t>once</w:t>
      </w:r>
      <w:r>
        <w:t xml:space="preserve"> a RFQ is received. </w:t>
      </w:r>
    </w:p>
    <w:p w14:paraId="6913EEC1" w14:textId="77777777" w:rsidR="004D2BFC" w:rsidRDefault="004D2BFC" w:rsidP="004D2BFC"/>
    <w:p w14:paraId="17F297EE" w14:textId="7BBA758B" w:rsidR="00A73299" w:rsidRDefault="004D2BFC" w:rsidP="004D2BFC">
      <w:r>
        <w:t xml:space="preserve">A RFQ is regularly sent out to multiple parties. From the </w:t>
      </w:r>
      <w:r w:rsidR="004D70E1">
        <w:t>perspective</w:t>
      </w:r>
      <w:r>
        <w:t xml:space="preserve"> of the liquidity </w:t>
      </w:r>
      <w:r w:rsidR="004D70E1">
        <w:t>provider,</w:t>
      </w:r>
      <w:r>
        <w:t xml:space="preserve"> it is not transparent to how many and which liquidity provider it is not transparent to how many liquidity provider pr</w:t>
      </w:r>
      <w:r w:rsidR="00601369">
        <w:t>i</w:t>
      </w:r>
      <w:r>
        <w:t xml:space="preserve">ces were sent. In other words, there </w:t>
      </w:r>
      <w:r w:rsidR="0069263E">
        <w:t xml:space="preserve">is </w:t>
      </w:r>
      <w:r>
        <w:t xml:space="preserve">no </w:t>
      </w:r>
      <w:r w:rsidR="004D70E1">
        <w:t>transparency</w:t>
      </w:r>
      <w:r>
        <w:t xml:space="preserve"> on the past and current competition. Therefore, it is unclear whether the current situation differs from the past and whether past winning/losing the quote probabilities are reasonable for the future.</w:t>
      </w:r>
    </w:p>
    <w:permEnd w:id="116469412"/>
    <w:p w14:paraId="50BB3AA9" w14:textId="77777777"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t>&lt;ESMA_QUESTION_PHDG_8&gt;</w:t>
      </w:r>
    </w:p>
    <w:p w14:paraId="75E690AE" w14:textId="1A5801B1" w:rsidR="00762E3D" w:rsidRDefault="00762E3D" w:rsidP="00762E3D">
      <w:permStart w:id="2023978491" w:edGrp="everyone"/>
      <w:r>
        <w:t xml:space="preserve">It is not clear what “significant impact” means in this context. From a </w:t>
      </w:r>
      <w:r w:rsidR="0045352F">
        <w:t>market maker</w:t>
      </w:r>
      <w:r>
        <w:t xml:space="preserve"> </w:t>
      </w:r>
      <w:r w:rsidR="0045352F">
        <w:t>perspective,</w:t>
      </w:r>
      <w:r>
        <w:t xml:space="preserve"> a “significant impact” is any movement in the market away from the market makers price before </w:t>
      </w:r>
      <w:r w:rsidR="0008504E">
        <w:t>it is</w:t>
      </w:r>
      <w:r>
        <w:t xml:space="preserve"> hedged. That would in general not be a “significant impact” for other people in most markets. In terms of market liquidity, small RFQ</w:t>
      </w:r>
      <w:r w:rsidR="00351A69">
        <w:t>s</w:t>
      </w:r>
      <w:r>
        <w:t xml:space="preserve"> are more likely to have an “significant impact” in illiquid markets than in liquid markets.</w:t>
      </w:r>
    </w:p>
    <w:p w14:paraId="29496297" w14:textId="77777777" w:rsidR="00762E3D" w:rsidRDefault="00762E3D" w:rsidP="00762E3D"/>
    <w:p w14:paraId="0B89B420" w14:textId="4018D07E" w:rsidR="00A73299" w:rsidRDefault="00762E3D" w:rsidP="00762E3D">
      <w:r>
        <w:t xml:space="preserve">There are many factors, including but not limited to, the type of </w:t>
      </w:r>
      <w:r w:rsidR="004D70E1">
        <w:t>instrument</w:t>
      </w:r>
      <w:r>
        <w:t>, liquidity profile, and size of transaction that would have an impact on the price of a financial instrument. The relative importance of these factors would vary on a case-by-case and day-to-day basis</w:t>
      </w:r>
      <w:r w:rsidR="00AB7351">
        <w:t xml:space="preserve">. </w:t>
      </w:r>
      <w:r w:rsidR="0045352F">
        <w:t>Therefore,</w:t>
      </w:r>
      <w:r>
        <w:t xml:space="preserve"> the creation of an exhaustive list of criteria by ESMA would not capture the dynamic nature of the financial instruments and markets in which they are traded.</w:t>
      </w:r>
    </w:p>
    <w:permEnd w:id="2023978491"/>
    <w:p w14:paraId="3CCFEE0A" w14:textId="77777777" w:rsidR="00A73299" w:rsidRDefault="00A73299" w:rsidP="00A73299">
      <w:r>
        <w:t>&lt;ESMA_QUESTION_PHDG_8&gt;</w:t>
      </w:r>
    </w:p>
    <w:p w14:paraId="0FEBDB3D" w14:textId="77777777" w:rsidR="00A73299" w:rsidRDefault="00A73299" w:rsidP="00A73299"/>
    <w:p w14:paraId="66467253" w14:textId="77777777" w:rsidR="00A73299" w:rsidRDefault="00A73299" w:rsidP="00A73299">
      <w:pPr>
        <w:pStyle w:val="Questionstyle"/>
      </w:pPr>
      <w:r w:rsidRPr="00D70FF1">
        <w:t>Does the GFXC Guidance describe all the possible cases of risk management rationale that could justify legitimate pre-hedging? If not, please elaborate</w:t>
      </w:r>
    </w:p>
    <w:p w14:paraId="379CB8B6" w14:textId="77777777" w:rsidR="00A73299" w:rsidRDefault="00A73299" w:rsidP="00A73299">
      <w:r>
        <w:t>&lt;ESMA_QUESTION_PHDG_9&gt;</w:t>
      </w:r>
    </w:p>
    <w:p w14:paraId="126700CD" w14:textId="24EC5170" w:rsidR="00A73299" w:rsidRDefault="00762E3D" w:rsidP="00A73299">
      <w:permStart w:id="1646090865" w:edGrp="everyone"/>
      <w:r w:rsidRPr="00762E3D">
        <w:t xml:space="preserve">Yes, from our perspective the GFXC presents helpful and </w:t>
      </w:r>
      <w:r w:rsidR="004D70E1" w:rsidRPr="00762E3D">
        <w:t>practically</w:t>
      </w:r>
      <w:r w:rsidRPr="00762E3D">
        <w:t xml:space="preserve"> relevant cases of risk management rationale for which legitimate pre-hedging is justified.</w:t>
      </w:r>
    </w:p>
    <w:permEnd w:id="1646090865"/>
    <w:p w14:paraId="1496746B" w14:textId="77777777" w:rsidR="00A73299" w:rsidRDefault="00A73299" w:rsidP="00A73299">
      <w:r>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21760586" w14:textId="20CA1E8E" w:rsidR="00A73299" w:rsidRDefault="00762E3D" w:rsidP="00A73299">
      <w:permStart w:id="104741344" w:edGrp="everyone"/>
      <w:r w:rsidRPr="00762E3D">
        <w:t xml:space="preserve">Pre-hedging practices are not carried out without a risk management rationale, in line with the GFXC on pre-hedging and existing industry practices. </w:t>
      </w:r>
      <w:r w:rsidR="0008504E">
        <w:t>Therefore, we do not have any examples to provide.</w:t>
      </w:r>
    </w:p>
    <w:permEnd w:id="104741344"/>
    <w:p w14:paraId="47BEB52E" w14:textId="77777777"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0A8BF43C" w14:textId="23B5EED1" w:rsidR="00A73299" w:rsidRDefault="00762E3D" w:rsidP="00A73299">
      <w:permStart w:id="1736514824" w:edGrp="everyone"/>
      <w:r w:rsidRPr="00762E3D">
        <w:t>No. This would lead to inventory risk by the market participant and might be a case of front-running, depending on the individual circumstances.</w:t>
      </w:r>
    </w:p>
    <w:permEnd w:id="1736514824"/>
    <w:p w14:paraId="362547F0" w14:textId="77777777" w:rsidR="00A73299" w:rsidRDefault="00A73299" w:rsidP="00A73299">
      <w:r>
        <w:t>&lt;ESMA_QUESTION_PHDG_11&gt;</w:t>
      </w:r>
    </w:p>
    <w:p w14:paraId="4F45871F" w14:textId="77777777" w:rsidR="00A73299" w:rsidRDefault="00A73299" w:rsidP="00A73299"/>
    <w:p w14:paraId="395D8E4C" w14:textId="77777777" w:rsidR="00A73299" w:rsidRDefault="00A73299" w:rsidP="00A73299">
      <w:pPr>
        <w:pStyle w:val="Questionstyle"/>
      </w:pPr>
      <w:r w:rsidRPr="00D70FF1">
        <w:t>Can you identify financial instruments that should/should not be used for pre-hedging purposes? Please elaborate</w:t>
      </w:r>
    </w:p>
    <w:p w14:paraId="5528D1E0" w14:textId="77777777" w:rsidR="00A73299" w:rsidRDefault="00A73299" w:rsidP="00A73299">
      <w:r>
        <w:lastRenderedPageBreak/>
        <w:t>&lt;ESMA_QUESTION_PHDG_12&gt;</w:t>
      </w:r>
    </w:p>
    <w:p w14:paraId="1A08572B" w14:textId="40CBE828" w:rsidR="00A73299" w:rsidRDefault="00762E3D" w:rsidP="00A73299">
      <w:permStart w:id="664279198" w:edGrp="everyone"/>
      <w:r w:rsidRPr="00762E3D">
        <w:t>The type of financial instruments used for pre-hedging purposes vary on a case-by-case basis. In fact, all financial instruments may be used to pre-hedge, therefore we do not consider any financial instrument should be excluded for pre-hedging purposes.</w:t>
      </w:r>
    </w:p>
    <w:permEnd w:id="664279198"/>
    <w:p w14:paraId="4D04C976" w14:textId="77777777" w:rsidR="00A73299" w:rsidRDefault="00A73299" w:rsidP="00A73299">
      <w:r>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252D272C" w14:textId="3AB4B47B" w:rsidR="00762E3D" w:rsidRDefault="00762E3D" w:rsidP="00762E3D">
      <w:permStart w:id="1472084367" w:edGrp="everyone"/>
      <w:r>
        <w:t xml:space="preserve">A key indicator would be adequate client disclosure, in which clients should be aware that pre-hedging may be used on RFQs. However, the absence of such disclosure should not immediately be presumed as illegitimate pre-hedging. In addition, it should laid down in no. 41 (of “4.2.3 Interest of the client”) that a sole benefit for the client also exists if a possible pre-hedging (in line with the agreement, ahead of the trade) facilitates the conditions </w:t>
      </w:r>
      <w:r w:rsidR="004D70E1">
        <w:t>offered</w:t>
      </w:r>
      <w:r>
        <w:t xml:space="preserve"> to and accepted by the client.</w:t>
      </w:r>
    </w:p>
    <w:p w14:paraId="50449029" w14:textId="77777777" w:rsidR="00762E3D" w:rsidRDefault="00762E3D" w:rsidP="00762E3D"/>
    <w:p w14:paraId="0EA85B50" w14:textId="2D101635" w:rsidR="00A73299" w:rsidRDefault="00762E3D" w:rsidP="00762E3D">
      <w:r>
        <w:t xml:space="preserve">We disagree with point 3) in no. 39 </w:t>
      </w:r>
      <w:r w:rsidR="00976D86" w:rsidRPr="00976D86">
        <w:t>(of “4.2.3 Interest of the client”)</w:t>
      </w:r>
      <w:r w:rsidR="00976D86">
        <w:t xml:space="preserve"> </w:t>
      </w:r>
      <w:r>
        <w:t>that pre-hedging is considered legitimate if the transaction is in the interest of both the client and the liquidity provider, particularly if this interest refers to financial interest. While pre-hedging could result in improved risk management, it is difficult to quantify or determine financial interest outcomes.</w:t>
      </w:r>
    </w:p>
    <w:permEnd w:id="1472084367"/>
    <w:p w14:paraId="6BC3B353" w14:textId="77777777" w:rsidR="00A73299" w:rsidRDefault="00A73299" w:rsidP="00A73299">
      <w:r>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0452FD32" w14:textId="417CA57B" w:rsidR="00762E3D" w:rsidRDefault="00762E3D" w:rsidP="00762E3D">
      <w:permStart w:id="1778341178" w:edGrp="everyone"/>
      <w:r>
        <w:t xml:space="preserve">The obtainment of express consent is case-specific and cannot be applied or expected for all contexts. </w:t>
      </w:r>
    </w:p>
    <w:p w14:paraId="7EC80DF9" w14:textId="77777777" w:rsidR="00762E3D" w:rsidRDefault="00762E3D" w:rsidP="00762E3D"/>
    <w:p w14:paraId="39517D1B" w14:textId="7E78AD46" w:rsidR="00A73299" w:rsidRDefault="00762E3D" w:rsidP="00762E3D">
      <w:r>
        <w:t xml:space="preserve">We agree that client’s consent to pre-hedging can be presumed as legitimate behaviour, however, </w:t>
      </w:r>
      <w:r w:rsidR="008574F5">
        <w:t>its</w:t>
      </w:r>
      <w:r>
        <w:t xml:space="preserve"> absence cannot be immediately presumed as illegitimate. Market participants already currently provide adequate disclosure to clients as part of existing market practice. We do not see a need to impose an express requirement to obtain consent to pre-hedging.</w:t>
      </w:r>
    </w:p>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18F74691" w14:textId="48D1D728" w:rsidR="00A73299" w:rsidRDefault="00762E3D" w:rsidP="00A73299">
      <w:permStart w:id="113129472" w:edGrp="everyone"/>
      <w:r w:rsidRPr="00762E3D">
        <w:t xml:space="preserve">Practices such as using information, for example about a </w:t>
      </w:r>
      <w:r w:rsidR="004D70E1" w:rsidRPr="00762E3D">
        <w:t>client’s</w:t>
      </w:r>
      <w:r w:rsidRPr="00762E3D">
        <w:t xml:space="preserve"> intentions, to trade to benefit a liquidity provider when the liquidity provider does not intend to execute</w:t>
      </w:r>
      <w:r w:rsidR="00976D86">
        <w:t xml:space="preserve"> the transaction</w:t>
      </w:r>
      <w:r w:rsidRPr="00762E3D">
        <w:t>, could be considered as illegitimate.</w:t>
      </w:r>
    </w:p>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lastRenderedPageBreak/>
        <w:t>Do you think it would be feasible for liquidity providers to provide evidence of (i) their reasonable expectation to conclude the transaction; (i) the risk management needs behind the transactions; (iii) the benefit for the client 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0091FA66" w14:textId="152C32D1" w:rsidR="00A73299" w:rsidRDefault="00762E3D" w:rsidP="00A73299">
      <w:permStart w:id="934892473" w:edGrp="everyone"/>
      <w:r w:rsidRPr="00762E3D">
        <w:t xml:space="preserve">This depends on the level of automation of </w:t>
      </w:r>
      <w:r w:rsidR="004D70E1" w:rsidRPr="00762E3D">
        <w:t>trading,</w:t>
      </w:r>
      <w:r w:rsidRPr="00762E3D">
        <w:t xml:space="preserve"> and it could disadvantage smaller liquidity providers if they had to provide this which might reduce market liquidity especially in more specialized instruments. Furthermore, we note that firms already have existing record keeping obligations under MAR and MiFID where applicable. It would not be necessary to impose additional, prescriptive burdens on firms relating to their pre-hedging activities, given that there are regulatory frameworks that adequately and appropriately cover such activities.</w:t>
      </w:r>
    </w:p>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4336367C" w14:textId="3E7025F6" w:rsidR="00A73299" w:rsidRDefault="00762E3D" w:rsidP="00A73299">
      <w:permStart w:id="232944764" w:edGrp="everyone"/>
      <w:r w:rsidRPr="00762E3D">
        <w:t>We do not think that liquidity of a financial instrument should be considered as an indicator. The prime indicator is the intention behind pre-hedging – to provide a very good price to client</w:t>
      </w:r>
      <w:r w:rsidR="00230F3D">
        <w:t>s</w:t>
      </w:r>
      <w:r w:rsidRPr="00762E3D">
        <w:t xml:space="preserve"> for their benefit</w:t>
      </w:r>
      <w:r w:rsidR="00782796">
        <w:t>. This</w:t>
      </w:r>
      <w:r w:rsidRPr="00762E3D">
        <w:t xml:space="preserve"> is the main indicator against market abuse.</w:t>
      </w:r>
    </w:p>
    <w:permEnd w:id="232944764"/>
    <w:p w14:paraId="11D513B5" w14:textId="77777777"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187FB79A" w14:textId="3C096B4B" w:rsidR="00A73299" w:rsidRDefault="00762E3D" w:rsidP="00A73299">
      <w:permStart w:id="1521039362" w:edGrp="everyone"/>
      <w:r w:rsidRPr="00762E3D">
        <w:t>We commonly see such practices with large trades that exceed top of book liquidity. These mainly concern wholesale markets or professional clients, not retail clients.</w:t>
      </w:r>
    </w:p>
    <w:permEnd w:id="1521039362"/>
    <w:p w14:paraId="76B35FA4" w14:textId="77777777"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64EF16C7" w14:textId="5BA62FA0" w:rsidR="00A73299" w:rsidRDefault="00762E3D" w:rsidP="00A73299">
      <w:permStart w:id="1295605557" w:edGrp="everyone"/>
      <w:r w:rsidRPr="00762E3D">
        <w:t>Under the MiFID framework, firms are require</w:t>
      </w:r>
      <w:r w:rsidR="004D70E1">
        <w:t>d</w:t>
      </w:r>
      <w:r w:rsidRPr="00762E3D">
        <w:t xml:space="preserve"> to maintain conflicts of interests policies and procedures, which sufficiently address and manage such conflicts where a firm is conducting pre-hedging.</w:t>
      </w:r>
    </w:p>
    <w:permEnd w:id="1295605557"/>
    <w:p w14:paraId="4349B080" w14:textId="77777777" w:rsidR="00A73299" w:rsidRDefault="00A73299" w:rsidP="00A73299">
      <w:r>
        <w:t>&lt;ESMA_QUESTION_PHDG_19&gt;</w:t>
      </w:r>
    </w:p>
    <w:p w14:paraId="7D050107" w14:textId="77777777" w:rsidR="00A73299" w:rsidRDefault="00A73299" w:rsidP="00A73299"/>
    <w:p w14:paraId="44056447" w14:textId="77777777" w:rsidR="00A73299" w:rsidRDefault="00A73299" w:rsidP="00A73299">
      <w:pPr>
        <w:pStyle w:val="Questionstyle"/>
      </w:pPr>
      <w:r w:rsidRPr="00D70FF1">
        <w:t xml:space="preserve">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w:t>
      </w:r>
      <w:r w:rsidRPr="00D70FF1">
        <w:lastRenderedPageBreak/>
        <w:t>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6B99248F" w14:textId="3FEEA85D" w:rsidR="00A73299" w:rsidRDefault="00762E3D" w:rsidP="00A73299">
      <w:permStart w:id="508713136" w:edGrp="everyone"/>
      <w:r w:rsidRPr="00762E3D">
        <w:t>Market participants ensure that sufficient disclosure of pre-hedging is made to clients, though there is no universal market practice of pre-hedging disclosure.</w:t>
      </w:r>
    </w:p>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t>&lt;ESMA_QUESTION_PHDG_21&gt;</w:t>
      </w:r>
    </w:p>
    <w:p w14:paraId="10CA95F7" w14:textId="64B00D8F" w:rsidR="00A73299" w:rsidRDefault="00221C75" w:rsidP="00221C75">
      <w:permStart w:id="220690189" w:edGrp="everyone"/>
      <w:r>
        <w:t>There is no common market practice where clients are offered a certain number of quotes – this is largely driven by their preference where some clients may request two prices and others will not. We caution against any guidance on the provision of quotes to clients with or without pre-hedging, as it would not be feasible under certain circumstances or for reasons of risk management to offer a non-pre-hedged price.</w:t>
      </w:r>
    </w:p>
    <w:permEnd w:id="220690189"/>
    <w:p w14:paraId="46E7D19D" w14:textId="77777777" w:rsidR="00A73299" w:rsidRDefault="00A73299" w:rsidP="00A73299">
      <w:r>
        <w:t>&lt;ESMA_QUESTION_PHDG_21&gt;</w:t>
      </w:r>
    </w:p>
    <w:p w14:paraId="4661464E" w14:textId="77777777" w:rsidR="00A73299" w:rsidRDefault="00A73299" w:rsidP="00A73299"/>
    <w:p w14:paraId="1CD3091C" w14:textId="77777777" w:rsidR="00A73299" w:rsidRDefault="00A73299" w:rsidP="00A73299">
      <w:pPr>
        <w:pStyle w:val="Questionstyle"/>
      </w:pPr>
      <w:r w:rsidRPr="00D70FF1">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1D6F1C80" w14:textId="3450F41E" w:rsidR="00A73299" w:rsidRDefault="00221C75" w:rsidP="00A73299">
      <w:permStart w:id="1124810317" w:edGrp="everyone"/>
      <w:r w:rsidRPr="00221C75">
        <w:t>Firms are already subjec</w:t>
      </w:r>
      <w:r w:rsidR="003552E3">
        <w:t>t</w:t>
      </w:r>
      <w:r w:rsidRPr="00221C75">
        <w:t xml:space="preserve"> to reporting and record keeping obligations under existing regulatory frameworks such as MiFID and MAR. Additional prescriptive guidance or requirement for further recordkeeping would be disproportionate and </w:t>
      </w:r>
      <w:r w:rsidR="009A0EB4">
        <w:t xml:space="preserve">would </w:t>
      </w:r>
      <w:r w:rsidRPr="00221C75">
        <w:t xml:space="preserve">not </w:t>
      </w:r>
      <w:r w:rsidR="009A0EB4">
        <w:t xml:space="preserve">result in any significant </w:t>
      </w:r>
      <w:r w:rsidRPr="00221C75">
        <w:t>benefits.</w:t>
      </w:r>
    </w:p>
    <w:permEnd w:id="1124810317"/>
    <w:p w14:paraId="4AA50A4E" w14:textId="77777777"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612B14B8" w14:textId="3208CEA9" w:rsidR="00A73299" w:rsidRDefault="00221C75" w:rsidP="00A73299">
      <w:permStart w:id="333139389" w:edGrp="everyone"/>
      <w:r w:rsidRPr="00221C75">
        <w:t>We do not see any specific issues.</w:t>
      </w:r>
    </w:p>
    <w:permEnd w:id="333139389"/>
    <w:p w14:paraId="4CC6BA7F" w14:textId="77777777"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t>&lt;ESMA_QUESTION_PHDG_24&gt;</w:t>
      </w:r>
    </w:p>
    <w:p w14:paraId="794F2BFB" w14:textId="3210546D" w:rsidR="00A73299" w:rsidRDefault="00221C75" w:rsidP="00A73299">
      <w:permStart w:id="638745335" w:edGrp="everyone"/>
      <w:r w:rsidRPr="00221C75">
        <w:t xml:space="preserve">Pre-hedging by a systematic internaliser (SI) is done on its own books. When replying to RFQs the SI has no certainty that the client </w:t>
      </w:r>
      <w:r w:rsidR="00FE1362">
        <w:t xml:space="preserve">will </w:t>
      </w:r>
      <w:r w:rsidRPr="00221C75">
        <w:t>in fact trad</w:t>
      </w:r>
      <w:r w:rsidR="00FE1362">
        <w:t>e</w:t>
      </w:r>
      <w:r w:rsidRPr="00221C75">
        <w:t xml:space="preserve"> with that SI. In the case that the client does not trade with the SI, that SI has an open position on the books.</w:t>
      </w:r>
    </w:p>
    <w:permEnd w:id="638745335"/>
    <w:p w14:paraId="6D5727A1" w14:textId="77777777" w:rsidR="00A73299" w:rsidRDefault="00A73299" w:rsidP="00A73299">
      <w:r>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0F4D" w14:textId="77777777" w:rsidR="00503A3F" w:rsidRDefault="00503A3F" w:rsidP="007E7997">
      <w:r>
        <w:separator/>
      </w:r>
    </w:p>
  </w:endnote>
  <w:endnote w:type="continuationSeparator" w:id="0">
    <w:p w14:paraId="5CA6C8BD" w14:textId="77777777" w:rsidR="00503A3F" w:rsidRDefault="00503A3F" w:rsidP="007E7997">
      <w:r>
        <w:continuationSeparator/>
      </w:r>
    </w:p>
  </w:endnote>
  <w:endnote w:type="continuationNotice" w:id="1">
    <w:p w14:paraId="31D2BAA9" w14:textId="77777777" w:rsidR="00503A3F" w:rsidRDefault="00503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CFD3" w14:textId="77777777" w:rsidR="00503A3F" w:rsidRDefault="00503A3F" w:rsidP="007E7997">
      <w:r>
        <w:separator/>
      </w:r>
    </w:p>
  </w:footnote>
  <w:footnote w:type="continuationSeparator" w:id="0">
    <w:p w14:paraId="096FB77E" w14:textId="77777777" w:rsidR="00503A3F" w:rsidRDefault="00503A3F" w:rsidP="007E7997">
      <w:r>
        <w:continuationSeparator/>
      </w:r>
    </w:p>
  </w:footnote>
  <w:footnote w:type="continuationNotice" w:id="1">
    <w:p w14:paraId="1284CD28" w14:textId="77777777" w:rsidR="00503A3F" w:rsidRDefault="00503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Kopfzeil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FB620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7qf3rYMBgzFG1vj09vJ6Zd+otrdYg9/j4zeETtJ9qCxSWGWnSoA+vpabAHC1dYSDTYc0JP9KqOXOEZT3OfmdCA==" w:salt="5WioAnC/TBImKr/UlDWO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504E"/>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6F7D"/>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1C75"/>
    <w:rsid w:val="00224806"/>
    <w:rsid w:val="00230F3D"/>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1F24"/>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A69"/>
    <w:rsid w:val="00351F68"/>
    <w:rsid w:val="00353C4B"/>
    <w:rsid w:val="003545A6"/>
    <w:rsid w:val="003552E3"/>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92844"/>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352F"/>
    <w:rsid w:val="00455577"/>
    <w:rsid w:val="00456795"/>
    <w:rsid w:val="0046150E"/>
    <w:rsid w:val="00461CC8"/>
    <w:rsid w:val="00462B2F"/>
    <w:rsid w:val="00462E09"/>
    <w:rsid w:val="00465EAA"/>
    <w:rsid w:val="00466DB6"/>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C0A30"/>
    <w:rsid w:val="004C357C"/>
    <w:rsid w:val="004C3D18"/>
    <w:rsid w:val="004D2BFC"/>
    <w:rsid w:val="004D42B1"/>
    <w:rsid w:val="004D526F"/>
    <w:rsid w:val="004D70E1"/>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57939"/>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369"/>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263E"/>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2E3D"/>
    <w:rsid w:val="00764582"/>
    <w:rsid w:val="00765FA3"/>
    <w:rsid w:val="00766961"/>
    <w:rsid w:val="00766B5A"/>
    <w:rsid w:val="00770C33"/>
    <w:rsid w:val="007741C3"/>
    <w:rsid w:val="00777BE0"/>
    <w:rsid w:val="00780923"/>
    <w:rsid w:val="0078131F"/>
    <w:rsid w:val="00782796"/>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2E3E"/>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21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574F5"/>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6D86"/>
    <w:rsid w:val="0097785D"/>
    <w:rsid w:val="0098011D"/>
    <w:rsid w:val="00981912"/>
    <w:rsid w:val="009819C0"/>
    <w:rsid w:val="009835AD"/>
    <w:rsid w:val="00987A75"/>
    <w:rsid w:val="00991A8A"/>
    <w:rsid w:val="00992611"/>
    <w:rsid w:val="00994303"/>
    <w:rsid w:val="0099526D"/>
    <w:rsid w:val="00996C8B"/>
    <w:rsid w:val="009A0054"/>
    <w:rsid w:val="009A0EB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351"/>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39B2"/>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335C"/>
    <w:rsid w:val="00FC6733"/>
    <w:rsid w:val="00FD2677"/>
    <w:rsid w:val="00FD28B8"/>
    <w:rsid w:val="00FD4D00"/>
    <w:rsid w:val="00FE0BD8"/>
    <w:rsid w:val="00FE1362"/>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R Policy Document" ma:contentTypeID="0x01010001BD15C3986B91498E0AE644B715B9EE140028D9BEAC2E112B48874369BFF013BE35" ma:contentTypeVersion="8" ma:contentTypeDescription="" ma:contentTypeScope="" ma:versionID="fe3ac8518dae978b3706c2bd0ff41fa5">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e185457e98995b4b87131e88e6e535"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4f99a58c-742f-4a20-98c8-851f22b5d1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ESMA70-449-674</_dlc_DocId>
    <TaxCatchAll xmlns="20fbe147-bbda-4e53-b6b1-7e8bbff3fe19">
      <Value>1826</Value>
      <Value>12</Value>
      <Value>1999</Value>
      <Value>484</Value>
      <Value>14</Value>
    </TaxCatchAll>
    <_dlc_DocIdUrl xmlns="20fbe147-bbda-4e53-b6b1-7e8bbff3fe19">
      <Url>https://sherpa.esma.europa.eu/sites/MKT/SMK/_layouts/15/DocIdRedir.aspx?ID=ESMA70-449-674</Url>
      <Description>ESMA70-449-674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 - Pre-hedging</TermName>
          <TermId xmlns="http://schemas.microsoft.com/office/infopath/2007/PartnerControls">86add1cd-63a0-4597-b64f-7f7822fcc0f2</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 - Pre-hedging - Discussion Paper A</TermName>
          <TermId xmlns="http://schemas.microsoft.com/office/infopath/2007/PartnerControls">dfc5e8d2-1373-4d5a-adf0-f0860e9a1127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Props1.xml><?xml version="1.0" encoding="utf-8"?>
<ds:datastoreItem xmlns:ds="http://schemas.openxmlformats.org/officeDocument/2006/customXml" ds:itemID="{8BE1EB74-B3C7-4F85-9493-F7F180F7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8337F5EE-E87B-49CE-96B5-F95CE63A0DF2}">
  <ds:schemaRefs>
    <ds:schemaRef ds:uri="http://purl.org/dc/elements/1.1/"/>
    <ds:schemaRef ds:uri="http://schemas.microsoft.com/office/2006/metadata/properties"/>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11</Pages>
  <Words>2559</Words>
  <Characters>16122</Characters>
  <Application>Microsoft Office Word</Application>
  <DocSecurity>8</DocSecurity>
  <Lines>134</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Lorenz, René</cp:lastModifiedBy>
  <cp:revision>25</cp:revision>
  <cp:lastPrinted>2017-07-24T14:47:00Z</cp:lastPrinted>
  <dcterms:created xsi:type="dcterms:W3CDTF">2022-09-27T19:31:00Z</dcterms:created>
  <dcterms:modified xsi:type="dcterms:W3CDTF">2022-09-30T13:11:00Z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0x01010001BD15C3986B91498E0AE644B715B9EE140028D9BEAC2E112B48874369BFF013BE35</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