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C26F2E5" w:rsidR="00C85C8B" w:rsidRPr="00B16706" w:rsidRDefault="00D055D1" w:rsidP="00C85C8B">
                <w:pPr>
                  <w:rPr>
                    <w:rFonts w:ascii="Arial" w:hAnsi="Arial" w:cs="Arial"/>
                    <w:color w:val="808080"/>
                    <w:sz w:val="16"/>
                    <w:szCs w:val="20"/>
                    <w:lang w:eastAsia="de-DE"/>
                  </w:rPr>
                </w:pPr>
                <w:r>
                  <w:rPr>
                    <w:rFonts w:ascii="Arial" w:hAnsi="Arial" w:cs="Arial"/>
                    <w:color w:val="808080"/>
                    <w:sz w:val="16"/>
                    <w:szCs w:val="20"/>
                    <w:lang w:eastAsia="de-DE"/>
                  </w:rPr>
                  <w:t>Deutsche Börse Group</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DB66A66" w:rsidR="00C85C8B" w:rsidRPr="00B16706" w:rsidRDefault="0048159A"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055D1">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3D1D28" w:rsidR="00C85C8B" w:rsidRPr="00B16706" w:rsidRDefault="000C40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00BAC7A" w:rsidR="00C85C8B" w:rsidRPr="00B16706" w:rsidRDefault="008E2860"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30E352CB" w14:textId="03445BDC" w:rsidR="008E2860" w:rsidRDefault="008E2860" w:rsidP="00247078">
      <w:pPr>
        <w:pStyle w:val="paragraph"/>
        <w:spacing w:before="0" w:beforeAutospacing="0" w:after="0" w:afterAutospacing="0"/>
        <w:jc w:val="both"/>
        <w:textAlignment w:val="baseline"/>
        <w:rPr>
          <w:rStyle w:val="eop"/>
          <w:rFonts w:ascii="Arial" w:eastAsiaTheme="majorEastAsia" w:hAnsi="Arial" w:cs="Arial"/>
          <w:sz w:val="22"/>
          <w:szCs w:val="22"/>
        </w:rPr>
      </w:pPr>
      <w:permStart w:id="273960001" w:edGrp="everyone"/>
      <w:r>
        <w:rPr>
          <w:rStyle w:val="normaltextrun"/>
          <w:rFonts w:ascii="Arial" w:eastAsiaTheme="majorEastAsia" w:hAnsi="Arial" w:cs="Arial"/>
          <w:sz w:val="22"/>
          <w:szCs w:val="22"/>
        </w:rPr>
        <w:t>Deutsche Börse Group (DBG)</w:t>
      </w:r>
      <w:r>
        <w:rPr>
          <w:rStyle w:val="normaltextrun"/>
          <w:rFonts w:ascii="Arial" w:eastAsiaTheme="majorEastAsia" w:hAnsi="Arial" w:cs="Arial"/>
          <w:sz w:val="22"/>
          <w:szCs w:val="22"/>
        </w:rPr>
        <w:t xml:space="preserve"> welcome</w:t>
      </w:r>
      <w:r>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that ESMA is elaborating this important issue which leads to a necessary discussion of trading practices often referred to as "pre-hedging". However, as we see in this CFE, it might be misleading to define any related trading activity before concluding a transaction as pre-hedging as this term carries legitimation which in some cases is undeserved. Therefore, we agree that the two trading practices mentioned in (</w:t>
      </w:r>
      <w:proofErr w:type="spellStart"/>
      <w:r>
        <w:rPr>
          <w:rStyle w:val="normaltextrun"/>
          <w:rFonts w:ascii="Arial" w:eastAsiaTheme="majorEastAsia" w:hAnsi="Arial" w:cs="Arial"/>
          <w:sz w:val="22"/>
          <w:szCs w:val="22"/>
        </w:rPr>
        <w:t>i</w:t>
      </w:r>
      <w:proofErr w:type="spellEnd"/>
      <w:r>
        <w:rPr>
          <w:rStyle w:val="normaltextrun"/>
          <w:rFonts w:ascii="Arial" w:eastAsiaTheme="majorEastAsia" w:hAnsi="Arial" w:cs="Arial"/>
          <w:sz w:val="22"/>
          <w:szCs w:val="22"/>
        </w:rPr>
        <w:t>) and (ii) CAN qualify as pre-hedging but not necessarily do in practice, especially case (</w:t>
      </w:r>
      <w:proofErr w:type="spellStart"/>
      <w:r>
        <w:rPr>
          <w:rStyle w:val="normaltextrun"/>
          <w:rFonts w:ascii="Arial" w:eastAsiaTheme="majorEastAsia" w:hAnsi="Arial" w:cs="Arial"/>
          <w:sz w:val="22"/>
          <w:szCs w:val="22"/>
        </w:rPr>
        <w:t>i</w:t>
      </w:r>
      <w:proofErr w:type="spellEnd"/>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084C5C9" w14:textId="77777777" w:rsidR="00247078" w:rsidRDefault="00247078" w:rsidP="00247078">
      <w:pPr>
        <w:pStyle w:val="paragraph"/>
        <w:spacing w:before="0" w:beforeAutospacing="0" w:after="0" w:afterAutospacing="0"/>
        <w:jc w:val="both"/>
        <w:textAlignment w:val="baseline"/>
        <w:rPr>
          <w:rFonts w:ascii="Segoe UI" w:hAnsi="Segoe UI" w:cs="Segoe UI"/>
          <w:sz w:val="18"/>
          <w:szCs w:val="18"/>
        </w:rPr>
      </w:pPr>
    </w:p>
    <w:p w14:paraId="1BEC088B" w14:textId="2D0F5156" w:rsidR="008E2860" w:rsidRDefault="008E2860" w:rsidP="00247078">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More specifically, as to our view case (</w:t>
      </w:r>
      <w:proofErr w:type="spellStart"/>
      <w:r>
        <w:rPr>
          <w:rStyle w:val="normaltextrun"/>
          <w:rFonts w:ascii="Arial" w:eastAsiaTheme="majorEastAsia" w:hAnsi="Arial" w:cs="Arial"/>
          <w:sz w:val="22"/>
          <w:szCs w:val="22"/>
        </w:rPr>
        <w:t>i</w:t>
      </w:r>
      <w:proofErr w:type="spellEnd"/>
      <w:r>
        <w:rPr>
          <w:rStyle w:val="normaltextrun"/>
          <w:rFonts w:ascii="Arial" w:eastAsiaTheme="majorEastAsia" w:hAnsi="Arial" w:cs="Arial"/>
          <w:sz w:val="22"/>
          <w:szCs w:val="22"/>
        </w:rPr>
        <w:t>) effectively refers to a Liquidity Provider (LP) receiving an RFQ and then immediately trading the ‘hedge’ before they have even submitted a quote back to the requester, or before hitting or lifting a quote supplied by the requester. In this case we would consider it as pure front running because the LP knows that even if they do not win the trade, the LP that does will then have to chase the hedge in the same direction that the front running LP has already traded, effectively allowing the LP to ‘lean’ on market information that is only available to some participants.</w:t>
      </w:r>
      <w:r>
        <w:rPr>
          <w:rStyle w:val="eop"/>
          <w:rFonts w:ascii="Arial" w:eastAsiaTheme="majorEastAsia" w:hAnsi="Arial" w:cs="Arial"/>
          <w:sz w:val="22"/>
          <w:szCs w:val="22"/>
        </w:rPr>
        <w:t> </w:t>
      </w:r>
    </w:p>
    <w:p w14:paraId="3FB01D45" w14:textId="77777777" w:rsidR="00247078" w:rsidRDefault="00247078" w:rsidP="00247078">
      <w:pPr>
        <w:pStyle w:val="paragraph"/>
        <w:spacing w:before="0" w:beforeAutospacing="0" w:after="0" w:afterAutospacing="0"/>
        <w:jc w:val="both"/>
        <w:textAlignment w:val="baseline"/>
        <w:rPr>
          <w:rFonts w:ascii="Segoe UI" w:hAnsi="Segoe UI" w:cs="Segoe UI"/>
          <w:sz w:val="18"/>
          <w:szCs w:val="18"/>
        </w:rPr>
      </w:pPr>
    </w:p>
    <w:p w14:paraId="49108B52" w14:textId="2CD3E357" w:rsidR="008E2860" w:rsidRDefault="008E2860" w:rsidP="00247078">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With respect to case (ii) if the LP has either hit/lifted a requester’s price or has been hit/lifted by the requester then at any point after this action (even during the “last look” period) executing the hedge in the market is valid pre-hedging because it is done in good faith that a deal will be agreed and concluded.</w:t>
      </w:r>
      <w:r>
        <w:rPr>
          <w:rStyle w:val="eop"/>
          <w:rFonts w:ascii="Arial" w:eastAsiaTheme="majorEastAsia" w:hAnsi="Arial" w:cs="Arial"/>
          <w:sz w:val="22"/>
          <w:szCs w:val="22"/>
        </w:rPr>
        <w:t> </w:t>
      </w:r>
    </w:p>
    <w:p w14:paraId="57C540BE" w14:textId="77777777" w:rsidR="00247078" w:rsidRDefault="00247078" w:rsidP="00247078">
      <w:pPr>
        <w:pStyle w:val="paragraph"/>
        <w:spacing w:before="0" w:beforeAutospacing="0" w:after="0" w:afterAutospacing="0"/>
        <w:jc w:val="both"/>
        <w:textAlignment w:val="baseline"/>
        <w:rPr>
          <w:rFonts w:ascii="Segoe UI" w:hAnsi="Segoe UI" w:cs="Segoe UI"/>
          <w:sz w:val="18"/>
          <w:szCs w:val="18"/>
        </w:rPr>
      </w:pPr>
    </w:p>
    <w:p w14:paraId="1ABDA5ED" w14:textId="77777777" w:rsidR="008E2860" w:rsidRDefault="008E2860" w:rsidP="002470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xml:space="preserve">As a trading venue we are not able to provide as many examples as </w:t>
      </w:r>
      <w:proofErr w:type="gramStart"/>
      <w:r>
        <w:rPr>
          <w:rStyle w:val="normaltextrun"/>
          <w:rFonts w:ascii="Arial" w:eastAsiaTheme="majorEastAsia" w:hAnsi="Arial" w:cs="Arial"/>
          <w:sz w:val="22"/>
          <w:szCs w:val="22"/>
        </w:rPr>
        <w:t>e.g.</w:t>
      </w:r>
      <w:proofErr w:type="gramEnd"/>
      <w:r>
        <w:rPr>
          <w:rStyle w:val="normaltextrun"/>
          <w:rFonts w:ascii="Arial" w:eastAsiaTheme="majorEastAsia" w:hAnsi="Arial" w:cs="Arial"/>
          <w:sz w:val="22"/>
          <w:szCs w:val="22"/>
        </w:rPr>
        <w:t xml:space="preserve"> market makers (MM) or inter dealer brokers (IDB). However, from our experience investors frequently place orders in financial instruments via IDB who then ask several selected MM (via RFQ or Bloomberg chat etc.) for their prices. These requested MM are then in competition to provide the best price. If one (or more) of these MM decides to trade in the requested (or in any related) instrument before concluding the underlying transaction it must be very carefully assessed whether this qualifies for legitimate pre-hedging or has rather to be seen as </w:t>
      </w:r>
      <w:proofErr w:type="gramStart"/>
      <w:r>
        <w:rPr>
          <w:rStyle w:val="normaltextrun"/>
          <w:rFonts w:ascii="Arial" w:eastAsiaTheme="majorEastAsia" w:hAnsi="Arial" w:cs="Arial"/>
          <w:sz w:val="22"/>
          <w:szCs w:val="22"/>
        </w:rPr>
        <w:t>front-running</w:t>
      </w:r>
      <w:proofErr w:type="gramEnd"/>
      <w:r>
        <w:rPr>
          <w:rStyle w:val="normaltextrun"/>
          <w:rFonts w:ascii="Arial" w:eastAsiaTheme="majorEastAsia" w:hAnsi="Arial" w:cs="Arial"/>
          <w:sz w:val="22"/>
          <w:szCs w:val="22"/>
        </w:rPr>
        <w:t xml:space="preserve"> to the detriment of clients. In addition, further consideration and clarification regarding "interest/benefit for the client" (see recital 6) might be required due to its open-ended concept and ability of interpretation.</w:t>
      </w:r>
      <w:r>
        <w:rPr>
          <w:rStyle w:val="eop"/>
          <w:rFonts w:ascii="Arial" w:eastAsiaTheme="majorEastAsia" w:hAnsi="Arial" w:cs="Arial"/>
          <w:sz w:val="22"/>
          <w:szCs w:val="22"/>
        </w:rPr>
        <w:t> </w:t>
      </w:r>
    </w:p>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2BDA18D6" w14:textId="582100C8" w:rsidR="00C52C35" w:rsidRDefault="00C52C35" w:rsidP="00C52C35">
      <w:pPr>
        <w:pStyle w:val="paragraph"/>
        <w:spacing w:before="0" w:beforeAutospacing="0" w:after="0" w:afterAutospacing="0"/>
        <w:jc w:val="both"/>
        <w:textAlignment w:val="baseline"/>
        <w:rPr>
          <w:rFonts w:ascii="Segoe UI" w:hAnsi="Segoe UI" w:cs="Segoe UI"/>
          <w:sz w:val="18"/>
          <w:szCs w:val="18"/>
        </w:rPr>
      </w:pPr>
      <w:permStart w:id="37300729" w:edGrp="everyone"/>
      <w:r>
        <w:rPr>
          <w:rStyle w:val="normaltextrun"/>
          <w:rFonts w:ascii="Arial" w:eastAsiaTheme="majorEastAsia" w:hAnsi="Arial" w:cs="Arial"/>
          <w:sz w:val="22"/>
          <w:szCs w:val="22"/>
        </w:rPr>
        <w:t xml:space="preserve">DBG is </w:t>
      </w:r>
      <w:r>
        <w:rPr>
          <w:rStyle w:val="normaltextrun"/>
          <w:rFonts w:ascii="Arial" w:eastAsiaTheme="majorEastAsia" w:hAnsi="Arial" w:cs="Arial"/>
          <w:sz w:val="22"/>
          <w:szCs w:val="22"/>
        </w:rPr>
        <w:t>of the view that the definition should encompass cases where only a single MM for a particular product is in the orderbook and such MM widens the spread after receiving the RFQ.</w:t>
      </w:r>
      <w:r>
        <w:rPr>
          <w:rStyle w:val="eop"/>
          <w:rFonts w:ascii="Arial" w:eastAsiaTheme="majorEastAsia" w:hAnsi="Arial" w:cs="Arial"/>
          <w:sz w:val="22"/>
          <w:szCs w:val="22"/>
        </w:rPr>
        <w:t> </w:t>
      </w:r>
    </w:p>
    <w:p w14:paraId="68F786A8" w14:textId="0527D74B" w:rsidR="00C52C35" w:rsidRDefault="00C52C35" w:rsidP="00C52C35">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In addition, we would like to reiterate our view that any hedging done after the LP has attempted to deal on a price (including pending “last look” from the requester) is done in good faith and can be classified as pre-hedging.</w:t>
      </w:r>
      <w:r>
        <w:rPr>
          <w:rStyle w:val="eop"/>
          <w:rFonts w:ascii="Arial" w:eastAsiaTheme="majorEastAsia" w:hAnsi="Arial" w:cs="Arial"/>
          <w:sz w:val="22"/>
          <w:szCs w:val="22"/>
        </w:rPr>
        <w:t> </w:t>
      </w:r>
    </w:p>
    <w:p w14:paraId="647B1B88" w14:textId="77777777" w:rsidR="00C52C35" w:rsidRDefault="00C52C35" w:rsidP="00C52C35">
      <w:pPr>
        <w:pStyle w:val="paragraph"/>
        <w:spacing w:before="0" w:beforeAutospacing="0" w:after="0" w:afterAutospacing="0"/>
        <w:jc w:val="both"/>
        <w:textAlignment w:val="baseline"/>
        <w:rPr>
          <w:rFonts w:ascii="Segoe UI" w:hAnsi="Segoe UI" w:cs="Segoe UI"/>
          <w:sz w:val="18"/>
          <w:szCs w:val="18"/>
        </w:rPr>
      </w:pPr>
    </w:p>
    <w:p w14:paraId="7AF5CEB8" w14:textId="510FB05C" w:rsidR="00C52C35" w:rsidRDefault="00C52C35" w:rsidP="00C52C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xml:space="preserve">Furthermore, </w:t>
      </w:r>
      <w:proofErr w:type="gramStart"/>
      <w:r>
        <w:rPr>
          <w:rStyle w:val="normaltextrun"/>
          <w:rFonts w:ascii="Arial" w:eastAsiaTheme="majorEastAsia" w:hAnsi="Arial" w:cs="Arial"/>
          <w:sz w:val="22"/>
          <w:szCs w:val="22"/>
        </w:rPr>
        <w:t>in order to</w:t>
      </w:r>
      <w:proofErr w:type="gramEnd"/>
      <w:r>
        <w:rPr>
          <w:rStyle w:val="normaltextrun"/>
          <w:rFonts w:ascii="Arial" w:eastAsiaTheme="majorEastAsia" w:hAnsi="Arial" w:cs="Arial"/>
          <w:sz w:val="22"/>
          <w:szCs w:val="22"/>
        </w:rPr>
        <w:t xml:space="preserve"> provide a level playing field, any regulation of pre-hedging by ESMA should not only cover RFQ, but any scenarios in which one market participant discloses its interest buying/selling in a financial instrument selectively to another market participant or limited set of market participants, as with, e.g., Systematic </w:t>
      </w:r>
      <w:proofErr w:type="spellStart"/>
      <w:r>
        <w:rPr>
          <w:rStyle w:val="normaltextrun"/>
          <w:rFonts w:ascii="Arial" w:eastAsiaTheme="majorEastAsia" w:hAnsi="Arial" w:cs="Arial"/>
          <w:sz w:val="22"/>
          <w:szCs w:val="22"/>
        </w:rPr>
        <w:t>Internalisers</w:t>
      </w:r>
      <w:proofErr w:type="spellEnd"/>
      <w:r>
        <w:rPr>
          <w:rStyle w:val="normaltextrun"/>
          <w:rFonts w:ascii="Arial" w:eastAsiaTheme="majorEastAsia" w:hAnsi="Arial" w:cs="Arial"/>
          <w:sz w:val="22"/>
          <w:szCs w:val="22"/>
        </w:rPr>
        <w:t xml:space="preserve"> (SIs). Any new rules </w:t>
      </w:r>
      <w:r>
        <w:rPr>
          <w:rStyle w:val="normaltextrun"/>
          <w:rFonts w:ascii="Arial" w:eastAsiaTheme="majorEastAsia" w:hAnsi="Arial" w:cs="Arial"/>
          <w:sz w:val="22"/>
          <w:szCs w:val="22"/>
        </w:rPr>
        <w:lastRenderedPageBreak/>
        <w:t>or guidance should be system and technology agnostic. Otherwise, these rules will not be appropriately scoped, to the detriment of fair and orderly markets and investor protection. An un-level playing field could also shift activity away from regulated RFQ trading venues to SIs and OTC.</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75960C45" w14:textId="77777777" w:rsidR="001654B9" w:rsidRDefault="006C65C0" w:rsidP="0086633C">
      <w:pPr>
        <w:jc w:val="both"/>
        <w:rPr>
          <w:rStyle w:val="normaltextrun"/>
          <w:rFonts w:ascii="Arial" w:eastAsiaTheme="majorEastAsia" w:hAnsi="Arial" w:cs="Arial"/>
          <w:sz w:val="22"/>
          <w:szCs w:val="22"/>
        </w:rPr>
      </w:pPr>
      <w:permStart w:id="1817013114" w:edGrp="everyone"/>
      <w:r>
        <w:rPr>
          <w:rStyle w:val="normaltextrun"/>
          <w:rFonts w:ascii="Arial" w:eastAsiaTheme="majorEastAsia" w:hAnsi="Arial" w:cs="Arial"/>
          <w:sz w:val="22"/>
          <w:szCs w:val="22"/>
        </w:rPr>
        <w:t>DBG</w:t>
      </w:r>
      <w:r w:rsidRPr="006C65C0">
        <w:rPr>
          <w:rStyle w:val="normaltextrun"/>
          <w:rFonts w:ascii="Arial" w:eastAsiaTheme="majorEastAsia" w:hAnsi="Arial" w:cs="Arial"/>
          <w:sz w:val="22"/>
          <w:szCs w:val="22"/>
        </w:rPr>
        <w:t xml:space="preserve"> agree</w:t>
      </w:r>
      <w:r>
        <w:rPr>
          <w:rStyle w:val="normaltextrun"/>
          <w:rFonts w:ascii="Arial" w:eastAsiaTheme="majorEastAsia" w:hAnsi="Arial" w:cs="Arial"/>
          <w:sz w:val="22"/>
          <w:szCs w:val="22"/>
        </w:rPr>
        <w:t>s</w:t>
      </w:r>
      <w:r w:rsidRPr="006C65C0">
        <w:rPr>
          <w:rStyle w:val="normaltextrun"/>
          <w:rFonts w:ascii="Arial" w:eastAsiaTheme="majorEastAsia" w:hAnsi="Arial" w:cs="Arial"/>
          <w:sz w:val="22"/>
          <w:szCs w:val="22"/>
        </w:rPr>
        <w:t xml:space="preserve"> with the proposed distinction between hedging and pre-hedging, however, when going through the examples in the table on p.9 we would like to point out that it can only be considered pre-hedging when hedging is done in good faith. The distinction between pre-hedging and front running can be made depending on whether the consent is provided by the client. Thus, the two first examples should be considered as </w:t>
      </w:r>
      <w:proofErr w:type="gramStart"/>
      <w:r w:rsidRPr="006C65C0">
        <w:rPr>
          <w:rStyle w:val="normaltextrun"/>
          <w:rFonts w:ascii="Arial" w:eastAsiaTheme="majorEastAsia" w:hAnsi="Arial" w:cs="Arial"/>
          <w:sz w:val="22"/>
          <w:szCs w:val="22"/>
        </w:rPr>
        <w:t>front-running</w:t>
      </w:r>
      <w:proofErr w:type="gramEnd"/>
      <w:r w:rsidRPr="006C65C0">
        <w:rPr>
          <w:rStyle w:val="normaltextrun"/>
          <w:rFonts w:ascii="Arial" w:eastAsiaTheme="majorEastAsia" w:hAnsi="Arial" w:cs="Arial"/>
          <w:sz w:val="22"/>
          <w:szCs w:val="22"/>
        </w:rPr>
        <w:t xml:space="preserve"> because of the above reasons.</w:t>
      </w:r>
    </w:p>
    <w:permEnd w:id="1817013114"/>
    <w:p w14:paraId="3D1CE017" w14:textId="664EBC2E"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14F4906A" w14:textId="1B534CB6" w:rsidR="006D54EA" w:rsidRPr="006D54EA" w:rsidRDefault="006D54EA" w:rsidP="0086633C">
      <w:pPr>
        <w:jc w:val="both"/>
        <w:rPr>
          <w:rStyle w:val="normaltextrun"/>
          <w:rFonts w:ascii="Arial" w:eastAsiaTheme="majorEastAsia" w:hAnsi="Arial" w:cs="Arial"/>
          <w:sz w:val="22"/>
          <w:szCs w:val="22"/>
        </w:rPr>
      </w:pPr>
      <w:permStart w:id="810027983" w:edGrp="everyone"/>
      <w:r w:rsidRPr="006D54EA">
        <w:rPr>
          <w:rStyle w:val="normaltextrun"/>
          <w:rFonts w:ascii="Arial" w:eastAsiaTheme="majorEastAsia" w:hAnsi="Arial" w:cs="Arial"/>
          <w:sz w:val="22"/>
          <w:szCs w:val="22"/>
        </w:rPr>
        <w:t>DBG considers that f</w:t>
      </w:r>
      <w:r w:rsidRPr="006D54EA">
        <w:rPr>
          <w:rStyle w:val="normaltextrun"/>
          <w:rFonts w:ascii="Arial" w:eastAsiaTheme="majorEastAsia" w:hAnsi="Arial" w:cs="Arial"/>
          <w:sz w:val="22"/>
          <w:szCs w:val="22"/>
        </w:rPr>
        <w:t xml:space="preserve">or the assessment of whether pre-hedging is considered legitimate it should not make a difference if the "last look" is allowed or not. All trades concluded in related instruments before the final transaction took place resp. before a binding agreement, which cannot be amended anymore, is done need to be evaluated in terms of their legitimation.  </w:t>
      </w:r>
    </w:p>
    <w:p w14:paraId="0554EC6E" w14:textId="77777777" w:rsidR="006D54EA" w:rsidRPr="006D54EA" w:rsidRDefault="006D54EA" w:rsidP="006D54EA">
      <w:pPr>
        <w:rPr>
          <w:rStyle w:val="normaltextrun"/>
          <w:rFonts w:ascii="Arial" w:eastAsiaTheme="majorEastAsia" w:hAnsi="Arial" w:cs="Arial"/>
          <w:sz w:val="22"/>
          <w:szCs w:val="22"/>
        </w:rPr>
      </w:pPr>
    </w:p>
    <w:p w14:paraId="25FEFB19" w14:textId="77777777" w:rsidR="006D54EA" w:rsidRPr="006D54EA" w:rsidRDefault="006D54EA" w:rsidP="006D54EA">
      <w:pPr>
        <w:rPr>
          <w:rStyle w:val="normaltextrun"/>
          <w:rFonts w:ascii="Arial" w:eastAsiaTheme="majorEastAsia" w:hAnsi="Arial" w:cs="Arial"/>
          <w:sz w:val="22"/>
          <w:szCs w:val="22"/>
        </w:rPr>
      </w:pPr>
      <w:r w:rsidRPr="006D54EA">
        <w:rPr>
          <w:rStyle w:val="normaltextrun"/>
          <w:rFonts w:ascii="Arial" w:eastAsiaTheme="majorEastAsia" w:hAnsi="Arial" w:cs="Arial"/>
          <w:sz w:val="22"/>
          <w:szCs w:val="22"/>
        </w:rPr>
        <w:t xml:space="preserve">Please also see more detailed examples below: </w:t>
      </w:r>
    </w:p>
    <w:p w14:paraId="41F3BE55" w14:textId="77777777" w:rsidR="006D54EA" w:rsidRPr="006D54EA" w:rsidRDefault="006D54EA" w:rsidP="006D54EA">
      <w:pPr>
        <w:rPr>
          <w:rStyle w:val="normaltextrun"/>
          <w:rFonts w:ascii="Arial" w:eastAsiaTheme="majorEastAsia" w:hAnsi="Arial" w:cs="Arial"/>
          <w:sz w:val="22"/>
          <w:szCs w:val="22"/>
        </w:rPr>
      </w:pPr>
    </w:p>
    <w:p w14:paraId="3ED98AF6" w14:textId="77777777" w:rsidR="006D54EA" w:rsidRPr="006D54EA" w:rsidRDefault="006D54EA" w:rsidP="0086633C">
      <w:pPr>
        <w:jc w:val="both"/>
        <w:rPr>
          <w:rStyle w:val="normaltextrun"/>
          <w:rFonts w:ascii="Arial" w:eastAsiaTheme="majorEastAsia" w:hAnsi="Arial" w:cs="Arial"/>
          <w:sz w:val="22"/>
          <w:szCs w:val="22"/>
        </w:rPr>
      </w:pPr>
      <w:r w:rsidRPr="006D54EA">
        <w:rPr>
          <w:rStyle w:val="normaltextrun"/>
          <w:rFonts w:ascii="Arial" w:eastAsiaTheme="majorEastAsia" w:hAnsi="Arial" w:cs="Arial"/>
          <w:sz w:val="22"/>
          <w:szCs w:val="22"/>
        </w:rPr>
        <w:t xml:space="preserve">If the “last look” is done by the requester once an LP has attempted to deal against a price, this should be certainly considered as pre-hedging, because it is done in good faith that the deal will be agreed, and the hedge is valid.   </w:t>
      </w:r>
    </w:p>
    <w:p w14:paraId="3AB4CF2B" w14:textId="77777777" w:rsidR="006D54EA" w:rsidRPr="006D54EA" w:rsidRDefault="006D54EA" w:rsidP="006D54EA">
      <w:pPr>
        <w:rPr>
          <w:rStyle w:val="normaltextrun"/>
          <w:rFonts w:ascii="Arial" w:eastAsiaTheme="majorEastAsia" w:hAnsi="Arial" w:cs="Arial"/>
          <w:sz w:val="22"/>
          <w:szCs w:val="22"/>
        </w:rPr>
      </w:pPr>
    </w:p>
    <w:p w14:paraId="457C6941" w14:textId="77777777" w:rsidR="006D54EA" w:rsidRPr="006D54EA" w:rsidRDefault="006D54EA" w:rsidP="0086633C">
      <w:pPr>
        <w:jc w:val="both"/>
        <w:rPr>
          <w:rStyle w:val="normaltextrun"/>
          <w:rFonts w:ascii="Arial" w:eastAsiaTheme="majorEastAsia" w:hAnsi="Arial" w:cs="Arial"/>
          <w:sz w:val="22"/>
          <w:szCs w:val="22"/>
        </w:rPr>
      </w:pPr>
      <w:r w:rsidRPr="006D54EA">
        <w:rPr>
          <w:rStyle w:val="normaltextrun"/>
          <w:rFonts w:ascii="Arial" w:eastAsiaTheme="majorEastAsia" w:hAnsi="Arial" w:cs="Arial"/>
          <w:sz w:val="22"/>
          <w:szCs w:val="22"/>
        </w:rPr>
        <w:t xml:space="preserve">If an LP has “last look” then it is still a valid pre-hedge, but it is open to manipulation by the LP.   </w:t>
      </w:r>
    </w:p>
    <w:p w14:paraId="50DECB23" w14:textId="77777777" w:rsidR="006D54EA" w:rsidRPr="006D54EA" w:rsidRDefault="006D54EA" w:rsidP="006D54EA">
      <w:pPr>
        <w:rPr>
          <w:rStyle w:val="normaltextrun"/>
          <w:rFonts w:ascii="Arial" w:eastAsiaTheme="majorEastAsia" w:hAnsi="Arial" w:cs="Arial"/>
          <w:sz w:val="22"/>
          <w:szCs w:val="22"/>
        </w:rPr>
      </w:pPr>
    </w:p>
    <w:p w14:paraId="0E23E678" w14:textId="77777777" w:rsidR="006D54EA" w:rsidRPr="006D54EA" w:rsidRDefault="006D54EA" w:rsidP="0086633C">
      <w:pPr>
        <w:jc w:val="both"/>
        <w:rPr>
          <w:rStyle w:val="normaltextrun"/>
          <w:rFonts w:ascii="Arial" w:eastAsiaTheme="majorEastAsia" w:hAnsi="Arial" w:cs="Arial"/>
          <w:sz w:val="22"/>
          <w:szCs w:val="22"/>
        </w:rPr>
      </w:pPr>
      <w:r w:rsidRPr="006D54EA">
        <w:rPr>
          <w:rStyle w:val="normaltextrun"/>
          <w:rFonts w:ascii="Arial" w:eastAsiaTheme="majorEastAsia" w:hAnsi="Arial" w:cs="Arial"/>
          <w:sz w:val="22"/>
          <w:szCs w:val="22"/>
        </w:rPr>
        <w:t xml:space="preserve">However, if an LP hedges when hit on a quote but then declines the deal via “last look”, this is not done in good faith and shall be viewed as front running.  </w:t>
      </w:r>
    </w:p>
    <w:p w14:paraId="124D3A86" w14:textId="77777777" w:rsidR="006D54EA" w:rsidRPr="006D54EA" w:rsidRDefault="006D54EA" w:rsidP="006D54EA">
      <w:pPr>
        <w:rPr>
          <w:rStyle w:val="normaltextrun"/>
          <w:rFonts w:ascii="Arial" w:eastAsiaTheme="majorEastAsia" w:hAnsi="Arial" w:cs="Arial"/>
          <w:sz w:val="22"/>
          <w:szCs w:val="22"/>
        </w:rPr>
      </w:pPr>
    </w:p>
    <w:p w14:paraId="447B09BE" w14:textId="37CAF19C" w:rsidR="00A73299" w:rsidRDefault="006D54EA" w:rsidP="00A73299">
      <w:r w:rsidRPr="006D54EA">
        <w:rPr>
          <w:rStyle w:val="normaltextrun"/>
          <w:rFonts w:ascii="Arial" w:eastAsiaTheme="majorEastAsia" w:hAnsi="Arial" w:cs="Arial"/>
          <w:sz w:val="22"/>
          <w:szCs w:val="22"/>
        </w:rPr>
        <w:t>Thus, we agree with ESMA`s proposal on this specific trading practice.</w:t>
      </w:r>
      <w:r>
        <w:t xml:space="preserve"> </w:t>
      </w:r>
      <w:permEnd w:id="810027983"/>
      <w:r w:rsidR="00A73299">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6F15F10A" w14:textId="50AD2270" w:rsidR="00BA690C" w:rsidRPr="00BA690C" w:rsidRDefault="00BA690C" w:rsidP="00BA690C">
      <w:pPr>
        <w:jc w:val="both"/>
        <w:rPr>
          <w:rStyle w:val="normaltextrun"/>
          <w:rFonts w:ascii="Arial" w:eastAsiaTheme="majorEastAsia" w:hAnsi="Arial" w:cs="Arial"/>
          <w:sz w:val="22"/>
          <w:szCs w:val="22"/>
        </w:rPr>
      </w:pPr>
      <w:permStart w:id="1379824319" w:edGrp="everyone"/>
      <w:r w:rsidRPr="00BA690C">
        <w:rPr>
          <w:rStyle w:val="normaltextrun"/>
          <w:rFonts w:ascii="Arial" w:eastAsiaTheme="majorEastAsia" w:hAnsi="Arial" w:cs="Arial"/>
          <w:sz w:val="22"/>
          <w:szCs w:val="22"/>
        </w:rPr>
        <w:t xml:space="preserve">Although </w:t>
      </w:r>
      <w:r>
        <w:rPr>
          <w:rStyle w:val="normaltextrun"/>
          <w:rFonts w:ascii="Arial" w:eastAsiaTheme="majorEastAsia" w:hAnsi="Arial" w:cs="Arial"/>
          <w:sz w:val="22"/>
          <w:szCs w:val="22"/>
        </w:rPr>
        <w:t>DBG</w:t>
      </w:r>
      <w:r w:rsidRPr="00BA690C">
        <w:rPr>
          <w:rStyle w:val="normaltextrun"/>
          <w:rFonts w:ascii="Arial" w:eastAsiaTheme="majorEastAsia" w:hAnsi="Arial" w:cs="Arial"/>
          <w:sz w:val="22"/>
          <w:szCs w:val="22"/>
        </w:rPr>
        <w:t xml:space="preserve"> understand</w:t>
      </w:r>
      <w:r>
        <w:rPr>
          <w:rStyle w:val="normaltextrun"/>
          <w:rFonts w:ascii="Arial" w:eastAsiaTheme="majorEastAsia" w:hAnsi="Arial" w:cs="Arial"/>
          <w:sz w:val="22"/>
          <w:szCs w:val="22"/>
        </w:rPr>
        <w:t>s</w:t>
      </w:r>
      <w:r w:rsidRPr="00BA690C">
        <w:rPr>
          <w:rStyle w:val="normaltextrun"/>
          <w:rFonts w:ascii="Arial" w:eastAsiaTheme="majorEastAsia" w:hAnsi="Arial" w:cs="Arial"/>
          <w:sz w:val="22"/>
          <w:szCs w:val="22"/>
        </w:rPr>
        <w:t xml:space="preserve"> any of the stated arguments, we are of the view that pre-hedging should generally be banned instead of generally being permitted. In other words, </w:t>
      </w:r>
      <w:proofErr w:type="gramStart"/>
      <w:r w:rsidRPr="00BA690C">
        <w:rPr>
          <w:rStyle w:val="normaltextrun"/>
          <w:rFonts w:ascii="Arial" w:eastAsiaTheme="majorEastAsia" w:hAnsi="Arial" w:cs="Arial"/>
          <w:sz w:val="22"/>
          <w:szCs w:val="22"/>
        </w:rPr>
        <w:t>as long as</w:t>
      </w:r>
      <w:proofErr w:type="gramEnd"/>
      <w:r w:rsidRPr="00BA690C">
        <w:rPr>
          <w:rStyle w:val="normaltextrun"/>
          <w:rFonts w:ascii="Arial" w:eastAsiaTheme="majorEastAsia" w:hAnsi="Arial" w:cs="Arial"/>
          <w:sz w:val="22"/>
          <w:szCs w:val="22"/>
        </w:rPr>
        <w:t xml:space="preserve"> not all exactly defined preconditions are fulfilled, it should be treated as abusive market behaviour and thus not be permitted.  </w:t>
      </w:r>
    </w:p>
    <w:p w14:paraId="37CCF59C" w14:textId="77777777" w:rsidR="00BA690C" w:rsidRPr="00BA690C" w:rsidRDefault="00BA690C" w:rsidP="00BA690C">
      <w:pPr>
        <w:jc w:val="both"/>
        <w:rPr>
          <w:rStyle w:val="normaltextrun"/>
          <w:rFonts w:ascii="Arial" w:eastAsiaTheme="majorEastAsia" w:hAnsi="Arial" w:cs="Arial"/>
          <w:sz w:val="22"/>
          <w:szCs w:val="22"/>
        </w:rPr>
      </w:pPr>
    </w:p>
    <w:p w14:paraId="4CF72794" w14:textId="77777777" w:rsidR="00BA690C" w:rsidRPr="00BA690C" w:rsidRDefault="00BA690C" w:rsidP="00BA690C">
      <w:pPr>
        <w:jc w:val="both"/>
        <w:rPr>
          <w:rStyle w:val="normaltextrun"/>
          <w:rFonts w:ascii="Arial" w:eastAsiaTheme="majorEastAsia" w:hAnsi="Arial" w:cs="Arial"/>
          <w:sz w:val="22"/>
          <w:szCs w:val="22"/>
        </w:rPr>
      </w:pPr>
      <w:r w:rsidRPr="00BA690C">
        <w:rPr>
          <w:rStyle w:val="normaltextrun"/>
          <w:rFonts w:ascii="Arial" w:eastAsiaTheme="majorEastAsia" w:hAnsi="Arial" w:cs="Arial"/>
          <w:sz w:val="22"/>
          <w:szCs w:val="22"/>
        </w:rPr>
        <w:lastRenderedPageBreak/>
        <w:t xml:space="preserve">Pre-hedging can indeed benefit the requester, but for it to be in good faith, pre-hedging </w:t>
      </w:r>
      <w:proofErr w:type="gramStart"/>
      <w:r w:rsidRPr="00BA690C">
        <w:rPr>
          <w:rStyle w:val="normaltextrun"/>
          <w:rFonts w:ascii="Arial" w:eastAsiaTheme="majorEastAsia" w:hAnsi="Arial" w:cs="Arial"/>
          <w:sz w:val="22"/>
          <w:szCs w:val="22"/>
        </w:rPr>
        <w:t>has to</w:t>
      </w:r>
      <w:proofErr w:type="gramEnd"/>
      <w:r w:rsidRPr="00BA690C">
        <w:rPr>
          <w:rStyle w:val="normaltextrun"/>
          <w:rFonts w:ascii="Arial" w:eastAsiaTheme="majorEastAsia" w:hAnsi="Arial" w:cs="Arial"/>
          <w:sz w:val="22"/>
          <w:szCs w:val="22"/>
        </w:rPr>
        <w:t xml:space="preserve"> be done a) once a deal is agreed, or b) “last look” approval from the requester is pending, or c) at least where LP’s pre-hedging forms part of the agreement. </w:t>
      </w:r>
    </w:p>
    <w:p w14:paraId="40B644AA" w14:textId="77777777" w:rsidR="00BA690C" w:rsidRPr="00BA690C" w:rsidRDefault="00BA690C" w:rsidP="00BA690C">
      <w:pPr>
        <w:jc w:val="both"/>
        <w:rPr>
          <w:rStyle w:val="normaltextrun"/>
          <w:rFonts w:ascii="Arial" w:eastAsiaTheme="majorEastAsia" w:hAnsi="Arial" w:cs="Arial"/>
          <w:sz w:val="22"/>
          <w:szCs w:val="22"/>
        </w:rPr>
      </w:pPr>
    </w:p>
    <w:p w14:paraId="2B74F6D1" w14:textId="77777777" w:rsidR="00BA690C" w:rsidRPr="00BA690C" w:rsidRDefault="00BA690C" w:rsidP="00BA690C">
      <w:pPr>
        <w:jc w:val="both"/>
        <w:rPr>
          <w:rStyle w:val="normaltextrun"/>
          <w:rFonts w:ascii="Arial" w:eastAsiaTheme="majorEastAsia" w:hAnsi="Arial" w:cs="Arial"/>
          <w:sz w:val="22"/>
          <w:szCs w:val="22"/>
        </w:rPr>
      </w:pPr>
      <w:r w:rsidRPr="00BA690C">
        <w:rPr>
          <w:rStyle w:val="normaltextrun"/>
          <w:rFonts w:ascii="Arial" w:eastAsiaTheme="majorEastAsia" w:hAnsi="Arial" w:cs="Arial"/>
          <w:sz w:val="22"/>
          <w:szCs w:val="22"/>
        </w:rPr>
        <w:t xml:space="preserve">It can only be considered pre-hedging if full transparency is achieved, it is done in good faith and there are clear rules and requirements that can be traced. </w:t>
      </w:r>
    </w:p>
    <w:p w14:paraId="412D6739" w14:textId="77777777" w:rsidR="00BA690C" w:rsidRPr="00BA690C" w:rsidRDefault="00BA690C" w:rsidP="00BA690C">
      <w:pPr>
        <w:jc w:val="both"/>
        <w:rPr>
          <w:rStyle w:val="normaltextrun"/>
          <w:rFonts w:ascii="Arial" w:eastAsiaTheme="majorEastAsia" w:hAnsi="Arial" w:cs="Arial"/>
          <w:sz w:val="22"/>
          <w:szCs w:val="22"/>
        </w:rPr>
      </w:pPr>
    </w:p>
    <w:p w14:paraId="05DDD180" w14:textId="77777777" w:rsidR="00BA690C" w:rsidRPr="00BA690C" w:rsidRDefault="00BA690C" w:rsidP="00BA690C">
      <w:pPr>
        <w:jc w:val="both"/>
        <w:rPr>
          <w:rStyle w:val="normaltextrun"/>
          <w:rFonts w:ascii="Arial" w:eastAsiaTheme="majorEastAsia" w:hAnsi="Arial" w:cs="Arial"/>
          <w:sz w:val="22"/>
          <w:szCs w:val="22"/>
        </w:rPr>
      </w:pPr>
      <w:r w:rsidRPr="00BA690C">
        <w:rPr>
          <w:rStyle w:val="normaltextrun"/>
          <w:rFonts w:ascii="Arial" w:eastAsiaTheme="majorEastAsia" w:hAnsi="Arial" w:cs="Arial"/>
          <w:sz w:val="22"/>
          <w:szCs w:val="22"/>
        </w:rPr>
        <w:t>As to p.21, we would like to emphasize that even in liquid or also very liquid assets the LP may still want to be delta neutral on the trade. However, with regards to illiquid markets we see, on the contrary, more risk of abusive pre-hedging practices as such illiquid markets are more likely to be impacted from pre-hedging activities (</w:t>
      </w:r>
      <w:proofErr w:type="spellStart"/>
      <w:r w:rsidRPr="00BA690C">
        <w:rPr>
          <w:rStyle w:val="normaltextrun"/>
          <w:rFonts w:ascii="Arial" w:eastAsiaTheme="majorEastAsia" w:hAnsi="Arial" w:cs="Arial"/>
          <w:sz w:val="22"/>
          <w:szCs w:val="22"/>
        </w:rPr>
        <w:t>eg.</w:t>
      </w:r>
      <w:proofErr w:type="spellEnd"/>
      <w:r w:rsidRPr="00BA690C">
        <w:rPr>
          <w:rStyle w:val="normaltextrun"/>
          <w:rFonts w:ascii="Arial" w:eastAsiaTheme="majorEastAsia" w:hAnsi="Arial" w:cs="Arial"/>
          <w:sz w:val="22"/>
          <w:szCs w:val="22"/>
        </w:rPr>
        <w:t xml:space="preserve"> price movements to the detriment of the customers).  </w:t>
      </w:r>
    </w:p>
    <w:p w14:paraId="29BABC2C" w14:textId="77777777" w:rsidR="00BA690C" w:rsidRPr="00BA690C" w:rsidRDefault="00BA690C" w:rsidP="00BA690C">
      <w:pPr>
        <w:jc w:val="both"/>
        <w:rPr>
          <w:rStyle w:val="normaltextrun"/>
          <w:rFonts w:ascii="Arial" w:eastAsiaTheme="majorEastAsia" w:hAnsi="Arial" w:cs="Arial"/>
          <w:sz w:val="22"/>
          <w:szCs w:val="22"/>
        </w:rPr>
      </w:pPr>
    </w:p>
    <w:p w14:paraId="2F48E25C" w14:textId="77777777" w:rsidR="00EB657B" w:rsidRDefault="00BA690C" w:rsidP="00EB657B">
      <w:pPr>
        <w:jc w:val="both"/>
      </w:pPr>
      <w:r w:rsidRPr="00BA690C">
        <w:rPr>
          <w:rStyle w:val="normaltextrun"/>
          <w:rFonts w:ascii="Arial" w:eastAsiaTheme="majorEastAsia" w:hAnsi="Arial" w:cs="Arial"/>
          <w:sz w:val="22"/>
          <w:szCs w:val="22"/>
        </w:rPr>
        <w:t>Furthermore, as ESMA is already referencing the approach taken by FINRA (USA) and Canada as well as the GFXC principles in the paragraphs to which this number relates, DBG would welcome that ESMA coordinates (to the extent possibly) any pre-hedging regulation also with other authorities on an international level (esp. USA, UK) in order to provide a level playing field and to avoid a distortion of competition disadvantaging European RFQ system provider and liquidity provider.</w:t>
      </w:r>
      <w:r>
        <w:t xml:space="preserve"> </w:t>
      </w:r>
    </w:p>
    <w:permEnd w:id="1379824319"/>
    <w:p w14:paraId="19E8F0D9" w14:textId="280051A5"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5173B301" w14:textId="0134CAC4" w:rsidR="00EB657B" w:rsidRDefault="00EB657B" w:rsidP="00EB657B">
      <w:pPr>
        <w:pStyle w:val="paragraph"/>
        <w:spacing w:before="0" w:beforeAutospacing="0" w:after="0" w:afterAutospacing="0"/>
        <w:jc w:val="both"/>
        <w:textAlignment w:val="baseline"/>
        <w:rPr>
          <w:rStyle w:val="eop"/>
          <w:rFonts w:ascii="Arial" w:eastAsiaTheme="majorEastAsia" w:hAnsi="Arial" w:cs="Arial"/>
          <w:sz w:val="22"/>
          <w:szCs w:val="22"/>
        </w:rPr>
      </w:pPr>
      <w:permStart w:id="554985269" w:edGrp="everyone"/>
      <w:r>
        <w:rPr>
          <w:rStyle w:val="normaltextrun"/>
          <w:rFonts w:ascii="Arial" w:eastAsiaTheme="majorEastAsia" w:hAnsi="Arial" w:cs="Arial"/>
          <w:sz w:val="22"/>
          <w:szCs w:val="22"/>
        </w:rPr>
        <w:t>DBG is of the view that t</w:t>
      </w:r>
      <w:r>
        <w:rPr>
          <w:rStyle w:val="normaltextrun"/>
          <w:rFonts w:ascii="Arial" w:eastAsiaTheme="majorEastAsia" w:hAnsi="Arial" w:cs="Arial"/>
          <w:sz w:val="22"/>
          <w:szCs w:val="22"/>
        </w:rPr>
        <w:t xml:space="preserve">he ex-ante information </w:t>
      </w:r>
      <w:proofErr w:type="gramStart"/>
      <w:r>
        <w:rPr>
          <w:rStyle w:val="normaltextrun"/>
          <w:rFonts w:ascii="Arial" w:eastAsiaTheme="majorEastAsia" w:hAnsi="Arial" w:cs="Arial"/>
          <w:sz w:val="22"/>
          <w:szCs w:val="22"/>
        </w:rPr>
        <w:t>has to</w:t>
      </w:r>
      <w:proofErr w:type="gramEnd"/>
      <w:r>
        <w:rPr>
          <w:rStyle w:val="normaltextrun"/>
          <w:rFonts w:ascii="Arial" w:eastAsiaTheme="majorEastAsia" w:hAnsi="Arial" w:cs="Arial"/>
          <w:sz w:val="22"/>
          <w:szCs w:val="22"/>
        </w:rPr>
        <w:t xml:space="preserve"> be precise (instrument, buy or sell, quantity, time frame). Depending on which market the transaction is planned to be executed, the liquidity of the instrument on that market in relation to the requested transaction quantity is crucial for the assessment of any price impacts, meaning foreseeable transactions volume is significant enough to ‘move the value’ of that product, or correlating product.  </w:t>
      </w:r>
      <w:r>
        <w:rPr>
          <w:rStyle w:val="eop"/>
          <w:rFonts w:ascii="Arial" w:eastAsiaTheme="majorEastAsia" w:hAnsi="Arial" w:cs="Arial"/>
          <w:sz w:val="22"/>
          <w:szCs w:val="22"/>
        </w:rPr>
        <w:t> </w:t>
      </w:r>
    </w:p>
    <w:p w14:paraId="6153720E" w14:textId="77777777" w:rsidR="00EB657B" w:rsidRDefault="00EB657B" w:rsidP="00EB657B">
      <w:pPr>
        <w:pStyle w:val="paragraph"/>
        <w:spacing w:before="0" w:beforeAutospacing="0" w:after="0" w:afterAutospacing="0"/>
        <w:jc w:val="both"/>
        <w:textAlignment w:val="baseline"/>
        <w:rPr>
          <w:rFonts w:ascii="Segoe UI" w:hAnsi="Segoe UI" w:cs="Segoe UI"/>
          <w:sz w:val="18"/>
          <w:szCs w:val="18"/>
        </w:rPr>
      </w:pPr>
    </w:p>
    <w:p w14:paraId="5EA70DB8" w14:textId="78447F78" w:rsidR="00EB657B" w:rsidRDefault="00EB657B" w:rsidP="00EB65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xml:space="preserve">Also, the time frame of the execution is important, e.g., when the transaction needs to be concluded outside the main trading time. In addition, the time of execution of any correlating instrument once a foreseeable transaction has presented itself is crucial </w:t>
      </w:r>
      <w:proofErr w:type="gramStart"/>
      <w:r>
        <w:rPr>
          <w:rStyle w:val="normaltextrun"/>
          <w:rFonts w:ascii="Arial" w:eastAsiaTheme="majorEastAsia" w:hAnsi="Arial" w:cs="Arial"/>
          <w:sz w:val="22"/>
          <w:szCs w:val="22"/>
        </w:rPr>
        <w:t>in order to</w:t>
      </w:r>
      <w:proofErr w:type="gramEnd"/>
      <w:r>
        <w:rPr>
          <w:rStyle w:val="normaltextrun"/>
          <w:rFonts w:ascii="Arial" w:eastAsiaTheme="majorEastAsia" w:hAnsi="Arial" w:cs="Arial"/>
          <w:sz w:val="22"/>
          <w:szCs w:val="22"/>
        </w:rPr>
        <w:t xml:space="preserve"> properly assess if it was not front running. For this to happen the process certainly would need to be fully electronic and exchange surveillance transparent.</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16430065" w14:textId="77777777" w:rsidR="00E55708" w:rsidRDefault="00E55708" w:rsidP="00A73299">
      <w:pPr>
        <w:rPr>
          <w:rStyle w:val="eop"/>
          <w:rFonts w:ascii="Arial" w:eastAsiaTheme="majorEastAsia" w:hAnsi="Arial" w:cs="Arial"/>
          <w:color w:val="000000"/>
          <w:sz w:val="22"/>
          <w:szCs w:val="22"/>
          <w:shd w:val="clear" w:color="auto" w:fill="FFFFFF"/>
        </w:rPr>
      </w:pPr>
      <w:permStart w:id="116469412" w:edGrp="everyone"/>
      <w:r>
        <w:rPr>
          <w:rStyle w:val="normaltextrun"/>
          <w:rFonts w:ascii="Arial" w:eastAsiaTheme="majorEastAsia" w:hAnsi="Arial" w:cs="Arial"/>
          <w:color w:val="000000"/>
          <w:sz w:val="22"/>
          <w:szCs w:val="22"/>
          <w:shd w:val="clear" w:color="auto" w:fill="FFFFFF"/>
        </w:rPr>
        <w:t>DBG</w:t>
      </w:r>
      <w:r>
        <w:rPr>
          <w:rStyle w:val="normaltextrun"/>
          <w:rFonts w:ascii="Arial" w:eastAsiaTheme="majorEastAsia" w:hAnsi="Arial" w:cs="Arial"/>
          <w:color w:val="000000"/>
          <w:sz w:val="22"/>
          <w:szCs w:val="22"/>
          <w:shd w:val="clear" w:color="auto" w:fill="FFFFFF"/>
        </w:rPr>
        <w:t xml:space="preserve"> agree</w:t>
      </w:r>
      <w:r>
        <w:rPr>
          <w:rStyle w:val="normaltextrun"/>
          <w:rFonts w:ascii="Arial" w:eastAsiaTheme="majorEastAsia" w:hAnsi="Arial" w:cs="Arial"/>
          <w:color w:val="000000"/>
          <w:sz w:val="22"/>
          <w:szCs w:val="22"/>
          <w:shd w:val="clear" w:color="auto" w:fill="FFFFFF"/>
        </w:rPr>
        <w:t>s</w:t>
      </w:r>
      <w:r>
        <w:rPr>
          <w:rStyle w:val="normaltextrun"/>
          <w:rFonts w:ascii="Arial" w:eastAsiaTheme="majorEastAsia" w:hAnsi="Arial" w:cs="Arial"/>
          <w:color w:val="000000"/>
          <w:sz w:val="22"/>
          <w:szCs w:val="22"/>
          <w:shd w:val="clear" w:color="auto" w:fill="FFFFFF"/>
        </w:rPr>
        <w:t>. Typically, LPs will always know which way clients are trading, even if they ask for a two-way price.</w:t>
      </w:r>
      <w:r>
        <w:rPr>
          <w:rStyle w:val="eop"/>
          <w:rFonts w:ascii="Arial" w:eastAsiaTheme="majorEastAsia" w:hAnsi="Arial" w:cs="Arial"/>
          <w:color w:val="000000"/>
          <w:sz w:val="22"/>
          <w:szCs w:val="22"/>
          <w:shd w:val="clear" w:color="auto" w:fill="FFFFFF"/>
        </w:rPr>
        <w:t> </w:t>
      </w:r>
    </w:p>
    <w:permEnd w:id="116469412"/>
    <w:p w14:paraId="50BB3AA9" w14:textId="11C38E9E"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lastRenderedPageBreak/>
        <w:t>&lt;ESMA_QUESTION_PHDG_8&gt;</w:t>
      </w:r>
    </w:p>
    <w:p w14:paraId="7EB4D76D" w14:textId="1F646BDB" w:rsidR="008E502D" w:rsidRDefault="008E502D" w:rsidP="008E502D">
      <w:pPr>
        <w:pStyle w:val="paragraph"/>
        <w:spacing w:before="0" w:beforeAutospacing="0" w:after="0" w:afterAutospacing="0"/>
        <w:jc w:val="both"/>
        <w:textAlignment w:val="baseline"/>
        <w:rPr>
          <w:rStyle w:val="eop"/>
          <w:rFonts w:ascii="Arial" w:eastAsiaTheme="majorEastAsia" w:hAnsi="Arial" w:cs="Arial"/>
          <w:sz w:val="22"/>
          <w:szCs w:val="22"/>
        </w:rPr>
      </w:pPr>
      <w:permStart w:id="2023978491" w:edGrp="everyone"/>
      <w:r>
        <w:rPr>
          <w:rStyle w:val="normaltextrun"/>
          <w:rFonts w:ascii="Arial" w:eastAsiaTheme="majorEastAsia" w:hAnsi="Arial" w:cs="Arial"/>
          <w:sz w:val="22"/>
          <w:szCs w:val="22"/>
        </w:rPr>
        <w:t>DBG</w:t>
      </w:r>
      <w:r>
        <w:rPr>
          <w:rStyle w:val="normaltextrun"/>
          <w:rFonts w:ascii="Arial" w:eastAsiaTheme="majorEastAsia" w:hAnsi="Arial" w:cs="Arial"/>
          <w:sz w:val="22"/>
          <w:szCs w:val="22"/>
        </w:rPr>
        <w:t xml:space="preserve"> agree</w:t>
      </w:r>
      <w:r>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with ESMA that the size of an RFQ should be assessed in conjunction with other factors and variables present in the market at the time the RFQ is submitted, e.g. market conditions (type of trading, time of the day, volatility, any news relevant for the instrument to be traded resp. its underlying) and the liquidity of the specific financial instrument in the market to be traded as well as the size of the hedge required relative to the average volume of the hedging instrument</w:t>
      </w:r>
      <w:r>
        <w:rPr>
          <w:rStyle w:val="eop"/>
          <w:rFonts w:ascii="Arial" w:eastAsiaTheme="majorEastAsia" w:hAnsi="Arial" w:cs="Arial"/>
          <w:sz w:val="22"/>
          <w:szCs w:val="22"/>
        </w:rPr>
        <w:t> </w:t>
      </w:r>
    </w:p>
    <w:p w14:paraId="6A8A7E8F" w14:textId="77777777" w:rsidR="008E502D" w:rsidRDefault="008E502D" w:rsidP="008E502D">
      <w:pPr>
        <w:pStyle w:val="paragraph"/>
        <w:spacing w:before="0" w:beforeAutospacing="0" w:after="0" w:afterAutospacing="0"/>
        <w:jc w:val="both"/>
        <w:textAlignment w:val="baseline"/>
        <w:rPr>
          <w:rFonts w:ascii="Segoe UI" w:hAnsi="Segoe UI" w:cs="Segoe UI"/>
          <w:sz w:val="18"/>
          <w:szCs w:val="18"/>
        </w:rPr>
      </w:pPr>
    </w:p>
    <w:p w14:paraId="7AB96269" w14:textId="519969D2" w:rsidR="008E502D" w:rsidRDefault="008E502D" w:rsidP="008E502D">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 xml:space="preserve">Additionally, DBG suggests considering concretizing not only the criteria that need to be taken into account when assessing the price sensitivity on </w:t>
      </w:r>
      <w:proofErr w:type="gramStart"/>
      <w:r>
        <w:rPr>
          <w:rStyle w:val="normaltextrun"/>
          <w:rFonts w:ascii="Arial" w:eastAsiaTheme="majorEastAsia" w:hAnsi="Arial" w:cs="Arial"/>
          <w:sz w:val="22"/>
          <w:szCs w:val="22"/>
        </w:rPr>
        <w:t>a</w:t>
      </w:r>
      <w:proofErr w:type="gramEnd"/>
      <w:r>
        <w:rPr>
          <w:rStyle w:val="normaltextrun"/>
          <w:rFonts w:ascii="Arial" w:eastAsiaTheme="majorEastAsia" w:hAnsi="Arial" w:cs="Arial"/>
          <w:sz w:val="22"/>
          <w:szCs w:val="22"/>
        </w:rPr>
        <w:t xml:space="preserve"> RFQ, but also developing hard and concrete thresholds per criterion. This would be extremely beneficial for legal clarity and would help to monitor violations of this provision on an automated basis.</w:t>
      </w:r>
      <w:r>
        <w:rPr>
          <w:rStyle w:val="eop"/>
          <w:rFonts w:ascii="Arial" w:eastAsiaTheme="majorEastAsia" w:hAnsi="Arial" w:cs="Arial"/>
          <w:sz w:val="22"/>
          <w:szCs w:val="22"/>
        </w:rPr>
        <w:t> </w:t>
      </w:r>
    </w:p>
    <w:p w14:paraId="057D7209" w14:textId="77777777" w:rsidR="008E502D" w:rsidRDefault="008E502D" w:rsidP="008E502D">
      <w:pPr>
        <w:pStyle w:val="paragraph"/>
        <w:spacing w:before="0" w:beforeAutospacing="0" w:after="0" w:afterAutospacing="0"/>
        <w:jc w:val="both"/>
        <w:textAlignment w:val="baseline"/>
        <w:rPr>
          <w:rFonts w:ascii="Segoe UI" w:hAnsi="Segoe UI" w:cs="Segoe UI"/>
          <w:sz w:val="18"/>
          <w:szCs w:val="18"/>
        </w:rPr>
      </w:pPr>
    </w:p>
    <w:p w14:paraId="1479597E" w14:textId="77777777" w:rsidR="001F15F5" w:rsidRDefault="008E502D" w:rsidP="00A73299">
      <w:pPr>
        <w:rPr>
          <w:rStyle w:val="normaltextrun"/>
          <w:rFonts w:ascii="Arial" w:eastAsiaTheme="majorEastAsia" w:hAnsi="Arial" w:cs="Arial"/>
          <w:sz w:val="22"/>
          <w:szCs w:val="22"/>
        </w:rPr>
      </w:pPr>
      <w:r>
        <w:rPr>
          <w:rStyle w:val="normaltextrun"/>
          <w:rFonts w:ascii="Arial" w:eastAsiaTheme="majorEastAsia" w:hAnsi="Arial" w:cs="Arial"/>
          <w:sz w:val="22"/>
          <w:szCs w:val="22"/>
        </w:rPr>
        <w:t>We also suggest that without full electronification the policing of this will be almost impossible.</w:t>
      </w:r>
    </w:p>
    <w:permEnd w:id="2023978491"/>
    <w:p w14:paraId="3CCFEE0A" w14:textId="1C982969"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2E10CDE3" w14:textId="342B53FD" w:rsidR="000A10F0" w:rsidRDefault="000A10F0" w:rsidP="000A10F0">
      <w:pPr>
        <w:pStyle w:val="paragraph"/>
        <w:spacing w:before="0" w:beforeAutospacing="0" w:after="0" w:afterAutospacing="0"/>
        <w:jc w:val="both"/>
        <w:textAlignment w:val="baseline"/>
        <w:rPr>
          <w:rStyle w:val="eop"/>
          <w:rFonts w:ascii="Arial" w:eastAsiaTheme="majorEastAsia" w:hAnsi="Arial" w:cs="Arial"/>
          <w:sz w:val="22"/>
          <w:szCs w:val="22"/>
        </w:rPr>
      </w:pPr>
      <w:permStart w:id="1646090865" w:edGrp="everyone"/>
      <w:r>
        <w:rPr>
          <w:rStyle w:val="normaltextrun"/>
          <w:rFonts w:ascii="Arial" w:eastAsiaTheme="majorEastAsia" w:hAnsi="Arial" w:cs="Arial"/>
          <w:sz w:val="22"/>
          <w:szCs w:val="22"/>
        </w:rPr>
        <w:t>DBG</w:t>
      </w:r>
      <w:r>
        <w:rPr>
          <w:rStyle w:val="normaltextrun"/>
          <w:rFonts w:ascii="Arial" w:eastAsiaTheme="majorEastAsia" w:hAnsi="Arial" w:cs="Arial"/>
          <w:sz w:val="22"/>
          <w:szCs w:val="22"/>
        </w:rPr>
        <w:t xml:space="preserve"> agree</w:t>
      </w:r>
      <w:r>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with these cases. However, it should be noted that none of these can be translated into binding rules to legitimate pre-hedging as they are rather soft law and merely guidance information. And even if so, it would be difficult to prove the adherence to them.</w:t>
      </w:r>
      <w:r>
        <w:rPr>
          <w:rStyle w:val="eop"/>
          <w:rFonts w:ascii="Arial" w:eastAsiaTheme="majorEastAsia" w:hAnsi="Arial" w:cs="Arial"/>
          <w:sz w:val="22"/>
          <w:szCs w:val="22"/>
        </w:rPr>
        <w:t> </w:t>
      </w:r>
    </w:p>
    <w:p w14:paraId="7D41DB03" w14:textId="77777777" w:rsidR="000A10F0" w:rsidRDefault="000A10F0" w:rsidP="000A10F0">
      <w:pPr>
        <w:pStyle w:val="paragraph"/>
        <w:spacing w:before="0" w:beforeAutospacing="0" w:after="0" w:afterAutospacing="0"/>
        <w:jc w:val="both"/>
        <w:textAlignment w:val="baseline"/>
        <w:rPr>
          <w:rFonts w:ascii="Segoe UI" w:hAnsi="Segoe UI" w:cs="Segoe UI"/>
          <w:sz w:val="18"/>
          <w:szCs w:val="18"/>
        </w:rPr>
      </w:pPr>
    </w:p>
    <w:p w14:paraId="55B75594" w14:textId="28A3953B" w:rsidR="000A10F0" w:rsidRDefault="000A10F0" w:rsidP="000A10F0">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Pre-hedging is something that can only be justified if a) it reduces the risk on one’s book, or b) where the responder has hit/lifted requester quotes and the LP expects the “last look” approval from the requester/ client that is pending, or c) final exchange validations for an ETD is pending. We would add that it must be in the opposite direction to the strategy risk being put into the book as principal by dealing with the client either directly or via the agent.  Also, it does not necessarily have to be the exact amount of opposite risk.  </w:t>
      </w:r>
      <w:r>
        <w:rPr>
          <w:rStyle w:val="eop"/>
          <w:rFonts w:ascii="Arial" w:eastAsiaTheme="majorEastAsia" w:hAnsi="Arial" w:cs="Arial"/>
          <w:sz w:val="22"/>
          <w:szCs w:val="22"/>
        </w:rPr>
        <w:t> </w:t>
      </w:r>
    </w:p>
    <w:p w14:paraId="26646667" w14:textId="77777777" w:rsidR="000A10F0" w:rsidRDefault="000A10F0" w:rsidP="000A10F0">
      <w:pPr>
        <w:pStyle w:val="paragraph"/>
        <w:spacing w:before="0" w:beforeAutospacing="0" w:after="0" w:afterAutospacing="0"/>
        <w:jc w:val="both"/>
        <w:textAlignment w:val="baseline"/>
        <w:rPr>
          <w:rFonts w:ascii="Segoe UI" w:hAnsi="Segoe UI" w:cs="Segoe UI"/>
          <w:sz w:val="18"/>
          <w:szCs w:val="18"/>
        </w:rPr>
      </w:pPr>
    </w:p>
    <w:p w14:paraId="755AFFFB" w14:textId="74B9548F" w:rsidR="000A10F0" w:rsidRDefault="000A10F0" w:rsidP="000A10F0">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However, 29. a. states ‘at the time of transaction’. Please note that this is virtually impossible if it were to be taken literally, and furthermore, we believe that it should be allowed that pre-hedging can take place as part of the example three and four in the table on p.9.</w:t>
      </w:r>
      <w:r>
        <w:rPr>
          <w:rStyle w:val="eop"/>
          <w:rFonts w:ascii="Arial" w:eastAsiaTheme="majorEastAsia" w:hAnsi="Arial" w:cs="Arial"/>
          <w:sz w:val="22"/>
          <w:szCs w:val="22"/>
        </w:rPr>
        <w:t> </w:t>
      </w:r>
    </w:p>
    <w:p w14:paraId="04EDD54F" w14:textId="77777777" w:rsidR="000A10F0" w:rsidRDefault="000A10F0" w:rsidP="000A10F0">
      <w:pPr>
        <w:pStyle w:val="paragraph"/>
        <w:spacing w:before="0" w:beforeAutospacing="0" w:after="0" w:afterAutospacing="0"/>
        <w:jc w:val="both"/>
        <w:textAlignment w:val="baseline"/>
        <w:rPr>
          <w:rFonts w:ascii="Segoe UI" w:hAnsi="Segoe UI" w:cs="Segoe UI"/>
          <w:sz w:val="18"/>
          <w:szCs w:val="18"/>
        </w:rPr>
      </w:pPr>
    </w:p>
    <w:p w14:paraId="3F1B2BA2" w14:textId="77777777" w:rsidR="000A10F0" w:rsidRDefault="000A10F0" w:rsidP="000A10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We would also appreciate it if examples were elaborated and provided in relation to 29.c. since it is not clear how or when such a case would occur.</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70931CF5" w14:textId="77777777" w:rsidR="00EA15D1" w:rsidRPr="00EA15D1" w:rsidRDefault="00EA15D1" w:rsidP="00EA15D1">
      <w:pPr>
        <w:pStyle w:val="paragraph"/>
        <w:spacing w:before="0" w:beforeAutospacing="0" w:after="0" w:afterAutospacing="0"/>
        <w:jc w:val="both"/>
        <w:textAlignment w:val="baseline"/>
        <w:rPr>
          <w:rStyle w:val="normaltextrun"/>
          <w:rFonts w:ascii="Arial" w:eastAsiaTheme="majorEastAsia" w:hAnsi="Arial" w:cs="Arial"/>
          <w:sz w:val="22"/>
          <w:szCs w:val="22"/>
        </w:rPr>
      </w:pPr>
      <w:permStart w:id="104741344" w:edGrp="everyone"/>
      <w:r w:rsidRPr="00EA15D1">
        <w:rPr>
          <w:rStyle w:val="normaltextrun"/>
          <w:rFonts w:ascii="Arial" w:eastAsiaTheme="majorEastAsia" w:hAnsi="Arial" w:cs="Arial"/>
          <w:sz w:val="22"/>
          <w:szCs w:val="22"/>
        </w:rPr>
        <w:t>No, DBG cannot identify such examples.</w:t>
      </w:r>
    </w:p>
    <w:permEnd w:id="104741344"/>
    <w:p w14:paraId="47BEB52E" w14:textId="49F90073"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7ED4715F" w14:textId="77777777" w:rsidR="00B04518" w:rsidRDefault="00600F98" w:rsidP="00B04518">
      <w:pPr>
        <w:jc w:val="both"/>
        <w:rPr>
          <w:rStyle w:val="normaltextrun"/>
          <w:rFonts w:ascii="Arial" w:eastAsiaTheme="majorEastAsia" w:hAnsi="Arial" w:cs="Arial"/>
          <w:sz w:val="22"/>
          <w:szCs w:val="22"/>
        </w:rPr>
      </w:pPr>
      <w:permStart w:id="1736514824" w:edGrp="everyone"/>
      <w:r>
        <w:rPr>
          <w:rStyle w:val="normaltextrun"/>
          <w:rFonts w:ascii="Arial" w:eastAsiaTheme="majorEastAsia" w:hAnsi="Arial" w:cs="Arial"/>
          <w:sz w:val="22"/>
          <w:szCs w:val="22"/>
        </w:rPr>
        <w:lastRenderedPageBreak/>
        <w:t xml:space="preserve">No, </w:t>
      </w:r>
      <w:r>
        <w:rPr>
          <w:rStyle w:val="normaltextrun"/>
          <w:rFonts w:ascii="Arial" w:eastAsiaTheme="majorEastAsia" w:hAnsi="Arial" w:cs="Arial"/>
          <w:sz w:val="22"/>
          <w:szCs w:val="22"/>
        </w:rPr>
        <w:t xml:space="preserve">DBG is of the view that </w:t>
      </w:r>
      <w:r>
        <w:rPr>
          <w:rStyle w:val="normaltextrun"/>
          <w:rFonts w:ascii="Arial" w:eastAsiaTheme="majorEastAsia" w:hAnsi="Arial" w:cs="Arial"/>
          <w:sz w:val="22"/>
          <w:szCs w:val="22"/>
        </w:rPr>
        <w:t>under this condition pre-hedging is clearly not legitimated.</w:t>
      </w:r>
      <w:r>
        <w:rPr>
          <w:rStyle w:val="eop"/>
          <w:rFonts w:ascii="Arial" w:eastAsiaTheme="majorEastAsia" w:hAnsi="Arial" w:cs="Arial"/>
          <w:sz w:val="22"/>
          <w:szCs w:val="22"/>
        </w:rPr>
        <w:t> </w:t>
      </w:r>
      <w:r>
        <w:rPr>
          <w:rStyle w:val="normaltextrun"/>
          <w:rFonts w:ascii="Arial" w:eastAsiaTheme="majorEastAsia" w:hAnsi="Arial" w:cs="Arial"/>
          <w:sz w:val="22"/>
          <w:szCs w:val="22"/>
        </w:rPr>
        <w:t>Pre-hedging can only occur once a deal is agreed (not necessarily concluded) or “last look” approval from the requester/client is pending.  In other words. the LP is expecting to deal.</w:t>
      </w:r>
    </w:p>
    <w:permEnd w:id="1736514824"/>
    <w:p w14:paraId="362547F0" w14:textId="746FC48E"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7F6B693C" w14:textId="400736C9" w:rsidR="001A4CCC" w:rsidRDefault="001A4CCC" w:rsidP="007C2E7F">
      <w:pPr>
        <w:pStyle w:val="paragraph"/>
        <w:spacing w:before="0" w:beforeAutospacing="0" w:after="0" w:afterAutospacing="0"/>
        <w:jc w:val="both"/>
        <w:textAlignment w:val="baseline"/>
        <w:rPr>
          <w:rFonts w:ascii="Segoe UI" w:hAnsi="Segoe UI" w:cs="Segoe UI"/>
          <w:sz w:val="18"/>
          <w:szCs w:val="18"/>
        </w:rPr>
      </w:pPr>
      <w:permStart w:id="664279198" w:edGrp="everyone"/>
      <w:r>
        <w:rPr>
          <w:rStyle w:val="normaltextrun"/>
          <w:rFonts w:ascii="Arial" w:eastAsiaTheme="majorEastAsia" w:hAnsi="Arial" w:cs="Arial"/>
          <w:sz w:val="22"/>
          <w:szCs w:val="22"/>
        </w:rPr>
        <w:t>No</w:t>
      </w:r>
      <w:r w:rsidR="007C2E7F">
        <w:rPr>
          <w:rStyle w:val="normaltextrun"/>
          <w:rFonts w:ascii="Arial" w:eastAsiaTheme="majorEastAsia" w:hAnsi="Arial" w:cs="Arial"/>
          <w:sz w:val="22"/>
          <w:szCs w:val="22"/>
        </w:rPr>
        <w:t xml:space="preserve">, DBG cannot identify such financial instruments. </w:t>
      </w:r>
      <w:r>
        <w:rPr>
          <w:rStyle w:val="normaltextrun"/>
          <w:rFonts w:ascii="Arial" w:eastAsiaTheme="majorEastAsia" w:hAnsi="Arial" w:cs="Arial"/>
          <w:sz w:val="22"/>
          <w:szCs w:val="22"/>
        </w:rPr>
        <w:t xml:space="preserve">However, it is worth mentioning that any instrument that is not correlated to a strategy/deal that is pending (see Q11 above) cannot be considered as a hedging instrument.  According to the same argument, if the instrument is non-correlating, there would be nothing gained by front running the RFQ. The problem arises where the LP front-runs in a correlating instrument, but where there are more suitable correlating instruments because they have a higher correlation or liquidity or both.  An LP using one of these instruments would certainly be </w:t>
      </w:r>
      <w:proofErr w:type="gramStart"/>
      <w:r>
        <w:rPr>
          <w:rStyle w:val="normaltextrun"/>
          <w:rFonts w:ascii="Arial" w:eastAsiaTheme="majorEastAsia" w:hAnsi="Arial" w:cs="Arial"/>
          <w:sz w:val="22"/>
          <w:szCs w:val="22"/>
        </w:rPr>
        <w:t>opening up</w:t>
      </w:r>
      <w:proofErr w:type="gramEnd"/>
      <w:r>
        <w:rPr>
          <w:rStyle w:val="normaltextrun"/>
          <w:rFonts w:ascii="Arial" w:eastAsiaTheme="majorEastAsia" w:hAnsi="Arial" w:cs="Arial"/>
          <w:sz w:val="22"/>
          <w:szCs w:val="22"/>
        </w:rPr>
        <w:t xml:space="preserve"> to claims of front running.</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3EF52F06" w14:textId="2AF5B294" w:rsidR="006600A1" w:rsidRDefault="006600A1" w:rsidP="006600A1">
      <w:pPr>
        <w:pStyle w:val="paragraph"/>
        <w:spacing w:before="0" w:beforeAutospacing="0" w:after="0" w:afterAutospacing="0"/>
        <w:jc w:val="both"/>
        <w:textAlignment w:val="baseline"/>
        <w:rPr>
          <w:rStyle w:val="eop"/>
          <w:rFonts w:ascii="Arial" w:eastAsiaTheme="majorEastAsia" w:hAnsi="Arial" w:cs="Arial"/>
          <w:sz w:val="22"/>
          <w:szCs w:val="22"/>
        </w:rPr>
      </w:pPr>
      <w:permStart w:id="1472084367" w:edGrp="everyone"/>
      <w:r>
        <w:rPr>
          <w:rStyle w:val="normaltextrun"/>
          <w:rFonts w:ascii="Arial" w:eastAsiaTheme="majorEastAsia" w:hAnsi="Arial" w:cs="Arial"/>
          <w:sz w:val="22"/>
          <w:szCs w:val="22"/>
        </w:rPr>
        <w:t>DBG</w:t>
      </w:r>
      <w:r>
        <w:rPr>
          <w:rStyle w:val="normaltextrun"/>
          <w:rFonts w:ascii="Arial" w:eastAsiaTheme="majorEastAsia" w:hAnsi="Arial" w:cs="Arial"/>
          <w:sz w:val="22"/>
          <w:szCs w:val="22"/>
        </w:rPr>
        <w:t xml:space="preserve"> agree</w:t>
      </w:r>
      <w:r>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that the client’s express consent to pre-hedging (ideally in combination with the response/price with pre-hedging and without) could constitute a strong indicator of pre-hedging undertaken in the interest of the client. This consent on a case-by-case basis should therefore be </w:t>
      </w:r>
      <w:proofErr w:type="gramStart"/>
      <w:r>
        <w:rPr>
          <w:rStyle w:val="normaltextrun"/>
          <w:rFonts w:ascii="Arial" w:eastAsiaTheme="majorEastAsia" w:hAnsi="Arial" w:cs="Arial"/>
          <w:sz w:val="22"/>
          <w:szCs w:val="22"/>
        </w:rPr>
        <w:t>an absolutely necessary</w:t>
      </w:r>
      <w:proofErr w:type="gramEnd"/>
      <w:r>
        <w:rPr>
          <w:rStyle w:val="normaltextrun"/>
          <w:rFonts w:ascii="Arial" w:eastAsiaTheme="majorEastAsia" w:hAnsi="Arial" w:cs="Arial"/>
          <w:sz w:val="22"/>
          <w:szCs w:val="22"/>
        </w:rPr>
        <w:t xml:space="preserve"> part of the rules to be determined for legitimation of pre-hedging. </w:t>
      </w:r>
      <w:r>
        <w:rPr>
          <w:rStyle w:val="eop"/>
          <w:rFonts w:ascii="Arial" w:eastAsiaTheme="majorEastAsia" w:hAnsi="Arial" w:cs="Arial"/>
          <w:sz w:val="22"/>
          <w:szCs w:val="22"/>
        </w:rPr>
        <w:t> </w:t>
      </w:r>
    </w:p>
    <w:p w14:paraId="2ED0AD1C" w14:textId="77777777" w:rsidR="006600A1" w:rsidRDefault="006600A1" w:rsidP="006600A1">
      <w:pPr>
        <w:pStyle w:val="paragraph"/>
        <w:spacing w:before="0" w:beforeAutospacing="0" w:after="0" w:afterAutospacing="0"/>
        <w:jc w:val="both"/>
        <w:textAlignment w:val="baseline"/>
        <w:rPr>
          <w:rFonts w:ascii="Segoe UI" w:hAnsi="Segoe UI" w:cs="Segoe UI"/>
          <w:sz w:val="18"/>
          <w:szCs w:val="18"/>
        </w:rPr>
      </w:pPr>
    </w:p>
    <w:p w14:paraId="5F19DB56" w14:textId="193969A1" w:rsidR="006600A1" w:rsidRDefault="006600A1" w:rsidP="006600A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We believe that a case-by-case client approval is possible to obtain under any circumstances (email, chat, phone, etc.)</w:t>
      </w:r>
      <w:r w:rsidR="006B1DE4">
        <w:rPr>
          <w:rStyle w:val="eop"/>
          <w:rFonts w:ascii="Arial" w:eastAsiaTheme="majorEastAsia" w:hAnsi="Arial" w:cs="Arial"/>
          <w:sz w:val="22"/>
          <w:szCs w:val="22"/>
        </w:rPr>
        <w:t>.</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211F03E8" w14:textId="1F231996" w:rsidR="006B1DE4" w:rsidRDefault="006B1DE4" w:rsidP="006B1DE4">
      <w:pPr>
        <w:pStyle w:val="paragraph"/>
        <w:spacing w:before="0" w:beforeAutospacing="0" w:after="0" w:afterAutospacing="0"/>
        <w:jc w:val="both"/>
        <w:textAlignment w:val="baseline"/>
        <w:rPr>
          <w:rStyle w:val="eop"/>
          <w:rFonts w:ascii="Arial" w:eastAsiaTheme="majorEastAsia" w:hAnsi="Arial" w:cs="Arial"/>
          <w:sz w:val="22"/>
          <w:szCs w:val="22"/>
        </w:rPr>
      </w:pPr>
      <w:permStart w:id="1778341178" w:edGrp="everyone"/>
      <w:r>
        <w:rPr>
          <w:rStyle w:val="normaltextrun"/>
          <w:rFonts w:ascii="Arial" w:eastAsiaTheme="majorEastAsia" w:hAnsi="Arial" w:cs="Arial"/>
          <w:sz w:val="22"/>
          <w:szCs w:val="22"/>
        </w:rPr>
        <w:t xml:space="preserve">DBG is of the </w:t>
      </w:r>
      <w:r>
        <w:rPr>
          <w:rStyle w:val="normaltextrun"/>
          <w:rFonts w:ascii="Arial" w:eastAsiaTheme="majorEastAsia" w:hAnsi="Arial" w:cs="Arial"/>
          <w:sz w:val="22"/>
          <w:szCs w:val="22"/>
        </w:rPr>
        <w:t>view</w:t>
      </w:r>
      <w:r>
        <w:rPr>
          <w:rStyle w:val="normaltextrun"/>
          <w:rFonts w:ascii="Arial" w:eastAsiaTheme="majorEastAsia" w:hAnsi="Arial" w:cs="Arial"/>
          <w:sz w:val="22"/>
          <w:szCs w:val="22"/>
        </w:rPr>
        <w:t xml:space="preserve"> that</w:t>
      </w:r>
      <w:r>
        <w:rPr>
          <w:rStyle w:val="normaltextrun"/>
          <w:rFonts w:ascii="Arial" w:eastAsiaTheme="majorEastAsia" w:hAnsi="Arial" w:cs="Arial"/>
          <w:sz w:val="22"/>
          <w:szCs w:val="22"/>
        </w:rPr>
        <w:t xml:space="preserve"> ESMA should define communication standards under which such negotiations should take place. </w:t>
      </w:r>
      <w:r>
        <w:rPr>
          <w:rStyle w:val="eop"/>
          <w:rFonts w:ascii="Arial" w:eastAsiaTheme="majorEastAsia" w:hAnsi="Arial" w:cs="Arial"/>
          <w:sz w:val="22"/>
          <w:szCs w:val="22"/>
        </w:rPr>
        <w:t> </w:t>
      </w:r>
    </w:p>
    <w:p w14:paraId="20994046" w14:textId="77777777" w:rsidR="006B1DE4" w:rsidRDefault="006B1DE4" w:rsidP="006B1DE4">
      <w:pPr>
        <w:pStyle w:val="paragraph"/>
        <w:spacing w:before="0" w:beforeAutospacing="0" w:after="0" w:afterAutospacing="0"/>
        <w:jc w:val="both"/>
        <w:textAlignment w:val="baseline"/>
        <w:rPr>
          <w:rFonts w:ascii="Segoe UI" w:hAnsi="Segoe UI" w:cs="Segoe UI"/>
          <w:sz w:val="18"/>
          <w:szCs w:val="18"/>
        </w:rPr>
      </w:pPr>
    </w:p>
    <w:p w14:paraId="3DE58E88" w14:textId="13C779E3" w:rsidR="006B1DE4" w:rsidRDefault="006B1DE4" w:rsidP="006B1DE4">
      <w:pPr>
        <w:pStyle w:val="paragraph"/>
        <w:spacing w:before="0" w:beforeAutospacing="0" w:after="0" w:afterAutospacing="0"/>
        <w:jc w:val="both"/>
        <w:textAlignment w:val="baseline"/>
        <w:rPr>
          <w:rStyle w:val="eop"/>
          <w:rFonts w:ascii="Arial" w:eastAsiaTheme="majorEastAsia" w:hAnsi="Arial" w:cs="Arial"/>
          <w:sz w:val="22"/>
          <w:szCs w:val="22"/>
        </w:rPr>
      </w:pPr>
      <w:proofErr w:type="gramStart"/>
      <w:r>
        <w:rPr>
          <w:rStyle w:val="normaltextrun"/>
          <w:rFonts w:ascii="Arial" w:eastAsiaTheme="majorEastAsia" w:hAnsi="Arial" w:cs="Arial"/>
          <w:sz w:val="22"/>
          <w:szCs w:val="22"/>
        </w:rPr>
        <w:t>In particular, it</w:t>
      </w:r>
      <w:proofErr w:type="gramEnd"/>
      <w:r>
        <w:rPr>
          <w:rStyle w:val="normaltextrun"/>
          <w:rFonts w:ascii="Arial" w:eastAsiaTheme="majorEastAsia" w:hAnsi="Arial" w:cs="Arial"/>
          <w:sz w:val="22"/>
          <w:szCs w:val="22"/>
        </w:rPr>
        <w:t xml:space="preserve"> shall be mandatory to use only such communication channels which allow for tracking of each part of the relevant communication between client, inter dealer broker and market maker (or any other involved market participant) in order to enable them to prove every single step they have taken (such as seeking client consent for pre-hedging).</w:t>
      </w:r>
      <w:r>
        <w:rPr>
          <w:rStyle w:val="eop"/>
          <w:rFonts w:ascii="Arial" w:eastAsiaTheme="majorEastAsia" w:hAnsi="Arial" w:cs="Arial"/>
          <w:sz w:val="22"/>
          <w:szCs w:val="22"/>
        </w:rPr>
        <w:t> </w:t>
      </w:r>
    </w:p>
    <w:p w14:paraId="669BABF7" w14:textId="77777777" w:rsidR="006B1DE4" w:rsidRDefault="006B1DE4" w:rsidP="006B1DE4">
      <w:pPr>
        <w:pStyle w:val="paragraph"/>
        <w:spacing w:before="0" w:beforeAutospacing="0" w:after="0" w:afterAutospacing="0"/>
        <w:jc w:val="both"/>
        <w:textAlignment w:val="baseline"/>
        <w:rPr>
          <w:rFonts w:ascii="Segoe UI" w:hAnsi="Segoe UI" w:cs="Segoe UI"/>
          <w:sz w:val="18"/>
          <w:szCs w:val="18"/>
        </w:rPr>
      </w:pPr>
    </w:p>
    <w:p w14:paraId="2A99DA8A" w14:textId="7D210CE7" w:rsidR="006B1DE4" w:rsidRDefault="006B1DE4" w:rsidP="006B1DE4">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This means that the RFQ needs to be electronic, so that it has a tag which if checked allows the LP to pre-hedge according to all four definitions in the table on p.9.  </w:t>
      </w:r>
      <w:r>
        <w:rPr>
          <w:rStyle w:val="eop"/>
          <w:rFonts w:ascii="Arial" w:eastAsiaTheme="majorEastAsia" w:hAnsi="Arial" w:cs="Arial"/>
          <w:sz w:val="22"/>
          <w:szCs w:val="22"/>
        </w:rPr>
        <w:t> </w:t>
      </w:r>
    </w:p>
    <w:p w14:paraId="77F8E284" w14:textId="77777777" w:rsidR="006B1DE4" w:rsidRDefault="006B1DE4" w:rsidP="006B1DE4">
      <w:pPr>
        <w:pStyle w:val="paragraph"/>
        <w:spacing w:before="0" w:beforeAutospacing="0" w:after="0" w:afterAutospacing="0"/>
        <w:jc w:val="both"/>
        <w:textAlignment w:val="baseline"/>
        <w:rPr>
          <w:rFonts w:ascii="Segoe UI" w:hAnsi="Segoe UI" w:cs="Segoe UI"/>
          <w:sz w:val="18"/>
          <w:szCs w:val="18"/>
        </w:rPr>
      </w:pPr>
    </w:p>
    <w:p w14:paraId="6B619F85" w14:textId="2216D1AC" w:rsidR="006B1DE4" w:rsidRDefault="006B1DE4" w:rsidP="006B1DE4">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 xml:space="preserve">However, a much more suitable solution would simply be to identify pre-hedging as something that can only occur once a deal is agreed (not necessarily concluded) or “last look” approval from the requester is pending. </w:t>
      </w:r>
      <w:proofErr w:type="gramStart"/>
      <w:r>
        <w:rPr>
          <w:rStyle w:val="normaltextrun"/>
          <w:rFonts w:ascii="Arial" w:eastAsiaTheme="majorEastAsia" w:hAnsi="Arial" w:cs="Arial"/>
          <w:sz w:val="22"/>
          <w:szCs w:val="22"/>
        </w:rPr>
        <w:t>i.e.</w:t>
      </w:r>
      <w:proofErr w:type="gramEnd"/>
      <w:r>
        <w:rPr>
          <w:rStyle w:val="normaltextrun"/>
          <w:rFonts w:ascii="Arial" w:eastAsiaTheme="majorEastAsia" w:hAnsi="Arial" w:cs="Arial"/>
          <w:sz w:val="22"/>
          <w:szCs w:val="22"/>
        </w:rPr>
        <w:t xml:space="preserve"> examples three and four in the previous table. In such a case it would be implicit that a case-by-case consent does not need to be considered, which </w:t>
      </w:r>
      <w:r>
        <w:rPr>
          <w:rStyle w:val="normaltextrun"/>
          <w:rFonts w:ascii="Arial" w:eastAsiaTheme="majorEastAsia" w:hAnsi="Arial" w:cs="Arial"/>
          <w:sz w:val="22"/>
          <w:szCs w:val="22"/>
        </w:rPr>
        <w:lastRenderedPageBreak/>
        <w:t>otherwise would be a huge burden to not only compliance departments but also to the policing and enforcement of this consent.</w:t>
      </w:r>
      <w:r>
        <w:rPr>
          <w:rStyle w:val="eop"/>
          <w:rFonts w:ascii="Arial" w:eastAsiaTheme="majorEastAsia" w:hAnsi="Arial" w:cs="Arial"/>
          <w:sz w:val="22"/>
          <w:szCs w:val="22"/>
        </w:rPr>
        <w:t> </w:t>
      </w:r>
    </w:p>
    <w:p w14:paraId="607686BA" w14:textId="77777777" w:rsidR="006B1DE4" w:rsidRDefault="006B1DE4" w:rsidP="006B1DE4">
      <w:pPr>
        <w:pStyle w:val="paragraph"/>
        <w:spacing w:before="0" w:beforeAutospacing="0" w:after="0" w:afterAutospacing="0"/>
        <w:jc w:val="both"/>
        <w:textAlignment w:val="baseline"/>
        <w:rPr>
          <w:rFonts w:ascii="Segoe UI" w:hAnsi="Segoe UI" w:cs="Segoe UI"/>
          <w:sz w:val="18"/>
          <w:szCs w:val="18"/>
        </w:rPr>
      </w:pPr>
    </w:p>
    <w:p w14:paraId="1B31A4C9" w14:textId="77777777" w:rsidR="006B1DE4" w:rsidRDefault="006B1DE4" w:rsidP="006B1D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As stated above, consent alone cannot be considered as the full justification/legitimation of the pre-hedging activity. It shall be accompanied by the other conditions for a pre-hedging.</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7802700D" w14:textId="332FA0EA" w:rsidR="005A1C97" w:rsidRDefault="00090E75" w:rsidP="0080047D">
      <w:pPr>
        <w:pStyle w:val="paragraph"/>
        <w:spacing w:before="0" w:beforeAutospacing="0" w:after="0" w:afterAutospacing="0"/>
        <w:jc w:val="both"/>
        <w:textAlignment w:val="baseline"/>
        <w:rPr>
          <w:rStyle w:val="eop"/>
          <w:rFonts w:ascii="Arial" w:eastAsiaTheme="majorEastAsia" w:hAnsi="Arial" w:cs="Arial"/>
          <w:sz w:val="22"/>
          <w:szCs w:val="22"/>
        </w:rPr>
      </w:pPr>
      <w:permStart w:id="113129472" w:edGrp="everyone"/>
      <w:r>
        <w:rPr>
          <w:rStyle w:val="normaltextrun"/>
          <w:rFonts w:ascii="Arial" w:eastAsiaTheme="majorEastAsia" w:hAnsi="Arial" w:cs="Arial"/>
          <w:sz w:val="22"/>
          <w:szCs w:val="22"/>
        </w:rPr>
        <w:t>DBG is of the view that</w:t>
      </w:r>
      <w:r w:rsidR="0080047D">
        <w:rPr>
          <w:rStyle w:val="normaltextrun"/>
          <w:rFonts w:ascii="Arial" w:eastAsiaTheme="majorEastAsia" w:hAnsi="Arial" w:cs="Arial"/>
          <w:sz w:val="22"/>
          <w:szCs w:val="22"/>
        </w:rPr>
        <w:t xml:space="preserve"> such practices can occur</w:t>
      </w:r>
      <w:r>
        <w:rPr>
          <w:rStyle w:val="normaltextrun"/>
          <w:rFonts w:ascii="Arial" w:eastAsiaTheme="majorEastAsia" w:hAnsi="Arial" w:cs="Arial"/>
          <w:sz w:val="22"/>
          <w:szCs w:val="22"/>
        </w:rPr>
        <w:t xml:space="preserve"> w</w:t>
      </w:r>
      <w:r w:rsidR="005A1C97">
        <w:rPr>
          <w:rStyle w:val="normaltextrun"/>
          <w:rFonts w:ascii="Arial" w:eastAsiaTheme="majorEastAsia" w:hAnsi="Arial" w:cs="Arial"/>
          <w:sz w:val="22"/>
          <w:szCs w:val="22"/>
        </w:rPr>
        <w:t>hen a market participant first does "pre-hedging" then waits long and provides subsequently non-c</w:t>
      </w:r>
      <w:r>
        <w:rPr>
          <w:rStyle w:val="normaltextrun"/>
          <w:rFonts w:ascii="Arial" w:eastAsiaTheme="majorEastAsia" w:hAnsi="Arial" w:cs="Arial"/>
          <w:sz w:val="22"/>
          <w:szCs w:val="22"/>
        </w:rPr>
        <w:t>o</w:t>
      </w:r>
      <w:r w:rsidR="005A1C97">
        <w:rPr>
          <w:rStyle w:val="normaltextrun"/>
          <w:rFonts w:ascii="Arial" w:eastAsiaTheme="majorEastAsia" w:hAnsi="Arial" w:cs="Arial"/>
          <w:sz w:val="22"/>
          <w:szCs w:val="22"/>
        </w:rPr>
        <w:t>mpetitive prices with a goal to profit from potential hedging activities from the others while not aiming to win the trade.</w:t>
      </w:r>
      <w:r w:rsidR="005A1C97">
        <w:rPr>
          <w:rStyle w:val="eop"/>
          <w:rFonts w:ascii="Arial" w:eastAsiaTheme="majorEastAsia" w:hAnsi="Arial" w:cs="Arial"/>
          <w:sz w:val="22"/>
          <w:szCs w:val="22"/>
        </w:rPr>
        <w:t> </w:t>
      </w:r>
    </w:p>
    <w:p w14:paraId="453CEE26" w14:textId="77777777" w:rsidR="0080047D" w:rsidRDefault="0080047D" w:rsidP="0080047D">
      <w:pPr>
        <w:pStyle w:val="paragraph"/>
        <w:spacing w:before="0" w:beforeAutospacing="0" w:after="0" w:afterAutospacing="0"/>
        <w:jc w:val="both"/>
        <w:textAlignment w:val="baseline"/>
        <w:rPr>
          <w:rFonts w:ascii="Segoe UI" w:hAnsi="Segoe UI" w:cs="Segoe UI"/>
          <w:sz w:val="18"/>
          <w:szCs w:val="18"/>
        </w:rPr>
      </w:pPr>
    </w:p>
    <w:p w14:paraId="10919657" w14:textId="77777777" w:rsidR="005A1C97" w:rsidRDefault="005A1C97" w:rsidP="008004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Please also see answers to Q3 above with the references to examples three and four in the table on p.9.</w:t>
      </w:r>
      <w:r>
        <w:rPr>
          <w:rStyle w:val="eop"/>
          <w:rFonts w:ascii="Arial" w:eastAsiaTheme="majorEastAsia" w:hAnsi="Arial" w:cs="Arial"/>
          <w:sz w:val="22"/>
          <w:szCs w:val="22"/>
        </w:rPr>
        <w:t> </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0F1E0629" w14:textId="4E10A9D7" w:rsidR="00D63CB1" w:rsidRDefault="00D63CB1" w:rsidP="0033608D">
      <w:pPr>
        <w:pStyle w:val="paragraph"/>
        <w:spacing w:before="0" w:beforeAutospacing="0" w:after="0" w:afterAutospacing="0"/>
        <w:jc w:val="both"/>
        <w:textAlignment w:val="baseline"/>
        <w:rPr>
          <w:rStyle w:val="normaltextrun"/>
          <w:rFonts w:ascii="Arial" w:eastAsiaTheme="majorEastAsia" w:hAnsi="Arial" w:cs="Arial"/>
          <w:sz w:val="22"/>
          <w:szCs w:val="22"/>
        </w:rPr>
      </w:pPr>
      <w:permStart w:id="934892473" w:edGrp="everyone"/>
      <w:r>
        <w:rPr>
          <w:rStyle w:val="normaltextrun"/>
          <w:rFonts w:ascii="Arial" w:eastAsiaTheme="majorEastAsia" w:hAnsi="Arial" w:cs="Arial"/>
          <w:sz w:val="22"/>
          <w:szCs w:val="22"/>
        </w:rPr>
        <w:t>DBG’s views are the following</w:t>
      </w:r>
      <w:r w:rsidR="0033608D">
        <w:rPr>
          <w:rStyle w:val="normaltextrun"/>
          <w:rFonts w:ascii="Arial" w:eastAsiaTheme="majorEastAsia" w:hAnsi="Arial" w:cs="Arial"/>
          <w:sz w:val="22"/>
          <w:szCs w:val="22"/>
        </w:rPr>
        <w:t>:</w:t>
      </w:r>
    </w:p>
    <w:p w14:paraId="7FC1042B" w14:textId="1E7E6502" w:rsidR="00D63CB1" w:rsidRDefault="0033608D" w:rsidP="0033608D">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w:t>
      </w:r>
      <w:proofErr w:type="spellStart"/>
      <w:r>
        <w:rPr>
          <w:rStyle w:val="normaltextrun"/>
          <w:rFonts w:ascii="Arial" w:eastAsiaTheme="majorEastAsia" w:hAnsi="Arial" w:cs="Arial"/>
          <w:sz w:val="22"/>
          <w:szCs w:val="22"/>
        </w:rPr>
        <w:t>i</w:t>
      </w:r>
      <w:proofErr w:type="spellEnd"/>
      <w:r>
        <w:rPr>
          <w:rStyle w:val="normaltextrun"/>
          <w:rFonts w:ascii="Arial" w:eastAsiaTheme="majorEastAsia" w:hAnsi="Arial" w:cs="Arial"/>
          <w:sz w:val="22"/>
          <w:szCs w:val="22"/>
        </w:rPr>
        <w:t xml:space="preserve">) </w:t>
      </w:r>
      <w:r w:rsidR="00D63CB1">
        <w:rPr>
          <w:rStyle w:val="normaltextrun"/>
          <w:rFonts w:ascii="Arial" w:eastAsiaTheme="majorEastAsia" w:hAnsi="Arial" w:cs="Arial"/>
          <w:sz w:val="22"/>
          <w:szCs w:val="22"/>
        </w:rPr>
        <w:t xml:space="preserve">Yes, if there is a market with some liquidity available. Liquidity providers shall be able to provide market prices valid in the relevant time frame as well as their own offer. Market prices </w:t>
      </w:r>
      <w:proofErr w:type="gramStart"/>
      <w:r w:rsidR="00D63CB1">
        <w:rPr>
          <w:rStyle w:val="normaltextrun"/>
          <w:rFonts w:ascii="Arial" w:eastAsiaTheme="majorEastAsia" w:hAnsi="Arial" w:cs="Arial"/>
          <w:sz w:val="22"/>
          <w:szCs w:val="22"/>
        </w:rPr>
        <w:t>have to</w:t>
      </w:r>
      <w:proofErr w:type="gramEnd"/>
      <w:r w:rsidR="00D63CB1">
        <w:rPr>
          <w:rStyle w:val="normaltextrun"/>
          <w:rFonts w:ascii="Arial" w:eastAsiaTheme="majorEastAsia" w:hAnsi="Arial" w:cs="Arial"/>
          <w:sz w:val="22"/>
          <w:szCs w:val="22"/>
        </w:rPr>
        <w:t xml:space="preserve"> consider at least order book depth and volatility. Based on this it shall be possible to evaluate whether to have a real chance to win the trade or not. If no liquidity is in the market, it might be difficult to evaluate this although the responsible market makers should be able to assess it anyway.</w:t>
      </w:r>
      <w:r w:rsidR="00D63CB1">
        <w:rPr>
          <w:rStyle w:val="eop"/>
          <w:rFonts w:ascii="Arial" w:eastAsiaTheme="majorEastAsia" w:hAnsi="Arial" w:cs="Arial"/>
          <w:sz w:val="22"/>
          <w:szCs w:val="22"/>
        </w:rPr>
        <w:t> </w:t>
      </w:r>
    </w:p>
    <w:p w14:paraId="2AC9DE55" w14:textId="77777777" w:rsidR="00D63CB1" w:rsidRDefault="00D63CB1" w:rsidP="003360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(ii) Yes</w:t>
      </w:r>
      <w:r>
        <w:rPr>
          <w:rStyle w:val="eop"/>
          <w:rFonts w:ascii="Arial" w:eastAsiaTheme="majorEastAsia" w:hAnsi="Arial" w:cs="Arial"/>
          <w:sz w:val="22"/>
          <w:szCs w:val="22"/>
        </w:rPr>
        <w:t> </w:t>
      </w:r>
    </w:p>
    <w:p w14:paraId="1D632E56" w14:textId="77777777" w:rsidR="00D63CB1" w:rsidRDefault="00D63CB1" w:rsidP="003360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(iii) Yes, by comparing their potential offers with / without pre-trading</w:t>
      </w:r>
      <w:r>
        <w:rPr>
          <w:rStyle w:val="eop"/>
          <w:rFonts w:ascii="Arial" w:eastAsiaTheme="majorEastAsia" w:hAnsi="Arial" w:cs="Arial"/>
          <w:sz w:val="22"/>
          <w:szCs w:val="22"/>
        </w:rPr>
        <w:t> </w:t>
      </w:r>
    </w:p>
    <w:p w14:paraId="00F5495A" w14:textId="77777777" w:rsidR="00D63CB1" w:rsidRDefault="00D63CB1" w:rsidP="003360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(iv) see answer in Q14</w:t>
      </w:r>
      <w:r>
        <w:rPr>
          <w:rStyle w:val="eop"/>
          <w:rFonts w:ascii="Arial" w:eastAsiaTheme="majorEastAsia" w:hAnsi="Arial" w:cs="Arial"/>
          <w:sz w:val="22"/>
          <w:szCs w:val="22"/>
        </w:rPr>
        <w:t> </w:t>
      </w:r>
    </w:p>
    <w:p w14:paraId="74059E58" w14:textId="77777777" w:rsidR="006E3AAC" w:rsidRDefault="006E3AAC" w:rsidP="0033608D">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5D0BA655" w14:textId="5EF9EF9F" w:rsidR="00D63CB1" w:rsidRDefault="00D63CB1" w:rsidP="003360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We would also like to emphasize again our views regarding the cases provided to Q3 with the references to the table. The distinction of the examples would help to narrow down the definition of pre-hedging. In addition, we would like to emphasize again that further electronification and clearer rules would improve monitoring.</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3525659E" w14:textId="77777777" w:rsidR="0000746B" w:rsidRDefault="0000746B" w:rsidP="0000746B">
      <w:pPr>
        <w:jc w:val="both"/>
        <w:rPr>
          <w:rStyle w:val="normaltextrun"/>
          <w:rFonts w:ascii="Arial" w:eastAsiaTheme="majorEastAsia" w:hAnsi="Arial" w:cs="Arial"/>
          <w:color w:val="000000"/>
          <w:sz w:val="22"/>
          <w:szCs w:val="22"/>
          <w:shd w:val="clear" w:color="auto" w:fill="FFFFFF"/>
        </w:rPr>
      </w:pPr>
      <w:permStart w:id="232944764" w:edGrp="everyone"/>
      <w:r>
        <w:rPr>
          <w:rStyle w:val="normaltextrun"/>
          <w:rFonts w:ascii="Arial" w:eastAsiaTheme="majorEastAsia" w:hAnsi="Arial" w:cs="Arial"/>
          <w:color w:val="000000"/>
          <w:sz w:val="22"/>
          <w:szCs w:val="22"/>
          <w:shd w:val="clear" w:color="auto" w:fill="FFFFFF"/>
        </w:rPr>
        <w:t xml:space="preserve">DBG </w:t>
      </w:r>
      <w:r>
        <w:rPr>
          <w:rStyle w:val="normaltextrun"/>
          <w:rFonts w:ascii="Arial" w:eastAsiaTheme="majorEastAsia" w:hAnsi="Arial" w:cs="Arial"/>
          <w:color w:val="000000"/>
          <w:sz w:val="22"/>
          <w:szCs w:val="22"/>
          <w:shd w:val="clear" w:color="auto" w:fill="FFFFFF"/>
        </w:rPr>
        <w:t>believe</w:t>
      </w:r>
      <w:r>
        <w:rPr>
          <w:rStyle w:val="normaltextrun"/>
          <w:rFonts w:ascii="Arial" w:eastAsiaTheme="majorEastAsia" w:hAnsi="Arial" w:cs="Arial"/>
          <w:color w:val="000000"/>
          <w:sz w:val="22"/>
          <w:szCs w:val="22"/>
          <w:shd w:val="clear" w:color="auto" w:fill="FFFFFF"/>
        </w:rPr>
        <w:t>s</w:t>
      </w:r>
      <w:r>
        <w:rPr>
          <w:rStyle w:val="normaltextrun"/>
          <w:rFonts w:ascii="Arial" w:eastAsiaTheme="majorEastAsia" w:hAnsi="Arial" w:cs="Arial"/>
          <w:color w:val="000000"/>
          <w:sz w:val="22"/>
          <w:szCs w:val="22"/>
          <w:shd w:val="clear" w:color="auto" w:fill="FFFFFF"/>
        </w:rPr>
        <w:t xml:space="preserve"> that although liquidity is a relevant factor, it would make no difference in practice to determine it. The reason is that in high liquid instruments (</w:t>
      </w:r>
      <w:proofErr w:type="spellStart"/>
      <w:r>
        <w:rPr>
          <w:rStyle w:val="normaltextrun"/>
          <w:rFonts w:ascii="Arial" w:eastAsiaTheme="majorEastAsia" w:hAnsi="Arial" w:cs="Arial"/>
          <w:color w:val="000000"/>
          <w:sz w:val="22"/>
          <w:szCs w:val="22"/>
          <w:shd w:val="clear" w:color="auto" w:fill="FFFFFF"/>
        </w:rPr>
        <w:t>i</w:t>
      </w:r>
      <w:proofErr w:type="spellEnd"/>
      <w:r>
        <w:rPr>
          <w:rStyle w:val="normaltextrun"/>
          <w:rFonts w:ascii="Arial" w:eastAsiaTheme="majorEastAsia" w:hAnsi="Arial" w:cs="Arial"/>
          <w:color w:val="000000"/>
          <w:sz w:val="22"/>
          <w:szCs w:val="22"/>
          <w:shd w:val="clear" w:color="auto" w:fill="FFFFFF"/>
        </w:rPr>
        <w:t xml:space="preserve">) pre-hedging is not necessary </w:t>
      </w:r>
      <w:r>
        <w:rPr>
          <w:rStyle w:val="normaltextrun"/>
          <w:rFonts w:ascii="Arial" w:eastAsiaTheme="majorEastAsia" w:hAnsi="Arial" w:cs="Arial"/>
          <w:color w:val="000000"/>
          <w:sz w:val="22"/>
          <w:szCs w:val="22"/>
          <w:shd w:val="clear" w:color="auto" w:fill="FFFFFF"/>
        </w:rPr>
        <w:lastRenderedPageBreak/>
        <w:t>and (ii) frontrunning does not make much sense in terms of the first mover advantage as the expected price movement might be zero or very small only. On the other hand, if the requested quantity is large enough, even liquid instruments could face significant price movements. As such, liquidity of an instrument is only relevant compared to the requested quantity to be traded.</w:t>
      </w:r>
    </w:p>
    <w:permEnd w:id="232944764"/>
    <w:p w14:paraId="11D513B5" w14:textId="2C50DC6F"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79177D31" w14:textId="389DBDBF" w:rsidR="000B2A90" w:rsidRDefault="000B2A90" w:rsidP="00A73299">
      <w:pPr>
        <w:rPr>
          <w:rStyle w:val="eop"/>
          <w:rFonts w:ascii="Arial" w:eastAsiaTheme="majorEastAsia" w:hAnsi="Arial" w:cs="Arial"/>
          <w:color w:val="000000"/>
          <w:sz w:val="22"/>
          <w:szCs w:val="22"/>
          <w:shd w:val="clear" w:color="auto" w:fill="FFFFFF"/>
        </w:rPr>
      </w:pPr>
      <w:permStart w:id="1521039362" w:edGrp="everyone"/>
      <w:r>
        <w:rPr>
          <w:rStyle w:val="normaltextrun"/>
          <w:rFonts w:ascii="Arial" w:eastAsiaTheme="majorEastAsia" w:hAnsi="Arial" w:cs="Arial"/>
          <w:color w:val="000000"/>
          <w:sz w:val="22"/>
          <w:szCs w:val="22"/>
          <w:shd w:val="clear" w:color="auto" w:fill="FFFFFF"/>
        </w:rPr>
        <w:t xml:space="preserve">DBG does not avail of any </w:t>
      </w:r>
      <w:r>
        <w:rPr>
          <w:rStyle w:val="normaltextrun"/>
          <w:rFonts w:ascii="Arial" w:eastAsiaTheme="majorEastAsia" w:hAnsi="Arial" w:cs="Arial"/>
          <w:color w:val="000000"/>
          <w:sz w:val="22"/>
          <w:szCs w:val="22"/>
          <w:shd w:val="clear" w:color="auto" w:fill="FFFFFF"/>
        </w:rPr>
        <w:t>information about this.</w:t>
      </w:r>
    </w:p>
    <w:permEnd w:id="1521039362"/>
    <w:p w14:paraId="76B35FA4" w14:textId="22D24E6D"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64EF16C7" w14:textId="77777777" w:rsidR="00A73299" w:rsidRDefault="00A73299" w:rsidP="00A73299">
      <w:permStart w:id="1295605557" w:edGrp="everyone"/>
      <w:r>
        <w:t>TYPE YOUR TEXT HERE</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6B99248F" w14:textId="77777777" w:rsidR="00A73299" w:rsidRDefault="00A73299" w:rsidP="00A73299">
      <w:permStart w:id="508713136" w:edGrp="everyone"/>
      <w:r>
        <w:t>TYPE YOUR TEXT HERE</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10CA95F7" w14:textId="77777777" w:rsidR="00A73299" w:rsidRDefault="00A73299" w:rsidP="00A73299">
      <w:permStart w:id="220690189" w:edGrp="everyone"/>
      <w:r>
        <w:t>TYPE YOUR TEXT HERE</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1D6F1C80" w14:textId="77777777" w:rsidR="00A73299" w:rsidRDefault="00A73299" w:rsidP="00A73299">
      <w:permStart w:id="1124810317" w:edGrp="everyone"/>
      <w:r>
        <w:lastRenderedPageBreak/>
        <w:t>TYPE YOUR TEXT HERE</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12B14B8" w14:textId="77777777" w:rsidR="00A73299" w:rsidRDefault="00A73299" w:rsidP="00A73299">
      <w:permStart w:id="333139389" w:edGrp="everyone"/>
      <w:r>
        <w:t>TYPE YOUR TEXT HERE</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0DEB0279" w14:textId="70F8BB9D" w:rsidR="007D26B8" w:rsidRDefault="007D26B8" w:rsidP="007D26B8">
      <w:pPr>
        <w:pStyle w:val="paragraph"/>
        <w:spacing w:before="0" w:beforeAutospacing="0" w:after="0" w:afterAutospacing="0"/>
        <w:jc w:val="both"/>
        <w:textAlignment w:val="baseline"/>
        <w:rPr>
          <w:rStyle w:val="eop"/>
          <w:rFonts w:ascii="Arial" w:eastAsiaTheme="majorEastAsia" w:hAnsi="Arial" w:cs="Arial"/>
          <w:sz w:val="22"/>
          <w:szCs w:val="22"/>
        </w:rPr>
      </w:pPr>
      <w:permStart w:id="638745335" w:edGrp="everyone"/>
      <w:r>
        <w:rPr>
          <w:rStyle w:val="normaltextrun"/>
          <w:rFonts w:ascii="Arial" w:eastAsiaTheme="majorEastAsia" w:hAnsi="Arial" w:cs="Arial"/>
          <w:sz w:val="22"/>
          <w:szCs w:val="22"/>
        </w:rPr>
        <w:t>DBG</w:t>
      </w:r>
      <w:r>
        <w:rPr>
          <w:rStyle w:val="normaltextrun"/>
          <w:rFonts w:ascii="Arial" w:eastAsiaTheme="majorEastAsia" w:hAnsi="Arial" w:cs="Arial"/>
          <w:sz w:val="22"/>
          <w:szCs w:val="22"/>
        </w:rPr>
        <w:t xml:space="preserve"> believe</w:t>
      </w:r>
      <w:r>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there are several scenarios in which one market participant may disclose their interest in a financial instrument selectively to another market participant or limited set of market participants, in addition to RFQs. This is the case where a market participant bilaterally requests a quote from another market participant, for example where a buyside client bilaterally requests a quote from their salesperson at a </w:t>
      </w:r>
      <w:proofErr w:type="spellStart"/>
      <w:r>
        <w:rPr>
          <w:rStyle w:val="normaltextrun"/>
          <w:rFonts w:ascii="Arial" w:eastAsiaTheme="majorEastAsia" w:hAnsi="Arial" w:cs="Arial"/>
          <w:sz w:val="22"/>
          <w:szCs w:val="22"/>
        </w:rPr>
        <w:t>sellside</w:t>
      </w:r>
      <w:proofErr w:type="spellEnd"/>
      <w:r>
        <w:rPr>
          <w:rStyle w:val="normaltextrun"/>
          <w:rFonts w:ascii="Arial" w:eastAsiaTheme="majorEastAsia" w:hAnsi="Arial" w:cs="Arial"/>
          <w:sz w:val="22"/>
          <w:szCs w:val="22"/>
        </w:rPr>
        <w:t xml:space="preserve"> firm. This activity often occurs with Systematic </w:t>
      </w:r>
      <w:proofErr w:type="spellStart"/>
      <w:r>
        <w:rPr>
          <w:rStyle w:val="normaltextrun"/>
          <w:rFonts w:ascii="Arial" w:eastAsiaTheme="majorEastAsia" w:hAnsi="Arial" w:cs="Arial"/>
          <w:sz w:val="22"/>
          <w:szCs w:val="22"/>
        </w:rPr>
        <w:t>Internalisers</w:t>
      </w:r>
      <w:proofErr w:type="spellEnd"/>
      <w:r>
        <w:rPr>
          <w:rStyle w:val="normaltextrun"/>
          <w:rFonts w:ascii="Arial" w:eastAsiaTheme="majorEastAsia" w:hAnsi="Arial" w:cs="Arial"/>
          <w:sz w:val="22"/>
          <w:szCs w:val="22"/>
        </w:rPr>
        <w:t xml:space="preserve"> (SIs) and </w:t>
      </w:r>
      <w:proofErr w:type="gramStart"/>
      <w:r>
        <w:rPr>
          <w:rStyle w:val="normaltextrun"/>
          <w:rFonts w:ascii="Arial" w:eastAsiaTheme="majorEastAsia" w:hAnsi="Arial" w:cs="Arial"/>
          <w:sz w:val="22"/>
          <w:szCs w:val="22"/>
        </w:rPr>
        <w:t>over-the-counter</w:t>
      </w:r>
      <w:proofErr w:type="gramEnd"/>
      <w:r>
        <w:rPr>
          <w:rStyle w:val="normaltextrun"/>
          <w:rFonts w:ascii="Arial" w:eastAsiaTheme="majorEastAsia" w:hAnsi="Arial" w:cs="Arial"/>
          <w:sz w:val="22"/>
          <w:szCs w:val="22"/>
        </w:rPr>
        <w:t xml:space="preserve"> (OTC) but is very similar to the way in which market participants request a quote on a trading venue with an RFQ trading system or similar trading system. </w:t>
      </w:r>
      <w:r>
        <w:rPr>
          <w:rStyle w:val="eop"/>
          <w:rFonts w:ascii="Arial" w:eastAsiaTheme="majorEastAsia" w:hAnsi="Arial" w:cs="Arial"/>
          <w:sz w:val="22"/>
          <w:szCs w:val="22"/>
        </w:rPr>
        <w:t> </w:t>
      </w:r>
    </w:p>
    <w:p w14:paraId="11426EBF" w14:textId="77777777" w:rsidR="007D26B8" w:rsidRDefault="007D26B8" w:rsidP="007D26B8">
      <w:pPr>
        <w:pStyle w:val="paragraph"/>
        <w:spacing w:before="0" w:beforeAutospacing="0" w:after="0" w:afterAutospacing="0"/>
        <w:jc w:val="both"/>
        <w:textAlignment w:val="baseline"/>
        <w:rPr>
          <w:rFonts w:ascii="Segoe UI" w:hAnsi="Segoe UI" w:cs="Segoe UI"/>
          <w:sz w:val="18"/>
          <w:szCs w:val="18"/>
        </w:rPr>
      </w:pPr>
    </w:p>
    <w:p w14:paraId="0BCA9FEC" w14:textId="7FC190CC" w:rsidR="007D26B8" w:rsidRDefault="007D26B8" w:rsidP="007D26B8">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In summary, if the focus remains solely on activity on trading venues operating RFQ trading systems rather than more broadly on the activity of one market participant disclosing their interest in a financial instrument selectively to a limited set of market participants, ESMA risks adopting a scope which is too narrow for its guidance. Any new rules or guidance should be system and technology agnostic. Otherwise, these rules will not be appropriately scoped, to the detriment of fair and orderly markets and investor protection. An un-level playing field could also shift activity away from regulated RFQ trading venues to SIs and OTC.</w:t>
      </w:r>
      <w:r>
        <w:rPr>
          <w:rStyle w:val="eop"/>
          <w:rFonts w:ascii="Arial" w:eastAsiaTheme="majorEastAsia" w:hAnsi="Arial" w:cs="Arial"/>
          <w:sz w:val="22"/>
          <w:szCs w:val="22"/>
        </w:rPr>
        <w:t> </w:t>
      </w:r>
    </w:p>
    <w:p w14:paraId="3FDCEC34" w14:textId="77777777" w:rsidR="007D26B8" w:rsidRDefault="007D26B8" w:rsidP="007D26B8">
      <w:pPr>
        <w:pStyle w:val="paragraph"/>
        <w:spacing w:before="0" w:beforeAutospacing="0" w:after="0" w:afterAutospacing="0"/>
        <w:jc w:val="both"/>
        <w:textAlignment w:val="baseline"/>
        <w:rPr>
          <w:rFonts w:ascii="Segoe UI" w:hAnsi="Segoe UI" w:cs="Segoe UI"/>
          <w:sz w:val="18"/>
          <w:szCs w:val="18"/>
        </w:rPr>
      </w:pPr>
    </w:p>
    <w:p w14:paraId="7765CA8B" w14:textId="195E57BE" w:rsidR="007D26B8" w:rsidRDefault="007D26B8" w:rsidP="007D26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As it was mentioned earlier, we also strongly believe that full electronification with real-time price formation, validation and 'hedging' passing through the platform and available to surveillance functions is crucial.  Secondly, the definition of 'pre-hedging' needs to be narrowed down.</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0F4D" w14:textId="77777777" w:rsidR="00503A3F" w:rsidRDefault="00503A3F" w:rsidP="007E7997">
      <w:r>
        <w:separator/>
      </w:r>
    </w:p>
  </w:endnote>
  <w:endnote w:type="continuationSeparator" w:id="0">
    <w:p w14:paraId="5CA6C8BD" w14:textId="77777777" w:rsidR="00503A3F" w:rsidRDefault="00503A3F" w:rsidP="007E7997">
      <w:r>
        <w:continuationSeparator/>
      </w:r>
    </w:p>
  </w:endnote>
  <w:endnote w:type="continuationNotice" w:id="1">
    <w:p w14:paraId="31D2BAA9" w14:textId="77777777" w:rsidR="00503A3F" w:rsidRDefault="00503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C2C9" w14:textId="77777777" w:rsidR="006E6A90" w:rsidRDefault="006E6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CFD3" w14:textId="77777777" w:rsidR="00503A3F" w:rsidRDefault="00503A3F" w:rsidP="007E7997">
      <w:r>
        <w:separator/>
      </w:r>
    </w:p>
  </w:footnote>
  <w:footnote w:type="continuationSeparator" w:id="0">
    <w:p w14:paraId="096FB77E" w14:textId="77777777" w:rsidR="00503A3F" w:rsidRDefault="00503A3F" w:rsidP="007E7997">
      <w:r>
        <w:continuationSeparator/>
      </w:r>
    </w:p>
  </w:footnote>
  <w:footnote w:type="continuationNotice" w:id="1">
    <w:p w14:paraId="1284CD28" w14:textId="77777777" w:rsidR="00503A3F" w:rsidRDefault="00503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AC16" w14:textId="77777777" w:rsidR="006E6A90" w:rsidRDefault="006E6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A4886"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88"/>
    <w:multiLevelType w:val="hybridMultilevel"/>
    <w:tmpl w:val="5894A17C"/>
    <w:lvl w:ilvl="0" w:tplc="9286A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22"/>
  </w:num>
  <w:num w:numId="4">
    <w:abstractNumId w:val="4"/>
  </w:num>
  <w:num w:numId="5">
    <w:abstractNumId w:val="13"/>
  </w:num>
  <w:num w:numId="6">
    <w:abstractNumId w:val="24"/>
  </w:num>
  <w:num w:numId="7">
    <w:abstractNumId w:val="12"/>
  </w:num>
  <w:num w:numId="8">
    <w:abstractNumId w:val="6"/>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11"/>
  </w:num>
  <w:num w:numId="21">
    <w:abstractNumId w:val="21"/>
  </w:num>
  <w:num w:numId="22">
    <w:abstractNumId w:val="14"/>
  </w:num>
  <w:num w:numId="23">
    <w:abstractNumId w:val="18"/>
  </w:num>
  <w:num w:numId="24">
    <w:abstractNumId w:val="1"/>
  </w:num>
  <w:num w:numId="25">
    <w:abstractNumId w:val="17"/>
  </w:num>
  <w:num w:numId="26">
    <w:abstractNumId w:val="15"/>
  </w:num>
  <w:num w:numId="27">
    <w:abstractNumId w:val="10"/>
  </w:num>
  <w:num w:numId="28">
    <w:abstractNumId w:val="2"/>
  </w:num>
  <w:num w:numId="29">
    <w:abstractNumId w:val="16"/>
  </w:num>
  <w:num w:numId="30">
    <w:abstractNumId w:val="5"/>
  </w:num>
  <w:num w:numId="3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0746B"/>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0E75"/>
    <w:rsid w:val="000921E6"/>
    <w:rsid w:val="00092D6C"/>
    <w:rsid w:val="00093239"/>
    <w:rsid w:val="000A03C9"/>
    <w:rsid w:val="000A10F0"/>
    <w:rsid w:val="000A12CC"/>
    <w:rsid w:val="000A2738"/>
    <w:rsid w:val="000A2DF1"/>
    <w:rsid w:val="000A3D10"/>
    <w:rsid w:val="000A409B"/>
    <w:rsid w:val="000A66FC"/>
    <w:rsid w:val="000A741E"/>
    <w:rsid w:val="000B1615"/>
    <w:rsid w:val="000B2A90"/>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4B9"/>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4CCC"/>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5F5"/>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078"/>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08D"/>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159A"/>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1C97"/>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0F98"/>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00A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1DE4"/>
    <w:rsid w:val="006B2C57"/>
    <w:rsid w:val="006B391B"/>
    <w:rsid w:val="006B79E0"/>
    <w:rsid w:val="006C0B2D"/>
    <w:rsid w:val="006C1633"/>
    <w:rsid w:val="006C5BF8"/>
    <w:rsid w:val="006C65C0"/>
    <w:rsid w:val="006C7CCB"/>
    <w:rsid w:val="006D3F14"/>
    <w:rsid w:val="006D54EA"/>
    <w:rsid w:val="006D6009"/>
    <w:rsid w:val="006D7D41"/>
    <w:rsid w:val="006E2F4D"/>
    <w:rsid w:val="006E3AAC"/>
    <w:rsid w:val="006E3FDD"/>
    <w:rsid w:val="006E58FB"/>
    <w:rsid w:val="006E5D82"/>
    <w:rsid w:val="006E66B2"/>
    <w:rsid w:val="006E6A90"/>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2E7F"/>
    <w:rsid w:val="007C3577"/>
    <w:rsid w:val="007C5E08"/>
    <w:rsid w:val="007D0002"/>
    <w:rsid w:val="007D26B8"/>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47D"/>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33C"/>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860"/>
    <w:rsid w:val="008E2D26"/>
    <w:rsid w:val="008E4076"/>
    <w:rsid w:val="008E502D"/>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F68"/>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1B94"/>
    <w:rsid w:val="00B02B0B"/>
    <w:rsid w:val="00B03817"/>
    <w:rsid w:val="00B04283"/>
    <w:rsid w:val="00B04518"/>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90C"/>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2C35"/>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5D1"/>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3CB1"/>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5708"/>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15D1"/>
    <w:rsid w:val="00EA5DE1"/>
    <w:rsid w:val="00EB0C86"/>
    <w:rsid w:val="00EB0E16"/>
    <w:rsid w:val="00EB1A57"/>
    <w:rsid w:val="00EB236F"/>
    <w:rsid w:val="00EB237E"/>
    <w:rsid w:val="00EB657B"/>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2860"/>
    <w:pPr>
      <w:spacing w:before="100" w:beforeAutospacing="1" w:after="100" w:afterAutospacing="1"/>
    </w:pPr>
    <w:rPr>
      <w:lang w:val="en-US" w:eastAsia="en-US"/>
    </w:rPr>
  </w:style>
  <w:style w:type="character" w:customStyle="1" w:styleId="normaltextrun">
    <w:name w:val="normaltextrun"/>
    <w:basedOn w:val="DefaultParagraphFont"/>
    <w:rsid w:val="008E2860"/>
  </w:style>
  <w:style w:type="character" w:customStyle="1" w:styleId="eop">
    <w:name w:val="eop"/>
    <w:basedOn w:val="DefaultParagraphFont"/>
    <w:rsid w:val="008E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7796836">
      <w:bodyDiv w:val="1"/>
      <w:marLeft w:val="0"/>
      <w:marRight w:val="0"/>
      <w:marTop w:val="0"/>
      <w:marBottom w:val="0"/>
      <w:divBdr>
        <w:top w:val="none" w:sz="0" w:space="0" w:color="auto"/>
        <w:left w:val="none" w:sz="0" w:space="0" w:color="auto"/>
        <w:bottom w:val="none" w:sz="0" w:space="0" w:color="auto"/>
        <w:right w:val="none" w:sz="0" w:space="0" w:color="auto"/>
      </w:divBdr>
      <w:divsChild>
        <w:div w:id="1156411747">
          <w:marLeft w:val="0"/>
          <w:marRight w:val="0"/>
          <w:marTop w:val="0"/>
          <w:marBottom w:val="0"/>
          <w:divBdr>
            <w:top w:val="none" w:sz="0" w:space="0" w:color="auto"/>
            <w:left w:val="none" w:sz="0" w:space="0" w:color="auto"/>
            <w:bottom w:val="none" w:sz="0" w:space="0" w:color="auto"/>
            <w:right w:val="none" w:sz="0" w:space="0" w:color="auto"/>
          </w:divBdr>
        </w:div>
        <w:div w:id="136143965">
          <w:marLeft w:val="0"/>
          <w:marRight w:val="0"/>
          <w:marTop w:val="0"/>
          <w:marBottom w:val="0"/>
          <w:divBdr>
            <w:top w:val="none" w:sz="0" w:space="0" w:color="auto"/>
            <w:left w:val="none" w:sz="0" w:space="0" w:color="auto"/>
            <w:bottom w:val="none" w:sz="0" w:space="0" w:color="auto"/>
            <w:right w:val="none" w:sz="0" w:space="0" w:color="auto"/>
          </w:divBdr>
        </w:div>
        <w:div w:id="1684747107">
          <w:marLeft w:val="0"/>
          <w:marRight w:val="0"/>
          <w:marTop w:val="0"/>
          <w:marBottom w:val="0"/>
          <w:divBdr>
            <w:top w:val="none" w:sz="0" w:space="0" w:color="auto"/>
            <w:left w:val="none" w:sz="0" w:space="0" w:color="auto"/>
            <w:bottom w:val="none" w:sz="0" w:space="0" w:color="auto"/>
            <w:right w:val="none" w:sz="0" w:space="0" w:color="auto"/>
          </w:divBdr>
        </w:div>
        <w:div w:id="1765808263">
          <w:marLeft w:val="0"/>
          <w:marRight w:val="0"/>
          <w:marTop w:val="0"/>
          <w:marBottom w:val="0"/>
          <w:divBdr>
            <w:top w:val="none" w:sz="0" w:space="0" w:color="auto"/>
            <w:left w:val="none" w:sz="0" w:space="0" w:color="auto"/>
            <w:bottom w:val="none" w:sz="0" w:space="0" w:color="auto"/>
            <w:right w:val="none" w:sz="0" w:space="0" w:color="auto"/>
          </w:divBdr>
        </w:div>
      </w:divsChild>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51818035">
      <w:bodyDiv w:val="1"/>
      <w:marLeft w:val="0"/>
      <w:marRight w:val="0"/>
      <w:marTop w:val="0"/>
      <w:marBottom w:val="0"/>
      <w:divBdr>
        <w:top w:val="none" w:sz="0" w:space="0" w:color="auto"/>
        <w:left w:val="none" w:sz="0" w:space="0" w:color="auto"/>
        <w:bottom w:val="none" w:sz="0" w:space="0" w:color="auto"/>
        <w:right w:val="none" w:sz="0" w:space="0" w:color="auto"/>
      </w:divBdr>
      <w:divsChild>
        <w:div w:id="1632248345">
          <w:marLeft w:val="0"/>
          <w:marRight w:val="0"/>
          <w:marTop w:val="0"/>
          <w:marBottom w:val="0"/>
          <w:divBdr>
            <w:top w:val="none" w:sz="0" w:space="0" w:color="auto"/>
            <w:left w:val="none" w:sz="0" w:space="0" w:color="auto"/>
            <w:bottom w:val="none" w:sz="0" w:space="0" w:color="auto"/>
            <w:right w:val="none" w:sz="0" w:space="0" w:color="auto"/>
          </w:divBdr>
        </w:div>
        <w:div w:id="560285928">
          <w:marLeft w:val="0"/>
          <w:marRight w:val="0"/>
          <w:marTop w:val="0"/>
          <w:marBottom w:val="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07911679">
      <w:bodyDiv w:val="1"/>
      <w:marLeft w:val="0"/>
      <w:marRight w:val="0"/>
      <w:marTop w:val="0"/>
      <w:marBottom w:val="0"/>
      <w:divBdr>
        <w:top w:val="none" w:sz="0" w:space="0" w:color="auto"/>
        <w:left w:val="none" w:sz="0" w:space="0" w:color="auto"/>
        <w:bottom w:val="none" w:sz="0" w:space="0" w:color="auto"/>
        <w:right w:val="none" w:sz="0" w:space="0" w:color="auto"/>
      </w:divBdr>
      <w:divsChild>
        <w:div w:id="427047424">
          <w:marLeft w:val="0"/>
          <w:marRight w:val="0"/>
          <w:marTop w:val="0"/>
          <w:marBottom w:val="0"/>
          <w:divBdr>
            <w:top w:val="none" w:sz="0" w:space="0" w:color="auto"/>
            <w:left w:val="none" w:sz="0" w:space="0" w:color="auto"/>
            <w:bottom w:val="none" w:sz="0" w:space="0" w:color="auto"/>
            <w:right w:val="none" w:sz="0" w:space="0" w:color="auto"/>
          </w:divBdr>
        </w:div>
        <w:div w:id="696929283">
          <w:marLeft w:val="0"/>
          <w:marRight w:val="0"/>
          <w:marTop w:val="0"/>
          <w:marBottom w:val="0"/>
          <w:divBdr>
            <w:top w:val="none" w:sz="0" w:space="0" w:color="auto"/>
            <w:left w:val="none" w:sz="0" w:space="0" w:color="auto"/>
            <w:bottom w:val="none" w:sz="0" w:space="0" w:color="auto"/>
            <w:right w:val="none" w:sz="0" w:space="0" w:color="auto"/>
          </w:divBdr>
        </w:div>
      </w:divsChild>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69659800">
      <w:bodyDiv w:val="1"/>
      <w:marLeft w:val="0"/>
      <w:marRight w:val="0"/>
      <w:marTop w:val="0"/>
      <w:marBottom w:val="0"/>
      <w:divBdr>
        <w:top w:val="none" w:sz="0" w:space="0" w:color="auto"/>
        <w:left w:val="none" w:sz="0" w:space="0" w:color="auto"/>
        <w:bottom w:val="none" w:sz="0" w:space="0" w:color="auto"/>
        <w:right w:val="none" w:sz="0" w:space="0" w:color="auto"/>
      </w:divBdr>
      <w:divsChild>
        <w:div w:id="1959800051">
          <w:marLeft w:val="0"/>
          <w:marRight w:val="0"/>
          <w:marTop w:val="0"/>
          <w:marBottom w:val="0"/>
          <w:divBdr>
            <w:top w:val="none" w:sz="0" w:space="0" w:color="auto"/>
            <w:left w:val="none" w:sz="0" w:space="0" w:color="auto"/>
            <w:bottom w:val="none" w:sz="0" w:space="0" w:color="auto"/>
            <w:right w:val="none" w:sz="0" w:space="0" w:color="auto"/>
          </w:divBdr>
        </w:div>
        <w:div w:id="79066649">
          <w:marLeft w:val="0"/>
          <w:marRight w:val="0"/>
          <w:marTop w:val="0"/>
          <w:marBottom w:val="0"/>
          <w:divBdr>
            <w:top w:val="none" w:sz="0" w:space="0" w:color="auto"/>
            <w:left w:val="none" w:sz="0" w:space="0" w:color="auto"/>
            <w:bottom w:val="none" w:sz="0" w:space="0" w:color="auto"/>
            <w:right w:val="none" w:sz="0" w:space="0" w:color="auto"/>
          </w:divBdr>
        </w:div>
        <w:div w:id="1050760917">
          <w:marLeft w:val="0"/>
          <w:marRight w:val="0"/>
          <w:marTop w:val="0"/>
          <w:marBottom w:val="0"/>
          <w:divBdr>
            <w:top w:val="none" w:sz="0" w:space="0" w:color="auto"/>
            <w:left w:val="none" w:sz="0" w:space="0" w:color="auto"/>
            <w:bottom w:val="none" w:sz="0" w:space="0" w:color="auto"/>
            <w:right w:val="none" w:sz="0" w:space="0" w:color="auto"/>
          </w:divBdr>
        </w:div>
        <w:div w:id="1035420740">
          <w:marLeft w:val="0"/>
          <w:marRight w:val="0"/>
          <w:marTop w:val="0"/>
          <w:marBottom w:val="0"/>
          <w:divBdr>
            <w:top w:val="none" w:sz="0" w:space="0" w:color="auto"/>
            <w:left w:val="none" w:sz="0" w:space="0" w:color="auto"/>
            <w:bottom w:val="none" w:sz="0" w:space="0" w:color="auto"/>
            <w:right w:val="none" w:sz="0" w:space="0" w:color="auto"/>
          </w:divBdr>
        </w:div>
        <w:div w:id="212012219">
          <w:marLeft w:val="0"/>
          <w:marRight w:val="0"/>
          <w:marTop w:val="0"/>
          <w:marBottom w:val="0"/>
          <w:divBdr>
            <w:top w:val="none" w:sz="0" w:space="0" w:color="auto"/>
            <w:left w:val="none" w:sz="0" w:space="0" w:color="auto"/>
            <w:bottom w:val="none" w:sz="0" w:space="0" w:color="auto"/>
            <w:right w:val="none" w:sz="0" w:space="0" w:color="auto"/>
          </w:divBdr>
        </w:div>
        <w:div w:id="1990480425">
          <w:marLeft w:val="0"/>
          <w:marRight w:val="0"/>
          <w:marTop w:val="0"/>
          <w:marBottom w:val="0"/>
          <w:divBdr>
            <w:top w:val="none" w:sz="0" w:space="0" w:color="auto"/>
            <w:left w:val="none" w:sz="0" w:space="0" w:color="auto"/>
            <w:bottom w:val="none" w:sz="0" w:space="0" w:color="auto"/>
            <w:right w:val="none" w:sz="0" w:space="0" w:color="auto"/>
          </w:divBdr>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296447977">
          <w:marLeft w:val="0"/>
          <w:marRight w:val="0"/>
          <w:marTop w:val="0"/>
          <w:marBottom w:val="0"/>
          <w:divBdr>
            <w:top w:val="none" w:sz="0" w:space="0" w:color="auto"/>
            <w:left w:val="none" w:sz="0" w:space="0" w:color="auto"/>
            <w:bottom w:val="none" w:sz="0" w:space="0" w:color="auto"/>
            <w:right w:val="none" w:sz="0" w:space="0" w:color="auto"/>
          </w:divBdr>
        </w:div>
        <w:div w:id="1961453788">
          <w:marLeft w:val="0"/>
          <w:marRight w:val="0"/>
          <w:marTop w:val="0"/>
          <w:marBottom w:val="0"/>
          <w:divBdr>
            <w:top w:val="none" w:sz="0" w:space="0" w:color="auto"/>
            <w:left w:val="none" w:sz="0" w:space="0" w:color="auto"/>
            <w:bottom w:val="none" w:sz="0" w:space="0" w:color="auto"/>
            <w:right w:val="none" w:sz="0" w:space="0" w:color="auto"/>
          </w:divBdr>
        </w:div>
        <w:div w:id="1547137935">
          <w:marLeft w:val="0"/>
          <w:marRight w:val="0"/>
          <w:marTop w:val="0"/>
          <w:marBottom w:val="0"/>
          <w:divBdr>
            <w:top w:val="none" w:sz="0" w:space="0" w:color="auto"/>
            <w:left w:val="none" w:sz="0" w:space="0" w:color="auto"/>
            <w:bottom w:val="none" w:sz="0" w:space="0" w:color="auto"/>
            <w:right w:val="none" w:sz="0" w:space="0" w:color="auto"/>
          </w:divBdr>
        </w:div>
        <w:div w:id="1440640145">
          <w:marLeft w:val="0"/>
          <w:marRight w:val="0"/>
          <w:marTop w:val="0"/>
          <w:marBottom w:val="0"/>
          <w:divBdr>
            <w:top w:val="none" w:sz="0" w:space="0" w:color="auto"/>
            <w:left w:val="none" w:sz="0" w:space="0" w:color="auto"/>
            <w:bottom w:val="none" w:sz="0" w:space="0" w:color="auto"/>
            <w:right w:val="none" w:sz="0" w:space="0" w:color="auto"/>
          </w:divBdr>
        </w:div>
      </w:divsChild>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03015698">
      <w:bodyDiv w:val="1"/>
      <w:marLeft w:val="0"/>
      <w:marRight w:val="0"/>
      <w:marTop w:val="0"/>
      <w:marBottom w:val="0"/>
      <w:divBdr>
        <w:top w:val="none" w:sz="0" w:space="0" w:color="auto"/>
        <w:left w:val="none" w:sz="0" w:space="0" w:color="auto"/>
        <w:bottom w:val="none" w:sz="0" w:space="0" w:color="auto"/>
        <w:right w:val="none" w:sz="0" w:space="0" w:color="auto"/>
      </w:divBdr>
      <w:divsChild>
        <w:div w:id="352801833">
          <w:marLeft w:val="0"/>
          <w:marRight w:val="0"/>
          <w:marTop w:val="0"/>
          <w:marBottom w:val="0"/>
          <w:divBdr>
            <w:top w:val="none" w:sz="0" w:space="0" w:color="auto"/>
            <w:left w:val="none" w:sz="0" w:space="0" w:color="auto"/>
            <w:bottom w:val="none" w:sz="0" w:space="0" w:color="auto"/>
            <w:right w:val="none" w:sz="0" w:space="0" w:color="auto"/>
          </w:divBdr>
        </w:div>
        <w:div w:id="1045105699">
          <w:marLeft w:val="0"/>
          <w:marRight w:val="0"/>
          <w:marTop w:val="0"/>
          <w:marBottom w:val="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1697041">
      <w:bodyDiv w:val="1"/>
      <w:marLeft w:val="0"/>
      <w:marRight w:val="0"/>
      <w:marTop w:val="0"/>
      <w:marBottom w:val="0"/>
      <w:divBdr>
        <w:top w:val="none" w:sz="0" w:space="0" w:color="auto"/>
        <w:left w:val="none" w:sz="0" w:space="0" w:color="auto"/>
        <w:bottom w:val="none" w:sz="0" w:space="0" w:color="auto"/>
        <w:right w:val="none" w:sz="0" w:space="0" w:color="auto"/>
      </w:divBdr>
      <w:divsChild>
        <w:div w:id="32310345">
          <w:marLeft w:val="0"/>
          <w:marRight w:val="0"/>
          <w:marTop w:val="0"/>
          <w:marBottom w:val="0"/>
          <w:divBdr>
            <w:top w:val="none" w:sz="0" w:space="0" w:color="auto"/>
            <w:left w:val="none" w:sz="0" w:space="0" w:color="auto"/>
            <w:bottom w:val="none" w:sz="0" w:space="0" w:color="auto"/>
            <w:right w:val="none" w:sz="0" w:space="0" w:color="auto"/>
          </w:divBdr>
        </w:div>
        <w:div w:id="1837845918">
          <w:marLeft w:val="0"/>
          <w:marRight w:val="0"/>
          <w:marTop w:val="0"/>
          <w:marBottom w:val="0"/>
          <w:divBdr>
            <w:top w:val="none" w:sz="0" w:space="0" w:color="auto"/>
            <w:left w:val="none" w:sz="0" w:space="0" w:color="auto"/>
            <w:bottom w:val="none" w:sz="0" w:space="0" w:color="auto"/>
            <w:right w:val="none" w:sz="0" w:space="0" w:color="auto"/>
          </w:divBdr>
        </w:div>
        <w:div w:id="978068697">
          <w:marLeft w:val="0"/>
          <w:marRight w:val="0"/>
          <w:marTop w:val="0"/>
          <w:marBottom w:val="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2102804">
      <w:bodyDiv w:val="1"/>
      <w:marLeft w:val="0"/>
      <w:marRight w:val="0"/>
      <w:marTop w:val="0"/>
      <w:marBottom w:val="0"/>
      <w:divBdr>
        <w:top w:val="none" w:sz="0" w:space="0" w:color="auto"/>
        <w:left w:val="none" w:sz="0" w:space="0" w:color="auto"/>
        <w:bottom w:val="none" w:sz="0" w:space="0" w:color="auto"/>
        <w:right w:val="none" w:sz="0" w:space="0" w:color="auto"/>
      </w:divBdr>
      <w:divsChild>
        <w:div w:id="1734232433">
          <w:marLeft w:val="0"/>
          <w:marRight w:val="0"/>
          <w:marTop w:val="0"/>
          <w:marBottom w:val="0"/>
          <w:divBdr>
            <w:top w:val="none" w:sz="0" w:space="0" w:color="auto"/>
            <w:left w:val="none" w:sz="0" w:space="0" w:color="auto"/>
            <w:bottom w:val="none" w:sz="0" w:space="0" w:color="auto"/>
            <w:right w:val="none" w:sz="0" w:space="0" w:color="auto"/>
          </w:divBdr>
        </w:div>
        <w:div w:id="2127502011">
          <w:marLeft w:val="0"/>
          <w:marRight w:val="0"/>
          <w:marTop w:val="0"/>
          <w:marBottom w:val="0"/>
          <w:divBdr>
            <w:top w:val="none" w:sz="0" w:space="0" w:color="auto"/>
            <w:left w:val="none" w:sz="0" w:space="0" w:color="auto"/>
            <w:bottom w:val="none" w:sz="0" w:space="0" w:color="auto"/>
            <w:right w:val="none" w:sz="0" w:space="0" w:color="auto"/>
          </w:divBdr>
        </w:div>
        <w:div w:id="2146199422">
          <w:marLeft w:val="0"/>
          <w:marRight w:val="0"/>
          <w:marTop w:val="0"/>
          <w:marBottom w:val="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5379425">
      <w:bodyDiv w:val="1"/>
      <w:marLeft w:val="0"/>
      <w:marRight w:val="0"/>
      <w:marTop w:val="0"/>
      <w:marBottom w:val="0"/>
      <w:divBdr>
        <w:top w:val="none" w:sz="0" w:space="0" w:color="auto"/>
        <w:left w:val="none" w:sz="0" w:space="0" w:color="auto"/>
        <w:bottom w:val="none" w:sz="0" w:space="0" w:color="auto"/>
        <w:right w:val="none" w:sz="0" w:space="0" w:color="auto"/>
      </w:divBdr>
      <w:divsChild>
        <w:div w:id="871114581">
          <w:marLeft w:val="0"/>
          <w:marRight w:val="0"/>
          <w:marTop w:val="0"/>
          <w:marBottom w:val="0"/>
          <w:divBdr>
            <w:top w:val="none" w:sz="0" w:space="0" w:color="auto"/>
            <w:left w:val="none" w:sz="0" w:space="0" w:color="auto"/>
            <w:bottom w:val="none" w:sz="0" w:space="0" w:color="auto"/>
            <w:right w:val="none" w:sz="0" w:space="0" w:color="auto"/>
          </w:divBdr>
        </w:div>
        <w:div w:id="158542076">
          <w:marLeft w:val="0"/>
          <w:marRight w:val="0"/>
          <w:marTop w:val="0"/>
          <w:marBottom w:val="0"/>
          <w:divBdr>
            <w:top w:val="none" w:sz="0" w:space="0" w:color="auto"/>
            <w:left w:val="none" w:sz="0" w:space="0" w:color="auto"/>
            <w:bottom w:val="none" w:sz="0" w:space="0" w:color="auto"/>
            <w:right w:val="none" w:sz="0" w:space="0" w:color="auto"/>
          </w:divBdr>
        </w:div>
      </w:divsChild>
    </w:div>
    <w:div w:id="1921450090">
      <w:bodyDiv w:val="1"/>
      <w:marLeft w:val="0"/>
      <w:marRight w:val="0"/>
      <w:marTop w:val="0"/>
      <w:marBottom w:val="0"/>
      <w:divBdr>
        <w:top w:val="none" w:sz="0" w:space="0" w:color="auto"/>
        <w:left w:val="none" w:sz="0" w:space="0" w:color="auto"/>
        <w:bottom w:val="none" w:sz="0" w:space="0" w:color="auto"/>
        <w:right w:val="none" w:sz="0" w:space="0" w:color="auto"/>
      </w:divBdr>
      <w:divsChild>
        <w:div w:id="1370691374">
          <w:marLeft w:val="0"/>
          <w:marRight w:val="0"/>
          <w:marTop w:val="0"/>
          <w:marBottom w:val="0"/>
          <w:divBdr>
            <w:top w:val="none" w:sz="0" w:space="0" w:color="auto"/>
            <w:left w:val="none" w:sz="0" w:space="0" w:color="auto"/>
            <w:bottom w:val="none" w:sz="0" w:space="0" w:color="auto"/>
            <w:right w:val="none" w:sz="0" w:space="0" w:color="auto"/>
          </w:divBdr>
        </w:div>
        <w:div w:id="1391658497">
          <w:marLeft w:val="0"/>
          <w:marRight w:val="0"/>
          <w:marTop w:val="0"/>
          <w:marBottom w:val="0"/>
          <w:divBdr>
            <w:top w:val="none" w:sz="0" w:space="0" w:color="auto"/>
            <w:left w:val="none" w:sz="0" w:space="0" w:color="auto"/>
            <w:bottom w:val="none" w:sz="0" w:space="0" w:color="auto"/>
            <w:right w:val="none" w:sz="0" w:space="0" w:color="auto"/>
          </w:divBdr>
        </w:div>
        <w:div w:id="1800685274">
          <w:marLeft w:val="0"/>
          <w:marRight w:val="0"/>
          <w:marTop w:val="0"/>
          <w:marBottom w:val="0"/>
          <w:divBdr>
            <w:top w:val="none" w:sz="0" w:space="0" w:color="auto"/>
            <w:left w:val="none" w:sz="0" w:space="0" w:color="auto"/>
            <w:bottom w:val="none" w:sz="0" w:space="0" w:color="auto"/>
            <w:right w:val="none" w:sz="0" w:space="0" w:color="auto"/>
          </w:divBdr>
        </w:div>
        <w:div w:id="916204532">
          <w:marLeft w:val="0"/>
          <w:marRight w:val="0"/>
          <w:marTop w:val="0"/>
          <w:marBottom w:val="0"/>
          <w:divBdr>
            <w:top w:val="none" w:sz="0" w:space="0" w:color="auto"/>
            <w:left w:val="none" w:sz="0" w:space="0" w:color="auto"/>
            <w:bottom w:val="none" w:sz="0" w:space="0" w:color="auto"/>
            <w:right w:val="none" w:sz="0" w:space="0" w:color="auto"/>
          </w:divBdr>
        </w:div>
        <w:div w:id="973484205">
          <w:marLeft w:val="0"/>
          <w:marRight w:val="0"/>
          <w:marTop w:val="0"/>
          <w:marBottom w:val="0"/>
          <w:divBdr>
            <w:top w:val="none" w:sz="0" w:space="0" w:color="auto"/>
            <w:left w:val="none" w:sz="0" w:space="0" w:color="auto"/>
            <w:bottom w:val="none" w:sz="0" w:space="0" w:color="auto"/>
            <w:right w:val="none" w:sz="0" w:space="0" w:color="auto"/>
          </w:divBdr>
        </w:div>
      </w:divsChild>
    </w:div>
    <w:div w:id="1993831851">
      <w:bodyDiv w:val="1"/>
      <w:marLeft w:val="0"/>
      <w:marRight w:val="0"/>
      <w:marTop w:val="0"/>
      <w:marBottom w:val="0"/>
      <w:divBdr>
        <w:top w:val="none" w:sz="0" w:space="0" w:color="auto"/>
        <w:left w:val="none" w:sz="0" w:space="0" w:color="auto"/>
        <w:bottom w:val="none" w:sz="0" w:space="0" w:color="auto"/>
        <w:right w:val="none" w:sz="0" w:space="0" w:color="auto"/>
      </w:divBdr>
      <w:divsChild>
        <w:div w:id="1491629205">
          <w:marLeft w:val="0"/>
          <w:marRight w:val="0"/>
          <w:marTop w:val="0"/>
          <w:marBottom w:val="0"/>
          <w:divBdr>
            <w:top w:val="none" w:sz="0" w:space="0" w:color="auto"/>
            <w:left w:val="none" w:sz="0" w:space="0" w:color="auto"/>
            <w:bottom w:val="none" w:sz="0" w:space="0" w:color="auto"/>
            <w:right w:val="none" w:sz="0" w:space="0" w:color="auto"/>
          </w:divBdr>
        </w:div>
        <w:div w:id="747121670">
          <w:marLeft w:val="0"/>
          <w:marRight w:val="0"/>
          <w:marTop w:val="0"/>
          <w:marBottom w:val="0"/>
          <w:divBdr>
            <w:top w:val="none" w:sz="0" w:space="0" w:color="auto"/>
            <w:left w:val="none" w:sz="0" w:space="0" w:color="auto"/>
            <w:bottom w:val="none" w:sz="0" w:space="0" w:color="auto"/>
            <w:right w:val="none" w:sz="0" w:space="0" w:color="auto"/>
          </w:divBdr>
        </w:div>
      </w:divsChild>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096785568">
      <w:bodyDiv w:val="1"/>
      <w:marLeft w:val="0"/>
      <w:marRight w:val="0"/>
      <w:marTop w:val="0"/>
      <w:marBottom w:val="0"/>
      <w:divBdr>
        <w:top w:val="none" w:sz="0" w:space="0" w:color="auto"/>
        <w:left w:val="none" w:sz="0" w:space="0" w:color="auto"/>
        <w:bottom w:val="none" w:sz="0" w:space="0" w:color="auto"/>
        <w:right w:val="none" w:sz="0" w:space="0" w:color="auto"/>
      </w:divBdr>
      <w:divsChild>
        <w:div w:id="990448994">
          <w:marLeft w:val="0"/>
          <w:marRight w:val="0"/>
          <w:marTop w:val="0"/>
          <w:marBottom w:val="0"/>
          <w:divBdr>
            <w:top w:val="none" w:sz="0" w:space="0" w:color="auto"/>
            <w:left w:val="none" w:sz="0" w:space="0" w:color="auto"/>
            <w:bottom w:val="none" w:sz="0" w:space="0" w:color="auto"/>
            <w:right w:val="none" w:sz="0" w:space="0" w:color="auto"/>
          </w:divBdr>
        </w:div>
        <w:div w:id="117065569">
          <w:marLeft w:val="0"/>
          <w:marRight w:val="0"/>
          <w:marTop w:val="0"/>
          <w:marBottom w:val="0"/>
          <w:divBdr>
            <w:top w:val="none" w:sz="0" w:space="0" w:color="auto"/>
            <w:left w:val="none" w:sz="0" w:space="0" w:color="auto"/>
            <w:bottom w:val="none" w:sz="0" w:space="0" w:color="auto"/>
            <w:right w:val="none" w:sz="0" w:space="0" w:color="auto"/>
          </w:divBdr>
        </w:div>
        <w:div w:id="207816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AR Policy Document" ma:contentTypeID="0x01010001BD15C3986B91498E0AE644B715B9EE140028D9BEAC2E112B48874369BFF013BE35" ma:contentTypeVersion="8" ma:contentTypeDescription="" ma:contentTypeScope="" ma:versionID="fe3ac8518dae978b3706c2bd0ff41fa5">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e185457e98995b4b87131e88e6e535"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4f99a58c-742f-4a20-98c8-851f22b5d1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ESMA70-449-674</_dlc_DocId>
    <TaxCatchAll xmlns="20fbe147-bbda-4e53-b6b1-7e8bbff3fe19">
      <Value>1826</Value>
      <Value>12</Value>
      <Value>1999</Value>
      <Value>484</Value>
      <Value>14</Value>
    </TaxCatchAll>
    <_dlc_DocIdUrl xmlns="20fbe147-bbda-4e53-b6b1-7e8bbff3fe19">
      <Url>https://sherpa.esma.europa.eu/sites/MKT/SMK/_layouts/15/DocIdRedir.aspx?ID=ESMA70-449-674</Url>
      <Description>ESMA70-449-674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 - Pre-hedging</TermName>
          <TermId xmlns="http://schemas.microsoft.com/office/infopath/2007/PartnerControls">86add1cd-63a0-4597-b64f-7f7822fcc0f2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 - Pre-hedging - Discussion Paper A</TermName>
          <TermId xmlns="http://schemas.microsoft.com/office/infopath/2007/PartnerControls">dfc5e8d2-1373-4d5a-adf0-f0860e9a1127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8BE1EB74-B3C7-4F85-9493-F7F180F7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12</Pages>
  <Words>3755</Words>
  <Characters>21404</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Marco Winteroll</cp:lastModifiedBy>
  <cp:revision>2</cp:revision>
  <cp:lastPrinted>2017-07-24T14:47:00Z</cp:lastPrinted>
  <dcterms:created xsi:type="dcterms:W3CDTF">2022-09-30T10:48:00Z</dcterms:created>
  <dcterms:modified xsi:type="dcterms:W3CDTF">2022-09-30T10:48:00Z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0x01010001BD15C3986B91498E0AE644B715B9EE140028D9BEAC2E112B48874369BFF013BE35</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2e952e98-911c-4aff-840a-f71bc6baaf7f_Enabled">
    <vt:lpwstr>true</vt:lpwstr>
  </property>
  <property fmtid="{D5CDD505-2E9C-101B-9397-08002B2CF9AE}" pid="22" name="MSIP_Label_2e952e98-911c-4aff-840a-f71bc6baaf7f_SetDate">
    <vt:lpwstr>2022-09-30T10:48:09Z</vt:lpwstr>
  </property>
  <property fmtid="{D5CDD505-2E9C-101B-9397-08002B2CF9AE}" pid="23" name="MSIP_Label_2e952e98-911c-4aff-840a-f71bc6baaf7f_Method">
    <vt:lpwstr>Standard</vt:lpwstr>
  </property>
  <property fmtid="{D5CDD505-2E9C-101B-9397-08002B2CF9AE}" pid="24" name="MSIP_Label_2e952e98-911c-4aff-840a-f71bc6baaf7f_Name">
    <vt:lpwstr>2e952e98-911c-4aff-840a-f71bc6baaf7f</vt:lpwstr>
  </property>
  <property fmtid="{D5CDD505-2E9C-101B-9397-08002B2CF9AE}" pid="25" name="MSIP_Label_2e952e98-911c-4aff-840a-f71bc6baaf7f_SiteId">
    <vt:lpwstr>e00ddcdf-1e0f-4be5-a37a-894a4731986a</vt:lpwstr>
  </property>
  <property fmtid="{D5CDD505-2E9C-101B-9397-08002B2CF9AE}" pid="26" name="MSIP_Label_2e952e98-911c-4aff-840a-f71bc6baaf7f_ActionId">
    <vt:lpwstr>04dccbdc-a290-4910-87cf-f98580171977</vt:lpwstr>
  </property>
  <property fmtid="{D5CDD505-2E9C-101B-9397-08002B2CF9AE}" pid="27" name="MSIP_Label_2e952e98-911c-4aff-840a-f71bc6baaf7f_ContentBits">
    <vt:lpwstr>2</vt:lpwstr>
  </property>
</Properties>
</file>