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32B349A7" w:rsidR="006A5E48" w:rsidRPr="00B16706" w:rsidRDefault="006A5E48" w:rsidP="006A5E48">
                <w:pPr>
                  <w:pStyle w:val="Titel"/>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w:t>
                </w:r>
                <w:r w:rsidR="00424A4F">
                  <w:rPr>
                    <w:rFonts w:asciiTheme="minorHAnsi" w:hAnsiTheme="minorHAnsi" w:cstheme="minorHAnsi"/>
                    <w:sz w:val="40"/>
                    <w:szCs w:val="40"/>
                  </w:rPr>
                  <w:t>Call for evidence on pre-hedging</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berschrift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berschrift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3A0656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871163">
            <w:rPr>
              <w:rFonts w:asciiTheme="minorHAnsi" w:eastAsiaTheme="minorEastAsia" w:hAnsiTheme="minorHAnsi" w:cstheme="minorBidi"/>
              <w:b/>
              <w:sz w:val="18"/>
              <w:szCs w:val="16"/>
              <w:lang w:eastAsia="en-US"/>
            </w:rPr>
            <w:t>30</w:t>
          </w:r>
          <w:r w:rsidR="00B16706" w:rsidRPr="00B16706">
            <w:rPr>
              <w:rFonts w:asciiTheme="minorHAnsi" w:eastAsiaTheme="minorEastAsia" w:hAnsiTheme="minorHAnsi" w:cstheme="minorBidi"/>
              <w:b/>
              <w:sz w:val="18"/>
              <w:szCs w:val="16"/>
              <w:lang w:eastAsia="en-US"/>
            </w:rPr>
            <w:t xml:space="preserve"> September 202</w:t>
          </w:r>
          <w:r w:rsidR="00871163">
            <w:rPr>
              <w:rFonts w:asciiTheme="minorHAnsi" w:eastAsiaTheme="minorEastAsia" w:hAnsiTheme="minorHAnsi" w:cstheme="minorBidi"/>
              <w:b/>
              <w:sz w:val="18"/>
              <w:szCs w:val="16"/>
              <w:lang w:eastAsia="en-US"/>
            </w:rPr>
            <w:t>2</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enabsatz"/>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6DE74A12"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424A4F">
            <w:rPr>
              <w:rFonts w:eastAsiaTheme="minorEastAsia" w:cstheme="minorBidi"/>
              <w:sz w:val="18"/>
              <w:szCs w:val="16"/>
              <w:lang w:eastAsia="en-US"/>
            </w:rPr>
            <w:t>PHDG</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14C5D76C"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24A4F">
            <w:rPr>
              <w:rFonts w:eastAsiaTheme="minorEastAsia" w:cstheme="minorBidi"/>
              <w:sz w:val="18"/>
              <w:szCs w:val="16"/>
              <w:lang w:eastAsia="en-US"/>
            </w:rPr>
            <w:t>PHDG</w:t>
          </w:r>
          <w:r w:rsidRPr="00A409C2">
            <w:rPr>
              <w:rFonts w:eastAsiaTheme="minorEastAsia" w:cstheme="minorBidi"/>
              <w:sz w:val="18"/>
              <w:szCs w:val="16"/>
              <w:lang w:eastAsia="en-US"/>
            </w:rPr>
            <w:t>_nameofrespondent_RESPONSEFORM. For example, for a respondent named ABCD, the response form would be entitled ESMA_</w:t>
          </w:r>
          <w:r w:rsidR="00FD4D00">
            <w:rPr>
              <w:rFonts w:eastAsiaTheme="minorEastAsia" w:cstheme="minorBidi"/>
              <w:sz w:val="18"/>
              <w:szCs w:val="16"/>
              <w:lang w:eastAsia="en-US"/>
            </w:rPr>
            <w:t>PHDG</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13AEDA0D" w14:textId="2CA59813" w:rsidR="00AF2EF7" w:rsidRPr="00B16706" w:rsidRDefault="00424A4F" w:rsidP="00AF2EF7">
      <w:pPr>
        <w:spacing w:after="120" w:line="276" w:lineRule="auto"/>
        <w:rPr>
          <w:rFonts w:asciiTheme="minorHAnsi" w:hAnsiTheme="minorHAnsi" w:cstheme="minorHAnsi"/>
          <w:sz w:val="20"/>
          <w:szCs w:val="20"/>
        </w:rPr>
      </w:pPr>
      <w:r w:rsidRPr="00424A4F">
        <w:rPr>
          <w:rFonts w:ascii="Arial" w:hAnsi="Arial" w:cs="Arial"/>
          <w:sz w:val="18"/>
          <w:szCs w:val="18"/>
          <w:lang w:eastAsia="it-IT"/>
        </w:rPr>
        <w:t>All interested stakeholders are invited to respond to this call for evidence. This call for evidence is primarily of interest to investment firms, credit institutions, proprietary traders, market makers, asset management companies and in general persons operating on an ongoing basis in financial markets, but responses are also sought from any other market participants including trade associations and industry bodies, institutional and retail investors, consultants and academics</w:t>
      </w:r>
      <w:r>
        <w:rPr>
          <w:rFonts w:ascii="Arial" w:hAnsi="Arial" w:cs="Arial"/>
          <w:sz w:val="18"/>
          <w:szCs w:val="18"/>
          <w:lang w:eastAsia="it-IT"/>
        </w:rPr>
        <w:t xml:space="preserve">. </w:t>
      </w:r>
    </w:p>
    <w:p w14:paraId="1F90B8D3" w14:textId="5957C175" w:rsidR="00C85C8B" w:rsidRDefault="00AF2EF7" w:rsidP="008279D3">
      <w:pPr>
        <w:pStyle w:val="berschrift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FF7CD2">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55314109" w:rsidR="00C85C8B" w:rsidRPr="00B16706" w:rsidRDefault="00893963" w:rsidP="00893963">
                <w:pPr>
                  <w:rPr>
                    <w:rFonts w:ascii="Arial" w:hAnsi="Arial" w:cs="Arial"/>
                    <w:color w:val="808080"/>
                    <w:sz w:val="16"/>
                    <w:szCs w:val="20"/>
                    <w:lang w:eastAsia="de-DE"/>
                  </w:rPr>
                </w:pPr>
                <w:r>
                  <w:rPr>
                    <w:rFonts w:ascii="Arial" w:hAnsi="Arial" w:cs="Arial"/>
                    <w:color w:val="808080"/>
                    <w:sz w:val="16"/>
                    <w:szCs w:val="20"/>
                    <w:lang w:eastAsia="de-DE"/>
                  </w:rPr>
                  <w:t>Bundesverband der Wertpapierfirmen (bwf)</w:t>
                </w:r>
              </w:p>
            </w:tc>
          </w:sdtContent>
        </w:sdt>
      </w:tr>
      <w:tr w:rsidR="00C85C8B" w:rsidRPr="00B16706" w14:paraId="216F3E57" w14:textId="77777777" w:rsidTr="00FF7CD2">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06E93725" w:rsidR="00C85C8B" w:rsidRPr="00B16706" w:rsidRDefault="007D673D"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93963">
                  <w:rPr>
                    <w:rFonts w:ascii="Arial" w:hAnsi="Arial" w:cs="Arial"/>
                    <w:sz w:val="16"/>
                    <w:szCs w:val="20"/>
                    <w:lang w:eastAsia="de-DE"/>
                  </w:rPr>
                  <w:t>Investment Services</w:t>
                </w:r>
              </w:sdtContent>
            </w:sdt>
          </w:p>
        </w:tc>
      </w:tr>
      <w:tr w:rsidR="00C85C8B" w:rsidRPr="00B16706" w14:paraId="0D216581" w14:textId="77777777" w:rsidTr="00FF7CD2">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0A3D81BA" w:rsidR="00C85C8B" w:rsidRPr="00B16706" w:rsidRDefault="00893963"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FF7CD2">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12553493" w:rsidR="00C85C8B" w:rsidRPr="00B16706" w:rsidRDefault="00893963" w:rsidP="00C85C8B">
                <w:pPr>
                  <w:rPr>
                    <w:rFonts w:ascii="Arial" w:hAnsi="Arial" w:cs="Arial"/>
                    <w:sz w:val="16"/>
                    <w:szCs w:val="20"/>
                    <w:lang w:eastAsia="de-DE"/>
                  </w:rPr>
                </w:pPr>
                <w:r>
                  <w:rPr>
                    <w:rFonts w:ascii="Arial" w:hAnsi="Arial" w:cs="Arial"/>
                    <w:sz w:val="16"/>
                    <w:szCs w:val="20"/>
                    <w:lang w:eastAsia="de-DE"/>
                  </w:rPr>
                  <w:t>Germany</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3AC1CEE3" w14:textId="77777777" w:rsidR="00A73299" w:rsidRDefault="00A73299" w:rsidP="00A73299">
      <w:pPr>
        <w:pStyle w:val="Questionstyle"/>
      </w:pPr>
      <w:r w:rsidRPr="00D70FF1">
        <w:t>Do you agree with the proposed definition of pre-hedging with respect to case (i) and (ii)? Please explain elaborating if both case (i) and case (ii) in your view can qualify as pre-hedging and providing specific examples on both instances.</w:t>
      </w:r>
    </w:p>
    <w:p w14:paraId="382ABA39" w14:textId="77777777" w:rsidR="00A73299" w:rsidRDefault="00A73299" w:rsidP="00A73299">
      <w:r>
        <w:t>&lt;ESMA_QUESTION_PHDG_1&gt;</w:t>
      </w:r>
    </w:p>
    <w:p w14:paraId="6C47BD31" w14:textId="77777777" w:rsidR="00F85FC5" w:rsidRDefault="00304C1F" w:rsidP="00A73299">
      <w:permStart w:id="273960001" w:edGrp="everyone"/>
      <w:r>
        <w:t>bwf comment:</w:t>
      </w:r>
    </w:p>
    <w:p w14:paraId="6F4FCF4E" w14:textId="77777777" w:rsidR="00F85FC5" w:rsidRDefault="00F85FC5" w:rsidP="00A73299"/>
    <w:p w14:paraId="5A36FBCA" w14:textId="02C199A0" w:rsidR="00A73299" w:rsidRDefault="00304C1F" w:rsidP="00A73299">
      <w:r w:rsidRPr="00304C1F">
        <w:t>The Bundesverband der Wertpapierfirmen e.V. (bwf) is a trade association representing the common professional interests of securities trading firms, market specialists acting as market makers at securities exchanges and/or as systemic internalisers and various other investment firms throughout Germany. In this capacity, we expressly welcome the possibility to comment on ESMA’s</w:t>
      </w:r>
      <w:r>
        <w:t xml:space="preserve"> “call for evidence on pre</w:t>
      </w:r>
      <w:r w:rsidR="00870F2C">
        <w:t>-</w:t>
      </w:r>
      <w:r>
        <w:t>hedging”.</w:t>
      </w:r>
    </w:p>
    <w:p w14:paraId="4EA70AEB" w14:textId="77777777" w:rsidR="00F85FC5" w:rsidRDefault="00F85FC5" w:rsidP="00A73299"/>
    <w:p w14:paraId="63D0D0BB" w14:textId="5F9E98C5" w:rsidR="00F85FC5" w:rsidRDefault="0053313E" w:rsidP="00A73299">
      <w:r>
        <w:t>ESMA correctly states in paragraph 1 that “the practice of pre-hedging is not defined by EU law”. Even more, in the 2019 ESMA MAR</w:t>
      </w:r>
      <w:r w:rsidR="003E7542">
        <w:t xml:space="preserve"> REVIEW</w:t>
      </w:r>
      <w:r>
        <w:t xml:space="preserve"> CP which </w:t>
      </w:r>
      <w:r w:rsidR="00870F2C">
        <w:t>seems to gave</w:t>
      </w:r>
      <w:r>
        <w:t xml:space="preserve"> the occasion for the questions raised in EFSA’s CFE, ESMA referred in paragraph 99 to “practices commonly referred to </w:t>
      </w:r>
      <w:r w:rsidRPr="0053313E">
        <w:rPr>
          <w:u w:val="single"/>
        </w:rPr>
        <w:t>by some market participants</w:t>
      </w:r>
      <w:r>
        <w:t xml:space="preserve"> (emphasis added) as pre-hedging and anticipatory hedging.”</w:t>
      </w:r>
      <w:r w:rsidR="00870F2C">
        <w:t xml:space="preserve"> Even though the term is used and defined within the Global FX Code by the Global Foreign Exchange Comittee” </w:t>
      </w:r>
      <w:r w:rsidR="00B024C9">
        <w:t>(GF</w:t>
      </w:r>
      <w:r w:rsidR="001722AA">
        <w:t>X</w:t>
      </w:r>
      <w:r w:rsidR="00B024C9">
        <w:t xml:space="preserve">C) </w:t>
      </w:r>
      <w:r w:rsidR="00870F2C">
        <w:t xml:space="preserve">as a joint initiative by the industry and central banks </w:t>
      </w:r>
      <w:r w:rsidR="00B024C9">
        <w:t xml:space="preserve">it must be noted </w:t>
      </w:r>
      <w:r w:rsidR="001F6585">
        <w:t xml:space="preserve">– without questioning in any way the </w:t>
      </w:r>
      <w:r w:rsidR="00A361A6">
        <w:t xml:space="preserve">high </w:t>
      </w:r>
      <w:r w:rsidR="001F6585">
        <w:t xml:space="preserve">quality of work provided – </w:t>
      </w:r>
      <w:r w:rsidR="00B024C9">
        <w:t>that the comittee has no legislative capacity and that its focus of activities is limited to the FX markets.</w:t>
      </w:r>
    </w:p>
    <w:p w14:paraId="7D69C090" w14:textId="77777777" w:rsidR="0053313E" w:rsidRDefault="0053313E" w:rsidP="00A73299"/>
    <w:p w14:paraId="2F859670" w14:textId="7CBA5E63" w:rsidR="0053313E" w:rsidRDefault="00B024C9" w:rsidP="00A73299">
      <w:r>
        <w:t>Therefore, w</w:t>
      </w:r>
      <w:r w:rsidR="0053313E">
        <w:t xml:space="preserve">e would like to add that the term “pre-hedging” not only lacks a valid legal definition but is not even commonly used in the financial market “jargon” across all EU member states. We therefore find it difficult and in the end inappropriate </w:t>
      </w:r>
      <w:r w:rsidR="008B09A6">
        <w:t xml:space="preserve">for ESMA </w:t>
      </w:r>
      <w:r w:rsidR="0053313E">
        <w:t xml:space="preserve">to ask </w:t>
      </w:r>
      <w:r w:rsidR="008B09A6">
        <w:t xml:space="preserve">whether stakeholders agree with the proposed definition, which then potentially would lay the basis for a new potentially prohibitive regulatory provision. Not only is the term “pre-hedging” up to now not </w:t>
      </w:r>
      <w:r w:rsidR="00870F2C">
        <w:t xml:space="preserve">widely </w:t>
      </w:r>
      <w:r w:rsidR="008B09A6">
        <w:t xml:space="preserve">prevalent within the German market, even more, it contains a semantic ambiguity: Does it mean an activity prior to hedging activities or hedging taking part prior to the transaction to be hedged? Even though ESMA’s conceptional explanations clearly support the latter interpretation, we think that it’s semantic opacity </w:t>
      </w:r>
      <w:r>
        <w:t>already</w:t>
      </w:r>
      <w:r w:rsidR="008B09A6">
        <w:t xml:space="preserve"> disqualifies the term itself from potentially</w:t>
      </w:r>
      <w:r>
        <w:t xml:space="preserve"> </w:t>
      </w:r>
      <w:r w:rsidR="008B09A6">
        <w:t>being used in a prescriptive regulatory context.</w:t>
      </w:r>
    </w:p>
    <w:p w14:paraId="0CCC27E2" w14:textId="77777777" w:rsidR="008B09A6" w:rsidRDefault="008B09A6" w:rsidP="00A73299"/>
    <w:p w14:paraId="3E7A435F" w14:textId="5FEBA48E" w:rsidR="00841DD5" w:rsidRDefault="00FC7C21" w:rsidP="00A73299">
      <w:r>
        <w:t>Whe</w:t>
      </w:r>
      <w:r w:rsidR="00761745">
        <w:t>n ESMA states in paragraph 5 CFE</w:t>
      </w:r>
      <w:r>
        <w:t xml:space="preserve"> that “pre-hedging is generally understood as a form of </w:t>
      </w:r>
      <w:r w:rsidRPr="00FC7C21">
        <w:rPr>
          <w:u w:val="single"/>
        </w:rPr>
        <w:t>hedging of inventory risk</w:t>
      </w:r>
      <w:r>
        <w:t xml:space="preserve"> (emphasis added) in an anticipatory manner in presence of a potential incoming transaction”, it refers to the – also from a regulatory point of view – generally agreed fact that “liquidity providers” could not efficiently and economically fullfill their function if they were not allowed to manage their “inventory” in an anticipated manner, which includes the opening and closing of positions (“long” or “short”) in anticipation of future transactions/market developements. </w:t>
      </w:r>
    </w:p>
    <w:p w14:paraId="467A3513" w14:textId="77777777" w:rsidR="00841DD5" w:rsidRDefault="00841DD5" w:rsidP="00A73299"/>
    <w:p w14:paraId="1A5AD10A" w14:textId="07D3F3F4" w:rsidR="008B09A6" w:rsidRDefault="00FC7C21" w:rsidP="00A73299">
      <w:r>
        <w:t xml:space="preserve">One of the legitimate reasons to do so, might indeed </w:t>
      </w:r>
      <w:r w:rsidR="00B024C9">
        <w:t xml:space="preserve">be </w:t>
      </w:r>
      <w:r>
        <w:t>based on a risk management rationale</w:t>
      </w:r>
      <w:r w:rsidR="00A7722E">
        <w:t xml:space="preserve"> and therefore might be attributed as “hedging”, </w:t>
      </w:r>
      <w:r w:rsidR="00B024C9">
        <w:t>e</w:t>
      </w:r>
      <w:r w:rsidR="00A7722E">
        <w:t>ven tough we would argue that the anticipatory, “ex ante” creation of a position in expectation of future transactions usually would create an “inventory risk” in the first place.</w:t>
      </w:r>
      <w:r w:rsidR="00841DD5">
        <w:t xml:space="preserve"> However, it is worthwhile noticing that aside from (market) risk consideration, the anitcipatary management of inventory might have other legitimate reasons, e.g. with respect to a lot size transformation in order to minimize </w:t>
      </w:r>
      <w:r w:rsidR="00841DD5">
        <w:lastRenderedPageBreak/>
        <w:t>transaction costs or simply to insure to be able to settle a transaction which might be concluded at a later stage in securities where liquididy is low</w:t>
      </w:r>
      <w:r w:rsidR="007E1CF6">
        <w:t xml:space="preserve"> and therefore the relevant securities might be hard to obtain</w:t>
      </w:r>
      <w:r w:rsidR="00841DD5">
        <w:t xml:space="preserve">. Accordingly, it is generally and also from </w:t>
      </w:r>
      <w:r w:rsidR="007E1CF6">
        <w:t>the</w:t>
      </w:r>
      <w:r w:rsidR="00841DD5">
        <w:t xml:space="preserve"> regulatory side agreed, that in particular – but not only –  in less liquid</w:t>
      </w:r>
      <w:r w:rsidR="00F60058">
        <w:t xml:space="preserve"> markets, liquidity p</w:t>
      </w:r>
      <w:r w:rsidR="00D65D4E">
        <w:t>roviders like market-makers</w:t>
      </w:r>
      <w:r w:rsidR="000E40BB">
        <w:t xml:space="preserve"> </w:t>
      </w:r>
      <w:r w:rsidR="00F60058">
        <w:t xml:space="preserve">are required and should </w:t>
      </w:r>
      <w:r w:rsidR="000E40BB">
        <w:t>b</w:t>
      </w:r>
      <w:r w:rsidR="00F60058">
        <w:t xml:space="preserve">e enabled to “progressively build up inventory in expectation of future client demand” (cf. BIS, CGFS Papers No 52, Market-making and proprietary trading: </w:t>
      </w:r>
      <w:r w:rsidR="000E40BB">
        <w:t xml:space="preserve">industry </w:t>
      </w:r>
      <w:r w:rsidR="00F60058">
        <w:t>trends</w:t>
      </w:r>
      <w:r w:rsidR="000E40BB">
        <w:t>, drivers and policy implications, November 2014, page 10).</w:t>
      </w:r>
    </w:p>
    <w:p w14:paraId="77BA4EF6" w14:textId="77777777" w:rsidR="00D65D4E" w:rsidRDefault="00D65D4E" w:rsidP="00A73299"/>
    <w:p w14:paraId="57E452BF" w14:textId="77777777" w:rsidR="00A2219C" w:rsidRDefault="00D65D4E" w:rsidP="00A73299">
      <w:r>
        <w:t xml:space="preserve">This holds true for all market models where liquidity providers play an active part. </w:t>
      </w:r>
      <w:r w:rsidR="00A2219C">
        <w:t>However, while an anticipatory management of inventory might be described as “pre-hedging” in certain markets and under certain conditions, we would – for the reasons demonstrated above – not agree to generalize the term (let alone to use it as a basis for regulatory intervention across market models).</w:t>
      </w:r>
    </w:p>
    <w:p w14:paraId="64B97969" w14:textId="77777777" w:rsidR="00A2219C" w:rsidRDefault="00A2219C" w:rsidP="00A73299"/>
    <w:p w14:paraId="2C47EAE9" w14:textId="39A17914" w:rsidR="00D65D4E" w:rsidRDefault="00A2219C" w:rsidP="00A73299">
      <w:r>
        <w:t xml:space="preserve">ESMA itself discribes two situations of such anticipative bahavior (refered to ESMA as “pre-hedging”) in paragraph 8 </w:t>
      </w:r>
      <w:r w:rsidR="00A73D1B">
        <w:t>CFE</w:t>
      </w:r>
      <w:r>
        <w:t xml:space="preserve"> (using a RFQ as a trading signal to open a position</w:t>
      </w:r>
      <w:r w:rsidR="00960067">
        <w:t xml:space="preserve"> – </w:t>
      </w:r>
      <w:r w:rsidR="00143010">
        <w:t>“</w:t>
      </w:r>
      <w:r w:rsidR="00960067">
        <w:t xml:space="preserve">case </w:t>
      </w:r>
      <w:r w:rsidR="00143010">
        <w:t>(i)”</w:t>
      </w:r>
      <w:r>
        <w:t>) and in in paragraph 9 (where a trade proposal was already submitted but the trade has not been agreed by the liquidity provider</w:t>
      </w:r>
      <w:r w:rsidR="00960067">
        <w:t xml:space="preserve"> – </w:t>
      </w:r>
      <w:r w:rsidR="00143010">
        <w:t>“</w:t>
      </w:r>
      <w:r w:rsidR="00960067">
        <w:t xml:space="preserve">case </w:t>
      </w:r>
      <w:r w:rsidR="00143010">
        <w:t>(ii)”</w:t>
      </w:r>
      <w:r>
        <w:t xml:space="preserve">). However, ESMA’s </w:t>
      </w:r>
      <w:r w:rsidR="00960067">
        <w:t>statement at this point is somewhat contradictory since it claims in paragraph 7 CFE that it will focus on both trading practices/cases quoted above</w:t>
      </w:r>
      <w:r>
        <w:t xml:space="preserve"> </w:t>
      </w:r>
      <w:r w:rsidR="00960067">
        <w:t>, while in paragraph 12 CFE it states that without further explanation that “E</w:t>
      </w:r>
      <w:r w:rsidR="00143010">
        <w:t>SMA</w:t>
      </w:r>
      <w:r w:rsidR="00960067">
        <w:t xml:space="preserve"> does not intend to address the practices </w:t>
      </w:r>
      <w:r w:rsidR="00143010">
        <w:t>described under case (ii)</w:t>
      </w:r>
      <w:r w:rsidR="00D65D4E">
        <w:t xml:space="preserve"> </w:t>
      </w:r>
      <w:r w:rsidR="00BF1AB7">
        <w:t>in this CFE.” Even though “market participants are invited to raise any issue in this respect that they deem should be subject to further analysis.”</w:t>
      </w:r>
    </w:p>
    <w:p w14:paraId="284DB3C9" w14:textId="77777777" w:rsidR="00E9677E" w:rsidRDefault="00E9677E" w:rsidP="00A73299"/>
    <w:p w14:paraId="4D8BD2B1" w14:textId="74309C86" w:rsidR="00E9677E" w:rsidRDefault="00A319D8" w:rsidP="00A73299">
      <w:r>
        <w:t xml:space="preserve">However, we think that the reason of ESMA’s preliminary selfrestriction is clear and comprehensible taking into account the history of the underlying discussion: </w:t>
      </w:r>
      <w:r w:rsidR="003E7542">
        <w:t xml:space="preserve">Concerns were raised in and in the answers </w:t>
      </w:r>
      <w:r w:rsidR="007E1CF6">
        <w:t xml:space="preserve">by </w:t>
      </w:r>
      <w:r w:rsidR="003E7542">
        <w:t>several respondents to the 2019 ESMA MAR REVIEW CP that the practice of RFQ providers to take a RFQ as a trading signal to build up a position could be problematic from a MAR (frontrunning) and MiFID (conflict of interest) perspective. This very particular and specific question was then labled “pre-hedging” and referred to liquidity providers as such, indepen</w:t>
      </w:r>
      <w:r w:rsidR="00A41205">
        <w:t>dently of the underlying market-practice/</w:t>
      </w:r>
      <w:r w:rsidR="003E7542">
        <w:t>model.</w:t>
      </w:r>
    </w:p>
    <w:p w14:paraId="32E256BA" w14:textId="77777777" w:rsidR="003E7542" w:rsidRDefault="003E7542" w:rsidP="00A73299"/>
    <w:p w14:paraId="6F19B7DE" w14:textId="601CD44C" w:rsidR="00B85087" w:rsidRDefault="007D7C55" w:rsidP="00A73299">
      <w:r>
        <w:t xml:space="preserve">While we do not share the general concerns regarding the anticipatory behavior of RFQ providers, which nevertheless of course should be dicussed if deemed neccesary, we object the </w:t>
      </w:r>
      <w:r w:rsidR="00B85087">
        <w:t>widening of the discussion (with potential regulatory intervention as a r</w:t>
      </w:r>
      <w:r w:rsidR="00A41205">
        <w:t>esult) to situations and marketpractices/</w:t>
      </w:r>
      <w:r w:rsidR="00B85087">
        <w:t>models where “pre-hedging” or “anticipated-hedging”/anticipated behavior might be observable and so far did not</w:t>
      </w:r>
      <w:r w:rsidR="007E1CF6">
        <w:t xml:space="preserve"> give raise to</w:t>
      </w:r>
      <w:r w:rsidR="00B85087">
        <w:t xml:space="preserve"> any regulatory concern.</w:t>
      </w:r>
      <w:r w:rsidR="00B8030F">
        <w:t xml:space="preserve"> We therefore urge ESMA to narrow the further discussion in this context to the </w:t>
      </w:r>
      <w:r w:rsidR="007E1CF6">
        <w:t>q</w:t>
      </w:r>
      <w:r w:rsidR="00B8030F">
        <w:t>uestions</w:t>
      </w:r>
      <w:r w:rsidR="007E1CF6">
        <w:t xml:space="preserve"> which weere brought up with respect to the RFQ market model</w:t>
      </w:r>
      <w:r w:rsidR="00B8030F">
        <w:t>.</w:t>
      </w:r>
      <w:r w:rsidR="00AA72FA">
        <w:t xml:space="preserve"> I</w:t>
      </w:r>
      <w:r w:rsidR="00D24366">
        <w:t xml:space="preserve">n reverse, if ESMA should come to the conclusion that it also wants to extend the debate to case (ii) (pending orders) or any other circumstances, we think, </w:t>
      </w:r>
      <w:r w:rsidR="001B5E2B">
        <w:t xml:space="preserve">that while some of our answers provided here are more general in nature, </w:t>
      </w:r>
      <w:r w:rsidR="00D24366">
        <w:t xml:space="preserve">this should not be done – already </w:t>
      </w:r>
      <w:r w:rsidR="001B5E2B">
        <w:t>under</w:t>
      </w:r>
      <w:r w:rsidR="00D24366">
        <w:t xml:space="preserve"> fairness considerations – without publishing and inviting comments to </w:t>
      </w:r>
      <w:r w:rsidR="001B5E2B">
        <w:t>one or more</w:t>
      </w:r>
      <w:r w:rsidR="00D24366">
        <w:t xml:space="preserve"> seperate CFE</w:t>
      </w:r>
      <w:r w:rsidR="001B5E2B">
        <w:t>s specific to the cases, respectively market practicels/models in focus</w:t>
      </w:r>
      <w:r w:rsidR="00D24366">
        <w:t>.</w:t>
      </w:r>
    </w:p>
    <w:p w14:paraId="347B21B4" w14:textId="77777777" w:rsidR="006906A9" w:rsidRDefault="006906A9" w:rsidP="00A73299"/>
    <w:p w14:paraId="0A66617B" w14:textId="55B57A59" w:rsidR="00A73299" w:rsidRDefault="006906A9" w:rsidP="00A73299">
      <w:r>
        <w:t>To conclude these general and intr</w:t>
      </w:r>
      <w:r w:rsidR="006D1BF5">
        <w:t xml:space="preserve">oductory remarks it might </w:t>
      </w:r>
      <w:r>
        <w:t xml:space="preserve">be worth noticing that the willingness of liquidity providers – across asset classes and market models – has </w:t>
      </w:r>
      <w:r>
        <w:lastRenderedPageBreak/>
        <w:t>signifficantly declined as a result of the financial crisis, increasing capital requirements (also as a result of the financial crisis), the “crowding out effects of agressive asset buying</w:t>
      </w:r>
      <w:r w:rsidR="007E1CF6">
        <w:t>programs b</w:t>
      </w:r>
      <w:r>
        <w:t xml:space="preserve">y central banks during the last years and several other factors. Accordingly, while we are well aware that regulatory intervention is always intended to </w:t>
      </w:r>
      <w:r w:rsidR="007E1CF6">
        <w:t>b</w:t>
      </w:r>
      <w:r>
        <w:t xml:space="preserve">alance various factors and sometimes conflicting objectives, we </w:t>
      </w:r>
      <w:r w:rsidR="00CB3B8C">
        <w:t>think that regulation in general should be extremely careful about implementing new rules which could potentially further constrain market liquidity.</w:t>
      </w:r>
      <w:permEnd w:id="273960001"/>
      <w:r w:rsidR="00A73299">
        <w:t>&lt;ESMA_QUESTION_PHDG_1&gt;</w:t>
      </w:r>
    </w:p>
    <w:p w14:paraId="14B67125" w14:textId="77777777" w:rsidR="00A73299" w:rsidRDefault="00A73299" w:rsidP="00A73299"/>
    <w:p w14:paraId="361F5A87" w14:textId="77777777" w:rsidR="00A73299" w:rsidRDefault="00A73299" w:rsidP="00A73299">
      <w:pPr>
        <w:pStyle w:val="Questionstyle"/>
      </w:pPr>
      <w:r w:rsidRPr="00D70FF1">
        <w:t>Do you believe the definition should encompass other market practices? Please explain.</w:t>
      </w:r>
    </w:p>
    <w:p w14:paraId="6BE0CED2" w14:textId="77777777" w:rsidR="00A73299" w:rsidRDefault="00A73299" w:rsidP="00A73299">
      <w:r>
        <w:t>&lt;ESMA_QUESTION_PHDG_2&gt;</w:t>
      </w:r>
    </w:p>
    <w:p w14:paraId="78A8A99A" w14:textId="77777777" w:rsidR="00B85087" w:rsidRDefault="00B85087" w:rsidP="00B85087">
      <w:permStart w:id="37300729" w:edGrp="everyone"/>
      <w:r>
        <w:t>bwf comment:</w:t>
      </w:r>
    </w:p>
    <w:p w14:paraId="797F655D" w14:textId="77777777" w:rsidR="00B85087" w:rsidRDefault="00B85087" w:rsidP="00B85087"/>
    <w:p w14:paraId="2A6B5011" w14:textId="7C098AF1" w:rsidR="00A73299" w:rsidRDefault="00D46DB8" w:rsidP="00B85087">
      <w:r>
        <w:t>“</w:t>
      </w:r>
      <w:r w:rsidR="00B85087">
        <w:t>No</w:t>
      </w:r>
      <w:r>
        <w:t>”</w:t>
      </w:r>
      <w:r w:rsidR="00B85087">
        <w:t>, if ESMA, b</w:t>
      </w:r>
      <w:r w:rsidR="00971132">
        <w:t>a</w:t>
      </w:r>
      <w:r w:rsidR="00B85087">
        <w:t xml:space="preserve">sed on certain NCA and stakeholder responses </w:t>
      </w:r>
      <w:r w:rsidR="008D7E8D">
        <w:t>to its 2019 MAR REVIEW CP</w:t>
      </w:r>
      <w:r w:rsidR="00971132">
        <w:t>,</w:t>
      </w:r>
      <w:r w:rsidR="008D7E8D">
        <w:t xml:space="preserve"> </w:t>
      </w:r>
      <w:r w:rsidR="00B85087">
        <w:t xml:space="preserve">is of the opinion that certain practices observed in RFQ market models should be examined from a MAR/conflict of interest mamagement perspective, it should do so. At the same time it would be </w:t>
      </w:r>
      <w:r w:rsidR="00971132">
        <w:t>unjustified,</w:t>
      </w:r>
      <w:r w:rsidR="00B85087">
        <w:t xml:space="preserve"> inefficient and contraproductive to extent the scope </w:t>
      </w:r>
      <w:r w:rsidR="00971132">
        <w:t>(</w:t>
      </w:r>
      <w:r w:rsidR="00B85087">
        <w:t xml:space="preserve">which ESMA itself </w:t>
      </w:r>
      <w:r w:rsidR="001305C1">
        <w:t>proposed to restrain from, cf. paragraph 12 CFE</w:t>
      </w:r>
      <w:r w:rsidR="00B85087">
        <w:t xml:space="preserve">) to each and every situation which </w:t>
      </w:r>
      <w:r w:rsidR="008D7E8D">
        <w:t xml:space="preserve">in a general understanding </w:t>
      </w:r>
      <w:r w:rsidR="00B85087">
        <w:t xml:space="preserve">might be brought into </w:t>
      </w:r>
      <w:r w:rsidR="008D7E8D">
        <w:t xml:space="preserve">connection </w:t>
      </w:r>
      <w:r w:rsidR="001305C1">
        <w:t>with</w:t>
      </w:r>
      <w:r w:rsidR="008D7E8D">
        <w:t xml:space="preserve"> the – as described above – higly ambiguous, not uniformly </w:t>
      </w:r>
      <w:r w:rsidR="001305C1">
        <w:t xml:space="preserve">used </w:t>
      </w:r>
      <w:r w:rsidR="008D7E8D">
        <w:t xml:space="preserve">and in some jurisdictions/Member States </w:t>
      </w:r>
      <w:r w:rsidR="00A71738">
        <w:t xml:space="preserve">so far not officially used or </w:t>
      </w:r>
      <w:r w:rsidR="008D7E8D">
        <w:t>even unknown term “pre-hedging”.</w:t>
      </w:r>
    </w:p>
    <w:permEnd w:id="37300729"/>
    <w:p w14:paraId="71EB66BA" w14:textId="77777777" w:rsidR="00A73299" w:rsidRDefault="00A73299" w:rsidP="00A73299">
      <w:r>
        <w:t>&lt;ESMA_QUESTION_PHDG_2&gt;</w:t>
      </w:r>
    </w:p>
    <w:p w14:paraId="6ED0E381" w14:textId="77777777" w:rsidR="00A73299" w:rsidRDefault="00A73299" w:rsidP="00A73299"/>
    <w:p w14:paraId="5EB4C878" w14:textId="77777777" w:rsidR="00A73299" w:rsidRDefault="00A73299" w:rsidP="00A73299">
      <w:pPr>
        <w:pStyle w:val="Questionstyle"/>
      </w:pPr>
      <w:r w:rsidRPr="00D70FF1">
        <w:t>Do you agree with the proposed distinction between pre-hedging and hedging?</w:t>
      </w:r>
    </w:p>
    <w:p w14:paraId="587B8021" w14:textId="77777777" w:rsidR="00A73299" w:rsidRDefault="00A73299" w:rsidP="00A73299">
      <w:r>
        <w:t>&lt;ESMA_QUESTION_PHDG_3&gt;</w:t>
      </w:r>
    </w:p>
    <w:p w14:paraId="2ED98A7A" w14:textId="77777777" w:rsidR="0082646E" w:rsidRDefault="0082646E" w:rsidP="00FF7CD2">
      <w:permStart w:id="1817013114" w:edGrp="everyone"/>
      <w:r>
        <w:t>bwf comment:</w:t>
      </w:r>
    </w:p>
    <w:p w14:paraId="6AA226C9" w14:textId="77777777" w:rsidR="0082646E" w:rsidRDefault="0082646E" w:rsidP="00FF7CD2"/>
    <w:p w14:paraId="370AB4E7" w14:textId="02AECE8F" w:rsidR="00D7344B" w:rsidRDefault="0082646E" w:rsidP="00A73299">
      <w:r>
        <w:t>As mentioned in our answers before, while the term “pre-hedging” mig</w:t>
      </w:r>
      <w:r w:rsidR="00D7344B">
        <w:t>h</w:t>
      </w:r>
      <w:r>
        <w:t>t be part of the financial market “jargon” in some markets and jurisdiction</w:t>
      </w:r>
      <w:r w:rsidR="00A73D1B">
        <w:t>s</w:t>
      </w:r>
      <w:r>
        <w:t>, we think that its semantic ambiguity alone disqualifies it to be used as a regulatory</w:t>
      </w:r>
      <w:r w:rsidR="00AB1D47">
        <w:t>/legislative</w:t>
      </w:r>
      <w:r>
        <w:t xml:space="preserve"> category. “Hedging” in reverse is </w:t>
      </w:r>
      <w:r w:rsidR="00AB1D47">
        <w:t xml:space="preserve">generally understood as </w:t>
      </w:r>
      <w:r>
        <w:t xml:space="preserve">a practice of </w:t>
      </w:r>
      <w:r w:rsidR="00AB1D47">
        <w:t xml:space="preserve">(fully or in part) </w:t>
      </w:r>
      <w:r>
        <w:t>neutr</w:t>
      </w:r>
      <w:r w:rsidR="00AB1D47">
        <w:t>a</w:t>
      </w:r>
      <w:r>
        <w:t>lising a risk position by entering into a position/contract which has an adverse risk/return characteristic and thereby offsets the original risk.</w:t>
      </w:r>
    </w:p>
    <w:p w14:paraId="71C4EE7D" w14:textId="77777777" w:rsidR="00D7344B" w:rsidRDefault="00D7344B" w:rsidP="00A73299"/>
    <w:p w14:paraId="3D1CE017" w14:textId="53712123" w:rsidR="00A73299" w:rsidRDefault="00D7344B" w:rsidP="00A73299">
      <w:r>
        <w:t xml:space="preserve">However, </w:t>
      </w:r>
      <w:r w:rsidR="008156BD">
        <w:t xml:space="preserve">entering in a position in an “anticipatory” or “forward looking” way very often is </w:t>
      </w:r>
      <w:r w:rsidR="00AB1D47">
        <w:t xml:space="preserve">also </w:t>
      </w:r>
      <w:r w:rsidR="008156BD">
        <w:t>based on the rationale to avoide a future risk which is likely to occure</w:t>
      </w:r>
      <w:r w:rsidR="00851A43">
        <w:t xml:space="preserve"> (but is still unknown and therefore only can be anticipated in a</w:t>
      </w:r>
      <w:r w:rsidR="00700677">
        <w:t>n aproximative way)</w:t>
      </w:r>
      <w:r w:rsidR="008156BD">
        <w:t>.</w:t>
      </w:r>
      <w:r>
        <w:t xml:space="preserve"> </w:t>
      </w:r>
      <w:permEnd w:id="1817013114"/>
      <w:r w:rsidR="00A73299">
        <w:t>&lt;ESMA_QUESTION_PHDG_3&gt;</w:t>
      </w:r>
    </w:p>
    <w:p w14:paraId="17CDAE12" w14:textId="77777777" w:rsidR="00A73299" w:rsidRDefault="00A73299" w:rsidP="00A73299"/>
    <w:p w14:paraId="489BA89A" w14:textId="77777777" w:rsidR="00A73299" w:rsidRDefault="00A73299" w:rsidP="00A73299">
      <w:pPr>
        <w:pStyle w:val="Questionstyle"/>
      </w:pPr>
      <w:r w:rsidRPr="00D70FF1">
        <w:t>Do you have any specific concerns with respect to the practice of pre hedging being undertaken by liquidity providers when the trading protocol allows for a ‘last look’?</w:t>
      </w:r>
    </w:p>
    <w:p w14:paraId="16A00167" w14:textId="77777777" w:rsidR="00A73299" w:rsidRDefault="00A73299" w:rsidP="00A73299">
      <w:r>
        <w:t>&lt;ESMA_QUESTION_PHDG_4&gt;</w:t>
      </w:r>
    </w:p>
    <w:p w14:paraId="220C9595" w14:textId="77777777" w:rsidR="004250CF" w:rsidRDefault="004250CF" w:rsidP="004250CF">
      <w:permStart w:id="810027983" w:edGrp="everyone"/>
      <w:r>
        <w:t>bwf comment:</w:t>
      </w:r>
    </w:p>
    <w:p w14:paraId="57D32A40" w14:textId="77777777" w:rsidR="004250CF" w:rsidRDefault="004250CF" w:rsidP="004250CF"/>
    <w:p w14:paraId="13627DA6" w14:textId="20EF55E7" w:rsidR="00A73299" w:rsidRDefault="004250CF" w:rsidP="004250CF">
      <w:r>
        <w:lastRenderedPageBreak/>
        <w:t>Just like the term “pre-jedging”, the term “last look functionality” does not have a generally accepted meaning and is used only in certain markets. We therefore do not want to make any judgement regarding a “last look funcitionality” in the context of the CFE. In reverse, we do not object a “last look functionality” as such. What we are rather conserned about is, that conclusions which might be valid (or not) for a specific market design might be generalised in an unjustified way.</w:t>
      </w:r>
    </w:p>
    <w:permEnd w:id="810027983"/>
    <w:p w14:paraId="447B09BE" w14:textId="77777777" w:rsidR="00A73299" w:rsidRDefault="00A73299" w:rsidP="00A73299">
      <w:r>
        <w:t>&lt;ESMA_QUESTION_PHDG_4&gt;</w:t>
      </w:r>
    </w:p>
    <w:p w14:paraId="3F319FF5" w14:textId="77777777" w:rsidR="00A73299" w:rsidRDefault="00A73299" w:rsidP="00A73299"/>
    <w:p w14:paraId="6DD23CFD" w14:textId="77777777" w:rsidR="00A73299" w:rsidRDefault="00A73299" w:rsidP="00A73299">
      <w:pPr>
        <w:pStyle w:val="Questionstyle"/>
      </w:pPr>
      <w:r w:rsidRPr="00D70FF1">
        <w:t xml:space="preserve">What is your view on the arguments presented in favour and against pre-hedging? </w:t>
      </w:r>
    </w:p>
    <w:p w14:paraId="357A9E96" w14:textId="77777777" w:rsidR="00A73299" w:rsidRDefault="00A73299" w:rsidP="00A73299">
      <w:r>
        <w:t>&lt;ESMA_QUESTION_PHDG_5&gt;</w:t>
      </w:r>
    </w:p>
    <w:p w14:paraId="38A425B8" w14:textId="77777777" w:rsidR="00A86FBD" w:rsidRDefault="00A86FBD" w:rsidP="00FF7CD2">
      <w:permStart w:id="1379824319" w:edGrp="everyone"/>
      <w:r>
        <w:t>bwf comment:</w:t>
      </w:r>
    </w:p>
    <w:p w14:paraId="0C47D4B2" w14:textId="77777777" w:rsidR="00A86FBD" w:rsidRDefault="00A86FBD" w:rsidP="00FF7CD2"/>
    <w:p w14:paraId="328F5276" w14:textId="5A0CDCAB" w:rsidR="00A86FBD" w:rsidRDefault="00A86FBD" w:rsidP="00A73299">
      <w:r>
        <w:t>Since it is part of the CFE to find out, if there is a generally understood and accepted definition of “pre-hedging” (what we think is not th</w:t>
      </w:r>
      <w:r w:rsidR="00C95186">
        <w:t>e</w:t>
      </w:r>
      <w:r>
        <w:t xml:space="preserve"> case), we are of the opinion that the question in this form is inadmissible.</w:t>
      </w:r>
    </w:p>
    <w:p w14:paraId="2D3EB568" w14:textId="77777777" w:rsidR="00A86FBD" w:rsidRDefault="00A86FBD" w:rsidP="00A73299"/>
    <w:p w14:paraId="7F0F6A3D" w14:textId="3C3BE512" w:rsidR="00B8030F" w:rsidRDefault="00A86FBD" w:rsidP="00A73299">
      <w:r>
        <w:t xml:space="preserve">However, with respect to the  definition which ESMA offered for “pre hedging”, we can only repeat that it is – also from a regulatory </w:t>
      </w:r>
      <w:r w:rsidR="00130492">
        <w:t>perspective</w:t>
      </w:r>
      <w:r>
        <w:t xml:space="preserve"> – generally agreed that “</w:t>
      </w:r>
      <w:r w:rsidR="003010BA">
        <w:t>proactive</w:t>
      </w:r>
      <w:r>
        <w:t xml:space="preserve">“ anticipative management of inventory by liquidity providers is not only admissible but desireable and </w:t>
      </w:r>
      <w:r w:rsidR="003010BA">
        <w:t>b</w:t>
      </w:r>
      <w:r>
        <w:t xml:space="preserve">enefits the market as a whole. </w:t>
      </w:r>
    </w:p>
    <w:p w14:paraId="1B22B51D" w14:textId="77777777" w:rsidR="003010BA" w:rsidRDefault="003010BA" w:rsidP="00A73299"/>
    <w:p w14:paraId="19E8F0D9" w14:textId="362A4F29" w:rsidR="00A73299" w:rsidRDefault="003010BA" w:rsidP="00A73299">
      <w:r>
        <w:t>It is worth while remembering that this includes also situtations where the liquidity provider, resulting from its activities, is in the posession of inside</w:t>
      </w:r>
      <w:r w:rsidR="00AB1D47">
        <w:t xml:space="preserve"> information</w:t>
      </w:r>
      <w:r>
        <w:t xml:space="preserve"> but should not be supposed to violate MAR provisions as long as he </w:t>
      </w:r>
      <w:r w:rsidR="001E1F3B">
        <w:t xml:space="preserve">or she </w:t>
      </w:r>
      <w:r>
        <w:t>uses th</w:t>
      </w:r>
      <w:r w:rsidR="001E1F3B">
        <w:t>is</w:t>
      </w:r>
      <w:r>
        <w:t xml:space="preserve"> information in a neccessary and legitimate way</w:t>
      </w:r>
      <w:r w:rsidR="00E20BF4">
        <w:t xml:space="preserve"> resulting from its normal course of activities</w:t>
      </w:r>
      <w:r>
        <w:t xml:space="preserve"> (cf. recital 29 &amp; 30 of Regulation (EU) </w:t>
      </w:r>
      <w:r w:rsidR="00441930">
        <w:t>no 596/2014 on market abuse).</w:t>
      </w:r>
      <w:r w:rsidR="00B8030F">
        <w:t xml:space="preserve"> </w:t>
      </w:r>
      <w:permEnd w:id="1379824319"/>
      <w:r w:rsidR="00A73299">
        <w:t>&lt;ESMA_QUESTION_PHDG_5&gt;</w:t>
      </w:r>
    </w:p>
    <w:p w14:paraId="186C7C64" w14:textId="77777777" w:rsidR="00A73299" w:rsidRDefault="00A73299" w:rsidP="00A73299"/>
    <w:p w14:paraId="14ECCDB7" w14:textId="77777777" w:rsidR="00A73299" w:rsidRDefault="00A73299" w:rsidP="00A73299">
      <w:pPr>
        <w:pStyle w:val="Questionstyle"/>
      </w:pPr>
      <w:r w:rsidRPr="00D70FF1">
        <w:t xml:space="preserve">In which cases could a foreseeable transaction enable a conclusion to be drawn on its effect on the prices? </w:t>
      </w:r>
    </w:p>
    <w:p w14:paraId="5B9CA099" w14:textId="77777777" w:rsidR="00A73299" w:rsidRDefault="00A73299" w:rsidP="00A73299">
      <w:r>
        <w:t>&lt;ESMA_QUESTION_PHDG_6&gt;</w:t>
      </w:r>
    </w:p>
    <w:p w14:paraId="546A3B31" w14:textId="77777777" w:rsidR="00C80DE9" w:rsidRDefault="00C80DE9" w:rsidP="005214AC">
      <w:permStart w:id="554985269" w:edGrp="everyone"/>
      <w:r>
        <w:t>bwf comment:</w:t>
      </w:r>
    </w:p>
    <w:p w14:paraId="0A6DAB95" w14:textId="77777777" w:rsidR="00C80DE9" w:rsidRDefault="00C80DE9" w:rsidP="005214AC"/>
    <w:p w14:paraId="15F690FC" w14:textId="7B4C29D1" w:rsidR="00311F11" w:rsidRDefault="00C80DE9" w:rsidP="00A73299">
      <w:r>
        <w:t xml:space="preserve">Regarding the question, whether a RFQ </w:t>
      </w:r>
      <w:r w:rsidR="00311F11">
        <w:t xml:space="preserve">could be considered to be categorized as “inside information” on a regular basis (which to our impression, the CFE </w:t>
      </w:r>
      <w:r w:rsidR="004C1B7F">
        <w:t>seems to suggest to some extent</w:t>
      </w:r>
      <w:r w:rsidR="00311F11">
        <w:t xml:space="preserve">), we would clearly object such a conlusion. </w:t>
      </w:r>
    </w:p>
    <w:p w14:paraId="32E54C7B" w14:textId="77777777" w:rsidR="00311F11" w:rsidRDefault="00311F11" w:rsidP="00A73299"/>
    <w:p w14:paraId="388EB716" w14:textId="12593CCF" w:rsidR="00A73299" w:rsidRDefault="00311F11" w:rsidP="00A73299">
      <w:r>
        <w:t xml:space="preserve">However, we do not want to rule out that a RFQ in a specific situation could have the quality of an inside information but this needs to be decided on a case by case basis (for more detail, please see also our answer to Q7). </w:t>
      </w:r>
      <w:permEnd w:id="554985269"/>
      <w:r w:rsidR="00A73299">
        <w:t>&lt;ESMA_QUESTION_PHDG_6&gt;</w:t>
      </w:r>
    </w:p>
    <w:p w14:paraId="56129511" w14:textId="77777777" w:rsidR="00A73299" w:rsidRDefault="00A73299" w:rsidP="00A73299"/>
    <w:p w14:paraId="21ED915B" w14:textId="77777777" w:rsidR="00A73299" w:rsidRDefault="00A73299" w:rsidP="00A73299">
      <w:pPr>
        <w:pStyle w:val="Questionstyle"/>
      </w:pPr>
      <w:r w:rsidRPr="00D70FF1">
        <w:t>Do you agree that an RFM when the liquidity provider could discover the trading intentions of the sender on the basis of their past commercial relationship, the market conditions or the news flow should be considered as precise information?</w:t>
      </w:r>
    </w:p>
    <w:p w14:paraId="31EE2447" w14:textId="77777777" w:rsidR="00A73299" w:rsidRDefault="00A73299" w:rsidP="00A73299">
      <w:r>
        <w:t>&lt;ESMA_QUESTION_PHDG_7&gt;</w:t>
      </w:r>
    </w:p>
    <w:p w14:paraId="1A67B2D2" w14:textId="77777777" w:rsidR="007B2987" w:rsidRDefault="007B2987" w:rsidP="00FF7CD2">
      <w:permStart w:id="116469412" w:edGrp="everyone"/>
      <w:r>
        <w:lastRenderedPageBreak/>
        <w:t>bwf comment:</w:t>
      </w:r>
    </w:p>
    <w:p w14:paraId="1743ED85" w14:textId="77777777" w:rsidR="007B2987" w:rsidRDefault="007B2987" w:rsidP="00FF7CD2"/>
    <w:p w14:paraId="5340A0C2" w14:textId="44E0AC2F" w:rsidR="00783584" w:rsidRDefault="007B2987" w:rsidP="00A73299">
      <w:r>
        <w:t>While we do not want to rule out that the trading intention “discovered” by the liquidity provider could have the quality of a “precise information” from a regulatory point of view (with potential consequences for its qualification as “inside information</w:t>
      </w:r>
      <w:r w:rsidR="00E20BF4">
        <w:t>”</w:t>
      </w:r>
      <w:r>
        <w:t>), we are very hesistant with respect to any generalised asumtion in this context and think that a any judgement regarding the quality of the information provided by a “discovered” trading interest could onl</w:t>
      </w:r>
      <w:r w:rsidR="00E20BF4">
        <w:t>y</w:t>
      </w:r>
      <w:r>
        <w:t xml:space="preserve"> be made on a case </w:t>
      </w:r>
      <w:r w:rsidR="00C80DE9">
        <w:t>b</w:t>
      </w:r>
      <w:r>
        <w:t>y case basis, taking the specific situation and various factors into account. Amon</w:t>
      </w:r>
      <w:r w:rsidR="00E20BF4">
        <w:t>g</w:t>
      </w:r>
      <w:r>
        <w:t xml:space="preserve"> others</w:t>
      </w:r>
      <w:r w:rsidR="00E20BF4">
        <w:t>,</w:t>
      </w:r>
      <w:r>
        <w:t xml:space="preserve"> such factors might include indeed the “past  commercial relationship” and  (from a comprehensive perspective) the “market conditions”, in particular the liquidity of the instrument in question and an anticipated potential market impact when setting the size of the unveiled trading interest in relation to the market liquidity of the instrument</w:t>
      </w:r>
      <w:r w:rsidR="00783584">
        <w:t>.</w:t>
      </w:r>
    </w:p>
    <w:p w14:paraId="7C886CC7" w14:textId="77777777" w:rsidR="00311F11" w:rsidRDefault="00311F11" w:rsidP="00A73299"/>
    <w:p w14:paraId="18C1F758" w14:textId="2080F4AA" w:rsidR="00311F11" w:rsidRDefault="00311F11" w:rsidP="00A73299">
      <w:r>
        <w:t xml:space="preserve">In this context, one aspect not to be overlooked lies in the circumstance that unlike </w:t>
      </w:r>
      <w:r w:rsidR="00C139F7">
        <w:t>“</w:t>
      </w:r>
      <w:r w:rsidR="00C139F7" w:rsidRPr="00C139F7">
        <w:t xml:space="preserve">information conveyed by a client and </w:t>
      </w:r>
      <w:r w:rsidR="00C139F7" w:rsidRPr="00C139F7">
        <w:rPr>
          <w:u w:val="single"/>
        </w:rPr>
        <w:t>relating to the client’s pending orders</w:t>
      </w:r>
      <w:r w:rsidR="00C139F7" w:rsidRPr="00C139F7">
        <w:t xml:space="preserve"> </w:t>
      </w:r>
      <w:r w:rsidR="00C139F7">
        <w:t xml:space="preserve">(emphasis added) </w:t>
      </w:r>
      <w:r w:rsidR="00C139F7" w:rsidRPr="00C139F7">
        <w:t>in financial instruments</w:t>
      </w:r>
      <w:r w:rsidR="00C139F7">
        <w:t xml:space="preserve">” (cf. article 7 (d) of Regulation (EU) no 596/2014 on market abuse), the trading interest unveiled by a RFQ – which might or might not finally result in an order – is (and we think for good reason) not expressly mentioned in the MAR definition of inside information. </w:t>
      </w:r>
      <w:r w:rsidR="00C859B2">
        <w:t xml:space="preserve">Accordingly, we would always argue that a RFQ ceteris paribus (with relevant factors like instrument, size, timing, prevailing market conitions etc. being equal) </w:t>
      </w:r>
      <w:r w:rsidR="007B4108">
        <w:t>sh</w:t>
      </w:r>
      <w:r w:rsidR="00C859B2">
        <w:t xml:space="preserve">ould – also from a MAR or conflict of interest perspecticive – always be </w:t>
      </w:r>
      <w:r w:rsidR="004662D6">
        <w:t xml:space="preserve">regarded as </w:t>
      </w:r>
      <w:r w:rsidR="00C859B2">
        <w:t>a less substantial</w:t>
      </w:r>
      <w:r w:rsidR="004662D6">
        <w:t>/reliable</w:t>
      </w:r>
      <w:r w:rsidR="00C859B2">
        <w:t xml:space="preserve"> peace of information </w:t>
      </w:r>
      <w:r w:rsidR="007B4108">
        <w:t xml:space="preserve">(by regulators and market participants alike) </w:t>
      </w:r>
      <w:r w:rsidR="00C859B2">
        <w:t>than a</w:t>
      </w:r>
      <w:r w:rsidR="007B4108">
        <w:t>n existing</w:t>
      </w:r>
      <w:r w:rsidR="00C859B2">
        <w:t xml:space="preserve"> pending order which already was placed by a client/market counterpart.</w:t>
      </w:r>
      <w:r w:rsidR="00FF5B16">
        <w:t xml:space="preserve"> Accordingly, the requirements for a RFQ being pozentially characterised as “inside information” under no circumstances should be lower (e.g. by being subject to a higher level of generalisation) than in the case of a pending order in a firm’s order blotter or a market’s order book.</w:t>
      </w:r>
    </w:p>
    <w:p w14:paraId="28D1533A" w14:textId="77777777" w:rsidR="00783584" w:rsidRDefault="00783584" w:rsidP="00A73299"/>
    <w:p w14:paraId="4C32FC8D" w14:textId="0631274E" w:rsidR="00115A35" w:rsidRDefault="00783584">
      <w:pPr>
        <w:pStyle w:val="Default"/>
      </w:pPr>
      <w:r>
        <w:t>Furthermore, when discussing the quality and characterist</w:t>
      </w:r>
      <w:r w:rsidR="00373F40">
        <w:t>ic of information represented</w:t>
      </w:r>
      <w:r>
        <w:t xml:space="preserve"> in a parties trading interest (in particular whether it can be considered “precise” from a regulatory point of view and therefore potentially could be considered as “inside information”), we think that it </w:t>
      </w:r>
      <w:r w:rsidR="00E20BF4">
        <w:t xml:space="preserve">urgently </w:t>
      </w:r>
      <w:r>
        <w:t>needs to be reminded</w:t>
      </w:r>
      <w:r w:rsidR="00432F52">
        <w:t xml:space="preserve"> that it is expressly acknowledged within the MAR framework that </w:t>
      </w:r>
      <w:r w:rsidR="00311F11">
        <w:t>even to the extent that</w:t>
      </w:r>
      <w:r w:rsidR="00E20BF4">
        <w:t xml:space="preserve"> </w:t>
      </w:r>
      <w:r w:rsidR="00432F52">
        <w:t>liquidity providers in their normal course of business might become necessarily aware o</w:t>
      </w:r>
      <w:r w:rsidR="00E20BF4">
        <w:t>f, respectively</w:t>
      </w:r>
      <w:r w:rsidR="00432F52">
        <w:t xml:space="preserve"> in the possession of inside information when buying or selling financial instruments or executing orders</w:t>
      </w:r>
      <w:r w:rsidR="00E20BF4">
        <w:t>, it</w:t>
      </w:r>
      <w:r w:rsidR="00432F52">
        <w:t xml:space="preserve"> “should not be deemed to constitute use of such inside information” (cf. Regulation (EU) No 596/2014 on market abuse, recital 30). Therefore, “in order to avoid inadvertently prohibiting forms of financial activity which are legitimate</w:t>
      </w:r>
      <w:r w:rsidR="00FE0D2D">
        <w:t xml:space="preserve">, namely where there is no effect of market abuse, it is necessary to recognise certain legitimate behavior. This may include </w:t>
      </w:r>
      <w:r w:rsidR="00FE0D2D">
        <w:rPr>
          <w:u w:val="single"/>
        </w:rPr>
        <w:t>for example</w:t>
      </w:r>
      <w:r w:rsidR="00FE0D2D">
        <w:t xml:space="preserve"> (emphasis added) the role of market makers, when acting in the </w:t>
      </w:r>
      <w:r w:rsidR="00FE0D2D">
        <w:rPr>
          <w:u w:val="single"/>
        </w:rPr>
        <w:t>legitimate capacity of providing market liquidity</w:t>
      </w:r>
      <w:r w:rsidR="00FE0D2D" w:rsidRPr="00FE0D2D">
        <w:t xml:space="preserve"> (emphasis added)” (loc</w:t>
      </w:r>
      <w:r w:rsidR="00974C1A">
        <w:t>.</w:t>
      </w:r>
      <w:r w:rsidR="00FE0D2D" w:rsidRPr="00FE0D2D">
        <w:t xml:space="preserve"> cit., recital 29</w:t>
      </w:r>
      <w:r w:rsidR="005862CC">
        <w:t>)</w:t>
      </w:r>
      <w:r w:rsidR="007B2987">
        <w:t>.</w:t>
      </w:r>
      <w:r w:rsidR="00FE0D2D">
        <w:t xml:space="preserve"> </w:t>
      </w:r>
    </w:p>
    <w:p w14:paraId="7EEB14E7" w14:textId="77777777" w:rsidR="00115A35" w:rsidRDefault="00115A35">
      <w:pPr>
        <w:pStyle w:val="Default"/>
      </w:pPr>
    </w:p>
    <w:p w14:paraId="33ABC3FB" w14:textId="23B05729" w:rsidR="00BD45C9" w:rsidRDefault="00FE0D2D" w:rsidP="00A73299">
      <w:r>
        <w:t>Since market makers are mentioned only as an example, other liquidity providers than “traditional” market makers such as RF</w:t>
      </w:r>
      <w:r w:rsidR="00761745">
        <w:t>Q</w:t>
      </w:r>
      <w:r>
        <w:t xml:space="preserve"> providers or liquidity providers performing their activities as part of a “hybrid” or an</w:t>
      </w:r>
      <w:r w:rsidR="00115A35">
        <w:t>y</w:t>
      </w:r>
      <w:r>
        <w:t xml:space="preserve"> other market model (as defined by </w:t>
      </w:r>
      <w:r w:rsidR="00115A35">
        <w:t>Annex 1, Table 1, RTS 1 &amp; RTS 1 supplementing Regulation (EU) No 600/2014) the acjnowledgement of the favorable role of liquidity provider</w:t>
      </w:r>
      <w:r w:rsidR="008175F1">
        <w:t xml:space="preserve">s and the consequent need to recognise their legitimate business, applies to all forms of liquidity providers. Another example where EU legislation has expressly welcomed and protected the function of liquidity provision can be found in </w:t>
      </w:r>
      <w:r w:rsidR="008175F1">
        <w:lastRenderedPageBreak/>
        <w:t>form of a market making exemption from the ban of “naked short selling” withing the</w:t>
      </w:r>
      <w:r w:rsidR="00BD45C9">
        <w:t xml:space="preserve"> EU short selling regulation (cf. recital 26 i.c.w. article 17 of </w:t>
      </w:r>
      <w:r w:rsidR="00011A4D">
        <w:t>Regulation (EU) No 236/2012  on short selling and certain aspects of credit default swaps</w:t>
      </w:r>
      <w:r w:rsidR="00BD45C9">
        <w:t>).</w:t>
      </w:r>
    </w:p>
    <w:p w14:paraId="56AF5B8F" w14:textId="77777777" w:rsidR="00BD45C9" w:rsidRDefault="00BD45C9" w:rsidP="00A73299"/>
    <w:p w14:paraId="50BB3AA9" w14:textId="7098F849" w:rsidR="00A73299" w:rsidRDefault="00BD45C9" w:rsidP="00A73299">
      <w:r>
        <w:t xml:space="preserve">Therefore, we think that it is of utmost importance that the discusion regarding ESMA’s CFE on “pre hedging” </w:t>
      </w:r>
      <w:r w:rsidR="00FF7CD2">
        <w:t>must</w:t>
      </w:r>
      <w:r>
        <w:t xml:space="preserve"> not </w:t>
      </w:r>
      <w:r w:rsidR="003F291B">
        <w:t xml:space="preserve">promote a direction of thought which in the end might result in </w:t>
      </w:r>
      <w:r w:rsidR="00FF7CD2">
        <w:t xml:space="preserve">a reversal of proof, what is </w:t>
      </w:r>
      <w:r w:rsidR="003F291B">
        <w:t xml:space="preserve">and what is not </w:t>
      </w:r>
      <w:r w:rsidR="00FF7CD2">
        <w:t>considered a legitimate business practice in the context of providing market liquidity.</w:t>
      </w:r>
      <w:r w:rsidR="00FE0D2D">
        <w:t xml:space="preserve"> </w:t>
      </w:r>
      <w:permEnd w:id="116469412"/>
      <w:r w:rsidR="00A73299">
        <w:t>&lt;ESMA_QUESTION_PHDG_7&gt;</w:t>
      </w:r>
    </w:p>
    <w:p w14:paraId="39C63DE3" w14:textId="77777777" w:rsidR="00A73299" w:rsidRDefault="00A73299" w:rsidP="00A73299"/>
    <w:p w14:paraId="0540F4CD" w14:textId="77777777" w:rsidR="00A73299" w:rsidRDefault="00A73299" w:rsidP="00A73299">
      <w:pPr>
        <w:pStyle w:val="Questionstyle"/>
      </w:pPr>
      <w:r w:rsidRPr="00D70FF1">
        <w:t xml:space="preserve">Please provide your views regarding the criteria for the identification of RFQs that could potentially have a significant impact on the price of the relevant financial instrument. Is there any other criterion that ESMA should take into account?   </w:t>
      </w:r>
    </w:p>
    <w:p w14:paraId="27FC0CF4" w14:textId="77777777" w:rsidR="00A73299" w:rsidRDefault="00A73299" w:rsidP="00A73299">
      <w:r>
        <w:t>&lt;ESMA_QUESTION_PHDG_8&gt;</w:t>
      </w:r>
    </w:p>
    <w:p w14:paraId="6AED59D7" w14:textId="77777777" w:rsidR="001467B5" w:rsidRDefault="001467B5" w:rsidP="00FF7CD2">
      <w:permStart w:id="2023978491" w:edGrp="everyone"/>
      <w:r>
        <w:t>bwf comment:</w:t>
      </w:r>
    </w:p>
    <w:p w14:paraId="2E9C8D4F" w14:textId="77777777" w:rsidR="001467B5" w:rsidRDefault="001467B5" w:rsidP="00FF7CD2"/>
    <w:p w14:paraId="3CCFEE0A" w14:textId="74A36A80" w:rsidR="00A73299" w:rsidRDefault="001467B5" w:rsidP="00A73299">
      <w:r>
        <w:t>As alre</w:t>
      </w:r>
      <w:r w:rsidR="004E3DFE">
        <w:t>a</w:t>
      </w:r>
      <w:r>
        <w:t xml:space="preserve">dy stated in our answer to Q7, the anticipated market impact resulting from the relation of the size/volume of trading interes and the prevailing market liquidity/general trading activity under normal conditions usually will have </w:t>
      </w:r>
      <w:r w:rsidR="00E20BF4">
        <w:t xml:space="preserve">indeed a </w:t>
      </w:r>
      <w:r>
        <w:t xml:space="preserve">dominant influence regarding the significance of </w:t>
      </w:r>
      <w:r w:rsidR="00E20BF4">
        <w:t xml:space="preserve">a </w:t>
      </w:r>
      <w:r>
        <w:t xml:space="preserve">potential price impact. </w:t>
      </w:r>
      <w:permEnd w:id="2023978491"/>
      <w:r w:rsidR="00A73299">
        <w:t>&lt;ESMA_QUESTION_PHDG_8&gt;</w:t>
      </w:r>
    </w:p>
    <w:p w14:paraId="0FEBDB3D" w14:textId="77777777" w:rsidR="00A73299" w:rsidRDefault="00A73299" w:rsidP="00A73299"/>
    <w:p w14:paraId="66467253" w14:textId="77777777" w:rsidR="00A73299" w:rsidRDefault="00A73299" w:rsidP="00A73299">
      <w:pPr>
        <w:pStyle w:val="Questionstyle"/>
      </w:pPr>
      <w:r w:rsidRPr="00D70FF1">
        <w:t>Does the GFXC Guidance describe all the possible cases of risk management rationale that could justify legitimate pre-hedging? If not, please elaborate</w:t>
      </w:r>
    </w:p>
    <w:p w14:paraId="379CB8B6" w14:textId="77777777" w:rsidR="00A73299" w:rsidRDefault="00A73299" w:rsidP="00A73299">
      <w:r>
        <w:t>&lt;ESMA_QUESTION_PHDG_9&gt;</w:t>
      </w:r>
    </w:p>
    <w:p w14:paraId="5B250EE2" w14:textId="77777777" w:rsidR="001722AA" w:rsidRDefault="001722AA" w:rsidP="001722AA">
      <w:permStart w:id="1646090865" w:edGrp="everyone"/>
      <w:r>
        <w:t>bwf comment:</w:t>
      </w:r>
    </w:p>
    <w:p w14:paraId="37B8E565" w14:textId="77777777" w:rsidR="001722AA" w:rsidRDefault="001722AA" w:rsidP="001722AA"/>
    <w:p w14:paraId="1496746B" w14:textId="0EDF9DEC" w:rsidR="00A73299" w:rsidRDefault="001722AA" w:rsidP="00A73299">
      <w:r>
        <w:t>Please see our answer to Q1. While we highly appreciate the work of the Global Foreign Exchange Comittee” (GFXC) as a joint initiative by the industry and central banks it must be reminded that it has no legislative capacity and despite some general considerations which are worthwile to be discussed in this context as well its focus of activities is limited to the FX markets and cannot be generalised or used as a blueprint different markets</w:t>
      </w:r>
      <w:r w:rsidR="00722E5E">
        <w:t>.</w:t>
      </w:r>
      <w:permEnd w:id="1646090865"/>
      <w:r w:rsidR="00A73299">
        <w:t>&lt;ESMA_QUESTION_PHDG_9&gt;</w:t>
      </w:r>
    </w:p>
    <w:p w14:paraId="6AFCEC55" w14:textId="77777777" w:rsidR="00A73299" w:rsidRDefault="00A73299" w:rsidP="00A73299"/>
    <w:p w14:paraId="04037351" w14:textId="77777777" w:rsidR="00A73299" w:rsidRDefault="00A73299" w:rsidP="00A73299">
      <w:pPr>
        <w:pStyle w:val="Questionstyle"/>
      </w:pPr>
      <w:r w:rsidRPr="00D70FF1">
        <w:t xml:space="preserve">Can you identify practical examples of pre-hedging practices with/without a risk management rationale? </w:t>
      </w:r>
    </w:p>
    <w:p w14:paraId="136B9669" w14:textId="77777777" w:rsidR="00A73299" w:rsidRDefault="00A73299" w:rsidP="00A73299">
      <w:r>
        <w:t>&lt;ESMA_QUESTION_PHDG_10&gt;</w:t>
      </w:r>
    </w:p>
    <w:p w14:paraId="11213722" w14:textId="77777777" w:rsidR="00AB4CE6" w:rsidRDefault="00AB4CE6" w:rsidP="00AB4CE6">
      <w:permStart w:id="104741344" w:edGrp="everyone"/>
      <w:r>
        <w:t>bwf comment:</w:t>
      </w:r>
    </w:p>
    <w:p w14:paraId="424CDE48" w14:textId="77777777" w:rsidR="00AB4CE6" w:rsidRDefault="00AB4CE6" w:rsidP="00AB4CE6"/>
    <w:p w14:paraId="47BEB52E" w14:textId="2871121B" w:rsidR="00A73299" w:rsidRDefault="00AB4CE6" w:rsidP="00A73299">
      <w:r>
        <w:t xml:space="preserve">To the extent that “pre-hedging” </w:t>
      </w:r>
      <w:r w:rsidR="000E2A85">
        <w:t>refers to</w:t>
      </w:r>
      <w:r>
        <w:t xml:space="preserve"> </w:t>
      </w:r>
      <w:r w:rsidR="00C4146B">
        <w:t>a</w:t>
      </w:r>
      <w:r>
        <w:t xml:space="preserve"> “proactive” inventory management</w:t>
      </w:r>
      <w:r w:rsidR="00C4146B">
        <w:t>,</w:t>
      </w:r>
      <w:r>
        <w:t xml:space="preserve"> </w:t>
      </w:r>
      <w:r w:rsidR="00C4146B">
        <w:t>in particular by</w:t>
      </w:r>
      <w:r>
        <w:t xml:space="preserve"> taking positions on a firm</w:t>
      </w:r>
      <w:r w:rsidR="002D2238">
        <w:t>’</w:t>
      </w:r>
      <w:r>
        <w:t>s balance sheet in anticipation of future transactions, t</w:t>
      </w:r>
      <w:r w:rsidR="00C4146B">
        <w:t>h</w:t>
      </w:r>
      <w:r>
        <w:t>is can h</w:t>
      </w:r>
      <w:r w:rsidR="00C4146B">
        <w:t>av</w:t>
      </w:r>
      <w:r>
        <w:t xml:space="preserve">e also non directly (market)risk-management </w:t>
      </w:r>
      <w:r w:rsidR="00C4146B">
        <w:t>related</w:t>
      </w:r>
      <w:r>
        <w:t xml:space="preserve"> reasons</w:t>
      </w:r>
      <w:r w:rsidR="00C4146B">
        <w:t>, e.g. “</w:t>
      </w:r>
      <w:r>
        <w:t>lot-size transformation</w:t>
      </w:r>
      <w:r w:rsidR="00C4146B">
        <w:t>”</w:t>
      </w:r>
      <w:r>
        <w:t xml:space="preserve"> in order to reduce transaction costs or to insure </w:t>
      </w:r>
      <w:r w:rsidR="0020148E">
        <w:t xml:space="preserve">the facilitation of </w:t>
      </w:r>
      <w:r>
        <w:t>settlement and to avo</w:t>
      </w:r>
      <w:r w:rsidR="00F370DD">
        <w:t>i</w:t>
      </w:r>
      <w:r>
        <w:t xml:space="preserve">d fails in less liquid securities where it would be </w:t>
      </w:r>
      <w:r w:rsidR="0020148E">
        <w:t>difficult/</w:t>
      </w:r>
      <w:r>
        <w:t xml:space="preserve">insecure to find sufficient liquidity to fill a delivery obligation </w:t>
      </w:r>
      <w:r w:rsidR="0020148E">
        <w:t>“</w:t>
      </w:r>
      <w:r>
        <w:t>ex post</w:t>
      </w:r>
      <w:r w:rsidR="0020148E">
        <w:t>”</w:t>
      </w:r>
      <w:r>
        <w:t>.</w:t>
      </w:r>
      <w:permEnd w:id="104741344"/>
      <w:r w:rsidR="00A73299">
        <w:t>&lt;ESMA_QUESTION_PHDG_10&gt;</w:t>
      </w:r>
    </w:p>
    <w:p w14:paraId="7A3974D5" w14:textId="77777777" w:rsidR="00A73299" w:rsidRDefault="00A73299" w:rsidP="00A73299"/>
    <w:p w14:paraId="09440864" w14:textId="77777777" w:rsidR="00A73299" w:rsidRDefault="00A73299" w:rsidP="00A73299">
      <w:pPr>
        <w:pStyle w:val="Questionstyle"/>
      </w:pPr>
      <w:r w:rsidRPr="00D70FF1">
        <w:lastRenderedPageBreak/>
        <w:t>Can pre-hedging be considered legitimate when the market participant is aware, on the basis of objective circumstances, that it will not be awarded the transaction?</w:t>
      </w:r>
    </w:p>
    <w:p w14:paraId="1202A54B" w14:textId="77777777" w:rsidR="00A73299" w:rsidRDefault="00A73299" w:rsidP="00A73299">
      <w:r>
        <w:t>&lt;ESMA_QUESTION_PHDG_11&gt;</w:t>
      </w:r>
    </w:p>
    <w:p w14:paraId="0A8BF43C" w14:textId="77777777" w:rsidR="00A73299" w:rsidRDefault="00A73299" w:rsidP="00A73299">
      <w:permStart w:id="1736514824" w:edGrp="everyone"/>
      <w:r>
        <w:t>TYPE YOUR TEXT HERE</w:t>
      </w:r>
    </w:p>
    <w:permEnd w:id="1736514824"/>
    <w:p w14:paraId="362547F0" w14:textId="77777777" w:rsidR="00A73299" w:rsidRDefault="00A73299" w:rsidP="00A73299">
      <w:r>
        <w:t>&lt;ESMA_QUESTION_PHDG_11&gt;</w:t>
      </w:r>
    </w:p>
    <w:p w14:paraId="4F45871F" w14:textId="77777777" w:rsidR="00A73299" w:rsidRDefault="00A73299" w:rsidP="00A73299"/>
    <w:p w14:paraId="395D8E4C" w14:textId="77777777" w:rsidR="00A73299" w:rsidRDefault="00A73299" w:rsidP="00A73299">
      <w:pPr>
        <w:pStyle w:val="Questionstyle"/>
      </w:pPr>
      <w:r w:rsidRPr="00D70FF1">
        <w:t>Can you identify financial instruments that should/should not be used for pre-hedging purposes? Please elaborate</w:t>
      </w:r>
    </w:p>
    <w:p w14:paraId="5528D1E0" w14:textId="77777777" w:rsidR="00A73299" w:rsidRDefault="00A73299" w:rsidP="00A73299">
      <w:r>
        <w:t>&lt;ESMA_QUESTION_PHDG_12&gt;</w:t>
      </w:r>
    </w:p>
    <w:p w14:paraId="1A08572B" w14:textId="77777777" w:rsidR="00A73299" w:rsidRDefault="00A73299" w:rsidP="00A73299">
      <w:permStart w:id="664279198" w:edGrp="everyone"/>
      <w:r>
        <w:t>TYPE YOUR TEXT HERE</w:t>
      </w:r>
    </w:p>
    <w:permEnd w:id="664279198"/>
    <w:p w14:paraId="4D04C976" w14:textId="77777777" w:rsidR="00A73299" w:rsidRDefault="00A73299" w:rsidP="00A73299">
      <w:r>
        <w:t>&lt;ESMA_QUESTION_PHDG_12&gt;</w:t>
      </w:r>
    </w:p>
    <w:p w14:paraId="4BB1A096" w14:textId="77777777" w:rsidR="00A73299" w:rsidRDefault="00A73299" w:rsidP="00A73299"/>
    <w:p w14:paraId="786A89D5" w14:textId="77777777" w:rsidR="00A73299" w:rsidRDefault="00A73299" w:rsidP="00A73299">
      <w:pPr>
        <w:pStyle w:val="Questionstyle"/>
      </w:pPr>
      <w:r w:rsidRPr="00D70FF1">
        <w:t>Please provide your views on the proposed indicators of legitimate and illegitimate pre-hedging. Would you suggest any other?</w:t>
      </w:r>
    </w:p>
    <w:p w14:paraId="2A36AD70" w14:textId="77777777" w:rsidR="00A73299" w:rsidRDefault="00A73299" w:rsidP="00A73299">
      <w:r>
        <w:t>&lt;ESMA_QUESTION_PHDG_13&gt;</w:t>
      </w:r>
    </w:p>
    <w:p w14:paraId="0EA85B50" w14:textId="77777777" w:rsidR="00A73299" w:rsidRDefault="00A73299" w:rsidP="00A73299">
      <w:permStart w:id="1472084367" w:edGrp="everyone"/>
      <w:r>
        <w:t>TYPE YOUR TEXT HERE</w:t>
      </w:r>
    </w:p>
    <w:permEnd w:id="1472084367"/>
    <w:p w14:paraId="6BC3B353" w14:textId="77777777" w:rsidR="00A73299" w:rsidRDefault="00A73299" w:rsidP="00A73299">
      <w:r>
        <w:t>&lt;ESMA_QUESTION_PHDG_13&gt;</w:t>
      </w:r>
    </w:p>
    <w:p w14:paraId="4DC357E2" w14:textId="77777777" w:rsidR="00A73299" w:rsidRDefault="00A73299" w:rsidP="00A73299"/>
    <w:p w14:paraId="5A0F661F" w14:textId="77777777" w:rsidR="00A73299" w:rsidRDefault="00A73299" w:rsidP="00A73299">
      <w:pPr>
        <w:pStyle w:val="Questionstyle"/>
      </w:pPr>
      <w:r w:rsidRPr="00D70FF1">
        <w:t xml:space="preserve">According to your experience, can express consent to pre-hedging be provided on a case-by-case basis in the context of electronic and competitive RFQs? If yes, how? Do you think the client’s consent to pre-hedging should ground a presumption of legitimacy of the liquidity provider’s behaviour? </w:t>
      </w:r>
    </w:p>
    <w:p w14:paraId="1BCD981E" w14:textId="77777777" w:rsidR="00A73299" w:rsidRDefault="00A73299" w:rsidP="00A73299">
      <w:r>
        <w:t>&lt;ESMA_QUESTION_PHDG_14&gt;</w:t>
      </w:r>
    </w:p>
    <w:p w14:paraId="70131D4D" w14:textId="77777777" w:rsidR="005F77E3" w:rsidRDefault="005F77E3" w:rsidP="005F77E3">
      <w:permStart w:id="1778341178" w:edGrp="everyone"/>
      <w:r>
        <w:t>bwf comment:</w:t>
      </w:r>
    </w:p>
    <w:p w14:paraId="2857F37B" w14:textId="77777777" w:rsidR="005F77E3" w:rsidRDefault="005F77E3" w:rsidP="005F77E3"/>
    <w:p w14:paraId="39517D1B" w14:textId="12A1E056" w:rsidR="00A73299" w:rsidRDefault="00D258E1" w:rsidP="005F77E3">
      <w:r>
        <w:t>“</w:t>
      </w:r>
      <w:r w:rsidR="005F77E3">
        <w:t>No</w:t>
      </w:r>
      <w:r>
        <w:t>”</w:t>
      </w:r>
      <w:r w:rsidR="005F77E3">
        <w:t xml:space="preserve">, we hold the view that in general the regulatory/legislative legitamacy of hedging activities should not </w:t>
      </w:r>
      <w:r w:rsidR="003533E8">
        <w:t>b</w:t>
      </w:r>
      <w:r w:rsidR="005F77E3">
        <w:t>e judged from the position of a liquidity provider’s clients or market counterparts</w:t>
      </w:r>
      <w:r w:rsidR="003533E8">
        <w:t xml:space="preserve"> but should focus on the risk-mitigating effect for the (regulated) firm which conducts hedging practices itself</w:t>
      </w:r>
      <w:r w:rsidR="005F77E3">
        <w:t>. For more detail, please see also our answer to Q15.</w:t>
      </w:r>
    </w:p>
    <w:permEnd w:id="1778341178"/>
    <w:p w14:paraId="06395638" w14:textId="77777777" w:rsidR="00A73299" w:rsidRDefault="00A73299" w:rsidP="00A73299">
      <w:r>
        <w:t>&lt;ESMA_QUESTION_PHDG_14&gt;</w:t>
      </w:r>
    </w:p>
    <w:p w14:paraId="60AD5AEA" w14:textId="77777777" w:rsidR="00A73299" w:rsidRDefault="00A73299" w:rsidP="00A73299"/>
    <w:p w14:paraId="7585A22A" w14:textId="77777777" w:rsidR="00A73299" w:rsidRDefault="00A73299" w:rsidP="00A73299">
      <w:pPr>
        <w:pStyle w:val="Questionstyle"/>
      </w:pPr>
      <w:r w:rsidRPr="00D70FF1">
        <w:t xml:space="preserve">Could you please indicate which are in your view the pre-hedging practices that appear to be conducted mostly in the interest of the liquidity provider and which may risk to not bring any benefit to the client? </w:t>
      </w:r>
    </w:p>
    <w:p w14:paraId="22AB1953" w14:textId="77777777" w:rsidR="00A73299" w:rsidRDefault="00A73299" w:rsidP="00A73299">
      <w:r>
        <w:t>&lt;ESMA_QUESTION_PHDG_15&gt;</w:t>
      </w:r>
    </w:p>
    <w:p w14:paraId="7DD2FC79" w14:textId="77777777" w:rsidR="00D178AC" w:rsidRDefault="00D178AC" w:rsidP="00FF7CD2">
      <w:permStart w:id="113129472" w:edGrp="everyone"/>
      <w:r>
        <w:t>bwf comment:</w:t>
      </w:r>
    </w:p>
    <w:p w14:paraId="222CA518" w14:textId="77777777" w:rsidR="00D178AC" w:rsidRDefault="00D178AC" w:rsidP="00FF7CD2"/>
    <w:p w14:paraId="47747EB3" w14:textId="4216EF7B" w:rsidR="003F008E" w:rsidRDefault="003F008E" w:rsidP="00A73299">
      <w:r>
        <w:t>Aside from the, as described above, opaque and for</w:t>
      </w:r>
      <w:r w:rsidR="000364EE">
        <w:t xml:space="preserve"> a</w:t>
      </w:r>
      <w:r>
        <w:t xml:space="preserve"> regulatory p</w:t>
      </w:r>
      <w:r w:rsidR="000364EE">
        <w:t xml:space="preserve">urpose not very usueful term </w:t>
      </w:r>
      <w:r>
        <w:t>“pre-hedging”, we think that ESMA is heading completely in the wrong direction, if it – at least indirectly – suggests that the legitimacy of hedging activities should be dependent on the question whether such activites benefit a firm</w:t>
      </w:r>
      <w:r w:rsidR="00F947E9">
        <w:t>’</w:t>
      </w:r>
      <w:r>
        <w:t xml:space="preserve">s clients. </w:t>
      </w:r>
    </w:p>
    <w:p w14:paraId="7A0C9B46" w14:textId="77777777" w:rsidR="003F008E" w:rsidRDefault="003F008E" w:rsidP="00A73299"/>
    <w:p w14:paraId="0923E071" w14:textId="2DF7D69B" w:rsidR="00C21B6E" w:rsidRDefault="003F008E" w:rsidP="00A73299">
      <w:r>
        <w:lastRenderedPageBreak/>
        <w:t xml:space="preserve">Hedging, as a practice to offset risks, is meant to and desireable from a regulatory point of view </w:t>
      </w:r>
      <w:r w:rsidR="000364EE">
        <w:t xml:space="preserve">in the first place </w:t>
      </w:r>
      <w:r>
        <w:t>because it reduces the risk of failure of a firm</w:t>
      </w:r>
      <w:r w:rsidR="000364EE">
        <w:t xml:space="preserve"> or market participant in general</w:t>
      </w:r>
      <w:r w:rsidR="009E3241">
        <w:t xml:space="preserve">. To this extent, hedging might be </w:t>
      </w:r>
      <w:r>
        <w:t xml:space="preserve">also beneficial to the clients </w:t>
      </w:r>
      <w:r w:rsidR="009E3241">
        <w:t>and</w:t>
      </w:r>
      <w:r>
        <w:t xml:space="preserve"> t</w:t>
      </w:r>
      <w:r w:rsidR="009E3241">
        <w:t>o</w:t>
      </w:r>
      <w:r>
        <w:t xml:space="preserve"> the market as a whole as it reduces the risk </w:t>
      </w:r>
      <w:r w:rsidR="009E3241">
        <w:t>client losses (resulting from non-executed and/or unsettled trades) and</w:t>
      </w:r>
      <w:r>
        <w:t xml:space="preserve"> market disrupts which may result from a failing firm. </w:t>
      </w:r>
      <w:r w:rsidR="000364EE">
        <w:t xml:space="preserve">However, as demonstrated above, the legitimacy of hedging (or risk-mitigating practices in general) should be evaluated independently from any desirable side-effects on clients or other market counterparts. </w:t>
      </w:r>
    </w:p>
    <w:p w14:paraId="26F9EA02" w14:textId="77777777" w:rsidR="00C21B6E" w:rsidRDefault="00C21B6E" w:rsidP="00A73299"/>
    <w:p w14:paraId="615AF21B" w14:textId="3F907B71" w:rsidR="00A73299" w:rsidRDefault="00271872" w:rsidP="00A73299">
      <w:r>
        <w:t>While</w:t>
      </w:r>
      <w:r w:rsidR="00C21B6E">
        <w:t>, hedging activities by liquidity providers might also have a beneficial impact on clients/market counterparts</w:t>
      </w:r>
      <w:r w:rsidR="004E3DFE">
        <w:t xml:space="preserve"> (even though, they might not </w:t>
      </w:r>
      <w:r w:rsidR="00C21B6E">
        <w:t xml:space="preserve">even aware of it because the hedging activities are not disclosed to them), e.g. with respect to the reduction of counterparty risk or because hedging migh in some circumstances </w:t>
      </w:r>
      <w:r>
        <w:t>ena</w:t>
      </w:r>
      <w:r w:rsidR="00C21B6E">
        <w:t>ble</w:t>
      </w:r>
      <w:r>
        <w:t>s</w:t>
      </w:r>
      <w:r w:rsidR="00C21B6E">
        <w:t xml:space="preserve"> the liquidity provider to offer </w:t>
      </w:r>
      <w:r>
        <w:t>b</w:t>
      </w:r>
      <w:r w:rsidR="00C21B6E">
        <w:t>etter prices and narrower quotes. Still, a potential benefit for the clients/market counterparts should not be seen as creteria of legitimacy of hedging practices from a regulatory/legislative point of view.</w:t>
      </w:r>
      <w:r w:rsidR="00D178AC">
        <w:t xml:space="preserve"> </w:t>
      </w:r>
      <w:permEnd w:id="113129472"/>
      <w:r w:rsidR="00A73299">
        <w:t>&lt;ESMA_QUESTION_PHDG_15&gt;</w:t>
      </w:r>
    </w:p>
    <w:p w14:paraId="7906CFF2" w14:textId="77777777" w:rsidR="00A73299" w:rsidRDefault="00A73299" w:rsidP="00A73299"/>
    <w:p w14:paraId="15646476" w14:textId="77777777" w:rsidR="00A73299" w:rsidRDefault="00A73299" w:rsidP="00A73299">
      <w:pPr>
        <w:pStyle w:val="Questionstyle"/>
      </w:pPr>
      <w:r w:rsidRPr="00D70FF1">
        <w:t>Do you think it would be feasible for liquidity providers to provide evidence of (i) their reasonable expectation to conclude the transaction; (i) the risk management needs behind the transactions; (iii) the benefit for the client pursued through the transaction and (iv) the client’s consent? If no, please indicate potential obstacles to the provision of such evidence.</w:t>
      </w:r>
    </w:p>
    <w:p w14:paraId="476ECBEC" w14:textId="77777777" w:rsidR="00A73299" w:rsidRDefault="00A73299" w:rsidP="00A73299">
      <w:r>
        <w:t>&lt;ESMA_QUESTION_PHDG_16&gt;</w:t>
      </w:r>
    </w:p>
    <w:p w14:paraId="6366FC94" w14:textId="77777777" w:rsidR="008036E2" w:rsidRDefault="008036E2" w:rsidP="00FF7CD2">
      <w:permStart w:id="934892473" w:edGrp="everyone"/>
      <w:r>
        <w:t>bwf comment:</w:t>
      </w:r>
    </w:p>
    <w:p w14:paraId="00F4A49E" w14:textId="77777777" w:rsidR="008036E2" w:rsidRDefault="008036E2" w:rsidP="00FF7CD2"/>
    <w:p w14:paraId="7B3FD07A" w14:textId="140FCBB7" w:rsidR="00A73299" w:rsidRDefault="008036E2" w:rsidP="00A73299">
      <w:r w:rsidRPr="00693234">
        <w:t xml:space="preserve">Definately “no” and as demonstrated above, </w:t>
      </w:r>
      <w:r w:rsidR="007D5F92">
        <w:t>there is no</w:t>
      </w:r>
      <w:r w:rsidRPr="00693234">
        <w:t xml:space="preserve"> obligation under the current legislation and it should not</w:t>
      </w:r>
      <w:r w:rsidR="00801686" w:rsidRPr="00693234">
        <w:t xml:space="preserve"> be made a requirement, </w:t>
      </w:r>
      <w:r w:rsidR="00693A12">
        <w:t>in particular</w:t>
      </w:r>
      <w:r w:rsidR="00801686" w:rsidRPr="00693234">
        <w:t xml:space="preserve"> not on a t</w:t>
      </w:r>
      <w:r w:rsidR="00693A12">
        <w:t>ransaction by transaction basis. The</w:t>
      </w:r>
      <w:r w:rsidR="00801686" w:rsidRPr="00693234">
        <w:t xml:space="preserve"> administrative burden to be anticipated </w:t>
      </w:r>
      <w:r w:rsidR="00693A12">
        <w:t>from such a requirement would result in a significant increase</w:t>
      </w:r>
      <w:r w:rsidR="00011A4D" w:rsidRPr="00693234">
        <w:t xml:space="preserve"> </w:t>
      </w:r>
      <w:r w:rsidR="00693A12">
        <w:t xml:space="preserve">of </w:t>
      </w:r>
      <w:r w:rsidR="00011A4D" w:rsidRPr="00693234">
        <w:t xml:space="preserve">complexity </w:t>
      </w:r>
      <w:r w:rsidR="00693A12">
        <w:t xml:space="preserve">of reporting requirements </w:t>
      </w:r>
      <w:r w:rsidR="00011A4D" w:rsidRPr="00693234">
        <w:t>and costs which might even h</w:t>
      </w:r>
      <w:r w:rsidR="0028368C">
        <w:t>a</w:t>
      </w:r>
      <w:r w:rsidR="00011A4D" w:rsidRPr="00693234">
        <w:t xml:space="preserve">ve prohibitive effects on the future provision of liquidity and </w:t>
      </w:r>
      <w:r w:rsidR="00693A12">
        <w:t xml:space="preserve">on </w:t>
      </w:r>
      <w:r w:rsidR="00011A4D" w:rsidRPr="00693234">
        <w:t>certain market models or practices</w:t>
      </w:r>
      <w:r w:rsidR="00693A12">
        <w:t xml:space="preserve"> as a whole</w:t>
      </w:r>
      <w:r w:rsidR="00801686" w:rsidRPr="00693234">
        <w:t xml:space="preserve"> </w:t>
      </w:r>
      <w:r w:rsidR="00011A4D" w:rsidRPr="00693234">
        <w:t xml:space="preserve">which are not only deemed legitamate but essential and necessary for the functioning of the securities markets within the Union (cf. recitals 29 &amp; 30 of Regulation (EU) No 596/2014 on market abuse and recital 26 of Regulation (EU) No 236/2012 on short selling and certain </w:t>
      </w:r>
      <w:r w:rsidR="00011A4D">
        <w:t>aspects of credit default swaps</w:t>
      </w:r>
      <w:r w:rsidR="00693A12">
        <w:t>).</w:t>
      </w:r>
      <w:permEnd w:id="934892473"/>
      <w:r w:rsidR="00A73299">
        <w:t>&lt;ESMA_QUESTION_PHDG_16&gt;</w:t>
      </w:r>
    </w:p>
    <w:p w14:paraId="5A2DC5B7" w14:textId="77777777" w:rsidR="00A73299" w:rsidRDefault="00A73299" w:rsidP="00A73299"/>
    <w:p w14:paraId="2906EA5A" w14:textId="77777777" w:rsidR="00A73299" w:rsidRDefault="00A73299" w:rsidP="00A73299">
      <w:pPr>
        <w:pStyle w:val="Questionstyle"/>
      </w:pPr>
      <w:r w:rsidRPr="00D70FF1">
        <w:t>Do you believe that the liquidity of a financial instrument should be considered as an indicator in determining whether pre-hedging may be illegitimate behaviour? Please elaborate.</w:t>
      </w:r>
    </w:p>
    <w:p w14:paraId="0959559E" w14:textId="77777777" w:rsidR="00A73299" w:rsidRDefault="00A73299" w:rsidP="00A73299">
      <w:r>
        <w:t>&lt;ESMA_QUESTION_PHDG_17&gt;</w:t>
      </w:r>
    </w:p>
    <w:p w14:paraId="50E62CEB" w14:textId="77777777" w:rsidR="00693234" w:rsidRDefault="00693234" w:rsidP="000062C5">
      <w:permStart w:id="232944764" w:edGrp="everyone"/>
      <w:r>
        <w:t>bwf comment:</w:t>
      </w:r>
    </w:p>
    <w:p w14:paraId="295612E8" w14:textId="77777777" w:rsidR="00693234" w:rsidRDefault="00693234" w:rsidP="000062C5"/>
    <w:p w14:paraId="11D513B5" w14:textId="6D981EE7" w:rsidR="00A73299" w:rsidRDefault="00693234" w:rsidP="00A73299">
      <w:r>
        <w:t>“No”, while liquidity can be a relevant and important factor whether the in</w:t>
      </w:r>
      <w:r w:rsidR="0028368C">
        <w:t>f</w:t>
      </w:r>
      <w:r>
        <w:t>ormation contained in a trading interes</w:t>
      </w:r>
      <w:r w:rsidR="0028368C">
        <w:t>t</w:t>
      </w:r>
      <w:r>
        <w:t xml:space="preserve"> could be regarded to be “precise” from a regulatory/legislative point of view (for more detail, see our answer to Q7), the legitimacy of hedging activities in general is not and must not be restricted to less liquid financial instruments</w:t>
      </w:r>
      <w:r w:rsidR="007260AA">
        <w:t xml:space="preserve">. </w:t>
      </w:r>
      <w:r w:rsidR="0028368C">
        <w:t>In a market economy, t</w:t>
      </w:r>
      <w:r w:rsidR="007260AA">
        <w:t>he extent, the timing and the instruments used</w:t>
      </w:r>
      <w:r w:rsidR="0028368C">
        <w:t xml:space="preserve"> for hedging </w:t>
      </w:r>
      <w:r w:rsidR="007260AA">
        <w:t>should be (within the general regulatory boundries set</w:t>
      </w:r>
      <w:r w:rsidR="0028368C">
        <w:t>, e.g.</w:t>
      </w:r>
      <w:r w:rsidR="007260AA">
        <w:t xml:space="preserve"> by capital requirements and the large expure regime) dependent solely on the “risk appetite” of the </w:t>
      </w:r>
      <w:r w:rsidR="0028368C">
        <w:t xml:space="preserve">liquidity provider (or more in general, the </w:t>
      </w:r>
      <w:r w:rsidR="007260AA">
        <w:lastRenderedPageBreak/>
        <w:t>market participant</w:t>
      </w:r>
      <w:r w:rsidR="0028368C">
        <w:t>)</w:t>
      </w:r>
      <w:r>
        <w:t>.</w:t>
      </w:r>
      <w:r w:rsidR="007260AA">
        <w:t xml:space="preserve"> Accordingly, hedging activities in liquid instruments are not less important from a risk management perspective (even though they might be easier to facility and hedging options migt be available on a lower price</w:t>
      </w:r>
      <w:r w:rsidR="0028368C">
        <w:t>) and therefore should have the same legitimacy as hedging activities in less liquid instruments</w:t>
      </w:r>
      <w:r w:rsidR="007260AA">
        <w:t>.</w:t>
      </w:r>
      <w:r w:rsidRPr="00693234">
        <w:t xml:space="preserve"> </w:t>
      </w:r>
      <w:permEnd w:id="232944764"/>
      <w:r w:rsidR="00A73299">
        <w:t>&lt;ESMA_QUESTION_PHDG_17&gt;</w:t>
      </w:r>
    </w:p>
    <w:p w14:paraId="3661C65E" w14:textId="77777777" w:rsidR="00A73299" w:rsidRDefault="00A73299" w:rsidP="00A73299"/>
    <w:p w14:paraId="6003E627" w14:textId="77777777" w:rsidR="00A73299" w:rsidRDefault="00A73299" w:rsidP="00A73299">
      <w:pPr>
        <w:pStyle w:val="Questionstyle"/>
      </w:pPr>
      <w:r w:rsidRPr="00D70FF1">
        <w:t>According to your experience does the practice of pre-hedging primarily take place in what is described as the ‘wholesale markets’ space or does this practice take place also with respect to order / RFQs submitted by retail or professional clients?</w:t>
      </w:r>
    </w:p>
    <w:p w14:paraId="10A1567D" w14:textId="77777777" w:rsidR="00A73299" w:rsidRDefault="00A73299" w:rsidP="00A73299">
      <w:r>
        <w:t>&lt;ESMA_QUESTION_PHDG_18&gt;</w:t>
      </w:r>
    </w:p>
    <w:p w14:paraId="187FB79A" w14:textId="77777777" w:rsidR="00A73299" w:rsidRDefault="00A73299" w:rsidP="00A73299">
      <w:permStart w:id="1521039362" w:edGrp="everyone"/>
      <w:r>
        <w:t>TYPE YOUR TEXT HERE</w:t>
      </w:r>
    </w:p>
    <w:permEnd w:id="1521039362"/>
    <w:p w14:paraId="76B35FA4" w14:textId="77777777" w:rsidR="00A73299" w:rsidRDefault="00A73299" w:rsidP="00A73299">
      <w:r>
        <w:t>&lt;ESMA_QUESTION_PHDG_18&gt;</w:t>
      </w:r>
    </w:p>
    <w:p w14:paraId="5A690878" w14:textId="77777777" w:rsidR="00A73299" w:rsidRDefault="00A73299" w:rsidP="00A73299"/>
    <w:p w14:paraId="0A76C108" w14:textId="77777777" w:rsidR="00A73299" w:rsidRDefault="00A73299" w:rsidP="00A73299">
      <w:pPr>
        <w:pStyle w:val="Questionstyle"/>
      </w:pPr>
      <w:r w:rsidRPr="00D70FF1">
        <w:t>As an investment firm conducting pre-hedging, do you have any internal procedure addressing the COI which might arise specifically from such practice? If yes, please briefly explain the content of such procedure.</w:t>
      </w:r>
    </w:p>
    <w:p w14:paraId="08D816CB" w14:textId="77777777" w:rsidR="00A73299" w:rsidRDefault="00A73299" w:rsidP="00A73299">
      <w:r>
        <w:t>&lt;ESMA_QUESTION_PHDG_19&gt;</w:t>
      </w:r>
    </w:p>
    <w:p w14:paraId="64EF16C7" w14:textId="77777777" w:rsidR="00A73299" w:rsidRDefault="00A73299" w:rsidP="00A73299">
      <w:permStart w:id="1295605557" w:edGrp="everyone"/>
      <w:r>
        <w:t>TYPE YOUR TEXT HERE</w:t>
      </w:r>
    </w:p>
    <w:permEnd w:id="1295605557"/>
    <w:p w14:paraId="4349B080" w14:textId="77777777" w:rsidR="00A73299" w:rsidRDefault="00A73299" w:rsidP="00A73299">
      <w:r>
        <w:t>&lt;ESMA_QUESTION_PHDG_19&gt;</w:t>
      </w:r>
    </w:p>
    <w:p w14:paraId="7D050107" w14:textId="77777777" w:rsidR="00A73299" w:rsidRDefault="00A73299" w:rsidP="00A73299"/>
    <w:p w14:paraId="44056447" w14:textId="77777777" w:rsidR="00A73299" w:rsidRDefault="00A73299" w:rsidP="00A73299">
      <w:pPr>
        <w:pStyle w:val="Questionstyle"/>
      </w:pPr>
      <w:r w:rsidRPr="00D70FF1">
        <w:t>According to current market practice, do investment firms disclose to clients that their RFQs might be pre-hedged? If so, does this happen on a case-by-case basis (i.e. a client is informed that a specific order might be pre-hedged) or is this rather a general disclosure? Please elaborate, distinguishing between various trading models, e.g. voice trading vs electronic trades and please specify if there are instances in which RFQ systems allow to specify is pre-hedging is conducted?</w:t>
      </w:r>
    </w:p>
    <w:p w14:paraId="1DE4BFA7" w14:textId="77777777" w:rsidR="00A73299" w:rsidRDefault="00A73299" w:rsidP="00A73299">
      <w:r>
        <w:t>&lt;ESMA_QUESTION_PHDG_20&gt;</w:t>
      </w:r>
    </w:p>
    <w:p w14:paraId="6B99248F" w14:textId="77777777" w:rsidR="00A73299" w:rsidRDefault="00A73299" w:rsidP="00A73299">
      <w:permStart w:id="508713136" w:edGrp="everyone"/>
      <w:r>
        <w:t>TYPE YOUR TEXT HERE</w:t>
      </w:r>
    </w:p>
    <w:permEnd w:id="508713136"/>
    <w:p w14:paraId="6D1C794F" w14:textId="77777777" w:rsidR="00A73299" w:rsidRDefault="00A73299" w:rsidP="00A73299">
      <w:r>
        <w:t>&lt;ESMA_QUESTION_PHDG_20&gt;</w:t>
      </w:r>
    </w:p>
    <w:p w14:paraId="7866B32C" w14:textId="77777777" w:rsidR="00A73299" w:rsidRDefault="00A73299" w:rsidP="00A73299"/>
    <w:p w14:paraId="16F49958" w14:textId="77777777" w:rsidR="00A73299" w:rsidRDefault="00A73299" w:rsidP="00A73299">
      <w:pPr>
        <w:pStyle w:val="Questionstyle"/>
      </w:pPr>
      <w:r w:rsidRPr="00D70FF1">
        <w:t>According to current market practice, are clients offered quotes with and without pre-hedging, leaving to the client a choice depending on his execution preferences? Is so in which instances?</w:t>
      </w:r>
    </w:p>
    <w:p w14:paraId="40AB9046" w14:textId="77777777" w:rsidR="00A73299" w:rsidRDefault="00A73299" w:rsidP="00A73299">
      <w:r>
        <w:t>&lt;ESMA_QUESTION_PHDG_21&gt;</w:t>
      </w:r>
    </w:p>
    <w:p w14:paraId="10CA95F7" w14:textId="77777777" w:rsidR="00A73299" w:rsidRDefault="00A73299" w:rsidP="00A73299">
      <w:permStart w:id="220690189" w:edGrp="everyone"/>
      <w:r>
        <w:t>TYPE YOUR TEXT HERE</w:t>
      </w:r>
    </w:p>
    <w:permEnd w:id="220690189"/>
    <w:p w14:paraId="46E7D19D" w14:textId="77777777" w:rsidR="00A73299" w:rsidRDefault="00A73299" w:rsidP="00A73299">
      <w:r>
        <w:t>&lt;ESMA_QUESTION_PHDG_21&gt;</w:t>
      </w:r>
    </w:p>
    <w:p w14:paraId="4661464E" w14:textId="77777777" w:rsidR="00A73299" w:rsidRDefault="00A73299" w:rsidP="00A73299"/>
    <w:p w14:paraId="1CD3091C" w14:textId="77777777" w:rsidR="00A73299" w:rsidRDefault="00A73299" w:rsidP="00A73299">
      <w:pPr>
        <w:pStyle w:val="Questionstyle"/>
      </w:pPr>
      <w:r w:rsidRPr="00D70FF1">
        <w:t>Do you currently keep record of pre-hedging trades and related trading activity? Do you believe record keeping in this instance would be easy to implement?</w:t>
      </w:r>
    </w:p>
    <w:p w14:paraId="67114ACA" w14:textId="77777777" w:rsidR="00A73299" w:rsidRDefault="00A73299" w:rsidP="00A73299">
      <w:r>
        <w:t>&lt;ESMA_QUESTION_PHDG_22&gt;</w:t>
      </w:r>
    </w:p>
    <w:p w14:paraId="1D6F1C80" w14:textId="77777777" w:rsidR="00A73299" w:rsidRDefault="00A73299" w:rsidP="00A73299">
      <w:permStart w:id="1124810317" w:edGrp="everyone"/>
      <w:r>
        <w:t>TYPE YOUR TEXT HERE</w:t>
      </w:r>
    </w:p>
    <w:permEnd w:id="1124810317"/>
    <w:p w14:paraId="4AA50A4E" w14:textId="77777777" w:rsidR="00A73299" w:rsidRDefault="00A73299" w:rsidP="00A73299">
      <w:r>
        <w:t>&lt;ESMA_QUESTION_PHDG_22&gt;</w:t>
      </w:r>
    </w:p>
    <w:p w14:paraId="388927D4" w14:textId="77777777" w:rsidR="00A73299" w:rsidRDefault="00A73299" w:rsidP="00A73299"/>
    <w:p w14:paraId="00C9D386" w14:textId="77777777" w:rsidR="00A73299" w:rsidRDefault="00A73299" w:rsidP="00A73299">
      <w:pPr>
        <w:pStyle w:val="Questionstyle"/>
      </w:pPr>
      <w:r w:rsidRPr="00D70FF1">
        <w:t>Would you like to highlight any specific issue related to the obligation to provide clear and not misleading information?</w:t>
      </w:r>
    </w:p>
    <w:p w14:paraId="59C4778C" w14:textId="77777777" w:rsidR="00A73299" w:rsidRDefault="00A73299" w:rsidP="00A73299">
      <w:r>
        <w:t>&lt;ESMA_QUESTION_PHDG_23&gt;</w:t>
      </w:r>
    </w:p>
    <w:p w14:paraId="612B14B8" w14:textId="77777777" w:rsidR="00A73299" w:rsidRDefault="00A73299" w:rsidP="00A73299">
      <w:permStart w:id="333139389" w:edGrp="everyone"/>
      <w:r>
        <w:t>TYPE YOUR TEXT HERE</w:t>
      </w:r>
    </w:p>
    <w:permEnd w:id="333139389"/>
    <w:p w14:paraId="4CC6BA7F" w14:textId="77777777" w:rsidR="00A73299" w:rsidRDefault="00A73299" w:rsidP="00A73299">
      <w:r>
        <w:t>&lt;ESMA_QUESTION_PHDG_23&gt;</w:t>
      </w:r>
    </w:p>
    <w:p w14:paraId="7EED8A4D" w14:textId="77777777" w:rsidR="00A73299" w:rsidRDefault="00A73299" w:rsidP="00A73299"/>
    <w:p w14:paraId="79DFA8F3" w14:textId="77777777" w:rsidR="00A73299" w:rsidRPr="00D70FF1" w:rsidRDefault="00A73299" w:rsidP="00A73299">
      <w:pPr>
        <w:pStyle w:val="Questionstyle"/>
      </w:pPr>
      <w:r w:rsidRPr="00D70FF1">
        <w:t>Should ESMA consider any other element with respect to pre-hedging and systematic internalisers and OTFs? Please elaborate</w:t>
      </w:r>
    </w:p>
    <w:p w14:paraId="14617195" w14:textId="77777777" w:rsidR="00A73299" w:rsidRDefault="00A73299" w:rsidP="00A73299">
      <w:r>
        <w:t>&lt;ESMA_QUESTION_PHDG_24&gt;</w:t>
      </w:r>
    </w:p>
    <w:p w14:paraId="794F2BFB" w14:textId="215745E1" w:rsidR="00A73299" w:rsidRDefault="00A73299" w:rsidP="00A73299">
      <w:permStart w:id="638745335" w:edGrp="everyone"/>
      <w:r>
        <w:t>TYPE YOUR TEXT HERE</w:t>
      </w:r>
    </w:p>
    <w:permEnd w:id="638745335"/>
    <w:p w14:paraId="6D5727A1" w14:textId="77777777" w:rsidR="00A73299" w:rsidRDefault="00A73299" w:rsidP="00A73299">
      <w:r>
        <w:t>&lt;ESMA_QUESTION_PHDG_24&gt;</w:t>
      </w:r>
    </w:p>
    <w:p w14:paraId="4398379C" w14:textId="77777777" w:rsidR="00A73299" w:rsidRDefault="00A73299" w:rsidP="00A73299"/>
    <w:p w14:paraId="419A39B5" w14:textId="77777777" w:rsidR="00A73299" w:rsidRDefault="00A73299" w:rsidP="00A73299"/>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3D622" w14:textId="77777777" w:rsidR="007D673D" w:rsidRDefault="007D673D" w:rsidP="007E7997">
      <w:r>
        <w:separator/>
      </w:r>
    </w:p>
  </w:endnote>
  <w:endnote w:type="continuationSeparator" w:id="0">
    <w:p w14:paraId="480406D9" w14:textId="77777777" w:rsidR="007D673D" w:rsidRDefault="007D673D" w:rsidP="007E7997">
      <w:r>
        <w:continuationSeparator/>
      </w:r>
    </w:p>
  </w:endnote>
  <w:endnote w:type="continuationNotice" w:id="1">
    <w:p w14:paraId="372911C2" w14:textId="77777777" w:rsidR="007D673D" w:rsidRDefault="007D6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752671"/>
      <w:docPartObj>
        <w:docPartGallery w:val="Page Numbers (Bottom of Page)"/>
        <w:docPartUnique/>
      </w:docPartObj>
    </w:sdtPr>
    <w:sdtEndPr>
      <w:rPr>
        <w:noProof/>
      </w:rPr>
    </w:sdtEndPr>
    <w:sdtContent>
      <w:p w14:paraId="0CF5505D" w14:textId="212D7D4F" w:rsidR="00FF7CD2" w:rsidRDefault="00FF7CD2">
        <w:pPr>
          <w:pStyle w:val="Fuzeile"/>
          <w:jc w:val="center"/>
        </w:pPr>
        <w:r>
          <w:fldChar w:fldCharType="begin"/>
        </w:r>
        <w:r>
          <w:instrText xml:space="preserve"> PAGE   \* MERGEFORMAT </w:instrText>
        </w:r>
        <w:r>
          <w:fldChar w:fldCharType="separate"/>
        </w:r>
        <w:r>
          <w:rPr>
            <w:noProof/>
          </w:rPr>
          <w:t>3</w:t>
        </w:r>
        <w:r>
          <w:rPr>
            <w:noProof/>
          </w:rPr>
          <w:fldChar w:fldCharType="end"/>
        </w:r>
      </w:p>
    </w:sdtContent>
  </w:sdt>
  <w:p w14:paraId="3A18C8B1" w14:textId="77777777" w:rsidR="00FF7CD2" w:rsidRDefault="00FF7CD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F3915" w14:textId="58619407" w:rsidR="00FF7CD2" w:rsidRDefault="00FF7CD2" w:rsidP="007A160F">
    <w:pPr>
      <w:pStyle w:val="Fuzeile"/>
    </w:pPr>
    <w:r>
      <w:rPr>
        <w:rFonts w:asciiTheme="majorHAnsi" w:hAnsiTheme="majorHAnsi"/>
        <w:color w:val="FFFFFF" w:themeColor="background1"/>
      </w:rPr>
      <w:tab/>
    </w:r>
    <w:r>
      <w:rPr>
        <w:rFonts w:asciiTheme="majorHAnsi" w:hAnsiTheme="majorHAnsi"/>
        <w:color w:val="FFFFFF" w:themeColor="background1"/>
      </w:rPr>
      <w:tab/>
      <w:t xml:space="preserve">29 July </w:t>
    </w:r>
    <w:r w:rsidRPr="008279D3">
      <w:rPr>
        <w:rFonts w:asciiTheme="majorHAnsi" w:hAnsiTheme="majorHAnsi"/>
        <w:color w:val="FFFFFF" w:themeColor="background1"/>
      </w:rPr>
      <w:t>202</w:t>
    </w:r>
    <w:r>
      <w:rPr>
        <w:rFonts w:asciiTheme="majorHAnsi" w:hAnsiTheme="majorHAnsi"/>
        <w:color w:val="FFFFFF" w:themeColor="background1"/>
      </w:rPr>
      <w:t>2</w:t>
    </w:r>
    <w:r w:rsidRPr="008279D3">
      <w:rPr>
        <w:rFonts w:asciiTheme="majorHAnsi" w:hAnsiTheme="majorHAnsi"/>
        <w:color w:val="FFFFFF" w:themeColor="background1"/>
      </w:rPr>
      <w:t xml:space="preserve"> ESMA | </w:t>
    </w:r>
    <w:hyperlink r:id="rId1" w:tgtFrame="_blank" w:history="1">
      <w:r w:rsidRPr="008279D3">
        <w:rPr>
          <w:rFonts w:asciiTheme="majorHAnsi" w:hAnsiTheme="majorHAnsi"/>
          <w:color w:val="FFFFFF" w:themeColor="background1"/>
        </w:rPr>
        <w:t>ESMA</w:t>
      </w:r>
    </w:hyperlink>
    <w:r>
      <w:rPr>
        <w:rFonts w:asciiTheme="majorHAnsi" w:hAnsiTheme="majorHAnsi"/>
        <w:color w:val="FFFFFF" w:themeColor="background1"/>
      </w:rPr>
      <w:t xml:space="preserve"> 70-449-674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752247"/>
      <w:docPartObj>
        <w:docPartGallery w:val="Page Numbers (Bottom of Page)"/>
        <w:docPartUnique/>
      </w:docPartObj>
    </w:sdtPr>
    <w:sdtEndPr>
      <w:rPr>
        <w:noProof/>
      </w:rPr>
    </w:sdtEndPr>
    <w:sdtContent>
      <w:p w14:paraId="4C9B3DBF" w14:textId="6ECC1B82" w:rsidR="00FF7CD2" w:rsidRDefault="00FF7CD2">
        <w:pPr>
          <w:pStyle w:val="Fuzeile"/>
          <w:jc w:val="center"/>
        </w:pPr>
        <w:r>
          <w:fldChar w:fldCharType="begin"/>
        </w:r>
        <w:r>
          <w:instrText xml:space="preserve"> PAGE   \* MERGEFORMAT </w:instrText>
        </w:r>
        <w:r>
          <w:fldChar w:fldCharType="separate"/>
        </w:r>
        <w:r w:rsidR="000200BC">
          <w:rPr>
            <w:noProof/>
          </w:rPr>
          <w:t>3</w:t>
        </w:r>
        <w:r>
          <w:rPr>
            <w:noProof/>
          </w:rPr>
          <w:fldChar w:fldCharType="end"/>
        </w:r>
      </w:p>
    </w:sdtContent>
  </w:sdt>
  <w:p w14:paraId="5EAB6EC7" w14:textId="1F85019A" w:rsidR="00FF7CD2" w:rsidRDefault="00FF7CD2" w:rsidP="00FB24ED">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048C0" w14:textId="77777777" w:rsidR="007D673D" w:rsidRDefault="007D673D" w:rsidP="007E7997">
      <w:r>
        <w:separator/>
      </w:r>
    </w:p>
  </w:footnote>
  <w:footnote w:type="continuationSeparator" w:id="0">
    <w:p w14:paraId="05C6ACEC" w14:textId="77777777" w:rsidR="007D673D" w:rsidRDefault="007D673D" w:rsidP="007E7997">
      <w:r>
        <w:continuationSeparator/>
      </w:r>
    </w:p>
  </w:footnote>
  <w:footnote w:type="continuationNotice" w:id="1">
    <w:p w14:paraId="26BCB14B" w14:textId="77777777" w:rsidR="007D673D" w:rsidRDefault="007D67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956F7" w14:textId="77777777" w:rsidR="00FF7CD2" w:rsidRDefault="00FF7CD2">
    <w:pPr>
      <w:pStyle w:val="Kopfzeile"/>
    </w:pPr>
  </w:p>
  <w:p w14:paraId="59FA3C9D" w14:textId="77777777" w:rsidR="00FF7CD2" w:rsidRDefault="00FF7CD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91035" w14:textId="77777777" w:rsidR="00FF7CD2" w:rsidRDefault="00FF7CD2">
    <w:pPr>
      <w:pStyle w:val="Kopfzeile"/>
    </w:pPr>
    <w:r>
      <w:rPr>
        <w:noProof/>
        <w:lang w:val="de-DE" w:eastAsia="de-DE"/>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B6EC4" w14:textId="5E62980F" w:rsidR="00FF7CD2" w:rsidRDefault="00FF7CD2" w:rsidP="00B50534">
    <w:pPr>
      <w:pStyle w:val="Kopfzeile"/>
      <w:jc w:val="right"/>
      <w:rPr>
        <w:b/>
        <w:color w:val="FF0000"/>
      </w:rPr>
    </w:pPr>
    <w:r w:rsidRPr="008D5F86">
      <w:rPr>
        <w:rFonts w:ascii="Arial" w:hAnsi="Arial" w:cs="Arial"/>
        <w:noProof/>
        <w:lang w:val="de-DE" w:eastAsia="de-DE"/>
      </w:rPr>
      <mc:AlternateContent>
        <mc:Choice Requires="wps">
          <w:drawing>
            <wp:anchor distT="0" distB="0" distL="114300" distR="114300" simplePos="0" relativeHeight="251662336"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0FB6200" id="Line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FF7CD2" w:rsidRPr="00D13661" w:rsidRDefault="00FF7CD2"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de-DE" w:eastAsia="de-DE"/>
      </w:rPr>
      <w:drawing>
        <wp:anchor distT="0" distB="0" distL="114300" distR="114300" simplePos="0" relativeHeight="251657216"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FF7CD2" w:rsidRPr="00C3170E" w:rsidRDefault="00FF7CD2" w:rsidP="00B50534">
    <w:pPr>
      <w:pStyle w:val="Kopfzeile"/>
      <w:jc w:val="right"/>
      <w:rPr>
        <w:color w:val="2F5496" w:themeColor="accent5" w:themeShade="BF"/>
        <w:sz w:val="20"/>
      </w:rPr>
    </w:pPr>
  </w:p>
  <w:p w14:paraId="5EAB6EC6" w14:textId="77777777" w:rsidR="00FF7CD2" w:rsidRPr="00B50534" w:rsidRDefault="00FF7CD2" w:rsidP="00B50534">
    <w:pPr>
      <w:pStyle w:val="Kopfzeile"/>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21"/>
  </w:num>
  <w:num w:numId="4">
    <w:abstractNumId w:val="3"/>
  </w:num>
  <w:num w:numId="5">
    <w:abstractNumId w:val="12"/>
  </w:num>
  <w:num w:numId="6">
    <w:abstractNumId w:val="23"/>
  </w:num>
  <w:num w:numId="7">
    <w:abstractNumId w:val="11"/>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2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3"/>
  </w:num>
  <w:num w:numId="20">
    <w:abstractNumId w:val="10"/>
  </w:num>
  <w:num w:numId="21">
    <w:abstractNumId w:val="20"/>
  </w:num>
  <w:num w:numId="22">
    <w:abstractNumId w:val="13"/>
  </w:num>
  <w:num w:numId="23">
    <w:abstractNumId w:val="17"/>
  </w:num>
  <w:num w:numId="24">
    <w:abstractNumId w:val="0"/>
  </w:num>
  <w:num w:numId="25">
    <w:abstractNumId w:val="16"/>
  </w:num>
  <w:num w:numId="26">
    <w:abstractNumId w:val="14"/>
  </w:num>
  <w:num w:numId="27">
    <w:abstractNumId w:val="9"/>
  </w:num>
  <w:num w:numId="28">
    <w:abstractNumId w:val="1"/>
  </w:num>
  <w:num w:numId="29">
    <w:abstractNumId w:val="15"/>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de-DE" w:vendorID="64" w:dllVersion="131078" w:nlCheck="1" w:checkStyle="1"/>
  <w:attachedTemplate r:id="rId1"/>
  <w:documentProtection w:edit="readOnly" w:enforcement="1" w:cryptProviderType="rsaAES" w:cryptAlgorithmClass="hash" w:cryptAlgorithmType="typeAny" w:cryptAlgorithmSid="14" w:cryptSpinCount="100000" w:hash="7qf3rYMBgzFG1vj09vJ6Zd+otrdYg9/j4zeETtJ9qCxSWGWnSoA+vpabAHC1dYSDTYc0JP9KqOXOEZT3OfmdCA==" w:salt="5WioAnC/TBImKr/UlDWOWQ=="/>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19D9"/>
    <w:rsid w:val="0000380B"/>
    <w:rsid w:val="00005505"/>
    <w:rsid w:val="00006275"/>
    <w:rsid w:val="00006971"/>
    <w:rsid w:val="00011A4D"/>
    <w:rsid w:val="00011F6C"/>
    <w:rsid w:val="0001249B"/>
    <w:rsid w:val="00012D68"/>
    <w:rsid w:val="000142BB"/>
    <w:rsid w:val="0001633D"/>
    <w:rsid w:val="0001726F"/>
    <w:rsid w:val="00020098"/>
    <w:rsid w:val="000200BC"/>
    <w:rsid w:val="00020300"/>
    <w:rsid w:val="00021A9A"/>
    <w:rsid w:val="00022ADA"/>
    <w:rsid w:val="00026327"/>
    <w:rsid w:val="0002757A"/>
    <w:rsid w:val="0002766C"/>
    <w:rsid w:val="00027EC9"/>
    <w:rsid w:val="00033934"/>
    <w:rsid w:val="000364EE"/>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E2232"/>
    <w:rsid w:val="000E2A85"/>
    <w:rsid w:val="000E3DB1"/>
    <w:rsid w:val="000E40BB"/>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15A35"/>
    <w:rsid w:val="00120F0D"/>
    <w:rsid w:val="001214DA"/>
    <w:rsid w:val="0012722A"/>
    <w:rsid w:val="00130492"/>
    <w:rsid w:val="001305C1"/>
    <w:rsid w:val="00130EF9"/>
    <w:rsid w:val="001319C7"/>
    <w:rsid w:val="001355E6"/>
    <w:rsid w:val="0013644A"/>
    <w:rsid w:val="00140BA6"/>
    <w:rsid w:val="00141946"/>
    <w:rsid w:val="00143010"/>
    <w:rsid w:val="00143DCA"/>
    <w:rsid w:val="00144AAD"/>
    <w:rsid w:val="001455E7"/>
    <w:rsid w:val="0014624E"/>
    <w:rsid w:val="001467B5"/>
    <w:rsid w:val="001608B2"/>
    <w:rsid w:val="00160FE0"/>
    <w:rsid w:val="00163AB3"/>
    <w:rsid w:val="00165047"/>
    <w:rsid w:val="00165FF8"/>
    <w:rsid w:val="0016669F"/>
    <w:rsid w:val="00170AD6"/>
    <w:rsid w:val="001722AA"/>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B5E2B"/>
    <w:rsid w:val="001C0E59"/>
    <w:rsid w:val="001C432D"/>
    <w:rsid w:val="001C469E"/>
    <w:rsid w:val="001C56C3"/>
    <w:rsid w:val="001C5D8C"/>
    <w:rsid w:val="001C7E0A"/>
    <w:rsid w:val="001D0112"/>
    <w:rsid w:val="001D19F5"/>
    <w:rsid w:val="001D385A"/>
    <w:rsid w:val="001D6B39"/>
    <w:rsid w:val="001E1ECD"/>
    <w:rsid w:val="001E1F3B"/>
    <w:rsid w:val="001E3E0D"/>
    <w:rsid w:val="001E4A45"/>
    <w:rsid w:val="001E5E30"/>
    <w:rsid w:val="001F0479"/>
    <w:rsid w:val="001F1F10"/>
    <w:rsid w:val="001F23C9"/>
    <w:rsid w:val="001F3999"/>
    <w:rsid w:val="001F3D9D"/>
    <w:rsid w:val="001F4AC8"/>
    <w:rsid w:val="001F6585"/>
    <w:rsid w:val="00200894"/>
    <w:rsid w:val="0020148E"/>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04AE"/>
    <w:rsid w:val="0024226E"/>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872"/>
    <w:rsid w:val="0027199C"/>
    <w:rsid w:val="00272C4E"/>
    <w:rsid w:val="002751FC"/>
    <w:rsid w:val="002753BD"/>
    <w:rsid w:val="00282B3A"/>
    <w:rsid w:val="00282D38"/>
    <w:rsid w:val="00282FBE"/>
    <w:rsid w:val="0028368C"/>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B6A37"/>
    <w:rsid w:val="002C03FD"/>
    <w:rsid w:val="002C044D"/>
    <w:rsid w:val="002C1AA5"/>
    <w:rsid w:val="002C2A46"/>
    <w:rsid w:val="002C3048"/>
    <w:rsid w:val="002D2238"/>
    <w:rsid w:val="002D2992"/>
    <w:rsid w:val="002D37A0"/>
    <w:rsid w:val="002D5AB5"/>
    <w:rsid w:val="002D6667"/>
    <w:rsid w:val="002D79F3"/>
    <w:rsid w:val="002E1C11"/>
    <w:rsid w:val="002E3D0B"/>
    <w:rsid w:val="002E3E7D"/>
    <w:rsid w:val="002E6A8E"/>
    <w:rsid w:val="002F1381"/>
    <w:rsid w:val="002F6279"/>
    <w:rsid w:val="003010BA"/>
    <w:rsid w:val="003013B7"/>
    <w:rsid w:val="00301993"/>
    <w:rsid w:val="00301E55"/>
    <w:rsid w:val="00304C1F"/>
    <w:rsid w:val="00307397"/>
    <w:rsid w:val="003101EF"/>
    <w:rsid w:val="00311F11"/>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3E8"/>
    <w:rsid w:val="00353C4B"/>
    <w:rsid w:val="003545A6"/>
    <w:rsid w:val="00356C60"/>
    <w:rsid w:val="003578D1"/>
    <w:rsid w:val="00361437"/>
    <w:rsid w:val="00363639"/>
    <w:rsid w:val="00366D42"/>
    <w:rsid w:val="0036748C"/>
    <w:rsid w:val="00372615"/>
    <w:rsid w:val="00372EA3"/>
    <w:rsid w:val="0037358E"/>
    <w:rsid w:val="00373A3C"/>
    <w:rsid w:val="00373F40"/>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0316"/>
    <w:rsid w:val="003D2CED"/>
    <w:rsid w:val="003D344A"/>
    <w:rsid w:val="003D3BB8"/>
    <w:rsid w:val="003D7C07"/>
    <w:rsid w:val="003E13FD"/>
    <w:rsid w:val="003E1C24"/>
    <w:rsid w:val="003E61FC"/>
    <w:rsid w:val="003E7542"/>
    <w:rsid w:val="003E77BC"/>
    <w:rsid w:val="003F008E"/>
    <w:rsid w:val="003F0EDF"/>
    <w:rsid w:val="003F20C7"/>
    <w:rsid w:val="003F291B"/>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4A4F"/>
    <w:rsid w:val="004250CF"/>
    <w:rsid w:val="00426D62"/>
    <w:rsid w:val="00427A89"/>
    <w:rsid w:val="00430C5B"/>
    <w:rsid w:val="00431968"/>
    <w:rsid w:val="00432F52"/>
    <w:rsid w:val="00433936"/>
    <w:rsid w:val="0043475E"/>
    <w:rsid w:val="00435FE9"/>
    <w:rsid w:val="00436279"/>
    <w:rsid w:val="00441930"/>
    <w:rsid w:val="0044199E"/>
    <w:rsid w:val="0044206D"/>
    <w:rsid w:val="00444803"/>
    <w:rsid w:val="00445696"/>
    <w:rsid w:val="00446E5F"/>
    <w:rsid w:val="00450C4E"/>
    <w:rsid w:val="00455577"/>
    <w:rsid w:val="00456795"/>
    <w:rsid w:val="0046150E"/>
    <w:rsid w:val="00461CC8"/>
    <w:rsid w:val="00462B2F"/>
    <w:rsid w:val="00462E09"/>
    <w:rsid w:val="00465EAA"/>
    <w:rsid w:val="004662D6"/>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C0A30"/>
    <w:rsid w:val="004C1B7F"/>
    <w:rsid w:val="004C357C"/>
    <w:rsid w:val="004C3D18"/>
    <w:rsid w:val="004D42B1"/>
    <w:rsid w:val="004D526F"/>
    <w:rsid w:val="004E19C0"/>
    <w:rsid w:val="004E1C54"/>
    <w:rsid w:val="004E2C37"/>
    <w:rsid w:val="004E3DFE"/>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13E"/>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62CC"/>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3E12"/>
    <w:rsid w:val="005E53D0"/>
    <w:rsid w:val="005E5785"/>
    <w:rsid w:val="005E6098"/>
    <w:rsid w:val="005E7969"/>
    <w:rsid w:val="005F0C93"/>
    <w:rsid w:val="005F3F22"/>
    <w:rsid w:val="005F4FC0"/>
    <w:rsid w:val="005F540F"/>
    <w:rsid w:val="005F5491"/>
    <w:rsid w:val="005F6144"/>
    <w:rsid w:val="005F6573"/>
    <w:rsid w:val="005F77E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47FB3"/>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06A9"/>
    <w:rsid w:val="006912FB"/>
    <w:rsid w:val="00693234"/>
    <w:rsid w:val="00693A12"/>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1BF5"/>
    <w:rsid w:val="006D3F14"/>
    <w:rsid w:val="006D6009"/>
    <w:rsid w:val="006D69E2"/>
    <w:rsid w:val="006D7D41"/>
    <w:rsid w:val="006E2F4D"/>
    <w:rsid w:val="006E3FDD"/>
    <w:rsid w:val="006E58FB"/>
    <w:rsid w:val="006E5D82"/>
    <w:rsid w:val="006E66B2"/>
    <w:rsid w:val="006E6C50"/>
    <w:rsid w:val="006E7A69"/>
    <w:rsid w:val="006E7DE4"/>
    <w:rsid w:val="006F53E8"/>
    <w:rsid w:val="006F5FB8"/>
    <w:rsid w:val="0070017B"/>
    <w:rsid w:val="00700677"/>
    <w:rsid w:val="00702DB1"/>
    <w:rsid w:val="0070427E"/>
    <w:rsid w:val="00704D53"/>
    <w:rsid w:val="007056C3"/>
    <w:rsid w:val="00706072"/>
    <w:rsid w:val="00713644"/>
    <w:rsid w:val="007148CC"/>
    <w:rsid w:val="00721256"/>
    <w:rsid w:val="007217AD"/>
    <w:rsid w:val="00722E5E"/>
    <w:rsid w:val="00723BA1"/>
    <w:rsid w:val="00724A1B"/>
    <w:rsid w:val="007260AA"/>
    <w:rsid w:val="0073173E"/>
    <w:rsid w:val="007319C3"/>
    <w:rsid w:val="0073454F"/>
    <w:rsid w:val="00735C00"/>
    <w:rsid w:val="007364C6"/>
    <w:rsid w:val="00736F9E"/>
    <w:rsid w:val="00740BF3"/>
    <w:rsid w:val="00741D5C"/>
    <w:rsid w:val="00742525"/>
    <w:rsid w:val="0074352F"/>
    <w:rsid w:val="00747C5E"/>
    <w:rsid w:val="00750210"/>
    <w:rsid w:val="00754B57"/>
    <w:rsid w:val="0075671D"/>
    <w:rsid w:val="0076002F"/>
    <w:rsid w:val="0076038B"/>
    <w:rsid w:val="00761744"/>
    <w:rsid w:val="00761745"/>
    <w:rsid w:val="00764582"/>
    <w:rsid w:val="00765FA3"/>
    <w:rsid w:val="00766961"/>
    <w:rsid w:val="00766B5A"/>
    <w:rsid w:val="00770C33"/>
    <w:rsid w:val="007741C3"/>
    <w:rsid w:val="00777BE0"/>
    <w:rsid w:val="00780923"/>
    <w:rsid w:val="0078131F"/>
    <w:rsid w:val="00783584"/>
    <w:rsid w:val="007844C6"/>
    <w:rsid w:val="007876EF"/>
    <w:rsid w:val="00790306"/>
    <w:rsid w:val="0079364C"/>
    <w:rsid w:val="007942B9"/>
    <w:rsid w:val="00796C7F"/>
    <w:rsid w:val="00797E0C"/>
    <w:rsid w:val="007A160F"/>
    <w:rsid w:val="007A48BC"/>
    <w:rsid w:val="007B0BC1"/>
    <w:rsid w:val="007B19C4"/>
    <w:rsid w:val="007B2987"/>
    <w:rsid w:val="007B354B"/>
    <w:rsid w:val="007B4108"/>
    <w:rsid w:val="007B4FC3"/>
    <w:rsid w:val="007B5D45"/>
    <w:rsid w:val="007B73F3"/>
    <w:rsid w:val="007B7EE5"/>
    <w:rsid w:val="007C1C28"/>
    <w:rsid w:val="007C2A2C"/>
    <w:rsid w:val="007C3577"/>
    <w:rsid w:val="007C5E08"/>
    <w:rsid w:val="007D0002"/>
    <w:rsid w:val="007D5F92"/>
    <w:rsid w:val="007D673D"/>
    <w:rsid w:val="007D7A59"/>
    <w:rsid w:val="007D7C55"/>
    <w:rsid w:val="007E0E75"/>
    <w:rsid w:val="007E1CF6"/>
    <w:rsid w:val="007E53F5"/>
    <w:rsid w:val="007E5D74"/>
    <w:rsid w:val="007E6E9E"/>
    <w:rsid w:val="007E7637"/>
    <w:rsid w:val="007E7997"/>
    <w:rsid w:val="007E7CF2"/>
    <w:rsid w:val="007F014A"/>
    <w:rsid w:val="007F04EF"/>
    <w:rsid w:val="007F0763"/>
    <w:rsid w:val="007F1DE9"/>
    <w:rsid w:val="007F25C2"/>
    <w:rsid w:val="007F4F88"/>
    <w:rsid w:val="007F5822"/>
    <w:rsid w:val="007F5B86"/>
    <w:rsid w:val="00800A7F"/>
    <w:rsid w:val="00801686"/>
    <w:rsid w:val="0080285D"/>
    <w:rsid w:val="008036E2"/>
    <w:rsid w:val="0081028F"/>
    <w:rsid w:val="008107D9"/>
    <w:rsid w:val="0081093B"/>
    <w:rsid w:val="008116D9"/>
    <w:rsid w:val="00811936"/>
    <w:rsid w:val="00812BE2"/>
    <w:rsid w:val="00813059"/>
    <w:rsid w:val="008156BD"/>
    <w:rsid w:val="008157C8"/>
    <w:rsid w:val="008173E2"/>
    <w:rsid w:val="008175F1"/>
    <w:rsid w:val="008201C3"/>
    <w:rsid w:val="00820422"/>
    <w:rsid w:val="00820655"/>
    <w:rsid w:val="008227D7"/>
    <w:rsid w:val="008249A1"/>
    <w:rsid w:val="00825D43"/>
    <w:rsid w:val="0082632D"/>
    <w:rsid w:val="0082646E"/>
    <w:rsid w:val="008279D3"/>
    <w:rsid w:val="00832500"/>
    <w:rsid w:val="00832787"/>
    <w:rsid w:val="00833000"/>
    <w:rsid w:val="00835805"/>
    <w:rsid w:val="0083595F"/>
    <w:rsid w:val="008372B6"/>
    <w:rsid w:val="00841DD5"/>
    <w:rsid w:val="00843A1A"/>
    <w:rsid w:val="00846433"/>
    <w:rsid w:val="008472C2"/>
    <w:rsid w:val="00850B43"/>
    <w:rsid w:val="008510D9"/>
    <w:rsid w:val="00851A43"/>
    <w:rsid w:val="00851EE3"/>
    <w:rsid w:val="00853121"/>
    <w:rsid w:val="008555E4"/>
    <w:rsid w:val="00864124"/>
    <w:rsid w:val="00864E60"/>
    <w:rsid w:val="00866A09"/>
    <w:rsid w:val="00870F2C"/>
    <w:rsid w:val="00871163"/>
    <w:rsid w:val="008712BF"/>
    <w:rsid w:val="00872209"/>
    <w:rsid w:val="00873656"/>
    <w:rsid w:val="00880140"/>
    <w:rsid w:val="008842F7"/>
    <w:rsid w:val="00885B94"/>
    <w:rsid w:val="0089075A"/>
    <w:rsid w:val="00890F80"/>
    <w:rsid w:val="00892BFD"/>
    <w:rsid w:val="0089338A"/>
    <w:rsid w:val="00893963"/>
    <w:rsid w:val="00894199"/>
    <w:rsid w:val="008948BE"/>
    <w:rsid w:val="008A1E27"/>
    <w:rsid w:val="008A2C86"/>
    <w:rsid w:val="008A6000"/>
    <w:rsid w:val="008A70A8"/>
    <w:rsid w:val="008A7FAC"/>
    <w:rsid w:val="008B09A6"/>
    <w:rsid w:val="008B1FD9"/>
    <w:rsid w:val="008B2AF1"/>
    <w:rsid w:val="008B496E"/>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D7E8D"/>
    <w:rsid w:val="008E00A6"/>
    <w:rsid w:val="008E2D26"/>
    <w:rsid w:val="008E4076"/>
    <w:rsid w:val="008E7DBA"/>
    <w:rsid w:val="008F1993"/>
    <w:rsid w:val="008F3386"/>
    <w:rsid w:val="008F3AD9"/>
    <w:rsid w:val="008F4642"/>
    <w:rsid w:val="008F4E00"/>
    <w:rsid w:val="008F761D"/>
    <w:rsid w:val="00900D44"/>
    <w:rsid w:val="00902520"/>
    <w:rsid w:val="00906055"/>
    <w:rsid w:val="00906DC4"/>
    <w:rsid w:val="0091457F"/>
    <w:rsid w:val="0091729E"/>
    <w:rsid w:val="0093261E"/>
    <w:rsid w:val="0094008E"/>
    <w:rsid w:val="00941C0C"/>
    <w:rsid w:val="009437F2"/>
    <w:rsid w:val="0094528B"/>
    <w:rsid w:val="00960067"/>
    <w:rsid w:val="00960A8B"/>
    <w:rsid w:val="00965128"/>
    <w:rsid w:val="00971132"/>
    <w:rsid w:val="00973F43"/>
    <w:rsid w:val="00974C1A"/>
    <w:rsid w:val="0097785D"/>
    <w:rsid w:val="0098011D"/>
    <w:rsid w:val="00981912"/>
    <w:rsid w:val="009819C0"/>
    <w:rsid w:val="009835AD"/>
    <w:rsid w:val="00987A75"/>
    <w:rsid w:val="00991A8A"/>
    <w:rsid w:val="00992611"/>
    <w:rsid w:val="00994303"/>
    <w:rsid w:val="0099526D"/>
    <w:rsid w:val="00995A96"/>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241"/>
    <w:rsid w:val="009E3545"/>
    <w:rsid w:val="009E4FCE"/>
    <w:rsid w:val="009E522E"/>
    <w:rsid w:val="009F0ABA"/>
    <w:rsid w:val="009F0AF5"/>
    <w:rsid w:val="00A02199"/>
    <w:rsid w:val="00A026A4"/>
    <w:rsid w:val="00A04044"/>
    <w:rsid w:val="00A11D0C"/>
    <w:rsid w:val="00A16579"/>
    <w:rsid w:val="00A2219C"/>
    <w:rsid w:val="00A24843"/>
    <w:rsid w:val="00A26D48"/>
    <w:rsid w:val="00A319D8"/>
    <w:rsid w:val="00A31C7C"/>
    <w:rsid w:val="00A361A6"/>
    <w:rsid w:val="00A367AA"/>
    <w:rsid w:val="00A378DF"/>
    <w:rsid w:val="00A37AC6"/>
    <w:rsid w:val="00A409C2"/>
    <w:rsid w:val="00A410CC"/>
    <w:rsid w:val="00A41205"/>
    <w:rsid w:val="00A42B43"/>
    <w:rsid w:val="00A42BD0"/>
    <w:rsid w:val="00A433DC"/>
    <w:rsid w:val="00A460CD"/>
    <w:rsid w:val="00A50761"/>
    <w:rsid w:val="00A51DF2"/>
    <w:rsid w:val="00A53AF0"/>
    <w:rsid w:val="00A54ED7"/>
    <w:rsid w:val="00A61561"/>
    <w:rsid w:val="00A63249"/>
    <w:rsid w:val="00A6691F"/>
    <w:rsid w:val="00A67E6A"/>
    <w:rsid w:val="00A70F49"/>
    <w:rsid w:val="00A71738"/>
    <w:rsid w:val="00A72203"/>
    <w:rsid w:val="00A7281F"/>
    <w:rsid w:val="00A73299"/>
    <w:rsid w:val="00A73949"/>
    <w:rsid w:val="00A73D1B"/>
    <w:rsid w:val="00A76707"/>
    <w:rsid w:val="00A7697E"/>
    <w:rsid w:val="00A76E20"/>
    <w:rsid w:val="00A7722E"/>
    <w:rsid w:val="00A8284E"/>
    <w:rsid w:val="00A86FBD"/>
    <w:rsid w:val="00A870EE"/>
    <w:rsid w:val="00A91D91"/>
    <w:rsid w:val="00A96EB3"/>
    <w:rsid w:val="00A96F81"/>
    <w:rsid w:val="00A9709D"/>
    <w:rsid w:val="00AA054E"/>
    <w:rsid w:val="00AA0A10"/>
    <w:rsid w:val="00AA2094"/>
    <w:rsid w:val="00AA2947"/>
    <w:rsid w:val="00AA72FA"/>
    <w:rsid w:val="00AB1894"/>
    <w:rsid w:val="00AB1D47"/>
    <w:rsid w:val="00AB22DF"/>
    <w:rsid w:val="00AB30EA"/>
    <w:rsid w:val="00AB458B"/>
    <w:rsid w:val="00AB45E4"/>
    <w:rsid w:val="00AB4CE6"/>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4C9"/>
    <w:rsid w:val="00B02B0B"/>
    <w:rsid w:val="00B035E4"/>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030F"/>
    <w:rsid w:val="00B81A44"/>
    <w:rsid w:val="00B85087"/>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D45C9"/>
    <w:rsid w:val="00BE0B46"/>
    <w:rsid w:val="00BE225E"/>
    <w:rsid w:val="00BE237E"/>
    <w:rsid w:val="00BE3703"/>
    <w:rsid w:val="00BE567F"/>
    <w:rsid w:val="00BF0A29"/>
    <w:rsid w:val="00BF1AB7"/>
    <w:rsid w:val="00BF25CD"/>
    <w:rsid w:val="00BF5553"/>
    <w:rsid w:val="00BF75CD"/>
    <w:rsid w:val="00C00F1C"/>
    <w:rsid w:val="00C0346D"/>
    <w:rsid w:val="00C0358F"/>
    <w:rsid w:val="00C03BB0"/>
    <w:rsid w:val="00C041CF"/>
    <w:rsid w:val="00C0696A"/>
    <w:rsid w:val="00C11CFA"/>
    <w:rsid w:val="00C12034"/>
    <w:rsid w:val="00C1396B"/>
    <w:rsid w:val="00C139F7"/>
    <w:rsid w:val="00C1698A"/>
    <w:rsid w:val="00C17E6C"/>
    <w:rsid w:val="00C21B6E"/>
    <w:rsid w:val="00C249CC"/>
    <w:rsid w:val="00C24E5F"/>
    <w:rsid w:val="00C255B6"/>
    <w:rsid w:val="00C26F3A"/>
    <w:rsid w:val="00C2770B"/>
    <w:rsid w:val="00C30296"/>
    <w:rsid w:val="00C3170E"/>
    <w:rsid w:val="00C31947"/>
    <w:rsid w:val="00C3255F"/>
    <w:rsid w:val="00C40053"/>
    <w:rsid w:val="00C4146B"/>
    <w:rsid w:val="00C4294D"/>
    <w:rsid w:val="00C444C8"/>
    <w:rsid w:val="00C452DD"/>
    <w:rsid w:val="00C45856"/>
    <w:rsid w:val="00C46603"/>
    <w:rsid w:val="00C54316"/>
    <w:rsid w:val="00C54B4D"/>
    <w:rsid w:val="00C55208"/>
    <w:rsid w:val="00C5527D"/>
    <w:rsid w:val="00C61B1A"/>
    <w:rsid w:val="00C62A53"/>
    <w:rsid w:val="00C67EA6"/>
    <w:rsid w:val="00C709F9"/>
    <w:rsid w:val="00C73A00"/>
    <w:rsid w:val="00C73A70"/>
    <w:rsid w:val="00C76054"/>
    <w:rsid w:val="00C779A2"/>
    <w:rsid w:val="00C80546"/>
    <w:rsid w:val="00C80DE9"/>
    <w:rsid w:val="00C8219C"/>
    <w:rsid w:val="00C83CAD"/>
    <w:rsid w:val="00C8419E"/>
    <w:rsid w:val="00C851D7"/>
    <w:rsid w:val="00C859B2"/>
    <w:rsid w:val="00C85C8B"/>
    <w:rsid w:val="00C867AD"/>
    <w:rsid w:val="00C87F9F"/>
    <w:rsid w:val="00C95186"/>
    <w:rsid w:val="00C9545D"/>
    <w:rsid w:val="00C95AD2"/>
    <w:rsid w:val="00C9625C"/>
    <w:rsid w:val="00C978C6"/>
    <w:rsid w:val="00C97F2A"/>
    <w:rsid w:val="00CA112D"/>
    <w:rsid w:val="00CA1F9F"/>
    <w:rsid w:val="00CA2179"/>
    <w:rsid w:val="00CA3D8A"/>
    <w:rsid w:val="00CB3B8C"/>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E66BC"/>
    <w:rsid w:val="00CF52DF"/>
    <w:rsid w:val="00CF5832"/>
    <w:rsid w:val="00CF5911"/>
    <w:rsid w:val="00CF7221"/>
    <w:rsid w:val="00CF724E"/>
    <w:rsid w:val="00D059F5"/>
    <w:rsid w:val="00D117F5"/>
    <w:rsid w:val="00D13661"/>
    <w:rsid w:val="00D14028"/>
    <w:rsid w:val="00D142BD"/>
    <w:rsid w:val="00D146DE"/>
    <w:rsid w:val="00D178AC"/>
    <w:rsid w:val="00D17FEC"/>
    <w:rsid w:val="00D200E7"/>
    <w:rsid w:val="00D21427"/>
    <w:rsid w:val="00D22164"/>
    <w:rsid w:val="00D22B86"/>
    <w:rsid w:val="00D22F2F"/>
    <w:rsid w:val="00D24194"/>
    <w:rsid w:val="00D24366"/>
    <w:rsid w:val="00D2460F"/>
    <w:rsid w:val="00D258E1"/>
    <w:rsid w:val="00D2590F"/>
    <w:rsid w:val="00D27150"/>
    <w:rsid w:val="00D27EB3"/>
    <w:rsid w:val="00D35E02"/>
    <w:rsid w:val="00D378C9"/>
    <w:rsid w:val="00D41425"/>
    <w:rsid w:val="00D46275"/>
    <w:rsid w:val="00D467CA"/>
    <w:rsid w:val="00D46DB8"/>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D4E"/>
    <w:rsid w:val="00D73338"/>
    <w:rsid w:val="00D7344B"/>
    <w:rsid w:val="00D775F3"/>
    <w:rsid w:val="00D77868"/>
    <w:rsid w:val="00D77F25"/>
    <w:rsid w:val="00D842F2"/>
    <w:rsid w:val="00D84C2A"/>
    <w:rsid w:val="00D9064B"/>
    <w:rsid w:val="00D9642C"/>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0BD7"/>
    <w:rsid w:val="00DD55C2"/>
    <w:rsid w:val="00DD759E"/>
    <w:rsid w:val="00DE314E"/>
    <w:rsid w:val="00DE4CFB"/>
    <w:rsid w:val="00DF045B"/>
    <w:rsid w:val="00DF1ED8"/>
    <w:rsid w:val="00DF3785"/>
    <w:rsid w:val="00DF3D27"/>
    <w:rsid w:val="00DF6074"/>
    <w:rsid w:val="00E02239"/>
    <w:rsid w:val="00E047EC"/>
    <w:rsid w:val="00E07D42"/>
    <w:rsid w:val="00E163E9"/>
    <w:rsid w:val="00E20BF4"/>
    <w:rsid w:val="00E240F5"/>
    <w:rsid w:val="00E30004"/>
    <w:rsid w:val="00E333AC"/>
    <w:rsid w:val="00E3456B"/>
    <w:rsid w:val="00E35C16"/>
    <w:rsid w:val="00E36085"/>
    <w:rsid w:val="00E36813"/>
    <w:rsid w:val="00E42382"/>
    <w:rsid w:val="00E51699"/>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9677E"/>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163A6"/>
    <w:rsid w:val="00F22013"/>
    <w:rsid w:val="00F22356"/>
    <w:rsid w:val="00F226E0"/>
    <w:rsid w:val="00F2522F"/>
    <w:rsid w:val="00F30180"/>
    <w:rsid w:val="00F31A29"/>
    <w:rsid w:val="00F3279A"/>
    <w:rsid w:val="00F370DD"/>
    <w:rsid w:val="00F37236"/>
    <w:rsid w:val="00F44634"/>
    <w:rsid w:val="00F45473"/>
    <w:rsid w:val="00F505EC"/>
    <w:rsid w:val="00F5088F"/>
    <w:rsid w:val="00F51657"/>
    <w:rsid w:val="00F5223C"/>
    <w:rsid w:val="00F55F69"/>
    <w:rsid w:val="00F57787"/>
    <w:rsid w:val="00F60058"/>
    <w:rsid w:val="00F61E82"/>
    <w:rsid w:val="00F6243A"/>
    <w:rsid w:val="00F63323"/>
    <w:rsid w:val="00F636FE"/>
    <w:rsid w:val="00F648B2"/>
    <w:rsid w:val="00F67EBD"/>
    <w:rsid w:val="00F70EA4"/>
    <w:rsid w:val="00F77851"/>
    <w:rsid w:val="00F80FAB"/>
    <w:rsid w:val="00F81E3B"/>
    <w:rsid w:val="00F827E1"/>
    <w:rsid w:val="00F85FC5"/>
    <w:rsid w:val="00F927B5"/>
    <w:rsid w:val="00F947E9"/>
    <w:rsid w:val="00F94BD0"/>
    <w:rsid w:val="00F95403"/>
    <w:rsid w:val="00F96705"/>
    <w:rsid w:val="00F96750"/>
    <w:rsid w:val="00F9704D"/>
    <w:rsid w:val="00F97441"/>
    <w:rsid w:val="00FA0166"/>
    <w:rsid w:val="00FA2400"/>
    <w:rsid w:val="00FA33E9"/>
    <w:rsid w:val="00FA55C8"/>
    <w:rsid w:val="00FA74C6"/>
    <w:rsid w:val="00FB24ED"/>
    <w:rsid w:val="00FB29AF"/>
    <w:rsid w:val="00FB313D"/>
    <w:rsid w:val="00FB4003"/>
    <w:rsid w:val="00FB4EBA"/>
    <w:rsid w:val="00FB7086"/>
    <w:rsid w:val="00FC6733"/>
    <w:rsid w:val="00FC7C21"/>
    <w:rsid w:val="00FD2677"/>
    <w:rsid w:val="00FD28B8"/>
    <w:rsid w:val="00FD4D00"/>
    <w:rsid w:val="00FE0BD8"/>
    <w:rsid w:val="00FE0D2D"/>
    <w:rsid w:val="00FE1709"/>
    <w:rsid w:val="00FE1FC9"/>
    <w:rsid w:val="00FF32DE"/>
    <w:rsid w:val="00FF4205"/>
    <w:rsid w:val="00FF5858"/>
    <w:rsid w:val="00FF5B16"/>
    <w:rsid w:val="00FF6930"/>
    <w:rsid w:val="00FF7C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871163"/>
    <w:rPr>
      <w:rFonts w:eastAsia="Times New Roman" w:cstheme="minorHAnsi"/>
      <w:b/>
      <w:bCs/>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Hyp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5A35"/>
    <w:pPr>
      <w:autoSpaceDE w:val="0"/>
      <w:autoSpaceDN w:val="0"/>
      <w:adjustRightInd w:val="0"/>
      <w:spacing w:after="0" w:line="240" w:lineRule="auto"/>
    </w:pPr>
    <w:rPr>
      <w:rFonts w:ascii="Times New Roman" w:hAnsi="Times New Roman" w:cs="Times New Roman"/>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ESMA70-449-674</_dlc_DocId>
    <TaxCatchAll xmlns="20fbe147-bbda-4e53-b6b1-7e8bbff3fe19">
      <Value>1826</Value>
      <Value>12</Value>
      <Value>1999</Value>
      <Value>484</Value>
      <Value>14</Value>
    </TaxCatchAll>
    <_dlc_DocIdUrl xmlns="20fbe147-bbda-4e53-b6b1-7e8bbff3fe19">
      <Url>https://sherpa.esma.europa.eu/sites/MKT/SMK/_layouts/15/DocIdRedir.aspx?ID=ESMA70-449-674</Url>
      <Description>ESMA70-449-674</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 - Pre-hedging</TermName>
          <TermId xmlns="http://schemas.microsoft.com/office/infopath/2007/PartnerControls">86add1cd-63a0-4597-b64f-7f7822fcc0f2</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 - Pre-hedging - Discussion Paper A</TermName>
          <TermId xmlns="http://schemas.microsoft.com/office/infopath/2007/PartnerControls">dfc5e8d2-1373-4d5a-adf0-f0860e9a1127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documentManagement>
</p:properties>
</file>

<file path=customXml/item3.xml><?xml version="1.0" encoding="utf-8"?>
<ct:contentTypeSchema xmlns:ct="http://schemas.microsoft.com/office/2006/metadata/contentType" xmlns:ma="http://schemas.microsoft.com/office/2006/metadata/properties/metaAttributes" ct:_="" ma:_="" ma:contentTypeName="MAR Policy Document" ma:contentTypeID="0x01010001BD15C3986B91498E0AE644B715B9EE140028D9BEAC2E112B48874369BFF013BE35" ma:contentTypeVersion="8" ma:contentTypeDescription="" ma:contentTypeScope="" ma:versionID="fe3ac8518dae978b3706c2bd0ff41fa5">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5e185457e98995b4b87131e88e6e535"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4f99a58c-742f-4a20-98c8-851f22b5d16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8BE1EB74-B3C7-4F85-9493-F7F180F75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9F4DFA8A-0B3D-48BE-AA05-EF7556CB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1</Pages>
  <Words>4042</Words>
  <Characters>25467</Characters>
  <Application>Microsoft Office Word</Application>
  <DocSecurity>8</DocSecurity>
  <Lines>212</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29451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mhs</cp:lastModifiedBy>
  <cp:revision>3</cp:revision>
  <cp:lastPrinted>2017-07-24T14:47:00Z</cp:lastPrinted>
  <dcterms:created xsi:type="dcterms:W3CDTF">2022-09-30T16:18:00Z</dcterms:created>
  <dcterms:modified xsi:type="dcterms:W3CDTF">2022-09-30T16:19:00Z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0x01010001BD15C3986B91498E0AE644B715B9EE140028D9BEAC2E112B48874369BFF013BE35</vt:lpwstr>
  </property>
  <property fmtid="{D5CDD505-2E9C-101B-9397-08002B2CF9AE}" pid="5" name="_dlc_DocIdItemGuid">
    <vt:lpwstr>96f40c0c-2046-4f48-a026-c7dd73a65259</vt:lpwstr>
  </property>
  <property fmtid="{D5CDD505-2E9C-101B-9397-08002B2CF9AE}" pid="6" name="DocumentType">
    <vt:lpwstr>12;#Report|78753201-1e9e-4a21-a088-6ff602b5c999</vt:lpwstr>
  </property>
  <property fmtid="{D5CDD505-2E9C-101B-9397-08002B2CF9AE}" pid="7" name="Topic">
    <vt:lpwstr>1826;#MAR - Pre-hedging|86add1cd-63a0-4597-b64f-7f7822fcc0f2</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1999;#MAR - Pre-hedging - Discussion Paper A|dfc5e8d2-1373-4d5a-adf0-f0860e9a1127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