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1199" w:type="dxa"/>
            <w:tblLayout w:type="fixed"/>
            <w:tblCellMar>
              <w:left w:w="0" w:type="dxa"/>
              <w:right w:w="0" w:type="dxa"/>
            </w:tblCellMar>
            <w:tblLook w:val="01E0" w:firstRow="1" w:lastRow="1" w:firstColumn="1" w:lastColumn="1" w:noHBand="0" w:noVBand="0"/>
          </w:tblPr>
          <w:tblGrid>
            <w:gridCol w:w="11199"/>
          </w:tblGrid>
          <w:tr w:rsidR="006A5E48" w:rsidRPr="00B16706" w14:paraId="0C950478" w14:textId="77777777" w:rsidTr="002937C3">
            <w:trPr>
              <w:trHeight w:hRule="exact" w:val="2013"/>
            </w:trPr>
            <w:tc>
              <w:tcPr>
                <w:tcW w:w="11199" w:type="dxa"/>
                <w:vAlign w:val="bottom"/>
              </w:tcPr>
              <w:p w14:paraId="0665DB26" w14:textId="5959CC1F" w:rsidR="006A5E48" w:rsidRPr="00B16706" w:rsidRDefault="006A5E48" w:rsidP="002937C3">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002937C3">
                  <w:rPr>
                    <w:rFonts w:asciiTheme="minorHAnsi" w:hAnsiTheme="minorHAnsi" w:cstheme="minorHAnsi"/>
                    <w:sz w:val="40"/>
                    <w:szCs w:val="40"/>
                  </w:rPr>
                  <w:t>g</w:t>
                </w:r>
                <w:r w:rsidR="002937C3" w:rsidRPr="002937C3">
                  <w:rPr>
                    <w:rFonts w:asciiTheme="minorHAnsi" w:hAnsiTheme="minorHAnsi" w:cstheme="minorHAnsi"/>
                    <w:sz w:val="40"/>
                    <w:szCs w:val="40"/>
                  </w:rPr>
                  <w:t>uidelines on standard forms, formats and templates to apply for permission to operate a DLT market infrastructure</w:t>
                </w:r>
              </w:p>
            </w:tc>
          </w:tr>
          <w:tr w:rsidR="006A5E48" w:rsidRPr="00B16706" w14:paraId="6442D9C9" w14:textId="77777777" w:rsidTr="002937C3">
            <w:trPr>
              <w:trHeight w:hRule="exact" w:val="1008"/>
            </w:trPr>
            <w:tc>
              <w:tcPr>
                <w:tcW w:w="11199"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2E2211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2937C3">
            <w:rPr>
              <w:rFonts w:eastAsiaTheme="minorEastAsia" w:cstheme="minorBidi"/>
              <w:sz w:val="18"/>
              <w:szCs w:val="16"/>
              <w:lang w:eastAsia="en-US"/>
            </w:rPr>
            <w:t>DLTM</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641C4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_nameofrespondent_RESPONSEFORM. For example, for a respondent named ABCD, the response form would be entitled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50D6FBEF" w14:textId="0D8264E4" w:rsidR="008279D3" w:rsidRDefault="002937C3" w:rsidP="003E6B54">
      <w:pPr>
        <w:pStyle w:val="Heading1"/>
        <w:numPr>
          <w:ilvl w:val="0"/>
          <w:numId w:val="0"/>
        </w:numPr>
        <w:spacing w:line="276" w:lineRule="auto"/>
        <w:rPr>
          <w:rFonts w:asciiTheme="minorHAnsi" w:eastAsiaTheme="minorEastAsia" w:hAnsiTheme="minorHAnsi" w:cstheme="minorBidi"/>
          <w:b w:val="0"/>
          <w:sz w:val="18"/>
          <w:szCs w:val="16"/>
          <w:lang w:eastAsia="en-US"/>
        </w:rPr>
      </w:pPr>
      <w:r w:rsidRPr="002937C3">
        <w:rPr>
          <w:rFonts w:asciiTheme="minorHAnsi" w:eastAsiaTheme="minorEastAsia" w:hAnsiTheme="minorHAnsi" w:cstheme="minorBidi"/>
          <w:b w:val="0"/>
          <w:sz w:val="18"/>
          <w:szCs w:val="16"/>
          <w:lang w:eastAsia="en-US"/>
        </w:rPr>
        <w:t>All interested stakeholders are invited to respond to this consultation. In particular, this paper may be specifically of interest to trading venues, CSDs or other entities envisaging to apply for specific permission to operate a DLT market infrastructure.</w:t>
      </w:r>
      <w:bookmarkStart w:id="0" w:name="_Toc515564428"/>
    </w:p>
    <w:p w14:paraId="4C47F03B" w14:textId="7ED7E89D" w:rsidR="003E6B54" w:rsidRDefault="003E6B54">
      <w:pPr>
        <w:spacing w:after="120" w:line="264" w:lineRule="auto"/>
        <w:rPr>
          <w:lang w:eastAsia="en-US"/>
        </w:rPr>
      </w:pPr>
      <w:r>
        <w:rPr>
          <w:lang w:eastAsia="en-US"/>
        </w:rPr>
        <w:br w:type="page"/>
      </w:r>
    </w:p>
    <w:p w14:paraId="622C18E8" w14:textId="4E442C44"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w:t>
      </w:r>
      <w:r w:rsidR="003E6B54">
        <w:rPr>
          <w:rFonts w:asciiTheme="majorHAnsi" w:eastAsiaTheme="majorEastAsia" w:hAnsiTheme="majorHAnsi" w:cstheme="majorBidi"/>
          <w:b/>
          <w:lang w:eastAsia="en-US"/>
        </w:rPr>
        <w:t>e</w:t>
      </w:r>
      <w:r w:rsidRPr="00B16706">
        <w:rPr>
          <w:rFonts w:asciiTheme="majorHAnsi" w:eastAsiaTheme="majorEastAsia" w:hAnsiTheme="majorHAnsi" w:cstheme="majorBidi"/>
          <w:b/>
          <w:lang w:eastAsia="en-US"/>
        </w:rPr>
        <w:t>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093668CC" w:rsidR="00C85C8B" w:rsidRPr="00B16706" w:rsidRDefault="0010719D" w:rsidP="00C85C8B">
                <w:pPr>
                  <w:rPr>
                    <w:rFonts w:ascii="Arial" w:hAnsi="Arial" w:cs="Arial"/>
                    <w:color w:val="808080"/>
                    <w:sz w:val="16"/>
                    <w:szCs w:val="20"/>
                    <w:lang w:eastAsia="de-DE"/>
                  </w:rPr>
                </w:pPr>
                <w:r>
                  <w:rPr>
                    <w:rFonts w:ascii="Arial" w:hAnsi="Arial" w:cs="Arial"/>
                    <w:color w:val="808080"/>
                    <w:sz w:val="16"/>
                    <w:szCs w:val="20"/>
                    <w:lang w:eastAsia="de-DE"/>
                  </w:rPr>
                  <w:t>ECSDA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19C83E3"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0719D">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478DA5CC" w:rsidR="00C85C8B" w:rsidRPr="00B16706" w:rsidRDefault="0010719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2D77A2F" w:rsidR="00C85C8B" w:rsidRPr="00B16706" w:rsidRDefault="0010719D"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6D3A41E" w:rsidR="009835AD" w:rsidRDefault="009835AD">
      <w:pPr>
        <w:spacing w:after="120" w:line="264" w:lineRule="auto"/>
        <w:rPr>
          <w:rFonts w:asciiTheme="minorHAnsi" w:hAnsiTheme="minorHAnsi" w:cstheme="minorHAnsi"/>
          <w:b/>
          <w:sz w:val="22"/>
          <w:szCs w:val="22"/>
        </w:rPr>
      </w:pPr>
    </w:p>
    <w:p w14:paraId="304C05D7" w14:textId="77777777" w:rsidR="003E6B54" w:rsidRDefault="003E6B54">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5C293BC" w14:textId="77777777" w:rsidR="002937C3" w:rsidRDefault="002937C3" w:rsidP="002937C3">
      <w:pPr>
        <w:pStyle w:val="Questionstyle"/>
      </w:pPr>
      <w:r w:rsidRPr="00F8499F">
        <w:t>Do you have any comments or suggestions regarding the proposed guidelines? If so, please provide arguments supporting your comments and suggestions.</w:t>
      </w:r>
    </w:p>
    <w:p w14:paraId="34AA64BF" w14:textId="77777777" w:rsidR="002937C3" w:rsidRDefault="002937C3" w:rsidP="002937C3">
      <w:r>
        <w:t>&lt;ESMA_QUESTION_DLTM_1&gt;</w:t>
      </w:r>
    </w:p>
    <w:p w14:paraId="5D94B19A" w14:textId="77777777" w:rsidR="00825262" w:rsidRPr="009413C7" w:rsidRDefault="00825262" w:rsidP="00825262">
      <w:pPr>
        <w:jc w:val="both"/>
        <w:rPr>
          <w:rFonts w:ascii="Candara" w:hAnsi="Candara"/>
          <w:color w:val="002060"/>
          <w:sz w:val="22"/>
          <w:szCs w:val="22"/>
        </w:rPr>
      </w:pPr>
      <w:permStart w:id="1421084694" w:edGrp="everyone"/>
      <w:r w:rsidRPr="00825262">
        <w:rPr>
          <w:rFonts w:ascii="Candara" w:hAnsi="Candara"/>
          <w:b/>
          <w:bCs/>
          <w:color w:val="002060"/>
          <w:sz w:val="22"/>
          <w:szCs w:val="22"/>
        </w:rPr>
        <w:t xml:space="preserve"> </w:t>
      </w:r>
      <w:r w:rsidRPr="009413C7">
        <w:rPr>
          <w:rFonts w:ascii="Candara" w:hAnsi="Candara"/>
          <w:b/>
          <w:bCs/>
          <w:color w:val="002060"/>
          <w:sz w:val="22"/>
          <w:szCs w:val="22"/>
        </w:rPr>
        <w:t>Transparency and standardisation are key in the process of granting exemptions</w:t>
      </w:r>
    </w:p>
    <w:p w14:paraId="2C6E3A7C" w14:textId="77777777" w:rsidR="00825262" w:rsidRPr="009413C7" w:rsidRDefault="00825262" w:rsidP="00825262">
      <w:pPr>
        <w:jc w:val="both"/>
        <w:rPr>
          <w:rFonts w:ascii="Candara" w:hAnsi="Candara"/>
          <w:color w:val="002060"/>
          <w:sz w:val="22"/>
          <w:szCs w:val="22"/>
        </w:rPr>
      </w:pPr>
    </w:p>
    <w:p w14:paraId="1BC68336"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The process to request an exemption in the DLT Pilot Regime (DLTPR) must be consistent, transparent and standardised across NCAs, leading otherwise to an unharmonized NCA approach, regulatory arbitrage, level-playing field and possibly, interoperability concerns.</w:t>
      </w:r>
    </w:p>
    <w:p w14:paraId="29A47221" w14:textId="77777777" w:rsidR="00825262" w:rsidRPr="00F56390" w:rsidRDefault="00825262" w:rsidP="00825262">
      <w:pPr>
        <w:jc w:val="both"/>
        <w:rPr>
          <w:rFonts w:ascii="Candara" w:hAnsi="Candara"/>
          <w:color w:val="002060"/>
          <w:sz w:val="21"/>
          <w:szCs w:val="21"/>
        </w:rPr>
      </w:pPr>
    </w:p>
    <w:p w14:paraId="24BB28B8"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Further to Articles 8(4), 9(4) and 10(4) DLTPR, ESMA has provided clear and satisfactory standard forms, formats and templates. However, ECSDA wishes to anticipate discrepancies faced by CSDs when requesting a passport in different EU Member State jurisdictions. </w:t>
      </w:r>
    </w:p>
    <w:p w14:paraId="3B15CE52" w14:textId="77777777" w:rsidR="00825262" w:rsidRPr="00F56390" w:rsidRDefault="00825262" w:rsidP="00825262">
      <w:pPr>
        <w:jc w:val="both"/>
        <w:rPr>
          <w:rFonts w:ascii="Candara" w:hAnsi="Candara"/>
          <w:color w:val="002060"/>
          <w:sz w:val="21"/>
          <w:szCs w:val="21"/>
        </w:rPr>
      </w:pPr>
    </w:p>
    <w:p w14:paraId="4E98F176"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Specifically, the coordination and relationship between NCAs and ESMA when deciding on an application must be clear and standardised for all NCAs. Moreover, it is essential that the level of information and detail requested by each NCA remains levelled among Member States. </w:t>
      </w:r>
      <w:r>
        <w:rPr>
          <w:rFonts w:ascii="Candara" w:hAnsi="Candara"/>
          <w:color w:val="002060"/>
          <w:sz w:val="21"/>
          <w:szCs w:val="21"/>
        </w:rPr>
        <w:t xml:space="preserve">With regard to a legislative instrument </w:t>
      </w:r>
      <w:r w:rsidRPr="00F56390">
        <w:rPr>
          <w:rFonts w:ascii="Candara" w:hAnsi="Candara"/>
          <w:color w:val="002060"/>
          <w:sz w:val="21"/>
          <w:szCs w:val="21"/>
        </w:rPr>
        <w:t>choice</w:t>
      </w:r>
      <w:r>
        <w:rPr>
          <w:rFonts w:ascii="Candara" w:hAnsi="Candara"/>
          <w:color w:val="002060"/>
          <w:sz w:val="21"/>
          <w:szCs w:val="21"/>
        </w:rPr>
        <w:t xml:space="preserve">, it is </w:t>
      </w:r>
      <w:r w:rsidRPr="00F56390">
        <w:rPr>
          <w:rFonts w:ascii="Candara" w:hAnsi="Candara"/>
          <w:color w:val="002060"/>
          <w:sz w:val="21"/>
          <w:szCs w:val="21"/>
        </w:rPr>
        <w:t xml:space="preserve">preferable to </w:t>
      </w:r>
      <w:r>
        <w:rPr>
          <w:rFonts w:ascii="Candara" w:hAnsi="Candara"/>
          <w:color w:val="002060"/>
          <w:sz w:val="21"/>
          <w:szCs w:val="21"/>
        </w:rPr>
        <w:t xml:space="preserve">draft a regulation over </w:t>
      </w:r>
      <w:r w:rsidRPr="00F56390">
        <w:rPr>
          <w:rFonts w:ascii="Candara" w:hAnsi="Candara"/>
          <w:color w:val="002060"/>
          <w:sz w:val="21"/>
          <w:szCs w:val="21"/>
        </w:rPr>
        <w:t>a directive</w:t>
      </w:r>
      <w:r>
        <w:rPr>
          <w:rFonts w:ascii="Candara" w:hAnsi="Candara"/>
          <w:color w:val="002060"/>
          <w:sz w:val="21"/>
          <w:szCs w:val="21"/>
        </w:rPr>
        <w:t>.</w:t>
      </w:r>
      <w:r w:rsidRPr="00F56390">
        <w:rPr>
          <w:rFonts w:ascii="Candara" w:hAnsi="Candara"/>
          <w:color w:val="002060"/>
          <w:sz w:val="21"/>
          <w:szCs w:val="21"/>
        </w:rPr>
        <w:t xml:space="preserve"> </w:t>
      </w:r>
      <w:r>
        <w:rPr>
          <w:rFonts w:ascii="Candara" w:hAnsi="Candara"/>
          <w:color w:val="002060"/>
          <w:sz w:val="21"/>
          <w:szCs w:val="21"/>
        </w:rPr>
        <w:t>I</w:t>
      </w:r>
      <w:r w:rsidRPr="00F56390">
        <w:rPr>
          <w:rFonts w:ascii="Candara" w:hAnsi="Candara"/>
          <w:color w:val="002060"/>
          <w:sz w:val="21"/>
          <w:szCs w:val="21"/>
        </w:rPr>
        <w:t xml:space="preserve">n </w:t>
      </w:r>
      <w:r>
        <w:rPr>
          <w:rFonts w:ascii="Candara" w:hAnsi="Candara"/>
          <w:color w:val="002060"/>
          <w:sz w:val="21"/>
          <w:szCs w:val="21"/>
        </w:rPr>
        <w:t xml:space="preserve">our view, it </w:t>
      </w:r>
      <w:r w:rsidRPr="00F56390">
        <w:rPr>
          <w:rFonts w:ascii="Candara" w:hAnsi="Candara"/>
          <w:color w:val="002060"/>
          <w:sz w:val="21"/>
          <w:szCs w:val="21"/>
        </w:rPr>
        <w:t>would cater to more consistent handling of exemption</w:t>
      </w:r>
      <w:r>
        <w:rPr>
          <w:rFonts w:ascii="Candara" w:hAnsi="Candara"/>
          <w:color w:val="002060"/>
          <w:sz w:val="21"/>
          <w:szCs w:val="21"/>
        </w:rPr>
        <w:t xml:space="preserve"> </w:t>
      </w:r>
      <w:r w:rsidRPr="00F56390">
        <w:rPr>
          <w:rFonts w:ascii="Candara" w:hAnsi="Candara"/>
          <w:color w:val="002060"/>
          <w:sz w:val="21"/>
          <w:szCs w:val="21"/>
        </w:rPr>
        <w:t xml:space="preserve">applications. </w:t>
      </w:r>
    </w:p>
    <w:p w14:paraId="5C741541" w14:textId="77777777" w:rsidR="00825262" w:rsidRPr="00F56390" w:rsidRDefault="00825262" w:rsidP="00825262">
      <w:pPr>
        <w:jc w:val="both"/>
        <w:rPr>
          <w:rFonts w:ascii="Candara" w:hAnsi="Candara"/>
          <w:color w:val="002060"/>
          <w:sz w:val="21"/>
          <w:szCs w:val="21"/>
        </w:rPr>
      </w:pPr>
    </w:p>
    <w:p w14:paraId="6C605333"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To illustrate ECSDA’s concern, Article 8(3) DLTPR outlines that the NCA shall submit “</w:t>
      </w:r>
      <w:r w:rsidRPr="00F56390">
        <w:rPr>
          <w:rFonts w:ascii="Candara" w:hAnsi="Candara"/>
          <w:i/>
          <w:iCs/>
          <w:color w:val="002060"/>
          <w:sz w:val="21"/>
          <w:szCs w:val="21"/>
        </w:rPr>
        <w:t>any compensatory measures proposed by the applicant or required by the competent authority</w:t>
      </w:r>
      <w:r w:rsidRPr="00F56390">
        <w:rPr>
          <w:rFonts w:ascii="Candara" w:hAnsi="Candara"/>
          <w:color w:val="002060"/>
          <w:sz w:val="21"/>
          <w:szCs w:val="21"/>
        </w:rPr>
        <w:t xml:space="preserve">”. ECSDA fears that the lack of standardisation </w:t>
      </w:r>
      <w:r>
        <w:rPr>
          <w:rFonts w:ascii="Candara" w:hAnsi="Candara"/>
          <w:color w:val="002060"/>
          <w:sz w:val="21"/>
          <w:szCs w:val="21"/>
        </w:rPr>
        <w:t>with</w:t>
      </w:r>
      <w:r w:rsidRPr="00F56390">
        <w:rPr>
          <w:rFonts w:ascii="Candara" w:hAnsi="Candara"/>
          <w:color w:val="002060"/>
          <w:sz w:val="21"/>
          <w:szCs w:val="21"/>
        </w:rPr>
        <w:t xml:space="preserve"> respect to the process</w:t>
      </w:r>
      <w:r>
        <w:rPr>
          <w:rFonts w:ascii="Candara" w:hAnsi="Candara"/>
          <w:color w:val="002060"/>
          <w:sz w:val="21"/>
          <w:szCs w:val="21"/>
        </w:rPr>
        <w:t>es</w:t>
      </w:r>
      <w:r w:rsidRPr="00F56390">
        <w:rPr>
          <w:rFonts w:ascii="Candara" w:hAnsi="Candara"/>
          <w:color w:val="002060"/>
          <w:sz w:val="21"/>
          <w:szCs w:val="21"/>
        </w:rPr>
        <w:t xml:space="preserve"> that NCAs will assess 1)</w:t>
      </w:r>
      <w:r>
        <w:rPr>
          <w:rFonts w:ascii="Candara" w:hAnsi="Candara"/>
          <w:color w:val="002060"/>
          <w:sz w:val="21"/>
          <w:szCs w:val="21"/>
        </w:rPr>
        <w:t xml:space="preserve"> </w:t>
      </w:r>
      <w:r w:rsidRPr="00F56390">
        <w:rPr>
          <w:rFonts w:ascii="Candara" w:hAnsi="Candara"/>
          <w:color w:val="002060"/>
          <w:sz w:val="21"/>
          <w:szCs w:val="21"/>
        </w:rPr>
        <w:t xml:space="preserve">the need for compensatory measures and 2) compensatory measures proposed by the applicant, will lead to diverging procedures </w:t>
      </w:r>
      <w:r w:rsidRPr="00A83058">
        <w:rPr>
          <w:rFonts w:ascii="Candara" w:hAnsi="Candara"/>
          <w:color w:val="002060"/>
          <w:sz w:val="21"/>
          <w:szCs w:val="21"/>
        </w:rPr>
        <w:t>and compensatory requirements</w:t>
      </w:r>
      <w:r w:rsidRPr="00F56390">
        <w:rPr>
          <w:rFonts w:ascii="Candara" w:hAnsi="Candara"/>
          <w:color w:val="002060"/>
          <w:sz w:val="21"/>
          <w:szCs w:val="21"/>
        </w:rPr>
        <w:t xml:space="preserve"> implemented by each Member State NCA. </w:t>
      </w:r>
    </w:p>
    <w:p w14:paraId="4664BDA5" w14:textId="77777777" w:rsidR="00825262" w:rsidRPr="00F56390" w:rsidRDefault="00825262" w:rsidP="00825262">
      <w:pPr>
        <w:jc w:val="both"/>
        <w:rPr>
          <w:rFonts w:ascii="Candara" w:hAnsi="Candara"/>
          <w:color w:val="002060"/>
          <w:sz w:val="21"/>
          <w:szCs w:val="21"/>
        </w:rPr>
      </w:pPr>
    </w:p>
    <w:p w14:paraId="21CC2EFF"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An unharmonized implementation of the DLTPR would undermine the policy objectives and create regulatory arbitrage and an </w:t>
      </w:r>
      <w:r>
        <w:rPr>
          <w:rFonts w:ascii="Candara" w:hAnsi="Candara"/>
          <w:color w:val="002060"/>
          <w:sz w:val="21"/>
          <w:szCs w:val="21"/>
        </w:rPr>
        <w:t>unlevel playing</w:t>
      </w:r>
      <w:r w:rsidRPr="00F56390">
        <w:rPr>
          <w:rFonts w:ascii="Candara" w:hAnsi="Candara"/>
          <w:color w:val="002060"/>
          <w:sz w:val="21"/>
          <w:szCs w:val="21"/>
        </w:rPr>
        <w:t xml:space="preserve"> field. </w:t>
      </w:r>
    </w:p>
    <w:p w14:paraId="3133AE20" w14:textId="77777777" w:rsidR="00825262" w:rsidRPr="00F56390" w:rsidRDefault="00825262" w:rsidP="00825262">
      <w:pPr>
        <w:jc w:val="both"/>
        <w:rPr>
          <w:rFonts w:ascii="Candara" w:hAnsi="Candara"/>
          <w:color w:val="002060"/>
          <w:sz w:val="21"/>
          <w:szCs w:val="21"/>
        </w:rPr>
      </w:pPr>
    </w:p>
    <w:p w14:paraId="26ABD206" w14:textId="77777777" w:rsidR="00825262" w:rsidRDefault="00825262" w:rsidP="00825262">
      <w:r w:rsidRPr="00F56390">
        <w:rPr>
          <w:rFonts w:ascii="Candara" w:hAnsi="Candara"/>
          <w:color w:val="002060"/>
          <w:sz w:val="21"/>
          <w:szCs w:val="21"/>
        </w:rPr>
        <w:t>On this basis, ECSDA suggests that ESMA provides standardised guidelines to NCAs regarding the relevant degree of information when granting an exemption. Furthermore, ECSDA suggests the need for consistent</w:t>
      </w:r>
      <w:r>
        <w:rPr>
          <w:rFonts w:ascii="Candara" w:hAnsi="Candara"/>
          <w:color w:val="002060"/>
          <w:sz w:val="21"/>
          <w:szCs w:val="21"/>
        </w:rPr>
        <w:t xml:space="preserve"> </w:t>
      </w:r>
      <w:r w:rsidRPr="00F56390">
        <w:rPr>
          <w:rFonts w:ascii="Candara" w:hAnsi="Candara"/>
          <w:color w:val="002060"/>
          <w:sz w:val="21"/>
          <w:szCs w:val="21"/>
        </w:rPr>
        <w:t>guidelines as to the methodology in identifying</w:t>
      </w:r>
      <w:r w:rsidRPr="001453CB">
        <w:rPr>
          <w:rFonts w:ascii="Candara" w:hAnsi="Candara"/>
          <w:color w:val="002060"/>
          <w:sz w:val="21"/>
          <w:szCs w:val="21"/>
        </w:rPr>
        <w:t xml:space="preserve"> and</w:t>
      </w:r>
      <w:r w:rsidRPr="00F56390">
        <w:rPr>
          <w:rFonts w:ascii="Candara" w:hAnsi="Candara"/>
          <w:color w:val="002060"/>
          <w:sz w:val="21"/>
          <w:szCs w:val="21"/>
        </w:rPr>
        <w:t xml:space="preserve"> granting compensatory measures by each NCA.</w:t>
      </w:r>
    </w:p>
    <w:p w14:paraId="1C8D698A" w14:textId="28A50633" w:rsidR="00DE6056" w:rsidRPr="00825262" w:rsidRDefault="00DE6056" w:rsidP="00825262">
      <w:pPr>
        <w:jc w:val="both"/>
        <w:rPr>
          <w:rFonts w:ascii="Candara" w:hAnsi="Candara"/>
          <w:color w:val="002060"/>
          <w:sz w:val="21"/>
          <w:szCs w:val="21"/>
        </w:rPr>
      </w:pPr>
      <w:r w:rsidRPr="00825262">
        <w:rPr>
          <w:rFonts w:ascii="Candara" w:hAnsi="Candara"/>
          <w:color w:val="002060"/>
          <w:sz w:val="21"/>
          <w:szCs w:val="21"/>
        </w:rPr>
        <w:t xml:space="preserve"> </w:t>
      </w:r>
    </w:p>
    <w:permEnd w:id="1421084694"/>
    <w:p w14:paraId="5F85C099" w14:textId="7598A16D" w:rsidR="002937C3" w:rsidRDefault="002937C3" w:rsidP="002937C3">
      <w:r>
        <w:t>&lt;ESMA_QUESTION_DLTM_1&gt;</w:t>
      </w:r>
    </w:p>
    <w:p w14:paraId="293A9E93" w14:textId="77777777" w:rsidR="002937C3" w:rsidRDefault="002937C3" w:rsidP="002937C3"/>
    <w:p w14:paraId="48E243F2" w14:textId="77777777" w:rsidR="002937C3" w:rsidRDefault="002937C3" w:rsidP="002937C3">
      <w:pPr>
        <w:pStyle w:val="Questionstyle"/>
      </w:pPr>
      <w:r w:rsidRPr="00F8499F">
        <w:t>Is any clarification needed in respect of the content of certain items listed in the tables below? If so, please indicate.</w:t>
      </w:r>
    </w:p>
    <w:p w14:paraId="2B556CE3" w14:textId="77777777" w:rsidR="002937C3" w:rsidRDefault="002937C3" w:rsidP="002937C3">
      <w:r>
        <w:t>&lt;ESMA_QUESTION_DLTM_2&gt;</w:t>
      </w:r>
    </w:p>
    <w:p w14:paraId="6BFFA8F2" w14:textId="77777777" w:rsidR="00227C2B" w:rsidRPr="001453CB" w:rsidRDefault="00592AF4" w:rsidP="002937C3">
      <w:pPr>
        <w:rPr>
          <w:rFonts w:ascii="Candara" w:hAnsi="Candara"/>
          <w:color w:val="002060"/>
          <w:sz w:val="21"/>
          <w:szCs w:val="21"/>
        </w:rPr>
      </w:pPr>
      <w:permStart w:id="224736946" w:edGrp="everyone"/>
      <w:r w:rsidRPr="001453CB">
        <w:rPr>
          <w:rFonts w:ascii="Candara" w:hAnsi="Candara"/>
          <w:color w:val="002060"/>
          <w:sz w:val="21"/>
          <w:szCs w:val="21"/>
        </w:rPr>
        <w:t xml:space="preserve">The proposed guidelines seem to be using indistinctively the terms </w:t>
      </w:r>
      <w:r w:rsidR="009F2687" w:rsidRPr="001453CB">
        <w:rPr>
          <w:rFonts w:ascii="Candara" w:hAnsi="Candara"/>
          <w:color w:val="002060"/>
          <w:sz w:val="21"/>
          <w:szCs w:val="21"/>
        </w:rPr>
        <w:t>‘</w:t>
      </w:r>
      <w:r w:rsidRPr="001453CB">
        <w:rPr>
          <w:rFonts w:ascii="Candara" w:hAnsi="Candara"/>
          <w:color w:val="002060"/>
          <w:sz w:val="21"/>
          <w:szCs w:val="21"/>
        </w:rPr>
        <w:t>DLT financial instrument</w:t>
      </w:r>
      <w:r w:rsidR="009F2687" w:rsidRPr="001453CB">
        <w:rPr>
          <w:rFonts w:ascii="Candara" w:hAnsi="Candara"/>
          <w:color w:val="002060"/>
          <w:sz w:val="21"/>
          <w:szCs w:val="21"/>
        </w:rPr>
        <w:t>’</w:t>
      </w:r>
      <w:r w:rsidRPr="001453CB">
        <w:rPr>
          <w:rFonts w:ascii="Candara" w:hAnsi="Candara"/>
          <w:color w:val="002060"/>
          <w:sz w:val="21"/>
          <w:szCs w:val="21"/>
        </w:rPr>
        <w:t xml:space="preserve"> and </w:t>
      </w:r>
      <w:r w:rsidR="009F2687" w:rsidRPr="001453CB">
        <w:rPr>
          <w:rFonts w:ascii="Candara" w:hAnsi="Candara"/>
          <w:color w:val="002060"/>
          <w:sz w:val="21"/>
          <w:szCs w:val="21"/>
        </w:rPr>
        <w:t>‘</w:t>
      </w:r>
      <w:r w:rsidRPr="001453CB">
        <w:rPr>
          <w:rFonts w:ascii="Candara" w:hAnsi="Candara"/>
          <w:color w:val="002060"/>
          <w:sz w:val="21"/>
          <w:szCs w:val="21"/>
        </w:rPr>
        <w:t>crypto-asset</w:t>
      </w:r>
      <w:r w:rsidR="009F2687" w:rsidRPr="001453CB">
        <w:rPr>
          <w:rFonts w:ascii="Candara" w:hAnsi="Candara"/>
          <w:color w:val="002060"/>
          <w:sz w:val="21"/>
          <w:szCs w:val="21"/>
        </w:rPr>
        <w:t>’</w:t>
      </w:r>
      <w:r w:rsidRPr="001453CB">
        <w:rPr>
          <w:rFonts w:ascii="Candara" w:hAnsi="Candara"/>
          <w:color w:val="002060"/>
          <w:sz w:val="21"/>
          <w:szCs w:val="21"/>
        </w:rPr>
        <w:t>.</w:t>
      </w:r>
    </w:p>
    <w:p w14:paraId="073F0F5E" w14:textId="24C6C3AC" w:rsidR="002937C3" w:rsidRPr="001453CB" w:rsidRDefault="00592AF4" w:rsidP="002937C3">
      <w:pPr>
        <w:rPr>
          <w:rFonts w:ascii="Candara" w:hAnsi="Candara"/>
          <w:color w:val="002060"/>
          <w:sz w:val="21"/>
          <w:szCs w:val="21"/>
        </w:rPr>
      </w:pPr>
      <w:r w:rsidRPr="001453CB">
        <w:rPr>
          <w:rFonts w:ascii="Candara" w:hAnsi="Candara"/>
          <w:color w:val="002060"/>
          <w:sz w:val="21"/>
          <w:szCs w:val="21"/>
        </w:rPr>
        <w:t xml:space="preserve">For clarity reasons, it would be appropriate to </w:t>
      </w:r>
      <w:r w:rsidR="00C875D3">
        <w:rPr>
          <w:rFonts w:ascii="Candara" w:hAnsi="Candara"/>
          <w:color w:val="002060"/>
          <w:sz w:val="21"/>
          <w:szCs w:val="21"/>
        </w:rPr>
        <w:t xml:space="preserve">specify </w:t>
      </w:r>
      <w:r w:rsidRPr="001453CB">
        <w:rPr>
          <w:rFonts w:ascii="Candara" w:hAnsi="Candara"/>
          <w:color w:val="002060"/>
          <w:sz w:val="21"/>
          <w:szCs w:val="21"/>
        </w:rPr>
        <w:t>the term used across the whole document.</w:t>
      </w:r>
    </w:p>
    <w:permEnd w:id="224736946"/>
    <w:p w14:paraId="193D46E4" w14:textId="77777777" w:rsidR="002937C3" w:rsidRDefault="002937C3" w:rsidP="002937C3">
      <w:r>
        <w:t>&lt;ESMA_QUESTION_DLTM_2&gt;</w:t>
      </w:r>
    </w:p>
    <w:p w14:paraId="5ED56614" w14:textId="77777777" w:rsidR="002937C3" w:rsidRDefault="002937C3" w:rsidP="002937C3"/>
    <w:p w14:paraId="3BB9F185" w14:textId="77777777" w:rsidR="002937C3" w:rsidRPr="00F8499F" w:rsidRDefault="002937C3" w:rsidP="002937C3">
      <w:pPr>
        <w:pStyle w:val="Questionstyle"/>
      </w:pPr>
      <w:r w:rsidRPr="00F8499F">
        <w:t>Do you consider more specific forms or templates should be developed for certain items? If so, please specify.</w:t>
      </w:r>
    </w:p>
    <w:p w14:paraId="67735681" w14:textId="77777777" w:rsidR="002937C3" w:rsidRDefault="002937C3" w:rsidP="002937C3">
      <w:r>
        <w:t>&lt;ESMA_QUESTION_DLTM_3&gt;</w:t>
      </w:r>
    </w:p>
    <w:p w14:paraId="4ECA6EE0" w14:textId="6F664761" w:rsidR="002937C3" w:rsidRDefault="002937C3" w:rsidP="002937C3">
      <w:permStart w:id="1496057060" w:edGrp="everyone"/>
      <w:r>
        <w:t>TYPE YOUR TEXT HERE</w:t>
      </w:r>
    </w:p>
    <w:permEnd w:id="1496057060"/>
    <w:p w14:paraId="470C6350" w14:textId="77777777" w:rsidR="002937C3" w:rsidRDefault="002937C3" w:rsidP="002937C3">
      <w:r>
        <w:lastRenderedPageBreak/>
        <w:t>&lt;ESMA_QUESTION_DLTM_3&gt;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3B6F" w14:textId="77777777" w:rsidR="00E86ADD" w:rsidRDefault="00E86ADD" w:rsidP="007E7997">
      <w:r>
        <w:separator/>
      </w:r>
    </w:p>
  </w:endnote>
  <w:endnote w:type="continuationSeparator" w:id="0">
    <w:p w14:paraId="56FC5157" w14:textId="77777777" w:rsidR="00E86ADD" w:rsidRDefault="00E86ADD" w:rsidP="007E7997">
      <w:r>
        <w:continuationSeparator/>
      </w:r>
    </w:p>
  </w:endnote>
  <w:endnote w:type="continuationNotice" w:id="1">
    <w:p w14:paraId="502B1F8C" w14:textId="77777777" w:rsidR="00E86ADD" w:rsidRDefault="00E86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5CD" w14:textId="77777777" w:rsidR="00592AF4" w:rsidRDefault="0059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27D1B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83196">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555049">
      <w:rPr>
        <w:rFonts w:asciiTheme="majorHAnsi" w:hAnsiTheme="majorHAnsi"/>
        <w:color w:val="FFFFFF" w:themeColor="background1"/>
      </w:rPr>
      <w:t>70-460-117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5821" w14:textId="77777777" w:rsidR="00E86ADD" w:rsidRDefault="00E86ADD" w:rsidP="007E7997">
      <w:r>
        <w:separator/>
      </w:r>
    </w:p>
  </w:footnote>
  <w:footnote w:type="continuationSeparator" w:id="0">
    <w:p w14:paraId="1AE951D5" w14:textId="77777777" w:rsidR="00E86ADD" w:rsidRDefault="00E86ADD" w:rsidP="007E7997">
      <w:r>
        <w:continuationSeparator/>
      </w:r>
    </w:p>
  </w:footnote>
  <w:footnote w:type="continuationNotice" w:id="1">
    <w:p w14:paraId="6AA3C46D" w14:textId="77777777" w:rsidR="00E86ADD" w:rsidRDefault="00E86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F66E" w14:textId="77777777" w:rsidR="00592AF4" w:rsidRDefault="0059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75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6BE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64D52"/>
    <w:multiLevelType w:val="hybridMultilevel"/>
    <w:tmpl w:val="4B904208"/>
    <w:lvl w:ilvl="0" w:tplc="1684226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CA53A1"/>
    <w:multiLevelType w:val="hybridMultilevel"/>
    <w:tmpl w:val="27845FF4"/>
    <w:lvl w:ilvl="0" w:tplc="B77EE8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8401215">
    <w:abstractNumId w:val="4"/>
  </w:num>
  <w:num w:numId="2" w16cid:durableId="1353997097">
    <w:abstractNumId w:val="4"/>
  </w:num>
  <w:num w:numId="3" w16cid:durableId="1715616584">
    <w:abstractNumId w:val="23"/>
  </w:num>
  <w:num w:numId="4" w16cid:durableId="919561802">
    <w:abstractNumId w:val="5"/>
  </w:num>
  <w:num w:numId="5" w16cid:durableId="1358848796">
    <w:abstractNumId w:val="14"/>
  </w:num>
  <w:num w:numId="6" w16cid:durableId="2040429655">
    <w:abstractNumId w:val="25"/>
  </w:num>
  <w:num w:numId="7" w16cid:durableId="1912738820">
    <w:abstractNumId w:val="13"/>
  </w:num>
  <w:num w:numId="8" w16cid:durableId="432240220">
    <w:abstractNumId w:val="7"/>
  </w:num>
  <w:num w:numId="9" w16cid:durableId="744299080">
    <w:abstractNumId w:val="10"/>
  </w:num>
  <w:num w:numId="10" w16cid:durableId="1201623151">
    <w:abstractNumId w:val="9"/>
  </w:num>
  <w:num w:numId="11" w16cid:durableId="1488208864">
    <w:abstractNumId w:val="8"/>
  </w:num>
  <w:num w:numId="12" w16cid:durableId="1627085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482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1102988">
    <w:abstractNumId w:val="26"/>
  </w:num>
  <w:num w:numId="15" w16cid:durableId="1778023614">
    <w:abstractNumId w:val="20"/>
  </w:num>
  <w:num w:numId="16" w16cid:durableId="1945333640">
    <w:abstractNumId w:val="24"/>
  </w:num>
  <w:num w:numId="17" w16cid:durableId="1477139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4601231">
    <w:abstractNumId w:val="21"/>
  </w:num>
  <w:num w:numId="19" w16cid:durableId="1789349497">
    <w:abstractNumId w:val="25"/>
  </w:num>
  <w:num w:numId="20" w16cid:durableId="1330061205">
    <w:abstractNumId w:val="12"/>
  </w:num>
  <w:num w:numId="21" w16cid:durableId="363601724">
    <w:abstractNumId w:val="22"/>
  </w:num>
  <w:num w:numId="22" w16cid:durableId="454905706">
    <w:abstractNumId w:val="15"/>
  </w:num>
  <w:num w:numId="23" w16cid:durableId="1455556590">
    <w:abstractNumId w:val="19"/>
  </w:num>
  <w:num w:numId="24" w16cid:durableId="1233349762">
    <w:abstractNumId w:val="0"/>
  </w:num>
  <w:num w:numId="25" w16cid:durableId="429543970">
    <w:abstractNumId w:val="18"/>
  </w:num>
  <w:num w:numId="26" w16cid:durableId="1761489052">
    <w:abstractNumId w:val="16"/>
  </w:num>
  <w:num w:numId="27" w16cid:durableId="1535539078">
    <w:abstractNumId w:val="11"/>
  </w:num>
  <w:num w:numId="28" w16cid:durableId="614409111">
    <w:abstractNumId w:val="1"/>
  </w:num>
  <w:num w:numId="29" w16cid:durableId="1248465711">
    <w:abstractNumId w:val="17"/>
  </w:num>
  <w:num w:numId="30" w16cid:durableId="1568417557">
    <w:abstractNumId w:val="6"/>
  </w:num>
  <w:num w:numId="31" w16cid:durableId="138614198">
    <w:abstractNumId w:val="2"/>
  </w:num>
  <w:num w:numId="32" w16cid:durableId="16444997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nqYFoFDnsVmr8RN6nCychR53us43/tX+WF5z6EgklqoqM68uUONYlb6SLW6UTG0tFysCAgT7M0UOb41yozDwpw==" w:salt="iFiQbKkojmktQKw0MnsPg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MTI3MDY3NjEysjRW0lEKTi0uzszPAykwrAUAFdYdZiwAAAA="/>
  </w:docVars>
  <w:rsids>
    <w:rsidRoot w:val="004B1842"/>
    <w:rsid w:val="0000380B"/>
    <w:rsid w:val="00005505"/>
    <w:rsid w:val="00006275"/>
    <w:rsid w:val="00006971"/>
    <w:rsid w:val="00011F6C"/>
    <w:rsid w:val="0001249B"/>
    <w:rsid w:val="0001265D"/>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C640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19D"/>
    <w:rsid w:val="001075EC"/>
    <w:rsid w:val="00113D82"/>
    <w:rsid w:val="00120F0D"/>
    <w:rsid w:val="001214DA"/>
    <w:rsid w:val="0012722A"/>
    <w:rsid w:val="00130EF9"/>
    <w:rsid w:val="001319C7"/>
    <w:rsid w:val="001355E6"/>
    <w:rsid w:val="0013644A"/>
    <w:rsid w:val="00140BA6"/>
    <w:rsid w:val="00141946"/>
    <w:rsid w:val="00143DCA"/>
    <w:rsid w:val="00144AAD"/>
    <w:rsid w:val="001453CB"/>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45E"/>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C2B"/>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86"/>
    <w:rsid w:val="002574D1"/>
    <w:rsid w:val="00260FEB"/>
    <w:rsid w:val="00261CCB"/>
    <w:rsid w:val="002630C0"/>
    <w:rsid w:val="0026332A"/>
    <w:rsid w:val="002645A8"/>
    <w:rsid w:val="0026493B"/>
    <w:rsid w:val="00265566"/>
    <w:rsid w:val="00265F44"/>
    <w:rsid w:val="002665E3"/>
    <w:rsid w:val="0027199C"/>
    <w:rsid w:val="00272C4E"/>
    <w:rsid w:val="002751FC"/>
    <w:rsid w:val="002753BD"/>
    <w:rsid w:val="00276ACE"/>
    <w:rsid w:val="00282B3A"/>
    <w:rsid w:val="00282D38"/>
    <w:rsid w:val="00282FBE"/>
    <w:rsid w:val="00284AF2"/>
    <w:rsid w:val="0028536B"/>
    <w:rsid w:val="00285CED"/>
    <w:rsid w:val="00285EB5"/>
    <w:rsid w:val="00287C8F"/>
    <w:rsid w:val="00290893"/>
    <w:rsid w:val="002917B9"/>
    <w:rsid w:val="00291A55"/>
    <w:rsid w:val="002937C3"/>
    <w:rsid w:val="0029394C"/>
    <w:rsid w:val="00293BF4"/>
    <w:rsid w:val="002A13B0"/>
    <w:rsid w:val="002A2C91"/>
    <w:rsid w:val="002A6C21"/>
    <w:rsid w:val="002A780E"/>
    <w:rsid w:val="002B144C"/>
    <w:rsid w:val="002B53F3"/>
    <w:rsid w:val="002C03FD"/>
    <w:rsid w:val="002C044D"/>
    <w:rsid w:val="002C1AA5"/>
    <w:rsid w:val="002C2A46"/>
    <w:rsid w:val="002C3048"/>
    <w:rsid w:val="002C3185"/>
    <w:rsid w:val="002D2992"/>
    <w:rsid w:val="002D37A0"/>
    <w:rsid w:val="002D5AB5"/>
    <w:rsid w:val="002D6667"/>
    <w:rsid w:val="002D79F3"/>
    <w:rsid w:val="002E1C11"/>
    <w:rsid w:val="002E3D0B"/>
    <w:rsid w:val="002E3E7D"/>
    <w:rsid w:val="002E6A8E"/>
    <w:rsid w:val="002F6279"/>
    <w:rsid w:val="003013B7"/>
    <w:rsid w:val="00301993"/>
    <w:rsid w:val="00301E55"/>
    <w:rsid w:val="00303C79"/>
    <w:rsid w:val="003058BC"/>
    <w:rsid w:val="00307397"/>
    <w:rsid w:val="003101EF"/>
    <w:rsid w:val="00312BDD"/>
    <w:rsid w:val="00314117"/>
    <w:rsid w:val="00317EDF"/>
    <w:rsid w:val="00321F09"/>
    <w:rsid w:val="003279E7"/>
    <w:rsid w:val="00327B62"/>
    <w:rsid w:val="00331FE9"/>
    <w:rsid w:val="0033324D"/>
    <w:rsid w:val="00333756"/>
    <w:rsid w:val="00333D0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5CEA"/>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6B54"/>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EB4"/>
    <w:rsid w:val="0044199E"/>
    <w:rsid w:val="0044206D"/>
    <w:rsid w:val="00444803"/>
    <w:rsid w:val="00445696"/>
    <w:rsid w:val="00446E5F"/>
    <w:rsid w:val="00450C4E"/>
    <w:rsid w:val="00455577"/>
    <w:rsid w:val="00456795"/>
    <w:rsid w:val="0046145A"/>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2BB6"/>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2DF4"/>
    <w:rsid w:val="004E5285"/>
    <w:rsid w:val="004F0CF3"/>
    <w:rsid w:val="004F5740"/>
    <w:rsid w:val="004F58C9"/>
    <w:rsid w:val="005028B9"/>
    <w:rsid w:val="00505E17"/>
    <w:rsid w:val="00511A59"/>
    <w:rsid w:val="00511C3B"/>
    <w:rsid w:val="00514440"/>
    <w:rsid w:val="005166C3"/>
    <w:rsid w:val="00520F7C"/>
    <w:rsid w:val="00521998"/>
    <w:rsid w:val="00523974"/>
    <w:rsid w:val="00526E5D"/>
    <w:rsid w:val="00527517"/>
    <w:rsid w:val="00531432"/>
    <w:rsid w:val="00532BC8"/>
    <w:rsid w:val="005333E8"/>
    <w:rsid w:val="00534912"/>
    <w:rsid w:val="005370E7"/>
    <w:rsid w:val="005409B7"/>
    <w:rsid w:val="00545E62"/>
    <w:rsid w:val="00551070"/>
    <w:rsid w:val="00552C8A"/>
    <w:rsid w:val="00555049"/>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2AF4"/>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0C28"/>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1A1B"/>
    <w:rsid w:val="006D6009"/>
    <w:rsid w:val="006D7D41"/>
    <w:rsid w:val="006E0D4B"/>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A4F"/>
    <w:rsid w:val="00723BA1"/>
    <w:rsid w:val="00724A1B"/>
    <w:rsid w:val="0073173E"/>
    <w:rsid w:val="007319C3"/>
    <w:rsid w:val="0073454F"/>
    <w:rsid w:val="007346CC"/>
    <w:rsid w:val="00735C00"/>
    <w:rsid w:val="007364C6"/>
    <w:rsid w:val="00740BF3"/>
    <w:rsid w:val="00741D5C"/>
    <w:rsid w:val="0074352F"/>
    <w:rsid w:val="00747C5E"/>
    <w:rsid w:val="00750210"/>
    <w:rsid w:val="00754B57"/>
    <w:rsid w:val="0075671D"/>
    <w:rsid w:val="0076002F"/>
    <w:rsid w:val="0076038B"/>
    <w:rsid w:val="00761744"/>
    <w:rsid w:val="00761B75"/>
    <w:rsid w:val="00764582"/>
    <w:rsid w:val="00765FA3"/>
    <w:rsid w:val="00766961"/>
    <w:rsid w:val="00766B5A"/>
    <w:rsid w:val="00770C33"/>
    <w:rsid w:val="007741C3"/>
    <w:rsid w:val="007769F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4B36"/>
    <w:rsid w:val="007C5E08"/>
    <w:rsid w:val="007C70AE"/>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17E26"/>
    <w:rsid w:val="008201C3"/>
    <w:rsid w:val="00820422"/>
    <w:rsid w:val="00820655"/>
    <w:rsid w:val="008227D7"/>
    <w:rsid w:val="008249A1"/>
    <w:rsid w:val="00825262"/>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560"/>
    <w:rsid w:val="008B5191"/>
    <w:rsid w:val="008B6D66"/>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049A"/>
    <w:rsid w:val="008F1993"/>
    <w:rsid w:val="008F3386"/>
    <w:rsid w:val="008F3AD9"/>
    <w:rsid w:val="008F4642"/>
    <w:rsid w:val="008F4E00"/>
    <w:rsid w:val="008F761D"/>
    <w:rsid w:val="00900D44"/>
    <w:rsid w:val="00902520"/>
    <w:rsid w:val="00906DC4"/>
    <w:rsid w:val="0091457F"/>
    <w:rsid w:val="0091729E"/>
    <w:rsid w:val="009306DB"/>
    <w:rsid w:val="0093261E"/>
    <w:rsid w:val="0094008E"/>
    <w:rsid w:val="00941C0C"/>
    <w:rsid w:val="009437F2"/>
    <w:rsid w:val="0094528B"/>
    <w:rsid w:val="0094645E"/>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12DD"/>
    <w:rsid w:val="009A5548"/>
    <w:rsid w:val="009B25C1"/>
    <w:rsid w:val="009B7B79"/>
    <w:rsid w:val="009C002F"/>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687"/>
    <w:rsid w:val="00A02199"/>
    <w:rsid w:val="00A026A4"/>
    <w:rsid w:val="00A04044"/>
    <w:rsid w:val="00A11D0C"/>
    <w:rsid w:val="00A16579"/>
    <w:rsid w:val="00A24843"/>
    <w:rsid w:val="00A2690B"/>
    <w:rsid w:val="00A26D48"/>
    <w:rsid w:val="00A31C7C"/>
    <w:rsid w:val="00A31F09"/>
    <w:rsid w:val="00A363F3"/>
    <w:rsid w:val="00A367AA"/>
    <w:rsid w:val="00A378DF"/>
    <w:rsid w:val="00A37AC6"/>
    <w:rsid w:val="00A409C2"/>
    <w:rsid w:val="00A410CC"/>
    <w:rsid w:val="00A42B43"/>
    <w:rsid w:val="00A42BD0"/>
    <w:rsid w:val="00A433DC"/>
    <w:rsid w:val="00A460CD"/>
    <w:rsid w:val="00A50761"/>
    <w:rsid w:val="00A51DF2"/>
    <w:rsid w:val="00A53AF0"/>
    <w:rsid w:val="00A54ED7"/>
    <w:rsid w:val="00A5522F"/>
    <w:rsid w:val="00A61561"/>
    <w:rsid w:val="00A63249"/>
    <w:rsid w:val="00A6691F"/>
    <w:rsid w:val="00A67E6A"/>
    <w:rsid w:val="00A70F49"/>
    <w:rsid w:val="00A72203"/>
    <w:rsid w:val="00A7281F"/>
    <w:rsid w:val="00A73949"/>
    <w:rsid w:val="00A76707"/>
    <w:rsid w:val="00A7697E"/>
    <w:rsid w:val="00A76E20"/>
    <w:rsid w:val="00A8284E"/>
    <w:rsid w:val="00A83058"/>
    <w:rsid w:val="00A83196"/>
    <w:rsid w:val="00A85A24"/>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3C0"/>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D6D"/>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6BA"/>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5D3"/>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1F8E"/>
    <w:rsid w:val="00CF52DF"/>
    <w:rsid w:val="00CF5832"/>
    <w:rsid w:val="00CF5911"/>
    <w:rsid w:val="00CF7221"/>
    <w:rsid w:val="00CF724E"/>
    <w:rsid w:val="00D059F5"/>
    <w:rsid w:val="00D116E3"/>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456"/>
    <w:rsid w:val="00D6553A"/>
    <w:rsid w:val="00D657CA"/>
    <w:rsid w:val="00D73338"/>
    <w:rsid w:val="00D75CFF"/>
    <w:rsid w:val="00D775F3"/>
    <w:rsid w:val="00D77868"/>
    <w:rsid w:val="00D77F25"/>
    <w:rsid w:val="00D84C2A"/>
    <w:rsid w:val="00D9064B"/>
    <w:rsid w:val="00D90D2A"/>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E6056"/>
    <w:rsid w:val="00DF045B"/>
    <w:rsid w:val="00DF1ED8"/>
    <w:rsid w:val="00DF3785"/>
    <w:rsid w:val="00DF3D27"/>
    <w:rsid w:val="00DF5D34"/>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6ADD"/>
    <w:rsid w:val="00E87886"/>
    <w:rsid w:val="00E87CDE"/>
    <w:rsid w:val="00E91FC1"/>
    <w:rsid w:val="00E92D54"/>
    <w:rsid w:val="00E9323C"/>
    <w:rsid w:val="00E95FD8"/>
    <w:rsid w:val="00EA0283"/>
    <w:rsid w:val="00EA125C"/>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6390"/>
    <w:rsid w:val="00F57787"/>
    <w:rsid w:val="00F61E82"/>
    <w:rsid w:val="00F6243A"/>
    <w:rsid w:val="00F63323"/>
    <w:rsid w:val="00F636FE"/>
    <w:rsid w:val="00F648B2"/>
    <w:rsid w:val="00F676F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2F8C"/>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81388307">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A60FD6233C344979E3F31E13A4EA7" ma:contentTypeVersion="16" ma:contentTypeDescription="Create a new document." ma:contentTypeScope="" ma:versionID="040952ebe941fc258cc9a0667c99cc37">
  <xsd:schema xmlns:xsd="http://www.w3.org/2001/XMLSchema" xmlns:xs="http://www.w3.org/2001/XMLSchema" xmlns:p="http://schemas.microsoft.com/office/2006/metadata/properties" xmlns:ns2="5dd7d9a2-19fe-4da7-b1b5-7993cafc840d" xmlns:ns3="bb0f1659-1c03-4c6d-b97d-81a1e8faf705" xmlns:ns4="d8b21993-ce11-4ddf-a65b-24cbd7bc94d0" targetNamespace="http://schemas.microsoft.com/office/2006/metadata/properties" ma:root="true" ma:fieldsID="2220869c9d1361b8adc262e33575f2cf" ns2:_="" ns3:_="" ns4:_="">
    <xsd:import namespace="5dd7d9a2-19fe-4da7-b1b5-7993cafc840d"/>
    <xsd:import namespace="bb0f1659-1c03-4c6d-b97d-81a1e8faf705"/>
    <xsd:import namespace="d8b21993-ce11-4ddf-a65b-24cbd7bc94d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d9a2-19fe-4da7-b1b5-7993cafc8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1659-1c03-4c6d-b97d-81a1e8faf7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796ad-c845-4334-9eb7-2cb8c3c86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b21993-ce11-4ddf-a65b-24cbd7bc94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3443dbb-b4ee-47b0-a9ca-7a0380ebe64c}" ma:internalName="TaxCatchAll" ma:showField="CatchAllData" ma:web="d8b21993-ce11-4ddf-a65b-24cbd7bc9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b21993-ce11-4ddf-a65b-24cbd7bc94d0" xsi:nil="true"/>
    <lcf76f155ced4ddcb4097134ff3c332f xmlns="bb0f1659-1c03-4c6d-b97d-81a1e8faf7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C40A-C008-45A9-AC18-86683302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d9a2-19fe-4da7-b1b5-7993cafc840d"/>
    <ds:schemaRef ds:uri="bb0f1659-1c03-4c6d-b97d-81a1e8faf705"/>
    <ds:schemaRef ds:uri="d8b21993-ce11-4ddf-a65b-24cbd7bc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8b21993-ce11-4ddf-a65b-24cbd7bc94d0"/>
    <ds:schemaRef ds:uri="bb0f1659-1c03-4c6d-b97d-81a1e8faf705"/>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6</Pages>
  <Words>880</Words>
  <Characters>5018</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ECSDA Secretariat</cp:lastModifiedBy>
  <cp:revision>2</cp:revision>
  <cp:lastPrinted>2017-07-24T14:47:00Z</cp:lastPrinted>
  <dcterms:created xsi:type="dcterms:W3CDTF">2022-09-09T14:00:00Z</dcterms:created>
  <dcterms:modified xsi:type="dcterms:W3CDTF">2022-09-09T14:00:00Z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0x010100D97A60FD6233C344979E3F31E13A4EA7</vt:lpwstr>
  </property>
  <property fmtid="{D5CDD505-2E9C-101B-9397-08002B2CF9AE}" pid="5" name="_dlc_DocIdItemGuid">
    <vt:lpwstr>239ee9cf-c8e1-405d-bec2-deb53921b9f5</vt:lpwstr>
  </property>
  <property fmtid="{D5CDD505-2E9C-101B-9397-08002B2CF9AE}" pid="6" name="DocumentType">
    <vt:lpwstr>91;#Consultation Paper|c6238baf-c3d7-4bb8-8cf2-f28a89601f52</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1742;#DLT-Pilot Regime - Guidelines on formats and templates|f78acd68-3d5e-4e06-b58e-530a775b0f28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99e5f92-716e-44d1-9a65-82cabe9dd1e7_Enabled">
    <vt:lpwstr>true</vt:lpwstr>
  </property>
  <property fmtid="{D5CDD505-2E9C-101B-9397-08002B2CF9AE}" pid="22" name="MSIP_Label_e99e5f92-716e-44d1-9a65-82cabe9dd1e7_SetDate">
    <vt:lpwstr>2022-08-16T07:57:01Z</vt:lpwstr>
  </property>
  <property fmtid="{D5CDD505-2E9C-101B-9397-08002B2CF9AE}" pid="23" name="MSIP_Label_e99e5f92-716e-44d1-9a65-82cabe9dd1e7_Method">
    <vt:lpwstr>Standard</vt:lpwstr>
  </property>
  <property fmtid="{D5CDD505-2E9C-101B-9397-08002B2CF9AE}" pid="24" name="MSIP_Label_e99e5f92-716e-44d1-9a65-82cabe9dd1e7_Name">
    <vt:lpwstr>General</vt:lpwstr>
  </property>
  <property fmtid="{D5CDD505-2E9C-101B-9397-08002B2CF9AE}" pid="25" name="MSIP_Label_e99e5f92-716e-44d1-9a65-82cabe9dd1e7_SiteId">
    <vt:lpwstr>282ba4e6-052f-4fa7-bbaa-95b7e4404b3e</vt:lpwstr>
  </property>
  <property fmtid="{D5CDD505-2E9C-101B-9397-08002B2CF9AE}" pid="26" name="MSIP_Label_e99e5f92-716e-44d1-9a65-82cabe9dd1e7_ActionId">
    <vt:lpwstr>fe0b06c1-6fe3-43ba-89ff-652b70cd7aea</vt:lpwstr>
  </property>
  <property fmtid="{D5CDD505-2E9C-101B-9397-08002B2CF9AE}" pid="27" name="MSIP_Label_e99e5f92-716e-44d1-9a65-82cabe9dd1e7_ContentBits">
    <vt:lpwstr>0</vt:lpwstr>
  </property>
  <property fmtid="{D5CDD505-2E9C-101B-9397-08002B2CF9AE}" pid="28" name="MediaServiceImageTags">
    <vt:lpwstr/>
  </property>
</Properties>
</file>