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03B3C" w14:textId="77777777" w:rsidR="00B61576" w:rsidRDefault="00B61576" w:rsidP="008D0BF1">
      <w:pPr>
        <w:rPr>
          <w:lang w:val="en-US"/>
        </w:rPr>
      </w:pPr>
    </w:p>
    <w:p w14:paraId="213F331C" w14:textId="77777777" w:rsidR="00B61576" w:rsidRDefault="00B61576" w:rsidP="008D0BF1">
      <w:pPr>
        <w:rPr>
          <w:lang w:val="en-US"/>
        </w:rPr>
      </w:pPr>
    </w:p>
    <w:p w14:paraId="669B9036" w14:textId="56B71D9E" w:rsidR="00D43F1B" w:rsidRPr="00310258" w:rsidRDefault="00D43F1B" w:rsidP="00583CE5">
      <w:pPr>
        <w:pStyle w:val="IntenseQuote"/>
        <w:rPr>
          <w:rStyle w:val="BookTitle"/>
          <w:b w:val="0"/>
          <w:bCs w:val="0"/>
          <w:i/>
          <w:iCs/>
          <w:color w:val="000000" w:themeColor="text1"/>
          <w:spacing w:val="0"/>
        </w:rPr>
      </w:pPr>
      <w:r w:rsidRPr="00310258">
        <w:rPr>
          <w:rStyle w:val="BookTitle"/>
          <w:b w:val="0"/>
          <w:bCs w:val="0"/>
          <w:i/>
          <w:iCs/>
          <w:color w:val="000000" w:themeColor="text1"/>
          <w:spacing w:val="0"/>
        </w:rPr>
        <w:t>Consultation Response:</w:t>
      </w:r>
    </w:p>
    <w:p w14:paraId="7437928B" w14:textId="4B0A699B" w:rsidR="008B1637" w:rsidRPr="00310258" w:rsidRDefault="00D43F1B" w:rsidP="00583CE5">
      <w:pPr>
        <w:pStyle w:val="IntenseQuote"/>
        <w:rPr>
          <w:color w:val="000000" w:themeColor="text1"/>
        </w:rPr>
      </w:pPr>
      <w:r w:rsidRPr="00310258">
        <w:rPr>
          <w:color w:val="000000" w:themeColor="text1"/>
        </w:rPr>
        <w:t>C</w:t>
      </w:r>
      <w:r w:rsidRPr="00310258">
        <w:rPr>
          <w:color w:val="000000" w:themeColor="text1"/>
        </w:rPr>
        <w:t>ONSULTATION PAPER - AMENDMENT OF ARTICLE 19 OF CSDR RTS ON SETTLEMENT DISCIPLINE</w:t>
      </w:r>
    </w:p>
    <w:p w14:paraId="49409E8F" w14:textId="32613F6B" w:rsidR="00D43F1B" w:rsidRPr="00E15100" w:rsidRDefault="008B1637" w:rsidP="008B1637">
      <w:pPr>
        <w:jc w:val="right"/>
        <w:rPr>
          <w:lang w:val="en-GB"/>
        </w:rPr>
      </w:pPr>
      <w:r>
        <w:rPr>
          <w:lang w:val="en-BE"/>
        </w:rPr>
        <w:tab/>
      </w:r>
      <w:r>
        <w:rPr>
          <w:lang w:val="en-BE"/>
        </w:rPr>
        <w:tab/>
      </w:r>
      <w:r>
        <w:rPr>
          <w:lang w:val="en-BE"/>
        </w:rPr>
        <w:tab/>
      </w:r>
      <w:r w:rsidRPr="00E15100">
        <w:rPr>
          <w:lang w:val="en-BE"/>
        </w:rPr>
        <w:tab/>
      </w:r>
      <w:r w:rsidR="00583CE5" w:rsidRPr="00E15100">
        <w:rPr>
          <w:lang w:val="en-GB"/>
        </w:rPr>
        <w:t>6</w:t>
      </w:r>
      <w:r w:rsidR="00E15100" w:rsidRPr="00E15100">
        <w:rPr>
          <w:vertAlign w:val="superscript"/>
          <w:lang w:val="en-GB"/>
        </w:rPr>
        <w:t>th</w:t>
      </w:r>
      <w:r w:rsidR="00E15100" w:rsidRPr="00E15100">
        <w:rPr>
          <w:lang w:val="en-GB"/>
        </w:rPr>
        <w:t xml:space="preserve"> </w:t>
      </w:r>
      <w:r w:rsidR="00583CE5" w:rsidRPr="00E15100">
        <w:rPr>
          <w:lang w:val="en-GB"/>
        </w:rPr>
        <w:t xml:space="preserve"> September 2022</w:t>
      </w:r>
    </w:p>
    <w:p w14:paraId="1D35482B" w14:textId="77777777" w:rsidR="00D43F1B" w:rsidRDefault="00D43F1B" w:rsidP="008D0BF1">
      <w:pPr>
        <w:rPr>
          <w:lang w:val="en-US"/>
        </w:rPr>
      </w:pPr>
    </w:p>
    <w:p w14:paraId="049ACB60" w14:textId="100F050E" w:rsidR="008D0BF1" w:rsidRDefault="00642B2C" w:rsidP="00583CE5">
      <w:pPr>
        <w:jc w:val="both"/>
        <w:rPr>
          <w:lang w:val="en-US"/>
        </w:rPr>
      </w:pPr>
      <w:r>
        <w:rPr>
          <w:lang w:val="en-US"/>
        </w:rPr>
        <w:t xml:space="preserve">The </w:t>
      </w:r>
      <w:r w:rsidR="00317E8E">
        <w:rPr>
          <w:lang w:val="en-US"/>
        </w:rPr>
        <w:t xml:space="preserve">European Association of Public Banks </w:t>
      </w:r>
      <w:r w:rsidR="008D0BF1">
        <w:rPr>
          <w:lang w:val="en-US"/>
        </w:rPr>
        <w:t>(</w:t>
      </w:r>
      <w:r w:rsidR="00317E8E" w:rsidRPr="008B1637">
        <w:rPr>
          <w:lang w:val="en-US"/>
        </w:rPr>
        <w:t>EAPB</w:t>
      </w:r>
      <w:r w:rsidR="008D0BF1">
        <w:rPr>
          <w:lang w:val="en-US"/>
        </w:rPr>
        <w:t>) welcomes the</w:t>
      </w:r>
      <w:r w:rsidR="008D0BF1" w:rsidRPr="008D0BF1">
        <w:rPr>
          <w:lang w:val="en-US"/>
        </w:rPr>
        <w:t xml:space="preserve"> opportunity to comment on ESMA’s</w:t>
      </w:r>
      <w:r w:rsidR="008D0BF1">
        <w:rPr>
          <w:lang w:val="en-US"/>
        </w:rPr>
        <w:t xml:space="preserve"> </w:t>
      </w:r>
      <w:hyperlink r:id="rId6" w:history="1">
        <w:r w:rsidR="0069234B" w:rsidRPr="00A81D34">
          <w:rPr>
            <w:rStyle w:val="Hyperlink"/>
            <w:lang w:val="en-US"/>
          </w:rPr>
          <w:t>Consultation Paper</w:t>
        </w:r>
      </w:hyperlink>
      <w:r w:rsidR="0069234B">
        <w:rPr>
          <w:lang w:val="en-US"/>
        </w:rPr>
        <w:t xml:space="preserve"> on </w:t>
      </w:r>
      <w:r w:rsidR="00A81D34">
        <w:rPr>
          <w:lang w:val="en-US"/>
        </w:rPr>
        <w:t xml:space="preserve">amending Art. 19 of the </w:t>
      </w:r>
      <w:r w:rsidR="00A81D34" w:rsidRPr="00A81D34">
        <w:rPr>
          <w:lang w:val="en-US"/>
        </w:rPr>
        <w:t>Commission Delegated Regulation 2018/1229.</w:t>
      </w:r>
    </w:p>
    <w:p w14:paraId="0BDF31CB" w14:textId="2308F2B3" w:rsidR="009F3AE4" w:rsidRPr="009F3AE4" w:rsidRDefault="009F3AE4" w:rsidP="00583CE5">
      <w:pPr>
        <w:jc w:val="both"/>
        <w:rPr>
          <w:lang w:val="en-US"/>
        </w:rPr>
      </w:pPr>
      <w:r w:rsidRPr="009F3AE4">
        <w:rPr>
          <w:lang w:val="en-US"/>
        </w:rPr>
        <w:t>The</w:t>
      </w:r>
      <w:r w:rsidR="00642B2C">
        <w:rPr>
          <w:lang w:val="en-US"/>
        </w:rPr>
        <w:t xml:space="preserve"> </w:t>
      </w:r>
      <w:r w:rsidRPr="009F3AE4">
        <w:rPr>
          <w:lang w:val="en-US"/>
        </w:rPr>
        <w:t xml:space="preserve">EAPB is the voice of the European public banking sector. EAPB represents directly and indirectly over 90 financial institutions with overall total assets of over € 3.500 bn and 15% market share of the European financial sector. EAPB members are national and regional promotional banks, municipality funding agencies and public commercial banks across Europe. </w:t>
      </w:r>
    </w:p>
    <w:p w14:paraId="2D48934D" w14:textId="1969D363" w:rsidR="008D0BF1" w:rsidRDefault="00E878E7" w:rsidP="00583CE5">
      <w:pPr>
        <w:jc w:val="both"/>
        <w:rPr>
          <w:lang w:val="en-US"/>
        </w:rPr>
      </w:pPr>
      <w:r>
        <w:rPr>
          <w:lang w:val="en-US"/>
        </w:rPr>
        <w:t xml:space="preserve">The </w:t>
      </w:r>
      <w:r w:rsidR="00317E8E">
        <w:rPr>
          <w:lang w:val="en-US"/>
        </w:rPr>
        <w:t xml:space="preserve">EAPB </w:t>
      </w:r>
      <w:r>
        <w:rPr>
          <w:lang w:val="en-US"/>
        </w:rPr>
        <w:t>support</w:t>
      </w:r>
      <w:r w:rsidR="00317E8E">
        <w:rPr>
          <w:lang w:val="en-US"/>
        </w:rPr>
        <w:t>s</w:t>
      </w:r>
      <w:r>
        <w:rPr>
          <w:lang w:val="en-US"/>
        </w:rPr>
        <w:t xml:space="preserve"> </w:t>
      </w:r>
      <w:r w:rsidR="00317E8E">
        <w:rPr>
          <w:lang w:val="en-US"/>
        </w:rPr>
        <w:t xml:space="preserve">its </w:t>
      </w:r>
      <w:r>
        <w:rPr>
          <w:lang w:val="en-US"/>
        </w:rPr>
        <w:t xml:space="preserve">members in their CSDR implementation efforts. We offer help to </w:t>
      </w:r>
      <w:r w:rsidR="008D0BF1" w:rsidRPr="008D0BF1">
        <w:rPr>
          <w:lang w:val="en-US"/>
        </w:rPr>
        <w:t xml:space="preserve">interpret the regulatory framework specified by ESMA and </w:t>
      </w:r>
      <w:r>
        <w:rPr>
          <w:lang w:val="en-US"/>
        </w:rPr>
        <w:t xml:space="preserve">try to </w:t>
      </w:r>
      <w:r w:rsidR="008D0BF1" w:rsidRPr="008D0BF1">
        <w:rPr>
          <w:lang w:val="en-US"/>
        </w:rPr>
        <w:t>provide additional clarity.</w:t>
      </w:r>
    </w:p>
    <w:p w14:paraId="09128D0C" w14:textId="5B42AC2D" w:rsidR="0069234B" w:rsidRDefault="0069234B" w:rsidP="00583CE5">
      <w:pPr>
        <w:jc w:val="both"/>
        <w:rPr>
          <w:lang w:val="en-US"/>
        </w:rPr>
      </w:pPr>
      <w:r w:rsidRPr="0069234B">
        <w:rPr>
          <w:lang w:val="en-US"/>
        </w:rPr>
        <w:t>We believe that CSDR can be a driver of greater settlement efficiency and improved operational processes, for the ultimate benefit of the end investor.</w:t>
      </w:r>
      <w:r>
        <w:rPr>
          <w:lang w:val="en-US"/>
        </w:rPr>
        <w:t xml:space="preserve"> </w:t>
      </w:r>
      <w:r w:rsidR="00A81D34">
        <w:rPr>
          <w:lang w:val="en-US"/>
        </w:rPr>
        <w:t xml:space="preserve">One measure of the CSDR to address settlement fails are the </w:t>
      </w:r>
      <w:r>
        <w:rPr>
          <w:lang w:val="en-US"/>
        </w:rPr>
        <w:t>cash penalties for failed settlements. We are of the view that this mechanism is a good way to address settlement fails.</w:t>
      </w:r>
    </w:p>
    <w:p w14:paraId="27D428A5" w14:textId="69747BE7" w:rsidR="00A81D34" w:rsidRDefault="00A81D34" w:rsidP="00583CE5">
      <w:pPr>
        <w:jc w:val="both"/>
        <w:rPr>
          <w:lang w:val="en-US"/>
        </w:rPr>
      </w:pPr>
      <w:r>
        <w:rPr>
          <w:lang w:val="en-US"/>
        </w:rPr>
        <w:t xml:space="preserve">We fully concur with </w:t>
      </w:r>
      <w:r w:rsidRPr="00A81D34">
        <w:rPr>
          <w:lang w:val="en-US"/>
        </w:rPr>
        <w:t xml:space="preserve">ESMA’s proposal </w:t>
      </w:r>
      <w:r>
        <w:rPr>
          <w:lang w:val="en-US"/>
        </w:rPr>
        <w:t xml:space="preserve">to remove </w:t>
      </w:r>
      <w:r w:rsidRPr="00A81D34">
        <w:rPr>
          <w:lang w:val="en-US"/>
        </w:rPr>
        <w:t xml:space="preserve">the separate process established in Article 19 of the Commission Delegated Regulation 2018/1229 for the collection and distribution of the cash penalties in relation to settlement fails on cleared transactions </w:t>
      </w:r>
      <w:r>
        <w:rPr>
          <w:lang w:val="en-US"/>
        </w:rPr>
        <w:t xml:space="preserve">and </w:t>
      </w:r>
      <w:r w:rsidRPr="00A81D34">
        <w:rPr>
          <w:lang w:val="en-US"/>
        </w:rPr>
        <w:t>to let the CSDs run the entire process of collection and distribution of penalties according to Article 16, 17 and 18 of the same delegated regulation.</w:t>
      </w:r>
    </w:p>
    <w:p w14:paraId="0DF5FABD" w14:textId="77777777" w:rsidR="00317E8E" w:rsidRDefault="00B16A5E" w:rsidP="00583CE5">
      <w:pPr>
        <w:jc w:val="both"/>
        <w:rPr>
          <w:lang w:val="en-US"/>
        </w:rPr>
      </w:pPr>
      <w:r w:rsidRPr="00B16A5E">
        <w:rPr>
          <w:lang w:val="en-US"/>
        </w:rPr>
        <w:t xml:space="preserve">In our opinion, the </w:t>
      </w:r>
      <w:r w:rsidRPr="00A81D34">
        <w:rPr>
          <w:lang w:val="en-US"/>
        </w:rPr>
        <w:t xml:space="preserve">collection and distribution of penalties </w:t>
      </w:r>
      <w:r>
        <w:rPr>
          <w:lang w:val="en-US"/>
        </w:rPr>
        <w:t xml:space="preserve">for cleared transactions </w:t>
      </w:r>
      <w:r w:rsidRPr="00B16A5E">
        <w:rPr>
          <w:lang w:val="en-US"/>
        </w:rPr>
        <w:t>analogous to the other penalties via the CSD will lead to a more efficient and transparent process</w:t>
      </w:r>
      <w:r>
        <w:rPr>
          <w:lang w:val="en-US"/>
        </w:rPr>
        <w:t xml:space="preserve"> which will, thus, </w:t>
      </w:r>
      <w:r w:rsidRPr="00B16A5E">
        <w:rPr>
          <w:lang w:val="en-US"/>
        </w:rPr>
        <w:t>become significantly leaner.</w:t>
      </w:r>
      <w:r w:rsidR="009F1ADB">
        <w:rPr>
          <w:lang w:val="en-US"/>
        </w:rPr>
        <w:t xml:space="preserve"> </w:t>
      </w:r>
      <w:r w:rsidR="00F233F8">
        <w:rPr>
          <w:lang w:val="en-US"/>
        </w:rPr>
        <w:t>T</w:t>
      </w:r>
      <w:r w:rsidR="00F233F8" w:rsidRPr="00F233F8">
        <w:rPr>
          <w:lang w:val="en-US"/>
        </w:rPr>
        <w:t>he parallel framework increases operational risk and liquidity needs. Interacting with a single entity (the CSD) with regards to the single net amount of cash penalties to be paid or received each month would allow to improve that.</w:t>
      </w:r>
    </w:p>
    <w:p w14:paraId="2CB99B65" w14:textId="3C26E26D" w:rsidR="00A81D34" w:rsidRDefault="0052681B" w:rsidP="00583CE5">
      <w:pPr>
        <w:jc w:val="both"/>
        <w:rPr>
          <w:lang w:val="en-US"/>
        </w:rPr>
      </w:pPr>
      <w:r w:rsidRPr="00310171">
        <w:rPr>
          <w:lang w:val="en-US"/>
        </w:rPr>
        <w:t xml:space="preserve">Example: </w:t>
      </w:r>
      <w:r w:rsidR="00317E8E" w:rsidRPr="00310171">
        <w:rPr>
          <w:lang w:val="en-US"/>
        </w:rPr>
        <w:t xml:space="preserve">Party A receives </w:t>
      </w:r>
      <w:r w:rsidRPr="00310171">
        <w:rPr>
          <w:lang w:val="en-US"/>
        </w:rPr>
        <w:t>securities from a cleared transaction and deliver</w:t>
      </w:r>
      <w:r w:rsidR="00317E8E" w:rsidRPr="00310171">
        <w:rPr>
          <w:lang w:val="en-US"/>
        </w:rPr>
        <w:t xml:space="preserve">s it onward to Party B in a </w:t>
      </w:r>
      <w:r w:rsidRPr="00310171">
        <w:rPr>
          <w:lang w:val="en-US"/>
        </w:rPr>
        <w:t xml:space="preserve">bilateral transaction. If the CCP's delivery fails, </w:t>
      </w:r>
      <w:r w:rsidR="00317E8E" w:rsidRPr="00310171">
        <w:rPr>
          <w:lang w:val="en-US"/>
        </w:rPr>
        <w:t>the delivery to Party B cannot be fulfilled by Party A. Currently</w:t>
      </w:r>
      <w:r w:rsidR="00310171" w:rsidRPr="00310171">
        <w:rPr>
          <w:lang w:val="en-US"/>
        </w:rPr>
        <w:t xml:space="preserve">, the </w:t>
      </w:r>
      <w:r w:rsidRPr="00310171">
        <w:rPr>
          <w:lang w:val="en-US"/>
        </w:rPr>
        <w:t xml:space="preserve">debit is made at the CSD level. A possible credit note is made separately via the CCP. Cash is to be acquired at the CSD level and an incoming payment is to be monitored at the CCP level. In the new process, there would most likely be a net penalty of zero. Advantage: no money transfers have to be executed and control processes are </w:t>
      </w:r>
      <w:r w:rsidR="00642B2C" w:rsidRPr="00310171">
        <w:rPr>
          <w:lang w:val="en-US"/>
        </w:rPr>
        <w:t>minimized</w:t>
      </w:r>
      <w:r w:rsidRPr="00310171">
        <w:rPr>
          <w:lang w:val="en-US"/>
        </w:rPr>
        <w:t>.</w:t>
      </w:r>
    </w:p>
    <w:p w14:paraId="3AC93CA0" w14:textId="50D1981D" w:rsidR="00E15100" w:rsidRDefault="00E15100" w:rsidP="00583CE5">
      <w:pPr>
        <w:jc w:val="both"/>
        <w:rPr>
          <w:lang w:val="en-US"/>
        </w:rPr>
      </w:pPr>
    </w:p>
    <w:p w14:paraId="13C5770A" w14:textId="77777777" w:rsidR="00E15100" w:rsidRPr="00310171" w:rsidRDefault="00E15100" w:rsidP="00583CE5">
      <w:pPr>
        <w:jc w:val="both"/>
        <w:rPr>
          <w:lang w:val="en-US"/>
        </w:rPr>
      </w:pPr>
    </w:p>
    <w:p w14:paraId="2579D9C6" w14:textId="77777777" w:rsidR="00E15100" w:rsidRDefault="00E15100" w:rsidP="00583CE5">
      <w:pPr>
        <w:jc w:val="both"/>
        <w:rPr>
          <w:lang w:val="en-US"/>
        </w:rPr>
      </w:pPr>
    </w:p>
    <w:p w14:paraId="4E7C1408" w14:textId="197480B2" w:rsidR="00F233F8" w:rsidRDefault="00F233F8" w:rsidP="00583CE5">
      <w:pPr>
        <w:jc w:val="both"/>
        <w:rPr>
          <w:lang w:val="en-US"/>
        </w:rPr>
      </w:pPr>
      <w:r w:rsidRPr="00F233F8">
        <w:rPr>
          <w:lang w:val="en-US"/>
        </w:rPr>
        <w:t>Please do not hesitate to r</w:t>
      </w:r>
      <w:r>
        <w:rPr>
          <w:lang w:val="en-US"/>
        </w:rPr>
        <w:t>evert in case of any queries. We remain at your disposal.</w:t>
      </w:r>
    </w:p>
    <w:p w14:paraId="114B7378" w14:textId="16998E6D" w:rsidR="00310258" w:rsidRDefault="00310258" w:rsidP="00583CE5">
      <w:pPr>
        <w:jc w:val="both"/>
        <w:rPr>
          <w:lang w:val="en-US"/>
        </w:rPr>
      </w:pPr>
    </w:p>
    <w:p w14:paraId="1BF9982F" w14:textId="15A99AFA" w:rsidR="00310258" w:rsidRPr="00780ED7" w:rsidRDefault="00310258" w:rsidP="00583CE5">
      <w:pPr>
        <w:jc w:val="both"/>
        <w:rPr>
          <w:b/>
          <w:bCs/>
          <w:u w:val="single"/>
          <w:lang w:val="en-US"/>
        </w:rPr>
      </w:pPr>
      <w:r w:rsidRPr="00780ED7">
        <w:rPr>
          <w:b/>
          <w:bCs/>
          <w:u w:val="single"/>
          <w:lang w:val="en-US"/>
        </w:rPr>
        <w:t>EAPB Contacts</w:t>
      </w:r>
    </w:p>
    <w:p w14:paraId="1D11B5D0" w14:textId="0CC82A2F" w:rsidR="00682647" w:rsidRPr="009C20EB" w:rsidRDefault="00682647" w:rsidP="00682647">
      <w:pPr>
        <w:autoSpaceDE w:val="0"/>
        <w:autoSpaceDN w:val="0"/>
        <w:spacing w:after="30"/>
        <w:rPr>
          <w:b/>
          <w:bCs/>
          <w:color w:val="000000"/>
          <w:lang w:eastAsia="en-BE"/>
        </w:rPr>
      </w:pPr>
      <w:r w:rsidRPr="009C20EB">
        <w:rPr>
          <w:b/>
          <w:bCs/>
          <w:color w:val="000000"/>
          <w:lang w:eastAsia="en-BE"/>
        </w:rPr>
        <w:t>Mahesh Daswani Khiani</w:t>
      </w:r>
      <w:r w:rsidR="00767B74" w:rsidRPr="009C20EB">
        <w:rPr>
          <w:b/>
          <w:bCs/>
          <w:color w:val="000000"/>
          <w:lang w:eastAsia="en-BE"/>
        </w:rPr>
        <w:tab/>
      </w:r>
      <w:r w:rsidR="00767B74" w:rsidRPr="009C20EB">
        <w:rPr>
          <w:b/>
          <w:bCs/>
          <w:color w:val="000000"/>
          <w:lang w:eastAsia="en-BE"/>
        </w:rPr>
        <w:tab/>
      </w:r>
      <w:r w:rsidR="00767B74" w:rsidRPr="009C20EB">
        <w:rPr>
          <w:b/>
          <w:bCs/>
          <w:color w:val="000000"/>
          <w:lang w:eastAsia="en-BE"/>
        </w:rPr>
        <w:tab/>
      </w:r>
      <w:r w:rsidR="00767B74" w:rsidRPr="009C20EB">
        <w:rPr>
          <w:b/>
          <w:bCs/>
          <w:color w:val="000000"/>
          <w:lang w:eastAsia="en-BE"/>
        </w:rPr>
        <w:tab/>
      </w:r>
    </w:p>
    <w:p w14:paraId="1F496A2B" w14:textId="7606F635" w:rsidR="00682647" w:rsidRPr="00780ED7" w:rsidRDefault="00682647" w:rsidP="00682647">
      <w:pPr>
        <w:autoSpaceDE w:val="0"/>
        <w:autoSpaceDN w:val="0"/>
        <w:spacing w:after="30"/>
        <w:rPr>
          <w:rFonts w:ascii="Calibri" w:hAnsi="Calibri" w:cs="Calibri"/>
          <w:color w:val="000000"/>
          <w:lang w:eastAsia="en-BE"/>
        </w:rPr>
      </w:pPr>
      <w:hyperlink r:id="rId7" w:history="1">
        <w:r w:rsidRPr="00780ED7">
          <w:rPr>
            <w:rStyle w:val="Hyperlink"/>
            <w:lang w:eastAsia="en-BE"/>
          </w:rPr>
          <w:t>Mahesh.daswani@eapb.eu</w:t>
        </w:r>
      </w:hyperlink>
      <w:r w:rsidR="00A962A3" w:rsidRPr="00B16254">
        <w:rPr>
          <w:color w:val="000000"/>
          <w:lang w:eastAsia="en-BE"/>
        </w:rPr>
        <w:tab/>
      </w:r>
      <w:r w:rsidR="00A962A3" w:rsidRPr="00B16254">
        <w:rPr>
          <w:color w:val="000000"/>
          <w:lang w:eastAsia="en-BE"/>
        </w:rPr>
        <w:tab/>
      </w:r>
      <w:r w:rsidR="00A962A3" w:rsidRPr="00B16254">
        <w:rPr>
          <w:color w:val="000000"/>
          <w:lang w:eastAsia="en-BE"/>
        </w:rPr>
        <w:tab/>
      </w:r>
      <w:r w:rsidR="00A962A3" w:rsidRPr="00B16254">
        <w:rPr>
          <w:color w:val="000000"/>
          <w:lang w:eastAsia="en-BE"/>
        </w:rPr>
        <w:tab/>
      </w:r>
    </w:p>
    <w:p w14:paraId="2CD753A0" w14:textId="77777777" w:rsidR="00682647" w:rsidRPr="00B16254" w:rsidRDefault="00682647" w:rsidP="00682647">
      <w:pPr>
        <w:autoSpaceDE w:val="0"/>
        <w:autoSpaceDN w:val="0"/>
        <w:spacing w:after="30"/>
        <w:rPr>
          <w:rFonts w:ascii="Arial" w:hAnsi="Arial" w:cs="Arial"/>
          <w:sz w:val="20"/>
          <w:szCs w:val="20"/>
          <w:lang w:eastAsia="en-BE"/>
        </w:rPr>
      </w:pPr>
      <w:r w:rsidRPr="00B16254">
        <w:rPr>
          <w:color w:val="000000"/>
          <w:lang w:eastAsia="en-BE"/>
        </w:rPr>
        <w:t xml:space="preserve">Tel. </w:t>
      </w:r>
      <w:r w:rsidRPr="00B16254">
        <w:rPr>
          <w:rFonts w:ascii="Arial" w:hAnsi="Arial" w:cs="Arial"/>
          <w:sz w:val="20"/>
          <w:szCs w:val="20"/>
          <w:lang w:eastAsia="en-BE"/>
        </w:rPr>
        <w:t xml:space="preserve">+32 2 898 30 03 </w:t>
      </w:r>
    </w:p>
    <w:p w14:paraId="5BAFEB14" w14:textId="77777777" w:rsidR="00682647" w:rsidRDefault="00682647" w:rsidP="00682647">
      <w:pPr>
        <w:spacing w:after="30"/>
        <w:rPr>
          <w:rFonts w:ascii="Arial" w:hAnsi="Arial" w:cs="Arial"/>
          <w:sz w:val="20"/>
          <w:szCs w:val="20"/>
          <w:lang w:eastAsia="en-BE"/>
        </w:rPr>
      </w:pPr>
      <w:r>
        <w:rPr>
          <w:rFonts w:ascii="Arial" w:hAnsi="Arial" w:cs="Arial"/>
          <w:sz w:val="20"/>
          <w:szCs w:val="20"/>
          <w:lang w:eastAsia="en-BE"/>
        </w:rPr>
        <w:t xml:space="preserve">Mobile. +32 </w:t>
      </w:r>
      <w:r>
        <w:rPr>
          <w:rFonts w:ascii="Arial" w:hAnsi="Arial" w:cs="Arial"/>
          <w:color w:val="000000"/>
          <w:sz w:val="20"/>
          <w:szCs w:val="20"/>
          <w:lang w:eastAsia="en-BE"/>
        </w:rPr>
        <w:t>(0) 490 442 079</w:t>
      </w:r>
    </w:p>
    <w:p w14:paraId="381B06E9" w14:textId="57E02AF9" w:rsidR="00310258" w:rsidRDefault="00310258" w:rsidP="00583CE5">
      <w:pPr>
        <w:jc w:val="both"/>
        <w:rPr>
          <w:lang w:val="en-US"/>
        </w:rPr>
      </w:pPr>
    </w:p>
    <w:p w14:paraId="2AFC83DF" w14:textId="77777777" w:rsidR="00F233F8" w:rsidRPr="00F233F8" w:rsidRDefault="00F233F8" w:rsidP="00583CE5">
      <w:pPr>
        <w:jc w:val="both"/>
        <w:rPr>
          <w:lang w:val="en-US"/>
        </w:rPr>
      </w:pPr>
    </w:p>
    <w:sectPr w:rsidR="00F233F8" w:rsidRPr="00F233F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82A8" w14:textId="77777777" w:rsidR="00B61E67" w:rsidRDefault="00B61E67" w:rsidP="00B66729">
      <w:pPr>
        <w:spacing w:after="0" w:line="240" w:lineRule="auto"/>
      </w:pPr>
      <w:r>
        <w:separator/>
      </w:r>
    </w:p>
  </w:endnote>
  <w:endnote w:type="continuationSeparator" w:id="0">
    <w:p w14:paraId="43AF63BE" w14:textId="77777777" w:rsidR="00B61E67" w:rsidRDefault="00B61E67" w:rsidP="00B6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B671" w14:textId="77777777" w:rsidR="00B61E67" w:rsidRDefault="00B61E67" w:rsidP="00B66729">
      <w:pPr>
        <w:spacing w:after="0" w:line="240" w:lineRule="auto"/>
      </w:pPr>
      <w:r>
        <w:separator/>
      </w:r>
    </w:p>
  </w:footnote>
  <w:footnote w:type="continuationSeparator" w:id="0">
    <w:p w14:paraId="068250A4" w14:textId="77777777" w:rsidR="00B61E67" w:rsidRDefault="00B61E67" w:rsidP="00B6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603B" w14:textId="2D8AE6E4" w:rsidR="00B66729" w:rsidRDefault="00B16254">
    <w:pPr>
      <w:pStyle w:val="Header"/>
    </w:pPr>
    <w:r>
      <w:rPr>
        <w:noProof/>
      </w:rPr>
      <w:pict w14:anchorId="0F576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pt;height:842pt;z-index:-251658752;mso-wrap-edited:f;mso-position-horizontal:center;mso-position-horizontal-relative:margin;mso-position-vertical:center;mso-position-vertical-relative:margin" wrapcoords="1470 865 1198 980 1144 1019 1470 1173 1171 1269 1171 1461 1470 1481 1470 1596 7354 1769 10786 1788 10786 19638 1198 19772 1198 19830 10786 19945 7190 20061 6918 20080 7381 20253 3677 20330 3186 20349 3186 20542 17595 20542 18385 20542 18358 20349 14572 20253 14654 20080 14027 20042 10786 19945 20374 19830 20374 19772 10786 19638 10786 1788 16533 1654 18059 1596 17950 1481 17977 1173 18059 884 16969 865 5066 865 1470 865">
          <v:imagedata r:id="rId1" o:title="Headline pap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F1"/>
    <w:rsid w:val="00310171"/>
    <w:rsid w:val="00310258"/>
    <w:rsid w:val="00317E8E"/>
    <w:rsid w:val="0052681B"/>
    <w:rsid w:val="00583CE5"/>
    <w:rsid w:val="00642B2C"/>
    <w:rsid w:val="00682647"/>
    <w:rsid w:val="0069234B"/>
    <w:rsid w:val="00767B74"/>
    <w:rsid w:val="00780ED7"/>
    <w:rsid w:val="00860ACA"/>
    <w:rsid w:val="008B1637"/>
    <w:rsid w:val="008D0BF1"/>
    <w:rsid w:val="00992CB5"/>
    <w:rsid w:val="009C20EB"/>
    <w:rsid w:val="009F1ADB"/>
    <w:rsid w:val="009F3AE4"/>
    <w:rsid w:val="00A81D34"/>
    <w:rsid w:val="00A962A3"/>
    <w:rsid w:val="00B16254"/>
    <w:rsid w:val="00B16A5E"/>
    <w:rsid w:val="00B61576"/>
    <w:rsid w:val="00B61E67"/>
    <w:rsid w:val="00B66729"/>
    <w:rsid w:val="00C81035"/>
    <w:rsid w:val="00D43F1B"/>
    <w:rsid w:val="00D90937"/>
    <w:rsid w:val="00E15100"/>
    <w:rsid w:val="00E878E7"/>
    <w:rsid w:val="00ED1CF7"/>
    <w:rsid w:val="00F233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42BBF"/>
  <w15:chartTrackingRefBased/>
  <w15:docId w15:val="{A60FF8C9-93A7-416A-9B0F-E74E8E88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3F1B"/>
    <w:pPr>
      <w:spacing w:before="100" w:beforeAutospacing="1" w:after="100" w:afterAutospacing="1" w:line="240" w:lineRule="auto"/>
      <w:outlineLvl w:val="1"/>
    </w:pPr>
    <w:rPr>
      <w:rFonts w:ascii="Times New Roman" w:eastAsia="Times New Roman" w:hAnsi="Times New Roman" w:cs="Times New Roman"/>
      <w:b/>
      <w:bCs/>
      <w:sz w:val="36"/>
      <w:szCs w:val="36"/>
      <w:lang w:val="en-BE" w:eastAsia="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4B"/>
    <w:rPr>
      <w:color w:val="0563C1" w:themeColor="hyperlink"/>
      <w:u w:val="single"/>
    </w:rPr>
  </w:style>
  <w:style w:type="character" w:customStyle="1" w:styleId="NichtaufgelsteErwhnung1">
    <w:name w:val="Nicht aufgelöste Erwähnung1"/>
    <w:basedOn w:val="DefaultParagraphFont"/>
    <w:uiPriority w:val="99"/>
    <w:semiHidden/>
    <w:unhideWhenUsed/>
    <w:rsid w:val="0069234B"/>
    <w:rPr>
      <w:color w:val="605E5C"/>
      <w:shd w:val="clear" w:color="auto" w:fill="E1DFDD"/>
    </w:rPr>
  </w:style>
  <w:style w:type="paragraph" w:styleId="Header">
    <w:name w:val="header"/>
    <w:basedOn w:val="Normal"/>
    <w:link w:val="HeaderChar"/>
    <w:uiPriority w:val="99"/>
    <w:unhideWhenUsed/>
    <w:rsid w:val="00B6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29"/>
  </w:style>
  <w:style w:type="paragraph" w:styleId="Footer">
    <w:name w:val="footer"/>
    <w:basedOn w:val="Normal"/>
    <w:link w:val="FooterChar"/>
    <w:uiPriority w:val="99"/>
    <w:unhideWhenUsed/>
    <w:rsid w:val="00B66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29"/>
  </w:style>
  <w:style w:type="character" w:customStyle="1" w:styleId="Heading2Char">
    <w:name w:val="Heading 2 Char"/>
    <w:basedOn w:val="DefaultParagraphFont"/>
    <w:link w:val="Heading2"/>
    <w:uiPriority w:val="9"/>
    <w:rsid w:val="00D43F1B"/>
    <w:rPr>
      <w:rFonts w:ascii="Times New Roman" w:eastAsia="Times New Roman" w:hAnsi="Times New Roman" w:cs="Times New Roman"/>
      <w:b/>
      <w:bCs/>
      <w:sz w:val="36"/>
      <w:szCs w:val="36"/>
      <w:lang w:val="en-BE" w:eastAsia="en-BE"/>
    </w:rPr>
  </w:style>
  <w:style w:type="character" w:styleId="BookTitle">
    <w:name w:val="Book Title"/>
    <w:basedOn w:val="DefaultParagraphFont"/>
    <w:uiPriority w:val="33"/>
    <w:qFormat/>
    <w:rsid w:val="00D43F1B"/>
    <w:rPr>
      <w:b/>
      <w:bCs/>
      <w:i/>
      <w:iCs/>
      <w:spacing w:val="5"/>
    </w:rPr>
  </w:style>
  <w:style w:type="paragraph" w:styleId="IntenseQuote">
    <w:name w:val="Intense Quote"/>
    <w:basedOn w:val="Normal"/>
    <w:next w:val="Normal"/>
    <w:link w:val="IntenseQuoteChar"/>
    <w:uiPriority w:val="30"/>
    <w:qFormat/>
    <w:rsid w:val="00D43F1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3F1B"/>
    <w:rPr>
      <w:i/>
      <w:iCs/>
      <w:color w:val="4472C4" w:themeColor="accent1"/>
    </w:rPr>
  </w:style>
  <w:style w:type="character" w:styleId="UnresolvedMention">
    <w:name w:val="Unresolved Mention"/>
    <w:basedOn w:val="DefaultParagraphFont"/>
    <w:uiPriority w:val="99"/>
    <w:semiHidden/>
    <w:unhideWhenUsed/>
    <w:rsid w:val="00A96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56945">
      <w:bodyDiv w:val="1"/>
      <w:marLeft w:val="0"/>
      <w:marRight w:val="0"/>
      <w:marTop w:val="0"/>
      <w:marBottom w:val="0"/>
      <w:divBdr>
        <w:top w:val="none" w:sz="0" w:space="0" w:color="auto"/>
        <w:left w:val="none" w:sz="0" w:space="0" w:color="auto"/>
        <w:bottom w:val="none" w:sz="0" w:space="0" w:color="auto"/>
        <w:right w:val="none" w:sz="0" w:space="0" w:color="auto"/>
      </w:divBdr>
    </w:div>
    <w:div w:id="10369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hesh.daswani@eapb.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ma.europa.eu/sites/default/files/library/esma70-450-1173_consultation_paper_-_amendment_of_article_19_of_csdr_rts_on_settlement_disciplin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457</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Sarah</dc:creator>
  <cp:keywords/>
  <dc:description/>
  <cp:lastModifiedBy>Mahesh Daswani</cp:lastModifiedBy>
  <cp:revision>18</cp:revision>
  <dcterms:created xsi:type="dcterms:W3CDTF">2022-09-06T09:34:00Z</dcterms:created>
  <dcterms:modified xsi:type="dcterms:W3CDTF">2022-09-06T11:31:00Z</dcterms:modified>
</cp:coreProperties>
</file>