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en-US"/>
        </w:rPr>
        <w:t>&lt;ESMA_QUESTION_SETD_1&gt;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de-DE"/>
        </w:rPr>
        <w:t>TYPE YOUR TEXT HERE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en-US"/>
        </w:rPr>
        <w:t>&lt;ESMA_QUESTION_SETD_1&gt;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As a market participant,I do not support removing the special process of collection, distribution of penalties. Cash penalties became a cost of business for many businesses running on daily FTD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s (Failure to deliver) that market participants expected to receive. Removing penalties is like allowing the seller not to deliver goods paid by a market participant. Not being able to meet one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s trading obligations and getting no penalty for that is a terrible idea. For more data, look at what happened in 2008 where FTD</w:t>
      </w:r>
      <w:r>
        <w:rPr>
          <w:rStyle w:val="Aucun"/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s increased.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en-US"/>
        </w:rPr>
        <w:t>&lt;ESMA_QUESTION_SETD_2&gt;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de-DE"/>
        </w:rPr>
        <w:t>TYPE YOUR TEXT HERE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en-US"/>
        </w:rPr>
        <w:t>&lt;ESMA_QUESTION_SETD_2&gt;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As a market participant I do not support amending Article 19 of the CDR on Settlement Discipline as suggested in Annex IV.  As stated in the Consultation Paper: Preliminary discussions with market participants showed that imbalances may appear when the delivery of the securities by a clearing member to the CSD cut-off time for the Delivery versus Payment (DvP) settlement instructions. In short the time CCP and CSD have is long, but they still often fail to deliver a share in a timely manner.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en-US"/>
        </w:rPr>
        <w:t>&lt;ESMA_QUESTION_SETD_3&gt;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de-DE"/>
        </w:rPr>
        <w:t>TYPE YOUR TEXT HERE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en-US"/>
        </w:rPr>
        <w:t>&lt;ESMA_QUESTION_SETD_3&gt;</w:t>
      </w:r>
    </w:p>
    <w:p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tl w:val="0"/>
        </w:rPr>
      </w:pPr>
      <w:r>
        <w:rPr>
          <w:rStyle w:val="Aucun"/>
          <w:rFonts w:ascii="Times New Roman" w:hAnsi="Times New Roman"/>
          <w:sz w:val="24"/>
          <w:szCs w:val="24"/>
          <w:u w:color="000000"/>
          <w:rtl w:val="0"/>
          <w:lang w:val="fr-FR"/>
        </w:rPr>
        <w:t>As a market participant I do not support delaying the application of the envisaged amendment by six months after the publication of the amending RTS in the official journal of the EU.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