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726BC0">
            <w:trPr>
              <w:trHeight w:hRule="exact" w:val="1418"/>
            </w:trPr>
            <w:tc>
              <w:tcPr>
                <w:tcW w:w="10490" w:type="dxa"/>
                <w:vAlign w:val="bottom"/>
              </w:tcPr>
              <w:p w14:paraId="74780417" w14:textId="1B972DAD" w:rsidR="002427D5" w:rsidRPr="00E3664A" w:rsidRDefault="002427D5" w:rsidP="00036C28">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Response Form to the Consultation Paper</w:t>
                </w:r>
              </w:p>
            </w:tc>
          </w:tr>
          <w:tr w:rsidR="002427D5" w:rsidRPr="00E3664A" w14:paraId="3833DCFA" w14:textId="77777777" w:rsidTr="000570AB">
            <w:trPr>
              <w:trHeight w:hRule="exact" w:val="1344"/>
            </w:trPr>
            <w:tc>
              <w:tcPr>
                <w:tcW w:w="10490" w:type="dxa"/>
                <w:tcMar>
                  <w:top w:w="142" w:type="dxa"/>
                </w:tcMar>
              </w:tcPr>
              <w:p w14:paraId="6891B0AD" w14:textId="58DCF6B4" w:rsidR="002427D5" w:rsidRPr="00E3664A" w:rsidRDefault="00896229" w:rsidP="00896229">
                <w:pPr>
                  <w:pStyle w:val="Heading2"/>
                  <w:numPr>
                    <w:ilvl w:val="0"/>
                    <w:numId w:val="0"/>
                  </w:numPr>
                  <w:rPr>
                    <w:rFonts w:ascii="Arial" w:hAnsi="Arial" w:cs="Arial"/>
                  </w:rPr>
                </w:pPr>
                <w:r w:rsidRPr="00896229">
                  <w:rPr>
                    <w:rFonts w:ascii="Arial" w:hAnsi="Arial" w:cs="Arial"/>
                    <w:lang w:eastAsia="en-US"/>
                  </w:rPr>
                  <w:t>Draft Guidelines on the types and content of the provisions of</w:t>
                </w:r>
                <w:r>
                  <w:rPr>
                    <w:rFonts w:ascii="Arial" w:hAnsi="Arial" w:cs="Arial"/>
                    <w:lang w:eastAsia="en-US"/>
                  </w:rPr>
                  <w:t xml:space="preserve"> </w:t>
                </w:r>
                <w:r w:rsidRPr="00896229">
                  <w:rPr>
                    <w:rFonts w:ascii="Arial" w:hAnsi="Arial" w:cs="Arial"/>
                    <w:lang w:eastAsia="en-US"/>
                  </w:rPr>
                  <w:t xml:space="preserve">Cooperation Arrangements (Article 79 of CCPRRR) </w:t>
                </w: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036C28">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27B6E7D4"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ESMA invites comments on all matters in this consultation paper.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25BF5F78"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00726BC0">
            <w:rPr>
              <w:rFonts w:ascii="Arial" w:eastAsiaTheme="minorEastAsia" w:hAnsi="Arial" w:cs="Arial"/>
              <w:b/>
              <w:szCs w:val="20"/>
            </w:rPr>
            <w:t>1 August 2022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715D3E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1C0A4F">
            <w:rPr>
              <w:rFonts w:ascii="Arial" w:eastAsiaTheme="minorEastAsia" w:hAnsi="Arial" w:cs="Arial"/>
              <w:szCs w:val="20"/>
              <w:lang w:eastAsia="en-US"/>
            </w:rPr>
            <w:t>CA79</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55CD3ACC"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1C0A4F">
            <w:rPr>
              <w:rFonts w:ascii="Arial" w:eastAsiaTheme="minorEastAsia" w:hAnsi="Arial" w:cs="Arial"/>
              <w:szCs w:val="20"/>
              <w:lang w:eastAsia="en-US"/>
            </w:rPr>
            <w:t>CA79</w:t>
          </w:r>
          <w:r w:rsidRPr="00E3664A">
            <w:rPr>
              <w:rFonts w:ascii="Arial" w:eastAsiaTheme="minorEastAsia" w:hAnsi="Arial" w:cs="Arial"/>
              <w:szCs w:val="20"/>
              <w:lang w:eastAsia="en-US"/>
            </w:rPr>
            <w:t>_nameofrespondent_RESPONSEFORM. For example, for a respondent named ABCD, the response form would be entitled ESMA_</w:t>
          </w:r>
          <w:r w:rsidR="001C0A4F">
            <w:rPr>
              <w:rFonts w:ascii="Arial" w:eastAsiaTheme="minorEastAsia" w:hAnsi="Arial" w:cs="Arial"/>
              <w:szCs w:val="20"/>
              <w:lang w:eastAsia="en-US"/>
            </w:rPr>
            <w:t>CA79</w:t>
          </w:r>
          <w:r w:rsidRPr="00E3664A">
            <w:rPr>
              <w:rFonts w:ascii="Arial" w:eastAsiaTheme="minorEastAsia" w:hAnsi="Arial" w:cs="Arial"/>
              <w:szCs w:val="20"/>
              <w:lang w:eastAsia="en-US"/>
            </w:rPr>
            <w:t>_ABCD_RESPONSEFORM.</w:t>
          </w:r>
        </w:p>
        <w:p w14:paraId="11889093" w14:textId="1EB5EC1A"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w:t>
          </w:r>
          <w:r w:rsidR="001C0A4F" w:rsidRPr="00896229">
            <w:rPr>
              <w:rFonts w:ascii="Arial" w:hAnsi="Arial" w:cs="Arial"/>
              <w:lang w:eastAsia="en-US"/>
            </w:rPr>
            <w:t>the types and content of the provisions of</w:t>
          </w:r>
          <w:r w:rsidR="001C0A4F">
            <w:rPr>
              <w:rFonts w:ascii="Arial" w:hAnsi="Arial" w:cs="Arial"/>
              <w:lang w:eastAsia="en-US"/>
            </w:rPr>
            <w:t xml:space="preserve"> </w:t>
          </w:r>
          <w:r w:rsidR="001C0A4F" w:rsidRPr="00896229">
            <w:rPr>
              <w:rFonts w:ascii="Arial" w:hAnsi="Arial" w:cs="Arial"/>
              <w:lang w:eastAsia="en-US"/>
            </w:rPr>
            <w:t>Cooperation Arrangements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036C28">
        <w:tc>
          <w:tcPr>
            <w:tcW w:w="3929" w:type="dxa"/>
            <w:shd w:val="clear" w:color="auto" w:fill="auto"/>
          </w:tcPr>
          <w:p w14:paraId="1512B1A0" w14:textId="77777777" w:rsidR="002427D5" w:rsidRPr="00E3664A" w:rsidRDefault="002427D5" w:rsidP="00036C28">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3A705CB8" w:rsidR="002427D5" w:rsidRPr="00E3664A" w:rsidRDefault="006424D1" w:rsidP="00036C28">
                <w:pPr>
                  <w:rPr>
                    <w:rFonts w:ascii="Arial" w:hAnsi="Arial" w:cs="Arial"/>
                    <w:color w:val="808080"/>
                    <w:sz w:val="20"/>
                    <w:lang w:eastAsia="de-DE"/>
                  </w:rPr>
                </w:pPr>
                <w:r>
                  <w:rPr>
                    <w:rFonts w:ascii="Arial" w:hAnsi="Arial" w:cs="Arial"/>
                    <w:color w:val="808080"/>
                    <w:sz w:val="20"/>
                    <w:lang w:eastAsia="de-DE"/>
                  </w:rPr>
                  <w:t>Futures Industry Association and International Swaps and Derivatives Association</w:t>
                </w:r>
              </w:p>
            </w:tc>
          </w:sdtContent>
        </w:sdt>
      </w:tr>
      <w:tr w:rsidR="002427D5" w:rsidRPr="00E3664A" w14:paraId="18CDC0C0" w14:textId="77777777" w:rsidTr="00036C28">
        <w:tc>
          <w:tcPr>
            <w:tcW w:w="3929" w:type="dxa"/>
            <w:shd w:val="clear" w:color="auto" w:fill="auto"/>
          </w:tcPr>
          <w:p w14:paraId="1640145C" w14:textId="77777777" w:rsidR="002427D5" w:rsidRPr="00E3664A" w:rsidRDefault="002427D5" w:rsidP="00036C28">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2B146914" w:rsidR="002427D5" w:rsidRPr="00E3664A" w:rsidRDefault="00052ABA" w:rsidP="00036C28">
            <w:pPr>
              <w:rPr>
                <w:rFonts w:ascii="Arial" w:hAnsi="Arial" w:cs="Arial"/>
                <w:sz w:val="20"/>
                <w:lang w:eastAsia="de-DE"/>
              </w:rPr>
            </w:pPr>
            <w:r>
              <w:rPr>
                <w:rFonts w:ascii="Arial" w:hAnsi="Arial" w:cs="Arial"/>
                <w:sz w:val="20"/>
                <w:lang w:eastAsia="de-DE"/>
              </w:rPr>
              <w:t>Banking Sector</w:t>
            </w:r>
          </w:p>
        </w:tc>
      </w:tr>
      <w:tr w:rsidR="002427D5" w:rsidRPr="00E3664A" w14:paraId="639EA6F7" w14:textId="77777777" w:rsidTr="00036C28">
        <w:tc>
          <w:tcPr>
            <w:tcW w:w="3929" w:type="dxa"/>
            <w:shd w:val="clear" w:color="auto" w:fill="auto"/>
          </w:tcPr>
          <w:p w14:paraId="2868473D" w14:textId="77777777" w:rsidR="002427D5" w:rsidRPr="00E3664A" w:rsidRDefault="002427D5" w:rsidP="00036C28">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5D328DD2" w:rsidR="002427D5" w:rsidRPr="00E3664A" w:rsidRDefault="005069D3" w:rsidP="00036C28">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036C28">
        <w:tc>
          <w:tcPr>
            <w:tcW w:w="3929" w:type="dxa"/>
            <w:shd w:val="clear" w:color="auto" w:fill="auto"/>
          </w:tcPr>
          <w:p w14:paraId="58783FA6" w14:textId="77777777" w:rsidR="002427D5" w:rsidRPr="00E3664A" w:rsidRDefault="002427D5" w:rsidP="00036C28">
            <w:pPr>
              <w:rPr>
                <w:rFonts w:ascii="Arial" w:hAnsi="Arial" w:cs="Arial"/>
                <w:lang w:eastAsia="de-DE"/>
              </w:rPr>
            </w:pPr>
            <w:r w:rsidRPr="00E3664A">
              <w:rPr>
                <w:rFonts w:ascii="Arial" w:hAnsi="Arial" w:cs="Arial"/>
                <w:lang w:eastAsia="de-DE"/>
              </w:rPr>
              <w:t>Country/Region</w:t>
            </w:r>
          </w:p>
        </w:tc>
        <w:tc>
          <w:tcPr>
            <w:tcW w:w="5595" w:type="dxa"/>
            <w:shd w:val="clear" w:color="auto" w:fill="auto"/>
          </w:tcPr>
          <w:p w14:paraId="182EAF0E" w14:textId="37C2464C" w:rsidR="002427D5" w:rsidRPr="00E3664A" w:rsidRDefault="00052ABA" w:rsidP="00036C28">
            <w:pPr>
              <w:rPr>
                <w:rFonts w:ascii="Arial" w:hAnsi="Arial" w:cs="Arial"/>
                <w:sz w:val="20"/>
                <w:lang w:eastAsia="de-DE"/>
              </w:rPr>
            </w:pPr>
            <w:r>
              <w:rPr>
                <w:rFonts w:ascii="Arial" w:hAnsi="Arial" w:cs="Arial"/>
                <w:sz w:val="20"/>
                <w:lang w:eastAsia="de-DE"/>
              </w:rPr>
              <w:t>International</w:t>
            </w:r>
          </w:p>
        </w:tc>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5331FDCB"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1C0A4F">
        <w:rPr>
          <w:rFonts w:ascii="Arial" w:eastAsiaTheme="minorEastAsia" w:hAnsi="Arial" w:cs="Arial"/>
          <w:szCs w:val="20"/>
        </w:rPr>
        <w:t>CA79</w:t>
      </w:r>
      <w:r w:rsidRPr="00E3664A">
        <w:rPr>
          <w:rFonts w:ascii="Arial" w:eastAsiaTheme="minorEastAsia" w:hAnsi="Arial" w:cs="Arial"/>
          <w:szCs w:val="20"/>
        </w:rPr>
        <w:t>_00&gt;</w:t>
      </w:r>
    </w:p>
    <w:p w14:paraId="2BB85F87" w14:textId="072FC59A" w:rsidR="00857654" w:rsidRDefault="00857654" w:rsidP="00857654">
      <w:pPr>
        <w:spacing w:after="250" w:line="276" w:lineRule="auto"/>
        <w:jc w:val="both"/>
        <w:rPr>
          <w:rFonts w:ascii="Arial" w:eastAsiaTheme="minorEastAsia" w:hAnsi="Arial" w:cs="Arial"/>
          <w:szCs w:val="20"/>
        </w:rPr>
      </w:pPr>
      <w:r w:rsidRPr="00857654">
        <w:rPr>
          <w:rFonts w:ascii="Arial" w:eastAsiaTheme="minorEastAsia" w:hAnsi="Arial" w:cs="Arial"/>
          <w:szCs w:val="20"/>
        </w:rPr>
        <w:t>The Futures Industry Association (FIA) and the International Swaps and Derivatives Association (ISDA), together the Associations, represent the largest number of global and national participants in clearing, banking and financial markets. The Associations appreciate this opportunity to comment on this consultation.</w:t>
      </w:r>
    </w:p>
    <w:p w14:paraId="6DCF6509" w14:textId="6A67FB87" w:rsidR="000D4B6F" w:rsidRDefault="000D4B6F" w:rsidP="00857654">
      <w:pPr>
        <w:spacing w:after="250" w:line="276" w:lineRule="auto"/>
        <w:jc w:val="both"/>
        <w:rPr>
          <w:rFonts w:ascii="Arial" w:eastAsiaTheme="minorEastAsia" w:hAnsi="Arial" w:cs="Arial"/>
          <w:szCs w:val="20"/>
        </w:rPr>
      </w:pPr>
      <w:r>
        <w:rPr>
          <w:rFonts w:ascii="Arial" w:eastAsiaTheme="minorEastAsia" w:hAnsi="Arial" w:cs="Arial"/>
          <w:szCs w:val="20"/>
        </w:rPr>
        <w:t>In the Associations’ view, supervisory cooperation is an important keystone to the global derivatives markets.</w:t>
      </w:r>
      <w:r w:rsidR="009356A1">
        <w:rPr>
          <w:rFonts w:ascii="Arial" w:eastAsiaTheme="minorEastAsia" w:hAnsi="Arial" w:cs="Arial"/>
          <w:szCs w:val="20"/>
        </w:rPr>
        <w:t xml:space="preserve"> This is especially important in crisis situation</w:t>
      </w:r>
      <w:r w:rsidR="004E6FD5">
        <w:rPr>
          <w:rFonts w:ascii="Arial" w:eastAsiaTheme="minorEastAsia" w:hAnsi="Arial" w:cs="Arial"/>
          <w:szCs w:val="20"/>
        </w:rPr>
        <w:t>s</w:t>
      </w:r>
      <w:r w:rsidR="009356A1">
        <w:rPr>
          <w:rFonts w:ascii="Arial" w:eastAsiaTheme="minorEastAsia" w:hAnsi="Arial" w:cs="Arial"/>
          <w:szCs w:val="20"/>
        </w:rPr>
        <w:t>: if jurisdictions do</w:t>
      </w:r>
      <w:r w:rsidR="004E6FD5">
        <w:rPr>
          <w:rFonts w:ascii="Arial" w:eastAsiaTheme="minorEastAsia" w:hAnsi="Arial" w:cs="Arial"/>
          <w:szCs w:val="20"/>
        </w:rPr>
        <w:t xml:space="preserve"> not</w:t>
      </w:r>
      <w:r w:rsidR="009356A1">
        <w:rPr>
          <w:rFonts w:ascii="Arial" w:eastAsiaTheme="minorEastAsia" w:hAnsi="Arial" w:cs="Arial"/>
          <w:szCs w:val="20"/>
        </w:rPr>
        <w:t xml:space="preserve"> cooperate and coordinate in </w:t>
      </w:r>
      <w:r w:rsidR="00443021">
        <w:rPr>
          <w:rFonts w:ascii="Arial" w:eastAsiaTheme="minorEastAsia" w:hAnsi="Arial" w:cs="Arial"/>
          <w:szCs w:val="20"/>
        </w:rPr>
        <w:t xml:space="preserve">crisis situations, including planning for such </w:t>
      </w:r>
      <w:r w:rsidR="005C24AE">
        <w:rPr>
          <w:rFonts w:ascii="Arial" w:eastAsiaTheme="minorEastAsia" w:hAnsi="Arial" w:cs="Arial"/>
          <w:szCs w:val="20"/>
        </w:rPr>
        <w:t>situations</w:t>
      </w:r>
      <w:r w:rsidR="00443021">
        <w:rPr>
          <w:rFonts w:ascii="Arial" w:eastAsiaTheme="minorEastAsia" w:hAnsi="Arial" w:cs="Arial"/>
          <w:szCs w:val="20"/>
        </w:rPr>
        <w:t xml:space="preserve">, the overall outcome </w:t>
      </w:r>
      <w:r w:rsidR="005C24AE">
        <w:rPr>
          <w:rFonts w:ascii="Arial" w:eastAsiaTheme="minorEastAsia" w:hAnsi="Arial" w:cs="Arial"/>
          <w:szCs w:val="20"/>
        </w:rPr>
        <w:t xml:space="preserve">of each jurisdiction dealing with a crisis separately will be inferior </w:t>
      </w:r>
      <w:r w:rsidR="00307DBC">
        <w:rPr>
          <w:rFonts w:ascii="Arial" w:eastAsiaTheme="minorEastAsia" w:hAnsi="Arial" w:cs="Arial"/>
          <w:szCs w:val="20"/>
        </w:rPr>
        <w:t>to</w:t>
      </w:r>
      <w:r w:rsidR="005C24AE">
        <w:rPr>
          <w:rFonts w:ascii="Arial" w:eastAsiaTheme="minorEastAsia" w:hAnsi="Arial" w:cs="Arial"/>
          <w:szCs w:val="20"/>
        </w:rPr>
        <w:t xml:space="preserve"> </w:t>
      </w:r>
      <w:r w:rsidR="00C11785">
        <w:rPr>
          <w:rFonts w:ascii="Arial" w:eastAsiaTheme="minorEastAsia" w:hAnsi="Arial" w:cs="Arial"/>
          <w:szCs w:val="20"/>
        </w:rPr>
        <w:t xml:space="preserve">an approach where </w:t>
      </w:r>
      <w:r w:rsidR="00307DBC">
        <w:rPr>
          <w:rFonts w:ascii="Arial" w:eastAsiaTheme="minorEastAsia" w:hAnsi="Arial" w:cs="Arial"/>
          <w:szCs w:val="20"/>
        </w:rPr>
        <w:t>authorities cooperat</w:t>
      </w:r>
      <w:r w:rsidR="00C11785">
        <w:rPr>
          <w:rFonts w:ascii="Arial" w:eastAsiaTheme="minorEastAsia" w:hAnsi="Arial" w:cs="Arial"/>
          <w:szCs w:val="20"/>
        </w:rPr>
        <w:t>e</w:t>
      </w:r>
      <w:r w:rsidR="00307DBC">
        <w:rPr>
          <w:rFonts w:ascii="Arial" w:eastAsiaTheme="minorEastAsia" w:hAnsi="Arial" w:cs="Arial"/>
          <w:szCs w:val="20"/>
        </w:rPr>
        <w:t xml:space="preserve">. </w:t>
      </w:r>
    </w:p>
    <w:p w14:paraId="685F3A3B" w14:textId="60DF5984" w:rsidR="00C11785" w:rsidRDefault="00C11785" w:rsidP="00857654">
      <w:pPr>
        <w:spacing w:after="250" w:line="276" w:lineRule="auto"/>
        <w:jc w:val="both"/>
        <w:rPr>
          <w:rFonts w:ascii="Arial" w:eastAsiaTheme="minorEastAsia" w:hAnsi="Arial" w:cs="Arial"/>
          <w:szCs w:val="20"/>
        </w:rPr>
      </w:pPr>
      <w:r>
        <w:rPr>
          <w:rFonts w:ascii="Arial" w:eastAsiaTheme="minorEastAsia" w:hAnsi="Arial" w:cs="Arial"/>
          <w:szCs w:val="20"/>
        </w:rPr>
        <w:t xml:space="preserve">We therefore welcome that CCPRRR plans for cooperation between authorities and for ESMA’s work on defining </w:t>
      </w:r>
      <w:r w:rsidR="00893DE4">
        <w:rPr>
          <w:rFonts w:ascii="Arial" w:eastAsiaTheme="minorEastAsia" w:hAnsi="Arial" w:cs="Arial"/>
          <w:szCs w:val="20"/>
        </w:rPr>
        <w:t>types and contents of such cooperation agreements, up to an actual template for such an agreement.</w:t>
      </w:r>
    </w:p>
    <w:p w14:paraId="7379FF8E" w14:textId="08756661" w:rsidR="00893DE4" w:rsidRDefault="00893DE4" w:rsidP="00857654">
      <w:pPr>
        <w:spacing w:after="250" w:line="276" w:lineRule="auto"/>
        <w:jc w:val="both"/>
        <w:rPr>
          <w:rFonts w:ascii="Arial" w:eastAsiaTheme="minorEastAsia" w:hAnsi="Arial" w:cs="Arial"/>
          <w:szCs w:val="20"/>
        </w:rPr>
      </w:pPr>
      <w:r>
        <w:rPr>
          <w:rFonts w:ascii="Arial" w:eastAsiaTheme="minorEastAsia" w:hAnsi="Arial" w:cs="Arial"/>
          <w:szCs w:val="20"/>
        </w:rPr>
        <w:t xml:space="preserve">It is important </w:t>
      </w:r>
      <w:r w:rsidR="00583B0E">
        <w:rPr>
          <w:rFonts w:ascii="Arial" w:eastAsiaTheme="minorEastAsia" w:hAnsi="Arial" w:cs="Arial"/>
          <w:szCs w:val="20"/>
        </w:rPr>
        <w:t>to allow</w:t>
      </w:r>
      <w:r>
        <w:rPr>
          <w:rFonts w:ascii="Arial" w:eastAsiaTheme="minorEastAsia" w:hAnsi="Arial" w:cs="Arial"/>
          <w:szCs w:val="20"/>
        </w:rPr>
        <w:t xml:space="preserve"> authorities enough </w:t>
      </w:r>
      <w:r w:rsidR="00583B0E">
        <w:rPr>
          <w:rFonts w:ascii="Arial" w:eastAsiaTheme="minorEastAsia" w:hAnsi="Arial" w:cs="Arial"/>
          <w:szCs w:val="20"/>
        </w:rPr>
        <w:t xml:space="preserve">flexibility </w:t>
      </w:r>
      <w:r>
        <w:rPr>
          <w:rFonts w:ascii="Arial" w:eastAsiaTheme="minorEastAsia" w:hAnsi="Arial" w:cs="Arial"/>
          <w:szCs w:val="20"/>
        </w:rPr>
        <w:t xml:space="preserve">to accommodate jurisdictions with different </w:t>
      </w:r>
      <w:r w:rsidR="00583B0E">
        <w:rPr>
          <w:rFonts w:ascii="Arial" w:eastAsiaTheme="minorEastAsia" w:hAnsi="Arial" w:cs="Arial"/>
          <w:szCs w:val="20"/>
        </w:rPr>
        <w:t>l</w:t>
      </w:r>
      <w:r>
        <w:rPr>
          <w:rFonts w:ascii="Arial" w:eastAsiaTheme="minorEastAsia" w:hAnsi="Arial" w:cs="Arial"/>
          <w:szCs w:val="20"/>
        </w:rPr>
        <w:t>egal and/or regulatory approache</w:t>
      </w:r>
      <w:r w:rsidR="00583B0E">
        <w:rPr>
          <w:rFonts w:ascii="Arial" w:eastAsiaTheme="minorEastAsia" w:hAnsi="Arial" w:cs="Arial"/>
          <w:szCs w:val="20"/>
        </w:rPr>
        <w:t>s</w:t>
      </w:r>
      <w:r>
        <w:rPr>
          <w:rFonts w:ascii="Arial" w:eastAsiaTheme="minorEastAsia" w:hAnsi="Arial" w:cs="Arial"/>
          <w:szCs w:val="20"/>
        </w:rPr>
        <w:t xml:space="preserve"> to CCP resolution.</w:t>
      </w:r>
    </w:p>
    <w:p w14:paraId="49955F44" w14:textId="77777777" w:rsidR="00893DE4" w:rsidRPr="00857654" w:rsidRDefault="00893DE4" w:rsidP="00857654">
      <w:pPr>
        <w:spacing w:after="250" w:line="276" w:lineRule="auto"/>
        <w:jc w:val="both"/>
        <w:rPr>
          <w:rFonts w:ascii="Arial" w:eastAsiaTheme="minorEastAsia" w:hAnsi="Arial" w:cs="Arial"/>
          <w:szCs w:val="20"/>
        </w:rPr>
      </w:pPr>
    </w:p>
    <w:p w14:paraId="0CC02061" w14:textId="77777777" w:rsidR="00857654" w:rsidRPr="00857654" w:rsidRDefault="00857654" w:rsidP="00857654">
      <w:pPr>
        <w:spacing w:after="250" w:line="276" w:lineRule="auto"/>
        <w:jc w:val="both"/>
        <w:rPr>
          <w:rFonts w:ascii="Arial" w:eastAsiaTheme="minorEastAsia" w:hAnsi="Arial" w:cs="Arial"/>
          <w:szCs w:val="20"/>
        </w:rPr>
      </w:pPr>
      <w:r w:rsidRPr="00857654">
        <w:rPr>
          <w:rFonts w:ascii="Arial" w:eastAsiaTheme="minorEastAsia" w:hAnsi="Arial" w:cs="Arial"/>
          <w:szCs w:val="20"/>
        </w:rPr>
        <w:t>This consultation response covers the positions of our members that are clearing members and their clients. The paper does not reflect the views of many CCPs, and many of the CCPs are in disagreement with the views expressed herein.</w:t>
      </w:r>
    </w:p>
    <w:p w14:paraId="41A6E362" w14:textId="77777777" w:rsidR="00857654" w:rsidRPr="00857654" w:rsidRDefault="00857654" w:rsidP="00857654">
      <w:pPr>
        <w:spacing w:after="250" w:line="276" w:lineRule="auto"/>
        <w:jc w:val="both"/>
        <w:rPr>
          <w:rFonts w:ascii="Arial" w:eastAsiaTheme="minorEastAsia" w:hAnsi="Arial" w:cs="Arial"/>
          <w:szCs w:val="20"/>
        </w:rPr>
      </w:pPr>
    </w:p>
    <w:p w14:paraId="28CEC3D4" w14:textId="77777777" w:rsidR="00857654" w:rsidRPr="00025CD0" w:rsidRDefault="00857654" w:rsidP="00857654">
      <w:pPr>
        <w:spacing w:after="250" w:line="276" w:lineRule="auto"/>
        <w:jc w:val="both"/>
        <w:rPr>
          <w:rFonts w:ascii="Arial" w:eastAsiaTheme="minorEastAsia" w:hAnsi="Arial" w:cs="Arial"/>
          <w:b/>
          <w:bCs/>
          <w:szCs w:val="20"/>
        </w:rPr>
      </w:pPr>
      <w:r w:rsidRPr="00025CD0">
        <w:rPr>
          <w:rFonts w:ascii="Arial" w:eastAsiaTheme="minorEastAsia" w:hAnsi="Arial" w:cs="Arial"/>
          <w:b/>
          <w:bCs/>
          <w:szCs w:val="20"/>
        </w:rPr>
        <w:t>About FIA</w:t>
      </w:r>
    </w:p>
    <w:p w14:paraId="1F3B6539" w14:textId="77777777" w:rsidR="00857654" w:rsidRPr="00857654" w:rsidRDefault="00857654" w:rsidP="00857654">
      <w:pPr>
        <w:spacing w:after="250" w:line="276" w:lineRule="auto"/>
        <w:jc w:val="both"/>
        <w:rPr>
          <w:rFonts w:ascii="Arial" w:eastAsiaTheme="minorEastAsia" w:hAnsi="Arial" w:cs="Arial"/>
          <w:szCs w:val="20"/>
        </w:rPr>
      </w:pPr>
      <w:r w:rsidRPr="00857654">
        <w:rPr>
          <w:rFonts w:ascii="Arial" w:eastAsiaTheme="minorEastAsia" w:hAnsi="Arial" w:cs="Arial"/>
          <w:szCs w:val="20"/>
        </w:rPr>
        <w:lastRenderedPageBreak/>
        <w:t>FIA is the leading global trade organization for the futures, options and centrally cleared derivatives markets, with offices in Brussels, London, Singapore and Washington, D.C. Our membership includes clearing firms, exchanges, clearinghouses, trading firms and commodities specialists from about 50 countries as well as technology vendors, law firms and other professional service providers.</w:t>
      </w:r>
    </w:p>
    <w:p w14:paraId="44A700F1" w14:textId="77777777" w:rsidR="00857654" w:rsidRPr="00857654" w:rsidRDefault="00857654" w:rsidP="00857654">
      <w:pPr>
        <w:spacing w:after="250" w:line="276" w:lineRule="auto"/>
        <w:jc w:val="both"/>
        <w:rPr>
          <w:rFonts w:ascii="Arial" w:eastAsiaTheme="minorEastAsia" w:hAnsi="Arial" w:cs="Arial"/>
          <w:szCs w:val="20"/>
        </w:rPr>
      </w:pPr>
      <w:r w:rsidRPr="00857654">
        <w:rPr>
          <w:rFonts w:ascii="Arial" w:eastAsiaTheme="minorEastAsia" w:hAnsi="Arial" w:cs="Arial"/>
          <w:szCs w:val="20"/>
        </w:rPr>
        <w:t>Our mission: To support open, transparent and competitive markets, protect and enhance the integrity of the financial system, and promote high standards of professional conduct.</w:t>
      </w:r>
    </w:p>
    <w:p w14:paraId="55DBF118" w14:textId="77777777" w:rsidR="00857654" w:rsidRPr="00857654" w:rsidRDefault="00857654" w:rsidP="00857654">
      <w:pPr>
        <w:spacing w:after="250" w:line="276" w:lineRule="auto"/>
        <w:jc w:val="both"/>
        <w:rPr>
          <w:rFonts w:ascii="Arial" w:eastAsiaTheme="minorEastAsia" w:hAnsi="Arial" w:cs="Arial"/>
          <w:szCs w:val="20"/>
        </w:rPr>
      </w:pPr>
    </w:p>
    <w:p w14:paraId="71BD13DC" w14:textId="77777777" w:rsidR="00857654" w:rsidRPr="00025CD0" w:rsidRDefault="00857654" w:rsidP="00857654">
      <w:pPr>
        <w:spacing w:after="250" w:line="276" w:lineRule="auto"/>
        <w:jc w:val="both"/>
        <w:rPr>
          <w:rFonts w:ascii="Arial" w:eastAsiaTheme="minorEastAsia" w:hAnsi="Arial" w:cs="Arial"/>
          <w:b/>
          <w:bCs/>
          <w:szCs w:val="20"/>
        </w:rPr>
      </w:pPr>
      <w:r w:rsidRPr="00025CD0">
        <w:rPr>
          <w:rFonts w:ascii="Arial" w:eastAsiaTheme="minorEastAsia" w:hAnsi="Arial" w:cs="Arial"/>
          <w:b/>
          <w:bCs/>
          <w:szCs w:val="20"/>
        </w:rPr>
        <w:t>About ISDA</w:t>
      </w:r>
    </w:p>
    <w:p w14:paraId="52459244" w14:textId="77777777" w:rsidR="004142DF" w:rsidRDefault="00DE382F" w:rsidP="002427D5">
      <w:pPr>
        <w:spacing w:after="250" w:line="276" w:lineRule="auto"/>
        <w:jc w:val="both"/>
        <w:rPr>
          <w:rFonts w:ascii="Arial" w:eastAsiaTheme="minorEastAsia" w:hAnsi="Arial" w:cs="Arial"/>
          <w:szCs w:val="20"/>
        </w:rPr>
      </w:pPr>
      <w:r w:rsidRPr="00DE382F">
        <w:rPr>
          <w:rFonts w:ascii="Arial" w:eastAsiaTheme="minorEastAsia" w:hAnsi="Arial" w:cs="Arial"/>
          <w:szCs w:val="20"/>
        </w:rPr>
        <w:t>Since 1985, ISDA has worked to make the global derivatives markets safer and more efficient. Today, ISDA has over 990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LinkedIn, Facebook and YouTube.</w:t>
      </w:r>
    </w:p>
    <w:p w14:paraId="01063D92" w14:textId="77855CC9"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1C0A4F">
        <w:rPr>
          <w:rFonts w:ascii="Arial" w:eastAsiaTheme="minorEastAsia" w:hAnsi="Arial" w:cs="Arial"/>
          <w:szCs w:val="20"/>
        </w:rPr>
        <w:t>CA79</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05B9187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1C0A4F" w:rsidRPr="001C0A4F">
        <w:rPr>
          <w:rFonts w:ascii="Arial" w:hAnsi="Arial" w:cs="Arial"/>
          <w:sz w:val="24"/>
          <w:szCs w:val="24"/>
        </w:rPr>
        <w:t>Do you agree with the general approach of the Guidelines and how ESMA has interpretated the mandate and the aim of the Guidelines? If not, please explain why.</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7231879B"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_01&gt;</w:t>
      </w:r>
    </w:p>
    <w:p w14:paraId="538BB203" w14:textId="2E1A443C" w:rsidR="00A31B88" w:rsidRDefault="00A31B88" w:rsidP="00A31B88">
      <w:pPr>
        <w:rPr>
          <w:rFonts w:ascii="Arial" w:hAnsi="Arial" w:cs="Arial"/>
          <w:sz w:val="24"/>
          <w:szCs w:val="24"/>
        </w:rPr>
      </w:pPr>
      <w:r>
        <w:rPr>
          <w:rFonts w:ascii="Arial" w:hAnsi="Arial" w:cs="Arial"/>
          <w:sz w:val="24"/>
          <w:szCs w:val="24"/>
        </w:rPr>
        <w:t xml:space="preserve">We agree with the general approach of the Guidelines and how ESMA has interpretated the mandate and the aim of the Guidelines. We are mindful that ESMA has to follow the Level 1 text. Without this constraint, it would have been beneficial to include other types of EU </w:t>
      </w:r>
      <w:r w:rsidR="003B08CB">
        <w:rPr>
          <w:rFonts w:ascii="Arial" w:hAnsi="Arial" w:cs="Arial"/>
          <w:sz w:val="24"/>
          <w:szCs w:val="24"/>
        </w:rPr>
        <w:t>authorities in</w:t>
      </w:r>
      <w:r>
        <w:rPr>
          <w:rFonts w:ascii="Arial" w:hAnsi="Arial" w:cs="Arial"/>
          <w:sz w:val="24"/>
          <w:szCs w:val="24"/>
        </w:rPr>
        <w:t xml:space="preserve"> addition to resolution authorities of a CCP. For instance, it would be beneficial to include national competent authorities (NCA) supervising clearing members in cooperation agreements with supervisors of third-country CCPs. </w:t>
      </w:r>
    </w:p>
    <w:p w14:paraId="31390B3C" w14:textId="77777777" w:rsidR="00A31B88" w:rsidRPr="00AA60F5" w:rsidRDefault="00A31B88" w:rsidP="00A31B88">
      <w:pPr>
        <w:rPr>
          <w:rFonts w:ascii="Arial" w:hAnsi="Arial" w:cs="Arial"/>
          <w:sz w:val="24"/>
          <w:szCs w:val="24"/>
        </w:rPr>
      </w:pPr>
      <w:r>
        <w:rPr>
          <w:rFonts w:ascii="Arial" w:hAnsi="Arial" w:cs="Arial"/>
          <w:sz w:val="24"/>
          <w:szCs w:val="24"/>
        </w:rPr>
        <w:t>Nevertheless, we welcome that ESMA has proposed that such authorities could conclude cooperation arrangements on a voluntary basis and urge these authorities to do so.</w:t>
      </w:r>
    </w:p>
    <w:p w14:paraId="43072554" w14:textId="490674B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339491F8"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1C0A4F" w:rsidRPr="001C0A4F">
        <w:rPr>
          <w:rFonts w:ascii="Arial" w:hAnsi="Arial" w:cs="Arial"/>
          <w:sz w:val="24"/>
          <w:szCs w:val="24"/>
        </w:rPr>
        <w:t>Do you agree with Part I of the Guidelines, on purpose, scope and legal aspects? If not, please explain why.</w:t>
      </w:r>
    </w:p>
    <w:p w14:paraId="1400ABC8" w14:textId="6E79054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_02&gt;</w:t>
      </w:r>
    </w:p>
    <w:p w14:paraId="5F815429" w14:textId="524299D6" w:rsidR="00F84911" w:rsidRDefault="00F84911" w:rsidP="002427D5">
      <w:pPr>
        <w:rPr>
          <w:rFonts w:ascii="Arial" w:hAnsi="Arial" w:cs="Arial"/>
          <w:sz w:val="24"/>
          <w:szCs w:val="24"/>
        </w:rPr>
      </w:pPr>
      <w:r>
        <w:rPr>
          <w:rFonts w:ascii="Arial" w:hAnsi="Arial" w:cs="Arial"/>
          <w:sz w:val="24"/>
          <w:szCs w:val="24"/>
        </w:rPr>
        <w:t xml:space="preserve">We agree </w:t>
      </w:r>
      <w:r w:rsidRPr="00F84911">
        <w:rPr>
          <w:rFonts w:ascii="Arial" w:hAnsi="Arial" w:cs="Arial"/>
          <w:sz w:val="24"/>
          <w:szCs w:val="24"/>
        </w:rPr>
        <w:t>with Part I of the Guidelines, on purpose, scope and legal aspects</w:t>
      </w:r>
      <w:r w:rsidR="006A4B2D">
        <w:rPr>
          <w:rFonts w:ascii="Arial" w:hAnsi="Arial" w:cs="Arial"/>
          <w:sz w:val="24"/>
          <w:szCs w:val="24"/>
        </w:rPr>
        <w:t xml:space="preserve">, especially the reference of other avenues of cooperation in relation to crisis situation, namely </w:t>
      </w:r>
      <w:r w:rsidR="00D40D96">
        <w:rPr>
          <w:rFonts w:ascii="Arial" w:hAnsi="Arial" w:cs="Arial"/>
          <w:sz w:val="24"/>
          <w:szCs w:val="24"/>
        </w:rPr>
        <w:t xml:space="preserve">Crisis Management Groups </w:t>
      </w:r>
      <w:r w:rsidR="00ED0F1C">
        <w:rPr>
          <w:rFonts w:ascii="Arial" w:hAnsi="Arial" w:cs="Arial"/>
          <w:sz w:val="24"/>
          <w:szCs w:val="24"/>
        </w:rPr>
        <w:t>and CCPRRR resolution colleges.</w:t>
      </w:r>
    </w:p>
    <w:p w14:paraId="19FEC513" w14:textId="2FEAD886" w:rsidR="002427D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5ECCB96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1C0A4F" w:rsidRPr="001C0A4F">
        <w:rPr>
          <w:rFonts w:ascii="Arial" w:hAnsi="Arial" w:cs="Arial"/>
          <w:sz w:val="24"/>
          <w:szCs w:val="24"/>
        </w:rPr>
        <w:t>Do you agree with Part 2 of the Guidelines, on content of the cooperation arrangement? If not, please explain why.</w:t>
      </w:r>
    </w:p>
    <w:p w14:paraId="2D88B40A" w14:textId="026B31B8"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_03&gt;</w:t>
      </w:r>
    </w:p>
    <w:p w14:paraId="6E38D138" w14:textId="479A5FAB" w:rsidR="00EF0B7E" w:rsidRDefault="00EF0B7E" w:rsidP="00726BC0">
      <w:pPr>
        <w:rPr>
          <w:rFonts w:ascii="Arial" w:hAnsi="Arial" w:cs="Arial"/>
          <w:sz w:val="24"/>
          <w:szCs w:val="24"/>
        </w:rPr>
      </w:pPr>
      <w:r>
        <w:rPr>
          <w:rFonts w:ascii="Arial" w:hAnsi="Arial" w:cs="Arial"/>
          <w:sz w:val="24"/>
          <w:szCs w:val="24"/>
        </w:rPr>
        <w:t xml:space="preserve">We </w:t>
      </w:r>
      <w:r w:rsidRPr="00EF0B7E">
        <w:rPr>
          <w:rFonts w:ascii="Arial" w:hAnsi="Arial" w:cs="Arial"/>
          <w:sz w:val="24"/>
          <w:szCs w:val="24"/>
        </w:rPr>
        <w:t>agree with Part 2 of the Guidelines</w:t>
      </w:r>
      <w:r>
        <w:rPr>
          <w:rFonts w:ascii="Arial" w:hAnsi="Arial" w:cs="Arial"/>
          <w:sz w:val="24"/>
          <w:szCs w:val="24"/>
        </w:rPr>
        <w:t xml:space="preserve">. While we appreciate that ESMA had to follow </w:t>
      </w:r>
      <w:r w:rsidR="00464DE9">
        <w:rPr>
          <w:rFonts w:ascii="Arial" w:hAnsi="Arial" w:cs="Arial"/>
          <w:sz w:val="24"/>
          <w:szCs w:val="24"/>
        </w:rPr>
        <w:t>provisions in Level 1 of CCPRRR, we are concerned that the structure of these agreements is too strict</w:t>
      </w:r>
      <w:r w:rsidR="00CB579B">
        <w:rPr>
          <w:rFonts w:ascii="Arial" w:hAnsi="Arial" w:cs="Arial"/>
          <w:sz w:val="24"/>
          <w:szCs w:val="24"/>
        </w:rPr>
        <w:t xml:space="preserve"> and might lack flexibility to conclude a </w:t>
      </w:r>
      <w:r w:rsidR="00AB5E67">
        <w:rPr>
          <w:rFonts w:ascii="Arial" w:hAnsi="Arial" w:cs="Arial"/>
          <w:sz w:val="24"/>
          <w:szCs w:val="24"/>
        </w:rPr>
        <w:t>cooperation agreement</w:t>
      </w:r>
      <w:r w:rsidR="00CB579B">
        <w:rPr>
          <w:rFonts w:ascii="Arial" w:hAnsi="Arial" w:cs="Arial"/>
          <w:sz w:val="24"/>
          <w:szCs w:val="24"/>
        </w:rPr>
        <w:t xml:space="preserve"> with </w:t>
      </w:r>
      <w:r w:rsidR="00AB5E67">
        <w:rPr>
          <w:rFonts w:ascii="Arial" w:hAnsi="Arial" w:cs="Arial"/>
          <w:sz w:val="24"/>
          <w:szCs w:val="24"/>
        </w:rPr>
        <w:t>authorities</w:t>
      </w:r>
      <w:r w:rsidR="00CB579B">
        <w:rPr>
          <w:rFonts w:ascii="Arial" w:hAnsi="Arial" w:cs="Arial"/>
          <w:sz w:val="24"/>
          <w:szCs w:val="24"/>
        </w:rPr>
        <w:t xml:space="preserve"> that might be under an equally strict, but different </w:t>
      </w:r>
      <w:r w:rsidR="00A336F2">
        <w:rPr>
          <w:rFonts w:ascii="Arial" w:hAnsi="Arial" w:cs="Arial"/>
          <w:sz w:val="24"/>
          <w:szCs w:val="24"/>
        </w:rPr>
        <w:t>regime.</w:t>
      </w:r>
    </w:p>
    <w:p w14:paraId="086EBF49" w14:textId="597509E5" w:rsidR="00C90947" w:rsidRDefault="00C90947" w:rsidP="00C90947">
      <w:pPr>
        <w:rPr>
          <w:rFonts w:ascii="Arial" w:hAnsi="Arial" w:cs="Arial"/>
          <w:sz w:val="24"/>
          <w:szCs w:val="24"/>
        </w:rPr>
      </w:pPr>
      <w:r>
        <w:rPr>
          <w:rFonts w:ascii="Arial" w:hAnsi="Arial" w:cs="Arial"/>
          <w:sz w:val="24"/>
          <w:szCs w:val="24"/>
        </w:rPr>
        <w:t xml:space="preserve">While it would be ideal to be able to follow all CCPRRR requirements, there should be flexibility to accommodate different structures and ways to cooperate reflecting </w:t>
      </w:r>
      <w:r>
        <w:rPr>
          <w:rFonts w:ascii="Arial" w:hAnsi="Arial" w:cs="Arial"/>
          <w:sz w:val="24"/>
          <w:szCs w:val="24"/>
        </w:rPr>
        <w:lastRenderedPageBreak/>
        <w:t>different regulatory approaches across jurisdictions. A cooperation agreement that does not cover all provisions and situations covered by CCCPRRR Article 79 is better than no cooperation agreement.</w:t>
      </w:r>
    </w:p>
    <w:p w14:paraId="7A097951" w14:textId="41144874" w:rsidR="00C90947" w:rsidRDefault="00C90947" w:rsidP="00D100B0">
      <w:pPr>
        <w:rPr>
          <w:rFonts w:ascii="Arial" w:hAnsi="Arial" w:cs="Arial"/>
          <w:sz w:val="24"/>
          <w:szCs w:val="24"/>
        </w:rPr>
      </w:pPr>
      <w:r>
        <w:rPr>
          <w:rFonts w:ascii="Arial" w:hAnsi="Arial" w:cs="Arial"/>
          <w:sz w:val="24"/>
          <w:szCs w:val="24"/>
        </w:rPr>
        <w:t xml:space="preserve">We acknowledge that ESMA already </w:t>
      </w:r>
      <w:r w:rsidR="00D100B0">
        <w:rPr>
          <w:rFonts w:ascii="Arial" w:hAnsi="Arial" w:cs="Arial"/>
          <w:sz w:val="24"/>
          <w:szCs w:val="24"/>
        </w:rPr>
        <w:t xml:space="preserve">proposes </w:t>
      </w:r>
      <w:r w:rsidR="00A25B15">
        <w:rPr>
          <w:rFonts w:ascii="Arial" w:hAnsi="Arial" w:cs="Arial"/>
          <w:sz w:val="24"/>
          <w:szCs w:val="24"/>
        </w:rPr>
        <w:t xml:space="preserve">that </w:t>
      </w:r>
      <w:r w:rsidR="00D100B0">
        <w:rPr>
          <w:rFonts w:ascii="Arial" w:hAnsi="Arial" w:cs="Arial"/>
          <w:sz w:val="24"/>
          <w:szCs w:val="24"/>
        </w:rPr>
        <w:t xml:space="preserve">the </w:t>
      </w:r>
      <w:r w:rsidR="000A0A92">
        <w:rPr>
          <w:rFonts w:ascii="Arial" w:hAnsi="Arial" w:cs="Arial"/>
          <w:sz w:val="24"/>
          <w:szCs w:val="24"/>
        </w:rPr>
        <w:t>“</w:t>
      </w:r>
      <w:r w:rsidR="00D100B0" w:rsidRPr="000A0A92">
        <w:rPr>
          <w:rFonts w:ascii="Arial" w:hAnsi="Arial" w:cs="Arial"/>
          <w:i/>
          <w:iCs/>
          <w:sz w:val="24"/>
          <w:szCs w:val="24"/>
        </w:rPr>
        <w:t>cooperation agreement should take into account the principles of effectivity,</w:t>
      </w:r>
      <w:r w:rsidR="000A0A92" w:rsidRPr="000A0A92">
        <w:rPr>
          <w:rFonts w:ascii="Arial" w:hAnsi="Arial" w:cs="Arial"/>
          <w:i/>
          <w:iCs/>
          <w:sz w:val="24"/>
          <w:szCs w:val="24"/>
        </w:rPr>
        <w:t xml:space="preserve"> </w:t>
      </w:r>
      <w:r w:rsidR="00D100B0" w:rsidRPr="000A0A92">
        <w:rPr>
          <w:rFonts w:ascii="Arial" w:hAnsi="Arial" w:cs="Arial"/>
          <w:i/>
          <w:iCs/>
          <w:sz w:val="24"/>
          <w:szCs w:val="24"/>
        </w:rPr>
        <w:t>proportionality and relevance.</w:t>
      </w:r>
      <w:r w:rsidR="00D100B0">
        <w:rPr>
          <w:rFonts w:ascii="Arial" w:hAnsi="Arial" w:cs="Arial"/>
          <w:sz w:val="24"/>
          <w:szCs w:val="24"/>
        </w:rPr>
        <w:t>”</w:t>
      </w:r>
      <w:r>
        <w:rPr>
          <w:rFonts w:ascii="Arial" w:hAnsi="Arial" w:cs="Arial"/>
          <w:sz w:val="24"/>
          <w:szCs w:val="24"/>
        </w:rPr>
        <w:t xml:space="preserve"> </w:t>
      </w:r>
    </w:p>
    <w:p w14:paraId="32AFA07A" w14:textId="0B89219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6F3CFB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1C0A4F" w:rsidRPr="001C0A4F">
        <w:rPr>
          <w:rFonts w:ascii="Arial" w:hAnsi="Arial" w:cs="Arial"/>
          <w:sz w:val="24"/>
          <w:szCs w:val="24"/>
        </w:rPr>
        <w:t>Do you agree with Part 3 of the Guidelines on the confidentiality aspects including the conditions under which confidential information can be onwards shared to third parties? If not, please explain why.</w:t>
      </w:r>
    </w:p>
    <w:p w14:paraId="7E0C3AD5" w14:textId="03DEF27E"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_04&gt;</w:t>
      </w:r>
    </w:p>
    <w:p w14:paraId="028DC057" w14:textId="35D66508" w:rsidR="00682DF8" w:rsidRDefault="00682DF8" w:rsidP="002427D5">
      <w:pPr>
        <w:rPr>
          <w:rFonts w:ascii="Arial" w:hAnsi="Arial" w:cs="Arial"/>
          <w:sz w:val="24"/>
          <w:szCs w:val="24"/>
        </w:rPr>
      </w:pPr>
      <w:r>
        <w:rPr>
          <w:rFonts w:ascii="Arial" w:hAnsi="Arial" w:cs="Arial"/>
          <w:sz w:val="24"/>
          <w:szCs w:val="24"/>
        </w:rPr>
        <w:t xml:space="preserve">We </w:t>
      </w:r>
      <w:r w:rsidRPr="00682DF8">
        <w:rPr>
          <w:rFonts w:ascii="Arial" w:hAnsi="Arial" w:cs="Arial"/>
          <w:sz w:val="24"/>
          <w:szCs w:val="24"/>
        </w:rPr>
        <w:t>agree with Part 3 of the Guidelines on the confidentiality aspects including the conditions under which confidential information can be onwards shared to third parties</w:t>
      </w:r>
      <w:r w:rsidR="00380307">
        <w:rPr>
          <w:rFonts w:ascii="Arial" w:hAnsi="Arial" w:cs="Arial"/>
          <w:sz w:val="24"/>
          <w:szCs w:val="24"/>
        </w:rPr>
        <w:t>.</w:t>
      </w:r>
    </w:p>
    <w:p w14:paraId="7CEEB55A" w14:textId="0D3A9A41" w:rsidR="006724AA" w:rsidRDefault="007E5217" w:rsidP="00243025">
      <w:pPr>
        <w:rPr>
          <w:rFonts w:ascii="Arial" w:hAnsi="Arial" w:cs="Arial"/>
          <w:sz w:val="24"/>
          <w:szCs w:val="24"/>
        </w:rPr>
      </w:pPr>
      <w:r>
        <w:rPr>
          <w:rFonts w:ascii="Arial" w:hAnsi="Arial" w:cs="Arial"/>
          <w:sz w:val="24"/>
          <w:szCs w:val="24"/>
        </w:rPr>
        <w:t xml:space="preserve">In the case of </w:t>
      </w:r>
      <w:r w:rsidR="00243025">
        <w:rPr>
          <w:rFonts w:ascii="Arial" w:hAnsi="Arial" w:cs="Arial"/>
          <w:sz w:val="24"/>
          <w:szCs w:val="24"/>
        </w:rPr>
        <w:t>jurisdictions</w:t>
      </w:r>
      <w:r>
        <w:rPr>
          <w:rFonts w:ascii="Arial" w:hAnsi="Arial" w:cs="Arial"/>
          <w:sz w:val="24"/>
          <w:szCs w:val="24"/>
        </w:rPr>
        <w:t xml:space="preserve"> </w:t>
      </w:r>
      <w:r w:rsidR="00243025">
        <w:rPr>
          <w:rFonts w:ascii="Arial" w:hAnsi="Arial" w:cs="Arial"/>
          <w:sz w:val="24"/>
          <w:szCs w:val="24"/>
        </w:rPr>
        <w:t xml:space="preserve">where </w:t>
      </w:r>
      <w:r w:rsidR="00243025" w:rsidRPr="00243025">
        <w:rPr>
          <w:rFonts w:ascii="Arial" w:hAnsi="Arial" w:cs="Arial"/>
          <w:sz w:val="24"/>
          <w:szCs w:val="24"/>
        </w:rPr>
        <w:t>the conditions laid down in</w:t>
      </w:r>
      <w:r w:rsidR="00243025">
        <w:rPr>
          <w:rFonts w:ascii="Arial" w:hAnsi="Arial" w:cs="Arial"/>
          <w:sz w:val="24"/>
          <w:szCs w:val="24"/>
        </w:rPr>
        <w:t xml:space="preserve"> </w:t>
      </w:r>
      <w:r w:rsidR="00243025" w:rsidRPr="00243025">
        <w:rPr>
          <w:rFonts w:ascii="Arial" w:hAnsi="Arial" w:cs="Arial"/>
          <w:sz w:val="24"/>
          <w:szCs w:val="24"/>
        </w:rPr>
        <w:t xml:space="preserve">Chapter V of </w:t>
      </w:r>
      <w:r w:rsidR="00341927">
        <w:rPr>
          <w:rFonts w:ascii="Arial" w:hAnsi="Arial" w:cs="Arial"/>
          <w:sz w:val="24"/>
          <w:szCs w:val="24"/>
        </w:rPr>
        <w:t xml:space="preserve">the </w:t>
      </w:r>
      <w:r w:rsidR="00341927" w:rsidRPr="00341927">
        <w:rPr>
          <w:rFonts w:ascii="Arial" w:hAnsi="Arial" w:cs="Arial"/>
          <w:sz w:val="24"/>
          <w:szCs w:val="24"/>
        </w:rPr>
        <w:t>General Data Protection Regulation</w:t>
      </w:r>
      <w:r w:rsidR="00341927">
        <w:rPr>
          <w:rFonts w:ascii="Arial" w:hAnsi="Arial" w:cs="Arial"/>
          <w:sz w:val="24"/>
          <w:szCs w:val="24"/>
        </w:rPr>
        <w:t xml:space="preserve"> (</w:t>
      </w:r>
      <w:r w:rsidR="00243025">
        <w:rPr>
          <w:rFonts w:ascii="Arial" w:hAnsi="Arial" w:cs="Arial"/>
          <w:sz w:val="24"/>
          <w:szCs w:val="24"/>
        </w:rPr>
        <w:t>GDPR</w:t>
      </w:r>
      <w:r w:rsidR="00341927">
        <w:rPr>
          <w:rFonts w:ascii="Arial" w:hAnsi="Arial" w:cs="Arial"/>
          <w:sz w:val="24"/>
          <w:szCs w:val="24"/>
        </w:rPr>
        <w:t>)</w:t>
      </w:r>
      <w:r w:rsidR="00243025">
        <w:rPr>
          <w:rFonts w:ascii="Arial" w:hAnsi="Arial" w:cs="Arial"/>
          <w:sz w:val="24"/>
          <w:szCs w:val="24"/>
        </w:rPr>
        <w:t xml:space="preserve"> </w:t>
      </w:r>
      <w:r w:rsidR="00243025" w:rsidRPr="00243025">
        <w:rPr>
          <w:rFonts w:ascii="Arial" w:hAnsi="Arial" w:cs="Arial"/>
          <w:sz w:val="24"/>
          <w:szCs w:val="24"/>
        </w:rPr>
        <w:t>are not complied with by the third-country authority</w:t>
      </w:r>
      <w:r w:rsidR="00346822">
        <w:rPr>
          <w:rFonts w:ascii="Arial" w:hAnsi="Arial" w:cs="Arial"/>
          <w:sz w:val="24"/>
          <w:szCs w:val="24"/>
        </w:rPr>
        <w:t>, sharing of data on an anonymised basis should be considered.</w:t>
      </w:r>
    </w:p>
    <w:p w14:paraId="4950333D" w14:textId="545E2333"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3A3755A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1C0A4F" w:rsidRPr="001C0A4F">
        <w:rPr>
          <w:rFonts w:ascii="Arial" w:hAnsi="Arial" w:cs="Arial"/>
          <w:sz w:val="24"/>
          <w:szCs w:val="24"/>
        </w:rPr>
        <w:t>Do you agree with the proposed Option 1? If not please explain. If yes, have you identified other benefits and costs not mentioned above associated to the proposed approach (Option 1)?</w:t>
      </w:r>
    </w:p>
    <w:p w14:paraId="5C8DB53B" w14:textId="58DE535A"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_05&gt;</w:t>
      </w:r>
    </w:p>
    <w:p w14:paraId="6528CFF4" w14:textId="5D8A31D8" w:rsidR="008A1BE9" w:rsidRPr="00AA60F5" w:rsidRDefault="008A1BE9" w:rsidP="002427D5">
      <w:pPr>
        <w:rPr>
          <w:rFonts w:ascii="Arial" w:hAnsi="Arial" w:cs="Arial"/>
          <w:sz w:val="24"/>
          <w:szCs w:val="24"/>
        </w:rPr>
      </w:pPr>
      <w:r>
        <w:rPr>
          <w:rFonts w:ascii="Arial" w:hAnsi="Arial" w:cs="Arial"/>
          <w:sz w:val="24"/>
          <w:szCs w:val="24"/>
        </w:rPr>
        <w:t xml:space="preserve">We agree with option 1, as only this option will produce </w:t>
      </w:r>
      <w:r w:rsidR="0004703F">
        <w:rPr>
          <w:rFonts w:ascii="Arial" w:hAnsi="Arial" w:cs="Arial"/>
          <w:sz w:val="24"/>
          <w:szCs w:val="24"/>
        </w:rPr>
        <w:t xml:space="preserve">consistent </w:t>
      </w:r>
      <w:r>
        <w:rPr>
          <w:rFonts w:ascii="Arial" w:hAnsi="Arial" w:cs="Arial"/>
          <w:sz w:val="24"/>
          <w:szCs w:val="24"/>
        </w:rPr>
        <w:t>cooperation agreements</w:t>
      </w:r>
      <w:r w:rsidR="0004703F">
        <w:rPr>
          <w:rFonts w:ascii="Arial" w:hAnsi="Arial" w:cs="Arial"/>
          <w:sz w:val="24"/>
          <w:szCs w:val="24"/>
        </w:rPr>
        <w:t xml:space="preserve"> across the EU.</w:t>
      </w:r>
    </w:p>
    <w:p w14:paraId="0064AA9F" w14:textId="3432B819"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38311DF" w14:textId="650C889D" w:rsidR="00726BC0" w:rsidRPr="00726BC0" w:rsidRDefault="002427D5" w:rsidP="00726BC0">
      <w:pPr>
        <w:pStyle w:val="Questionstyle"/>
        <w:rPr>
          <w:rFonts w:ascii="Arial" w:hAnsi="Arial" w:cs="Arial"/>
          <w:sz w:val="24"/>
          <w:szCs w:val="24"/>
        </w:rPr>
      </w:pPr>
      <w:r w:rsidRPr="00AA60F5">
        <w:rPr>
          <w:rFonts w:ascii="Arial" w:hAnsi="Arial" w:cs="Arial"/>
          <w:sz w:val="24"/>
          <w:szCs w:val="24"/>
        </w:rPr>
        <w:t xml:space="preserve">: </w:t>
      </w:r>
      <w:r w:rsidR="001C0A4F" w:rsidRPr="001C0A4F">
        <w:rPr>
          <w:rFonts w:ascii="Arial" w:hAnsi="Arial" w:cs="Arial"/>
          <w:sz w:val="24"/>
          <w:szCs w:val="24"/>
        </w:rPr>
        <w:t>If you advocated for a different approach, how would it impact the cost and benefit assessment? Please provide details.</w:t>
      </w:r>
    </w:p>
    <w:p w14:paraId="7F980B8E" w14:textId="18F6C78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_06&gt;</w:t>
      </w:r>
    </w:p>
    <w:p w14:paraId="41CB6401" w14:textId="094F97DE" w:rsidR="0004703F" w:rsidRPr="00AA60F5" w:rsidRDefault="0004703F" w:rsidP="002427D5">
      <w:pPr>
        <w:rPr>
          <w:rFonts w:ascii="Arial" w:hAnsi="Arial" w:cs="Arial"/>
          <w:sz w:val="24"/>
          <w:szCs w:val="24"/>
        </w:rPr>
      </w:pPr>
      <w:r>
        <w:rPr>
          <w:rFonts w:ascii="Arial" w:hAnsi="Arial" w:cs="Arial"/>
          <w:sz w:val="24"/>
          <w:szCs w:val="24"/>
        </w:rPr>
        <w:t>We do not advocate for a different approach.</w:t>
      </w:r>
    </w:p>
    <w:p w14:paraId="372799DE" w14:textId="7683B159" w:rsidR="00793CF7" w:rsidRDefault="002427D5">
      <w:pPr>
        <w:rPr>
          <w:rFonts w:ascii="Arial" w:hAnsi="Arial" w:cs="Arial"/>
          <w:sz w:val="24"/>
          <w:szCs w:val="24"/>
        </w:rPr>
      </w:pPr>
      <w:r w:rsidRPr="00AA60F5">
        <w:rPr>
          <w:rFonts w:ascii="Arial" w:hAnsi="Arial" w:cs="Arial"/>
          <w:sz w:val="24"/>
          <w:szCs w:val="24"/>
        </w:rPr>
        <w:t>&lt;ESMA_QUESTION_</w:t>
      </w:r>
      <w:r w:rsidR="001C0A4F">
        <w:rPr>
          <w:rFonts w:ascii="Arial" w:hAnsi="Arial" w:cs="Arial"/>
          <w:sz w:val="24"/>
          <w:szCs w:val="24"/>
        </w:rPr>
        <w:t>CA79</w:t>
      </w:r>
      <w:r w:rsidRPr="00AA60F5">
        <w:rPr>
          <w:rFonts w:ascii="Arial" w:hAnsi="Arial" w:cs="Arial"/>
          <w:sz w:val="24"/>
          <w:szCs w:val="24"/>
        </w:rPr>
        <w:t>_06&gt;</w:t>
      </w:r>
    </w:p>
    <w:p w14:paraId="68C158CC" w14:textId="5C787F12" w:rsidR="00726BC0" w:rsidRDefault="00726BC0">
      <w:pPr>
        <w:rPr>
          <w:rFonts w:ascii="Arial" w:hAnsi="Arial" w:cs="Arial"/>
          <w:sz w:val="24"/>
          <w:szCs w:val="24"/>
        </w:rPr>
      </w:pPr>
    </w:p>
    <w:p w14:paraId="15AFC423" w14:textId="4366920B" w:rsidR="00726BC0" w:rsidRDefault="00726BC0" w:rsidP="00726BC0">
      <w:pPr>
        <w:pStyle w:val="Questionstyle"/>
        <w:rPr>
          <w:rFonts w:ascii="Arial" w:hAnsi="Arial" w:cs="Arial"/>
          <w:sz w:val="24"/>
          <w:szCs w:val="24"/>
        </w:rPr>
      </w:pPr>
      <w:r w:rsidRPr="00726BC0">
        <w:rPr>
          <w:rFonts w:ascii="Arial" w:hAnsi="Arial" w:cs="Arial"/>
          <w:sz w:val="24"/>
          <w:szCs w:val="24"/>
        </w:rPr>
        <w:t xml:space="preserve">: </w:t>
      </w:r>
      <w:r w:rsidR="001C0A4F" w:rsidRPr="001C0A4F">
        <w:rPr>
          <w:rFonts w:ascii="Arial" w:hAnsi="Arial" w:cs="Arial"/>
          <w:sz w:val="24"/>
          <w:szCs w:val="24"/>
        </w:rPr>
        <w:t>Do you agree with the template? If not, please explain why</w:t>
      </w:r>
      <w:r w:rsidR="001C0A4F">
        <w:rPr>
          <w:rFonts w:ascii="Arial" w:hAnsi="Arial" w:cs="Arial"/>
          <w:sz w:val="24"/>
          <w:szCs w:val="24"/>
        </w:rPr>
        <w:t>.</w:t>
      </w:r>
    </w:p>
    <w:p w14:paraId="200348FB" w14:textId="1C212B86" w:rsidR="00726BC0" w:rsidRDefault="00726BC0" w:rsidP="00726BC0">
      <w:pPr>
        <w:rPr>
          <w:rFonts w:ascii="Arial" w:hAnsi="Arial" w:cs="Arial"/>
          <w:sz w:val="24"/>
          <w:szCs w:val="24"/>
        </w:rPr>
      </w:pPr>
      <w:r w:rsidRPr="00726BC0">
        <w:rPr>
          <w:rFonts w:ascii="Arial" w:hAnsi="Arial" w:cs="Arial"/>
          <w:sz w:val="24"/>
          <w:szCs w:val="24"/>
        </w:rPr>
        <w:lastRenderedPageBreak/>
        <w:t>&lt;ESMA_QUESTION_</w:t>
      </w:r>
      <w:r w:rsidR="001C0A4F">
        <w:rPr>
          <w:rFonts w:ascii="Arial" w:hAnsi="Arial" w:cs="Arial"/>
          <w:sz w:val="24"/>
          <w:szCs w:val="24"/>
        </w:rPr>
        <w:t>CA79</w:t>
      </w:r>
      <w:r w:rsidRPr="00726BC0">
        <w:rPr>
          <w:rFonts w:ascii="Arial" w:hAnsi="Arial" w:cs="Arial"/>
          <w:sz w:val="24"/>
          <w:szCs w:val="24"/>
        </w:rPr>
        <w:t>_0</w:t>
      </w:r>
      <w:r>
        <w:rPr>
          <w:rFonts w:ascii="Arial" w:hAnsi="Arial" w:cs="Arial"/>
          <w:sz w:val="24"/>
          <w:szCs w:val="24"/>
        </w:rPr>
        <w:t>7</w:t>
      </w:r>
      <w:r w:rsidRPr="00726BC0">
        <w:rPr>
          <w:rFonts w:ascii="Arial" w:hAnsi="Arial" w:cs="Arial"/>
          <w:sz w:val="24"/>
          <w:szCs w:val="24"/>
        </w:rPr>
        <w:t>&gt;</w:t>
      </w:r>
    </w:p>
    <w:p w14:paraId="3F8F7E62" w14:textId="09B09A58" w:rsidR="000C5488" w:rsidRPr="00726BC0" w:rsidRDefault="000C5488" w:rsidP="00726BC0">
      <w:pPr>
        <w:rPr>
          <w:rFonts w:ascii="Arial" w:hAnsi="Arial" w:cs="Arial"/>
          <w:sz w:val="24"/>
          <w:szCs w:val="24"/>
        </w:rPr>
      </w:pPr>
      <w:r>
        <w:rPr>
          <w:rFonts w:ascii="Arial" w:hAnsi="Arial" w:cs="Arial"/>
          <w:sz w:val="24"/>
          <w:szCs w:val="24"/>
        </w:rPr>
        <w:t xml:space="preserve">We welcome that ESMA has produced a template agreement, which will make drafting such agreements on a consistent basis much easier. We however </w:t>
      </w:r>
      <w:r w:rsidR="00F856AE">
        <w:rPr>
          <w:rFonts w:ascii="Arial" w:hAnsi="Arial" w:cs="Arial"/>
          <w:sz w:val="24"/>
          <w:szCs w:val="24"/>
        </w:rPr>
        <w:t>want to highlight that there needs to be a sufficient level of flexibility to accommodate different regulatory frameworks in other countries</w:t>
      </w:r>
      <w:r w:rsidR="00D746D6">
        <w:rPr>
          <w:rFonts w:ascii="Arial" w:hAnsi="Arial" w:cs="Arial"/>
          <w:sz w:val="24"/>
          <w:szCs w:val="24"/>
        </w:rPr>
        <w:t>.</w:t>
      </w:r>
    </w:p>
    <w:p w14:paraId="254E85CB" w14:textId="13EE487F" w:rsidR="00726BC0" w:rsidRPr="00726BC0" w:rsidRDefault="00726BC0" w:rsidP="00726BC0">
      <w:pPr>
        <w:rPr>
          <w:rFonts w:ascii="Arial" w:hAnsi="Arial" w:cs="Arial"/>
          <w:sz w:val="24"/>
          <w:szCs w:val="24"/>
        </w:rPr>
      </w:pPr>
      <w:r w:rsidRPr="00726BC0">
        <w:rPr>
          <w:rFonts w:ascii="Arial" w:hAnsi="Arial" w:cs="Arial"/>
          <w:sz w:val="24"/>
          <w:szCs w:val="24"/>
        </w:rPr>
        <w:t>&lt;ESMA_QUESTION_</w:t>
      </w:r>
      <w:r w:rsidR="001C0A4F">
        <w:rPr>
          <w:rFonts w:ascii="Arial" w:hAnsi="Arial" w:cs="Arial"/>
          <w:sz w:val="24"/>
          <w:szCs w:val="24"/>
        </w:rPr>
        <w:t>CA79</w:t>
      </w:r>
      <w:r w:rsidRPr="00726BC0">
        <w:rPr>
          <w:rFonts w:ascii="Arial" w:hAnsi="Arial" w:cs="Arial"/>
          <w:sz w:val="24"/>
          <w:szCs w:val="24"/>
        </w:rPr>
        <w:t>_0</w:t>
      </w:r>
      <w:r>
        <w:rPr>
          <w:rFonts w:ascii="Arial" w:hAnsi="Arial" w:cs="Arial"/>
          <w:sz w:val="24"/>
          <w:szCs w:val="24"/>
        </w:rPr>
        <w:t>7</w:t>
      </w:r>
      <w:r w:rsidRPr="00726BC0">
        <w:rPr>
          <w:rFonts w:ascii="Arial" w:hAnsi="Arial" w:cs="Arial"/>
          <w:sz w:val="24"/>
          <w:szCs w:val="24"/>
        </w:rPr>
        <w:t>&gt;</w:t>
      </w:r>
    </w:p>
    <w:sectPr w:rsidR="00726BC0" w:rsidRPr="00726B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DD4" w14:textId="77777777" w:rsidR="00DE41ED" w:rsidRDefault="00DE41ED">
      <w:pPr>
        <w:spacing w:after="0" w:line="240" w:lineRule="auto"/>
      </w:pPr>
      <w:r>
        <w:separator/>
      </w:r>
    </w:p>
  </w:endnote>
  <w:endnote w:type="continuationSeparator" w:id="0">
    <w:p w14:paraId="4C740A5E" w14:textId="77777777" w:rsidR="00DE41ED" w:rsidRDefault="00DE41ED">
      <w:pPr>
        <w:spacing w:after="0" w:line="240" w:lineRule="auto"/>
      </w:pPr>
      <w:r>
        <w:continuationSeparator/>
      </w:r>
    </w:p>
  </w:endnote>
  <w:endnote w:type="continuationNotice" w:id="1">
    <w:p w14:paraId="1B9D2C77" w14:textId="77777777" w:rsidR="00DE41ED" w:rsidRDefault="00DE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30D81205" w:rsidR="00036C28" w:rsidRDefault="00036C28">
        <w:pPr>
          <w:pStyle w:val="Footer"/>
          <w:jc w:val="center"/>
        </w:pPr>
        <w:r>
          <w:fldChar w:fldCharType="begin"/>
        </w:r>
        <w:r>
          <w:instrText xml:space="preserve"> PAGE   \* MERGEFORMAT </w:instrText>
        </w:r>
        <w:r>
          <w:fldChar w:fldCharType="separate"/>
        </w:r>
        <w:r w:rsidR="001D0AA9">
          <w:rPr>
            <w:noProof/>
          </w:rPr>
          <w:t>3</w:t>
        </w:r>
        <w:r>
          <w:rPr>
            <w:noProof/>
          </w:rPr>
          <w:fldChar w:fldCharType="end"/>
        </w:r>
      </w:p>
    </w:sdtContent>
  </w:sdt>
  <w:p w14:paraId="1FEDE5B9" w14:textId="77777777" w:rsidR="00036C28" w:rsidRDefault="00036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0A4C26BC" w:rsidR="00036C28" w:rsidRPr="004E0345" w:rsidRDefault="00036C28" w:rsidP="00036C28">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3C38CD">
      <w:rPr>
        <w:rFonts w:asciiTheme="minorHAnsi" w:hAnsiTheme="minorHAnsi" w:cstheme="minorHAnsi"/>
        <w:color w:val="FFFFFF" w:themeColor="background1"/>
      </w:rPr>
      <w:t>19/05/</w:t>
    </w:r>
    <w:r w:rsidR="00726BC0">
      <w:rPr>
        <w:rFonts w:asciiTheme="minorHAnsi" w:hAnsiTheme="minorHAnsi" w:cstheme="minorHAnsi"/>
        <w:color w:val="FFFFFF" w:themeColor="background1"/>
      </w:rPr>
      <w:t>2022</w:t>
    </w:r>
    <w:r w:rsidRPr="004E0345">
      <w:rPr>
        <w:rFonts w:asciiTheme="minorHAnsi" w:hAnsiTheme="minorHAnsi" w:cstheme="minorHAnsi"/>
        <w:color w:val="FFFFFF" w:themeColor="background1"/>
      </w:rPr>
      <w:t xml:space="preserve"> | </w:t>
    </w:r>
    <w:r w:rsidR="00726BC0">
      <w:rPr>
        <w:rFonts w:asciiTheme="majorHAnsi" w:hAnsiTheme="majorHAnsi"/>
        <w:color w:val="FFFFFF" w:themeColor="background1"/>
      </w:rPr>
      <w:t>ESMA91-372-1630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7101" w14:textId="77777777" w:rsidR="00DE41ED" w:rsidRDefault="00DE41ED">
      <w:pPr>
        <w:spacing w:after="0" w:line="240" w:lineRule="auto"/>
      </w:pPr>
      <w:r>
        <w:separator/>
      </w:r>
    </w:p>
  </w:footnote>
  <w:footnote w:type="continuationSeparator" w:id="0">
    <w:p w14:paraId="698225E9" w14:textId="77777777" w:rsidR="00DE41ED" w:rsidRDefault="00DE41ED">
      <w:pPr>
        <w:spacing w:after="0" w:line="240" w:lineRule="auto"/>
      </w:pPr>
      <w:r>
        <w:continuationSeparator/>
      </w:r>
    </w:p>
  </w:footnote>
  <w:footnote w:type="continuationNotice" w:id="1">
    <w:p w14:paraId="1FC30627" w14:textId="77777777" w:rsidR="00DE41ED" w:rsidRDefault="00DE4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036C28" w:rsidRDefault="00036C28">
    <w:pPr>
      <w:pStyle w:val="Header"/>
    </w:pPr>
  </w:p>
  <w:p w14:paraId="406770CC" w14:textId="77777777" w:rsidR="00036C28" w:rsidRDefault="00036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036C28" w:rsidRDefault="00036C28">
    <w:pPr>
      <w:pStyle w:val="Header"/>
    </w:pPr>
    <w:r w:rsidRPr="003B08CB">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sidRPr="003B08CB">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12082892">
    <w:abstractNumId w:val="4"/>
  </w:num>
  <w:num w:numId="2" w16cid:durableId="1995638703">
    <w:abstractNumId w:val="0"/>
  </w:num>
  <w:num w:numId="3" w16cid:durableId="66462754">
    <w:abstractNumId w:val="2"/>
  </w:num>
  <w:num w:numId="4" w16cid:durableId="1169711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0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D5"/>
    <w:rsid w:val="00025CD0"/>
    <w:rsid w:val="00036C28"/>
    <w:rsid w:val="0004703F"/>
    <w:rsid w:val="00052ABA"/>
    <w:rsid w:val="000570AB"/>
    <w:rsid w:val="000A0A92"/>
    <w:rsid w:val="000C044A"/>
    <w:rsid w:val="000C5488"/>
    <w:rsid w:val="000D4B6F"/>
    <w:rsid w:val="0010625B"/>
    <w:rsid w:val="00130710"/>
    <w:rsid w:val="0017202F"/>
    <w:rsid w:val="001A3829"/>
    <w:rsid w:val="001C0A4F"/>
    <w:rsid w:val="001D0AA9"/>
    <w:rsid w:val="002427D5"/>
    <w:rsid w:val="00243025"/>
    <w:rsid w:val="00263173"/>
    <w:rsid w:val="002D28C7"/>
    <w:rsid w:val="00307DBC"/>
    <w:rsid w:val="00341927"/>
    <w:rsid w:val="00346822"/>
    <w:rsid w:val="00380307"/>
    <w:rsid w:val="003A7100"/>
    <w:rsid w:val="003B08CB"/>
    <w:rsid w:val="003C2509"/>
    <w:rsid w:val="003C38CD"/>
    <w:rsid w:val="003C45D8"/>
    <w:rsid w:val="004142DF"/>
    <w:rsid w:val="00443021"/>
    <w:rsid w:val="00464DE9"/>
    <w:rsid w:val="004A07FC"/>
    <w:rsid w:val="004D522C"/>
    <w:rsid w:val="004E0345"/>
    <w:rsid w:val="004E6FD5"/>
    <w:rsid w:val="005069D3"/>
    <w:rsid w:val="00552D90"/>
    <w:rsid w:val="00561591"/>
    <w:rsid w:val="00563678"/>
    <w:rsid w:val="00583B0E"/>
    <w:rsid w:val="005A69F7"/>
    <w:rsid w:val="005C24AE"/>
    <w:rsid w:val="006424D1"/>
    <w:rsid w:val="00661C42"/>
    <w:rsid w:val="006724AA"/>
    <w:rsid w:val="00682DF8"/>
    <w:rsid w:val="006A4B2D"/>
    <w:rsid w:val="007162F0"/>
    <w:rsid w:val="00726BC0"/>
    <w:rsid w:val="00734C5A"/>
    <w:rsid w:val="00793CF7"/>
    <w:rsid w:val="007E0ABC"/>
    <w:rsid w:val="007E5217"/>
    <w:rsid w:val="008167AC"/>
    <w:rsid w:val="00857654"/>
    <w:rsid w:val="00893DE4"/>
    <w:rsid w:val="00896229"/>
    <w:rsid w:val="008A1BE9"/>
    <w:rsid w:val="00925514"/>
    <w:rsid w:val="009356A1"/>
    <w:rsid w:val="009612F8"/>
    <w:rsid w:val="009E6376"/>
    <w:rsid w:val="00A06559"/>
    <w:rsid w:val="00A25B15"/>
    <w:rsid w:val="00A31B88"/>
    <w:rsid w:val="00A336F2"/>
    <w:rsid w:val="00A84350"/>
    <w:rsid w:val="00A92D8C"/>
    <w:rsid w:val="00AA1BB1"/>
    <w:rsid w:val="00AA60F5"/>
    <w:rsid w:val="00AA7659"/>
    <w:rsid w:val="00AB5E67"/>
    <w:rsid w:val="00B01D39"/>
    <w:rsid w:val="00B478F4"/>
    <w:rsid w:val="00C11785"/>
    <w:rsid w:val="00C26F68"/>
    <w:rsid w:val="00C4072F"/>
    <w:rsid w:val="00C567F0"/>
    <w:rsid w:val="00C57671"/>
    <w:rsid w:val="00C90947"/>
    <w:rsid w:val="00C92D47"/>
    <w:rsid w:val="00CB579B"/>
    <w:rsid w:val="00D100B0"/>
    <w:rsid w:val="00D1149B"/>
    <w:rsid w:val="00D3045E"/>
    <w:rsid w:val="00D342D8"/>
    <w:rsid w:val="00D40D96"/>
    <w:rsid w:val="00D46FCA"/>
    <w:rsid w:val="00D55B33"/>
    <w:rsid w:val="00D73072"/>
    <w:rsid w:val="00D746D6"/>
    <w:rsid w:val="00DE382F"/>
    <w:rsid w:val="00DE41ED"/>
    <w:rsid w:val="00E24D38"/>
    <w:rsid w:val="00E33BF9"/>
    <w:rsid w:val="00EA18BF"/>
    <w:rsid w:val="00EC075B"/>
    <w:rsid w:val="00EC146A"/>
    <w:rsid w:val="00ED0F1C"/>
    <w:rsid w:val="00EE7743"/>
    <w:rsid w:val="00EF0B7E"/>
    <w:rsid w:val="00EF798E"/>
    <w:rsid w:val="00F052AA"/>
    <w:rsid w:val="00F71C85"/>
    <w:rsid w:val="00F84911"/>
    <w:rsid w:val="00F856AE"/>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130710"/>
    <w:pPr>
      <w:spacing w:after="0" w:line="240" w:lineRule="auto"/>
    </w:pPr>
  </w:style>
  <w:style w:type="table" w:styleId="TableGrid">
    <w:name w:val="Table Grid"/>
    <w:basedOn w:val="TableNormal"/>
    <w:uiPriority w:val="39"/>
    <w:rsid w:val="00D1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0AA9"/>
    <w:rPr>
      <w:b/>
      <w:bCs/>
    </w:rPr>
  </w:style>
  <w:style w:type="character" w:customStyle="1" w:styleId="CommentSubjectChar">
    <w:name w:val="Comment Subject Char"/>
    <w:basedOn w:val="CommentTextChar"/>
    <w:link w:val="CommentSubject"/>
    <w:uiPriority w:val="99"/>
    <w:semiHidden/>
    <w:rsid w:val="001D0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5659">
      <w:bodyDiv w:val="1"/>
      <w:marLeft w:val="0"/>
      <w:marRight w:val="0"/>
      <w:marTop w:val="0"/>
      <w:marBottom w:val="0"/>
      <w:divBdr>
        <w:top w:val="none" w:sz="0" w:space="0" w:color="auto"/>
        <w:left w:val="none" w:sz="0" w:space="0" w:color="auto"/>
        <w:bottom w:val="none" w:sz="0" w:space="0" w:color="auto"/>
        <w:right w:val="none" w:sz="0" w:space="0" w:color="auto"/>
      </w:divBdr>
    </w:div>
    <w:div w:id="11088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b1af2f151fee4e71ab04d3be0acf309a>
    <c0a75b1bac544bb79ff9701b7c8df79e xmlns="52e67915-6641-4f72-9fe9-b8cc95953e2e">
      <Terms xmlns="http://schemas.microsoft.com/office/infopath/2007/PartnerControls"/>
    </c0a75b1bac544bb79ff9701b7c8df79e>
    <MeetingDate xmlns="52e67915-6641-4f72-9fe9-b8cc95953e2e" xsi:nil="true"/>
    <TaxCatchAll xmlns="52e67915-6641-4f72-9fe9-b8cc95953e2e"/>
    <IconOverlay xmlns="http://schemas.microsoft.com/sharepoint/v4" xsi:nil="true"/>
    <Year xmlns="52e67915-6641-4f72-9fe9-b8cc95953e2e"/>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ocd626d180d94eeaae0a33d4a9b513ce>
    <ac4f39f6cc8445948be69a6c278de6ef xmlns="52e67915-6641-4f72-9fe9-b8cc95953e2e">
      <Terms xmlns="http://schemas.microsoft.com/office/infopath/2007/PartnerControls"/>
    </ac4f39f6cc8445948be69a6c278de6ef>
    <c4c347a134a6410b9867f4d35258a852 xmlns="52e67915-6641-4f72-9fe9-b8cc95953e2e">
      <Terms xmlns="http://schemas.microsoft.com/office/infopath/2007/PartnerControls"/>
    </c4c347a134a6410b9867f4d35258a852>
    <_dlc_DocId xmlns="52e67915-6641-4f72-9fe9-b8cc95953e2e" xsi:nil="true"/>
    <_dlc_DocIdUrl xmlns="52e67915-6641-4f72-9fe9-b8cc95953e2e">
      <Url xsi:nil="true"/>
      <Description xsi:nil="true"/>
    </_dlc_DocIdUrl>
  </documentManagement>
</p:propertie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CB9EE-3D7F-4697-8EB2-19FAB63D6C58}">
  <ds:schemaRefs>
    <ds:schemaRef ds:uri="http://schemas.openxmlformats.org/officeDocument/2006/bibliography"/>
  </ds:schemaRefs>
</ds:datastoreItem>
</file>

<file path=customXml/itemProps3.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4.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5.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1478</Words>
  <Characters>8428</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Ulrich Karl</cp:lastModifiedBy>
  <cp:revision>5</cp:revision>
  <dcterms:created xsi:type="dcterms:W3CDTF">2022-08-01T10:42:00Z</dcterms:created>
  <dcterms:modified xsi:type="dcterms:W3CDTF">2022-08-01T10:55:00Z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cc5eb372-2af6-4aed-85e8-6e2b92676a7b</vt:lpwstr>
  </property>
  <property fmtid="{D5CDD505-2E9C-101B-9397-08002B2CF9AE}" pid="10" name="_docset_NoMedatataSyncRequired">
    <vt:lpwstr>False</vt:lpwstr>
  </property>
  <property fmtid="{D5CDD505-2E9C-101B-9397-08002B2CF9AE}" pid="11" name="_AdHocReviewCycleID">
    <vt:i4>1782061167</vt:i4>
  </property>
  <property fmtid="{D5CDD505-2E9C-101B-9397-08002B2CF9AE}" pid="12" name="_NewReviewCycle">
    <vt:lpwstr/>
  </property>
  <property fmtid="{D5CDD505-2E9C-101B-9397-08002B2CF9AE}" pid="13" name="_EmailSubject">
    <vt:lpwstr>[EXTERNAL] Agenda, materials and Zoom details for the ISDA Clearing Member Committee call on Monday 25th July</vt:lpwstr>
  </property>
  <property fmtid="{D5CDD505-2E9C-101B-9397-08002B2CF9AE}" pid="14" name="_AuthorEmail">
    <vt:lpwstr>Gert.Ellerkmann@abnamroclearing.com</vt:lpwstr>
  </property>
  <property fmtid="{D5CDD505-2E9C-101B-9397-08002B2CF9AE}" pid="15" name="_AuthorEmailDisplayName">
    <vt:lpwstr>Ellerkmann, Gert</vt:lpwstr>
  </property>
  <property fmtid="{D5CDD505-2E9C-101B-9397-08002B2CF9AE}" pid="16" name="_ReviewingToolsShownOnce">
    <vt:lpwstr/>
  </property>
</Properties>
</file>