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sz w:val="28"/>
          <w:szCs w:val="24"/>
          <w:lang w:eastAsia="de-DE"/>
        </w:rPr>
        <w:id w:val="-973058580"/>
        <w:docPartObj>
          <w:docPartGallery w:val="Cover Pages"/>
          <w:docPartUnique/>
        </w:docPartObj>
      </w:sdtPr>
      <w:sdtEndPr>
        <w:rPr>
          <w:rFonts w:ascii="Arial" w:eastAsia="Times New Roman" w:hAnsi="Arial" w:cs="Times New Roman"/>
          <w:b w:val="0"/>
          <w:bCs/>
          <w:iCs/>
          <w:sz w:val="17"/>
        </w:rPr>
      </w:sdtEndPr>
      <w:sdtContent>
        <w:p w14:paraId="60E0DB7B" w14:textId="77777777"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14:paraId="11ED3B68" w14:textId="77777777" w:rsidTr="00E10D8E">
            <w:trPr>
              <w:trHeight w:hRule="exact" w:val="1423"/>
            </w:trPr>
            <w:tc>
              <w:tcPr>
                <w:tcW w:w="9412" w:type="dxa"/>
                <w:vAlign w:val="bottom"/>
              </w:tcPr>
              <w:p w14:paraId="2D50DAF9" w14:textId="6FA25BFB" w:rsidR="007E7997" w:rsidRPr="005B6B12" w:rsidRDefault="00E10D8E" w:rsidP="007E7997">
                <w:pPr>
                  <w:pStyle w:val="Titel"/>
                </w:pPr>
                <w:r w:rsidRPr="00E10D8E">
                  <w:rPr>
                    <w:rFonts w:ascii="Arial" w:eastAsia="Times New Roman" w:hAnsi="Arial" w:cs="Arial"/>
                    <w:color w:val="2D4190"/>
                    <w:spacing w:val="0"/>
                    <w:sz w:val="40"/>
                    <w:szCs w:val="24"/>
                    <w:lang w:eastAsia="de-DE"/>
                  </w:rPr>
                  <w:t>Response form for the Joint Consultation Paper concerning</w:t>
                </w:r>
                <w:r>
                  <w:rPr>
                    <w:rFonts w:ascii="Arial" w:eastAsia="Times New Roman" w:hAnsi="Arial" w:cs="Arial"/>
                    <w:color w:val="2D4190"/>
                    <w:spacing w:val="0"/>
                    <w:sz w:val="40"/>
                    <w:szCs w:val="24"/>
                    <w:lang w:eastAsia="de-DE"/>
                  </w:rPr>
                  <w:t xml:space="preserve"> sustainable disclosures for STS securitisations</w:t>
                </w:r>
              </w:p>
            </w:tc>
          </w:tr>
          <w:tr w:rsidR="007E7997" w:rsidRPr="005B6B12" w14:paraId="1AB1E013" w14:textId="77777777" w:rsidTr="007E7997">
            <w:trPr>
              <w:trHeight w:hRule="exact" w:val="454"/>
            </w:trPr>
            <w:tc>
              <w:tcPr>
                <w:tcW w:w="9412" w:type="dxa"/>
                <w:tcMar>
                  <w:top w:w="142" w:type="dxa"/>
                </w:tcMar>
              </w:tcPr>
              <w:p w14:paraId="644A8A8B" w14:textId="77777777" w:rsidR="00B50534" w:rsidRPr="00B50534" w:rsidRDefault="00B50534" w:rsidP="00E10D8E">
                <w:pPr>
                  <w:pStyle w:val="Untertitel"/>
                </w:pPr>
              </w:p>
            </w:tc>
          </w:tr>
        </w:tbl>
        <w:p w14:paraId="34EDE9C2" w14:textId="77777777" w:rsidR="007E7997" w:rsidRPr="005B6B12" w:rsidRDefault="007E7997">
          <w:pPr>
            <w:spacing w:after="120" w:line="264" w:lineRule="auto"/>
          </w:pPr>
          <w:r w:rsidRPr="005B6B12">
            <w:rPr>
              <w:color w:val="FF0000"/>
            </w:rPr>
            <w:br w:type="page"/>
          </w:r>
        </w:p>
        <w:p w14:paraId="50EF4753" w14:textId="77777777" w:rsidR="007E7997" w:rsidRPr="005B6B12" w:rsidRDefault="007E7997">
          <w:pPr>
            <w:spacing w:after="120" w:line="264" w:lineRule="auto"/>
            <w:rPr>
              <w:rFonts w:asciiTheme="majorHAnsi" w:eastAsiaTheme="majorEastAsia" w:hAnsiTheme="majorHAnsi" w:cstheme="majorBidi"/>
              <w:sz w:val="32"/>
              <w:szCs w:val="32"/>
            </w:rPr>
            <w:sectPr w:rsidR="007E7997" w:rsidRPr="005B6B12"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52C1D76B" w14:textId="100A331D" w:rsidR="009F2FD3" w:rsidRPr="009F2FD3" w:rsidRDefault="003D0BD8" w:rsidP="009F2FD3">
          <w:pPr>
            <w:pStyle w:val="02Date"/>
            <w:spacing w:after="0"/>
            <w:jc w:val="right"/>
            <w:rPr>
              <w:rFonts w:ascii="Arial" w:hAnsi="Arial" w:cs="Arial"/>
            </w:rPr>
          </w:pPr>
          <w:r w:rsidRPr="009F2FD3">
            <w:rPr>
              <w:rFonts w:ascii="Arial" w:hAnsi="Arial" w:cs="Arial"/>
            </w:rPr>
            <w:lastRenderedPageBreak/>
            <w:t xml:space="preserve">Date: </w:t>
          </w:r>
          <w:r w:rsidR="00EA4224">
            <w:rPr>
              <w:rFonts w:ascii="Arial" w:hAnsi="Arial" w:cs="Arial"/>
            </w:rPr>
            <w:t>6</w:t>
          </w:r>
          <w:r w:rsidRPr="009F2FD3">
            <w:rPr>
              <w:rFonts w:ascii="Arial" w:hAnsi="Arial" w:cs="Arial"/>
            </w:rPr>
            <w:t xml:space="preserve"> May 2022</w:t>
          </w:r>
        </w:p>
        <w:p w14:paraId="069015E5" w14:textId="443CE277" w:rsidR="007E7997" w:rsidRPr="003D0BD8" w:rsidRDefault="009F2FD3" w:rsidP="009F2FD3">
          <w:pPr>
            <w:pStyle w:val="02Date"/>
            <w:spacing w:after="0"/>
            <w:jc w:val="right"/>
            <w:rPr>
              <w:rFonts w:ascii="Arial" w:hAnsi="Arial"/>
              <w:bCs/>
              <w:iCs/>
            </w:rPr>
          </w:pPr>
          <w:r w:rsidRPr="009F2FD3">
            <w:rPr>
              <w:rFonts w:ascii="Arial" w:hAnsi="Arial" w:cs="Arial"/>
            </w:rPr>
            <w:t>ESMA</w:t>
          </w:r>
          <w:r w:rsidR="002F54E6">
            <w:rPr>
              <w:rFonts w:ascii="Arial" w:hAnsi="Arial" w:cs="Arial"/>
            </w:rPr>
            <w:t>82-402-859</w:t>
          </w:r>
        </w:p>
      </w:sdtContent>
    </w:sdt>
    <w:p w14:paraId="50CD57A6" w14:textId="77777777" w:rsidR="00A16EC3" w:rsidRDefault="00A16EC3" w:rsidP="00A16EC3">
      <w:pPr>
        <w:tabs>
          <w:tab w:val="left" w:pos="2690"/>
        </w:tabs>
        <w:rPr>
          <w:rFonts w:ascii="Arial" w:eastAsia="Times New Roman" w:hAnsi="Arial" w:cs="Arial"/>
          <w:b/>
          <w:sz w:val="24"/>
          <w:szCs w:val="24"/>
          <w:lang w:eastAsia="de-DE"/>
        </w:rPr>
      </w:pPr>
    </w:p>
    <w:p w14:paraId="083B5710" w14:textId="77777777" w:rsidR="00A16EC3" w:rsidRDefault="00A16EC3" w:rsidP="00A16EC3">
      <w:pPr>
        <w:tabs>
          <w:tab w:val="left" w:pos="2690"/>
        </w:tabs>
        <w:rPr>
          <w:rFonts w:ascii="Arial" w:eastAsia="Times New Roman" w:hAnsi="Arial" w:cs="Arial"/>
          <w:b/>
          <w:sz w:val="24"/>
          <w:szCs w:val="24"/>
          <w:lang w:eastAsia="de-DE"/>
        </w:rPr>
      </w:pPr>
    </w:p>
    <w:p w14:paraId="7D4D60BD" w14:textId="70A86BC5" w:rsidR="00E10D8E" w:rsidRPr="00E10D8E" w:rsidRDefault="00E10D8E" w:rsidP="00A16EC3">
      <w:pPr>
        <w:tabs>
          <w:tab w:val="left" w:pos="2690"/>
        </w:tabs>
        <w:rPr>
          <w:rFonts w:ascii="Arial" w:eastAsia="Times New Roman" w:hAnsi="Arial" w:cs="Arial"/>
          <w:b/>
          <w:sz w:val="24"/>
          <w:szCs w:val="24"/>
          <w:lang w:eastAsia="de-DE"/>
        </w:rPr>
      </w:pPr>
      <w:r w:rsidRPr="00E10D8E">
        <w:rPr>
          <w:rFonts w:ascii="Arial" w:eastAsia="Times New Roman" w:hAnsi="Arial" w:cs="Arial"/>
          <w:b/>
          <w:sz w:val="24"/>
          <w:szCs w:val="24"/>
          <w:lang w:eastAsia="de-DE"/>
        </w:rPr>
        <w:t xml:space="preserve">Responding to this paper </w:t>
      </w:r>
    </w:p>
    <w:p w14:paraId="1C852095" w14:textId="250BF7B0" w:rsidR="00E10D8E" w:rsidRPr="009F2FD3" w:rsidRDefault="00E10D8E" w:rsidP="00E10D8E">
      <w:pPr>
        <w:spacing w:after="240" w:line="240" w:lineRule="auto"/>
        <w:rPr>
          <w:rStyle w:val="SchwacheHervorhebung"/>
          <w:i w:val="0"/>
          <w:color w:val="auto"/>
        </w:rPr>
      </w:pPr>
      <w:r w:rsidRPr="009F2FD3">
        <w:rPr>
          <w:rStyle w:val="SchwacheHervorhebung"/>
          <w:i w:val="0"/>
          <w:color w:val="auto"/>
        </w:rPr>
        <w:t>The European Supervisory Authorities (ESAs) welcome comments on this consultation paper setting out the proposed Regulatory Technical Standards (hereinafter “RTS”) on the content, methodologies and presentation of information in respect of the sustainability indicators in relation to adverse impacts on the climate and other environmental, social and governance-related adverse impacts pursuant to Articles 22(6) and 26d(6) of the Regulation (EU) 2017/2402 (</w:t>
      </w:r>
      <w:r w:rsidR="00A16EC3">
        <w:rPr>
          <w:rStyle w:val="SchwacheHervorhebung"/>
          <w:i w:val="0"/>
          <w:color w:val="auto"/>
        </w:rPr>
        <w:t xml:space="preserve">hereafter </w:t>
      </w:r>
      <w:r w:rsidRPr="009F2FD3">
        <w:rPr>
          <w:rStyle w:val="SchwacheHervorhebung"/>
          <w:i w:val="0"/>
          <w:color w:val="auto"/>
        </w:rPr>
        <w:t>the Securitisation Regulation)</w:t>
      </w:r>
      <w:r w:rsidR="00A16EC3">
        <w:rPr>
          <w:rStyle w:val="SchwacheHervorhebung"/>
          <w:i w:val="0"/>
          <w:color w:val="auto"/>
        </w:rPr>
        <w:t xml:space="preserve"> </w:t>
      </w:r>
      <w:r w:rsidRPr="009F2FD3">
        <w:rPr>
          <w:rStyle w:val="SchwacheHervorhebung"/>
          <w:i w:val="0"/>
          <w:color w:val="auto"/>
        </w:rPr>
        <w:t xml:space="preserve">and in particular on the specific questions summarised in Section </w:t>
      </w:r>
      <w:r w:rsidR="009F2FD3">
        <w:rPr>
          <w:rStyle w:val="SchwacheHervorhebung"/>
          <w:i w:val="0"/>
          <w:color w:val="auto"/>
        </w:rPr>
        <w:t>5</w:t>
      </w:r>
      <w:r w:rsidRPr="009F2FD3">
        <w:rPr>
          <w:rStyle w:val="SchwacheHervorhebung"/>
          <w:i w:val="0"/>
          <w:color w:val="auto"/>
        </w:rPr>
        <w:t xml:space="preserve"> of the consultation paper under “</w:t>
      </w:r>
      <w:r w:rsidR="009F2FD3">
        <w:rPr>
          <w:rStyle w:val="SchwacheHervorhebung"/>
          <w:i w:val="0"/>
          <w:color w:val="auto"/>
        </w:rPr>
        <w:t xml:space="preserve">List of </w:t>
      </w:r>
      <w:r w:rsidRPr="009F2FD3">
        <w:rPr>
          <w:rStyle w:val="SchwacheHervorhebung"/>
          <w:i w:val="0"/>
          <w:color w:val="auto"/>
        </w:rPr>
        <w:t>stakeholder</w:t>
      </w:r>
      <w:r w:rsidR="00A16EC3">
        <w:rPr>
          <w:rStyle w:val="SchwacheHervorhebung"/>
          <w:i w:val="0"/>
          <w:color w:val="auto"/>
        </w:rPr>
        <w:t xml:space="preserve"> questions</w:t>
      </w:r>
      <w:r w:rsidRPr="009F2FD3">
        <w:rPr>
          <w:rStyle w:val="SchwacheHervorhebung"/>
          <w:i w:val="0"/>
          <w:color w:val="auto"/>
        </w:rPr>
        <w:t xml:space="preserve">”. </w:t>
      </w:r>
    </w:p>
    <w:p w14:paraId="3A3FB997" w14:textId="77777777" w:rsidR="00E10D8E" w:rsidRPr="00E10D8E" w:rsidRDefault="00E10D8E" w:rsidP="00E10D8E">
      <w:pPr>
        <w:spacing w:after="240" w:line="240" w:lineRule="auto"/>
        <w:rPr>
          <w:rFonts w:ascii="Arial" w:eastAsia="Times New Roman" w:hAnsi="Arial" w:cs="Times New Roman"/>
          <w:bCs/>
          <w:iCs/>
          <w:szCs w:val="24"/>
          <w:lang w:eastAsia="de-DE"/>
        </w:rPr>
      </w:pPr>
      <w:r w:rsidRPr="00E10D8E">
        <w:rPr>
          <w:rFonts w:ascii="Arial" w:eastAsia="Times New Roman" w:hAnsi="Arial" w:cs="Times New Roman"/>
          <w:bCs/>
          <w:iCs/>
          <w:szCs w:val="24"/>
          <w:lang w:eastAsia="de-DE"/>
        </w:rPr>
        <w:t>Comments are most helpful if they:</w:t>
      </w:r>
    </w:p>
    <w:p w14:paraId="39BF97F1" w14:textId="77777777" w:rsidR="00E10D8E" w:rsidRPr="00E10D8E" w:rsidRDefault="00E10D8E" w:rsidP="00E10D8E">
      <w:pPr>
        <w:numPr>
          <w:ilvl w:val="0"/>
          <w:numId w:val="12"/>
        </w:numPr>
        <w:spacing w:after="0" w:line="240" w:lineRule="auto"/>
        <w:contextualSpacing/>
        <w:jc w:val="left"/>
        <w:rPr>
          <w:rFonts w:ascii="Arial" w:eastAsia="Times New Roman" w:hAnsi="Arial" w:cs="Times New Roman"/>
          <w:bCs/>
          <w:iCs/>
          <w:szCs w:val="24"/>
          <w:lang w:eastAsia="de-DE"/>
        </w:rPr>
      </w:pPr>
      <w:r w:rsidRPr="00E10D8E">
        <w:rPr>
          <w:rFonts w:ascii="Arial" w:eastAsia="Times New Roman" w:hAnsi="Arial" w:cs="Times New Roman"/>
          <w:bCs/>
          <w:iCs/>
          <w:szCs w:val="24"/>
          <w:lang w:eastAsia="de-DE"/>
        </w:rPr>
        <w:t>contain a clear rationale; and</w:t>
      </w:r>
    </w:p>
    <w:p w14:paraId="0634DA56" w14:textId="77777777" w:rsidR="00E10D8E" w:rsidRPr="009F2FD3" w:rsidRDefault="00E10D8E" w:rsidP="009F2FD3">
      <w:pPr>
        <w:numPr>
          <w:ilvl w:val="0"/>
          <w:numId w:val="12"/>
        </w:numPr>
        <w:spacing w:after="0" w:line="240" w:lineRule="auto"/>
        <w:contextualSpacing/>
        <w:jc w:val="left"/>
        <w:rPr>
          <w:rStyle w:val="SchwacheHervorhebung"/>
          <w:iCs w:val="0"/>
          <w:color w:val="auto"/>
        </w:rPr>
      </w:pPr>
      <w:r w:rsidRPr="00E10D8E">
        <w:rPr>
          <w:rFonts w:ascii="Arial" w:eastAsia="Times New Roman" w:hAnsi="Arial" w:cs="Times New Roman"/>
          <w:bCs/>
          <w:iCs/>
          <w:szCs w:val="24"/>
          <w:lang w:eastAsia="de-DE"/>
        </w:rPr>
        <w:t xml:space="preserve">describe any alternatives the ESAs should </w:t>
      </w:r>
      <w:r w:rsidRPr="009F2FD3">
        <w:rPr>
          <w:rStyle w:val="SchwacheHervorhebung"/>
          <w:iCs w:val="0"/>
          <w:color w:val="auto"/>
        </w:rPr>
        <w:t>consider.</w:t>
      </w:r>
    </w:p>
    <w:p w14:paraId="7CAA1F0A" w14:textId="77777777" w:rsidR="009F2FD3" w:rsidRDefault="009F2FD3" w:rsidP="009F2FD3">
      <w:pPr>
        <w:spacing w:after="240" w:line="240" w:lineRule="auto"/>
        <w:contextualSpacing/>
        <w:rPr>
          <w:rStyle w:val="SchwacheHervorhebung"/>
          <w:i w:val="0"/>
          <w:color w:val="auto"/>
        </w:rPr>
      </w:pPr>
    </w:p>
    <w:p w14:paraId="4A6569CD" w14:textId="2C84C5EF" w:rsidR="00E10D8E" w:rsidRPr="009F2FD3" w:rsidRDefault="00E10D8E" w:rsidP="009F2FD3">
      <w:pPr>
        <w:spacing w:after="240" w:line="240" w:lineRule="auto"/>
        <w:contextualSpacing/>
        <w:rPr>
          <w:rFonts w:ascii="Arial" w:eastAsia="Times New Roman" w:hAnsi="Arial" w:cs="Times New Roman"/>
          <w:bCs/>
          <w:i/>
          <w:szCs w:val="24"/>
          <w:lang w:eastAsia="de-DE"/>
        </w:rPr>
      </w:pPr>
      <w:r w:rsidRPr="009F2FD3">
        <w:rPr>
          <w:rStyle w:val="SchwacheHervorhebung"/>
          <w:i w:val="0"/>
          <w:color w:val="auto"/>
        </w:rPr>
        <w:t>When describing alternative approaches the ESAs encourage</w:t>
      </w:r>
      <w:r w:rsidRPr="009F2FD3">
        <w:rPr>
          <w:rFonts w:ascii="Arial" w:eastAsia="Times New Roman" w:hAnsi="Arial" w:cs="Times New Roman"/>
          <w:bCs/>
          <w:i/>
          <w:szCs w:val="24"/>
          <w:lang w:eastAsia="de-DE"/>
        </w:rPr>
        <w:t xml:space="preserve"> stakeholders to consider how the approach would achieve the aims of SFDR.</w:t>
      </w:r>
    </w:p>
    <w:p w14:paraId="2F98AD0C" w14:textId="77777777" w:rsidR="00E10D8E" w:rsidRPr="00E10D8E" w:rsidRDefault="00E10D8E" w:rsidP="00E10D8E">
      <w:pPr>
        <w:spacing w:after="0" w:line="240" w:lineRule="auto"/>
        <w:jc w:val="left"/>
        <w:rPr>
          <w:rFonts w:ascii="Arial" w:eastAsia="Times New Roman" w:hAnsi="Arial" w:cs="Times New Roman"/>
          <w:iCs/>
          <w:szCs w:val="24"/>
          <w:lang w:eastAsia="de-DE"/>
        </w:rPr>
      </w:pPr>
    </w:p>
    <w:p w14:paraId="0F337B75" w14:textId="77777777" w:rsidR="00E10D8E" w:rsidRPr="00E10D8E" w:rsidRDefault="00E10D8E" w:rsidP="00E10D8E">
      <w:pPr>
        <w:spacing w:after="120" w:line="240" w:lineRule="auto"/>
        <w:rPr>
          <w:rFonts w:ascii="Arial" w:eastAsia="Times New Roman" w:hAnsi="Arial" w:cs="Times New Roman"/>
          <w:b/>
          <w:iCs/>
          <w:szCs w:val="24"/>
          <w:lang w:eastAsia="de-DE"/>
        </w:rPr>
      </w:pPr>
      <w:r w:rsidRPr="00E10D8E">
        <w:rPr>
          <w:rFonts w:ascii="Arial" w:eastAsia="Times New Roman" w:hAnsi="Arial" w:cs="Times New Roman"/>
          <w:b/>
          <w:iCs/>
          <w:szCs w:val="24"/>
          <w:lang w:eastAsia="de-DE"/>
        </w:rPr>
        <w:t>Instructions</w:t>
      </w:r>
    </w:p>
    <w:p w14:paraId="4513DFAA" w14:textId="77777777" w:rsidR="00E10D8E" w:rsidRPr="00E10D8E" w:rsidRDefault="00E10D8E" w:rsidP="00E10D8E">
      <w:pPr>
        <w:spacing w:after="240"/>
        <w:rPr>
          <w:rFonts w:ascii="Arial" w:eastAsia="Times New Roman" w:hAnsi="Arial" w:cs="Times New Roman"/>
          <w:iCs/>
          <w:szCs w:val="24"/>
          <w:lang w:eastAsia="de-DE"/>
        </w:rPr>
      </w:pPr>
      <w:r w:rsidRPr="00E10D8E">
        <w:rPr>
          <w:rFonts w:ascii="Arial" w:eastAsia="Times New Roman" w:hAnsi="Arial" w:cs="Times New Roman"/>
          <w:iCs/>
          <w:szCs w:val="24"/>
          <w:lang w:eastAsia="de-DE"/>
        </w:rPr>
        <w:t>In order to facilitate analysis of responses to the Consultation Paper, respondents are requested to follow the below steps when preparing and submitting their response:</w:t>
      </w:r>
    </w:p>
    <w:p w14:paraId="26786463" w14:textId="77777777" w:rsidR="00E10D8E" w:rsidRPr="00A16EC3" w:rsidRDefault="00E10D8E" w:rsidP="00A16EC3">
      <w:pPr>
        <w:pStyle w:val="Listenabsatz"/>
        <w:rPr>
          <w:rStyle w:val="SchwacheHervorhebung"/>
          <w:i w:val="0"/>
          <w:color w:val="auto"/>
        </w:rPr>
      </w:pPr>
      <w:r w:rsidRPr="00A16EC3">
        <w:rPr>
          <w:rStyle w:val="SchwacheHervorhebung"/>
          <w:i w:val="0"/>
          <w:color w:val="auto"/>
        </w:rPr>
        <w:t xml:space="preserve">Insert your responses to the questions in the Consultation Paper in the present response form. </w:t>
      </w:r>
    </w:p>
    <w:p w14:paraId="73AFE575" w14:textId="7937C38F" w:rsidR="00E10D8E" w:rsidRPr="00A16EC3" w:rsidRDefault="00E10D8E" w:rsidP="00A16EC3">
      <w:pPr>
        <w:pStyle w:val="Listenabsatz"/>
        <w:rPr>
          <w:rStyle w:val="SchwacheHervorhebung"/>
          <w:i w:val="0"/>
          <w:color w:val="auto"/>
        </w:rPr>
      </w:pPr>
      <w:r w:rsidRPr="00A16EC3">
        <w:rPr>
          <w:rStyle w:val="SchwacheHervorhebung"/>
          <w:i w:val="0"/>
          <w:color w:val="auto"/>
        </w:rPr>
        <w:t>Please do not remove tags of the type &lt;ESA_QUESTION_STS</w:t>
      </w:r>
      <w:r w:rsidR="00230B22" w:rsidRPr="00A16EC3">
        <w:rPr>
          <w:rStyle w:val="SchwacheHervorhebung"/>
          <w:i w:val="0"/>
          <w:color w:val="auto"/>
        </w:rPr>
        <w:t>_SUS</w:t>
      </w:r>
      <w:r w:rsidR="00C4316E" w:rsidRPr="00A16EC3">
        <w:rPr>
          <w:rStyle w:val="SchwacheHervorhebung"/>
          <w:i w:val="0"/>
          <w:color w:val="auto"/>
        </w:rPr>
        <w:t>T</w:t>
      </w:r>
      <w:r w:rsidRPr="00A16EC3">
        <w:rPr>
          <w:rStyle w:val="SchwacheHervorhebung"/>
          <w:i w:val="0"/>
          <w:color w:val="auto"/>
        </w:rPr>
        <w:t>_1&gt;. Your response to each question has to be framed by the two tags corresponding to the question.</w:t>
      </w:r>
    </w:p>
    <w:p w14:paraId="3E029BE3" w14:textId="77777777" w:rsidR="00E10D8E" w:rsidRPr="00A16EC3" w:rsidRDefault="00E10D8E" w:rsidP="00A16EC3">
      <w:pPr>
        <w:pStyle w:val="Listenabsatz"/>
        <w:rPr>
          <w:rStyle w:val="SchwacheHervorhebung"/>
          <w:i w:val="0"/>
          <w:color w:val="auto"/>
        </w:rPr>
      </w:pPr>
      <w:r w:rsidRPr="00A16EC3">
        <w:rPr>
          <w:rStyle w:val="SchwacheHervorhebung"/>
          <w:i w:val="0"/>
          <w:color w:val="auto"/>
        </w:rPr>
        <w:t>If you do not wish to respond to a given question, please do not delete it but simply leave the text “TYPE YOUR TEXT HERE” between the tags.</w:t>
      </w:r>
    </w:p>
    <w:p w14:paraId="052319FA" w14:textId="5CEB3EC0" w:rsidR="00E10D8E" w:rsidRPr="00A16EC3" w:rsidRDefault="00E10D8E" w:rsidP="00A16EC3">
      <w:pPr>
        <w:pStyle w:val="Listenabsatz"/>
        <w:rPr>
          <w:rStyle w:val="SchwacheHervorhebung"/>
          <w:i w:val="0"/>
          <w:color w:val="auto"/>
        </w:rPr>
      </w:pPr>
      <w:r w:rsidRPr="00A16EC3">
        <w:rPr>
          <w:rStyle w:val="SchwacheHervorhebung"/>
          <w:i w:val="0"/>
          <w:color w:val="auto"/>
        </w:rPr>
        <w:t>When you have drafted your response, name your response form according to the following convention: ESA_S</w:t>
      </w:r>
      <w:r w:rsidR="003C3E5C" w:rsidRPr="00A16EC3">
        <w:rPr>
          <w:rStyle w:val="SchwacheHervorhebung"/>
          <w:i w:val="0"/>
          <w:color w:val="auto"/>
        </w:rPr>
        <w:t>TS_SUST</w:t>
      </w:r>
      <w:r w:rsidRPr="00A16EC3">
        <w:rPr>
          <w:rStyle w:val="SchwacheHervorhebung"/>
          <w:i w:val="0"/>
          <w:color w:val="auto"/>
        </w:rPr>
        <w:t>_nameofrespondent_RESPONSEFORM. For example, for a respondent named ABCD, the response form would be entitled ESA_</w:t>
      </w:r>
      <w:r w:rsidR="00C4316E" w:rsidRPr="00A16EC3">
        <w:rPr>
          <w:rStyle w:val="SchwacheHervorhebung"/>
          <w:i w:val="0"/>
          <w:color w:val="auto"/>
        </w:rPr>
        <w:t>S</w:t>
      </w:r>
      <w:r w:rsidR="003C3E5C" w:rsidRPr="00A16EC3">
        <w:rPr>
          <w:rStyle w:val="SchwacheHervorhebung"/>
          <w:i w:val="0"/>
          <w:color w:val="auto"/>
        </w:rPr>
        <w:t>T</w:t>
      </w:r>
      <w:r w:rsidR="00C4316E" w:rsidRPr="00A16EC3">
        <w:rPr>
          <w:rStyle w:val="SchwacheHervorhebung"/>
          <w:i w:val="0"/>
          <w:color w:val="auto"/>
        </w:rPr>
        <w:t>S</w:t>
      </w:r>
      <w:r w:rsidR="003C3E5C" w:rsidRPr="00A16EC3">
        <w:rPr>
          <w:rStyle w:val="SchwacheHervorhebung"/>
          <w:i w:val="0"/>
          <w:color w:val="auto"/>
        </w:rPr>
        <w:t>_SUST</w:t>
      </w:r>
      <w:r w:rsidRPr="00A16EC3">
        <w:rPr>
          <w:rStyle w:val="SchwacheHervorhebung"/>
          <w:i w:val="0"/>
          <w:color w:val="auto"/>
        </w:rPr>
        <w:t>_ABCD_RESPONSEFORM.</w:t>
      </w:r>
    </w:p>
    <w:p w14:paraId="2EA83C60" w14:textId="776FE385" w:rsidR="00E10D8E" w:rsidRPr="00A16EC3" w:rsidRDefault="00E10D8E" w:rsidP="00A16EC3">
      <w:pPr>
        <w:pStyle w:val="Listenabsatz"/>
        <w:rPr>
          <w:rFonts w:ascii="Arial" w:eastAsia="Times New Roman" w:hAnsi="Arial" w:cs="Times New Roman"/>
          <w:szCs w:val="24"/>
          <w:lang w:eastAsia="de-DE"/>
        </w:rPr>
      </w:pPr>
      <w:r w:rsidRPr="00A16EC3">
        <w:rPr>
          <w:rStyle w:val="SchwacheHervorhebung"/>
          <w:i w:val="0"/>
          <w:color w:val="auto"/>
        </w:rPr>
        <w:t>The consultation paper is available on the websites of the three ESAs and the Joint</w:t>
      </w:r>
      <w:r w:rsidRPr="00A16EC3">
        <w:rPr>
          <w:rFonts w:ascii="Arial" w:eastAsia="Times New Roman" w:hAnsi="Arial" w:cs="Times New Roman"/>
          <w:szCs w:val="24"/>
          <w:lang w:eastAsia="de-DE"/>
        </w:rPr>
        <w:t xml:space="preserve"> Committee. Comments on this consultation paper can be sent using the response form, via the </w:t>
      </w:r>
      <w:hyperlink r:id="rId14" w:history="1">
        <w:r w:rsidRPr="00A16EC3">
          <w:rPr>
            <w:rFonts w:ascii="Arial" w:eastAsia="Times New Roman" w:hAnsi="Arial" w:cs="Arial"/>
            <w:color w:val="0000FF"/>
            <w:szCs w:val="24"/>
            <w:u w:val="single"/>
            <w:lang w:eastAsia="de-DE"/>
          </w:rPr>
          <w:t>ESMA website</w:t>
        </w:r>
      </w:hyperlink>
      <w:r w:rsidRPr="00A16EC3">
        <w:rPr>
          <w:rFonts w:ascii="Arial" w:eastAsia="Times New Roman" w:hAnsi="Arial" w:cs="Times New Roman"/>
          <w:sz w:val="24"/>
          <w:szCs w:val="24"/>
          <w:lang w:eastAsia="de-DE"/>
        </w:rPr>
        <w:t xml:space="preserve"> </w:t>
      </w:r>
      <w:r w:rsidRPr="00A16EC3">
        <w:rPr>
          <w:rFonts w:ascii="Arial" w:eastAsia="Times New Roman" w:hAnsi="Arial" w:cs="Times New Roman"/>
          <w:szCs w:val="24"/>
          <w:lang w:eastAsia="de-DE"/>
        </w:rPr>
        <w:t xml:space="preserve">under the heading ‘Your input - Consultations’ by </w:t>
      </w:r>
      <w:r w:rsidR="003C3E5C" w:rsidRPr="00332050">
        <w:rPr>
          <w:rFonts w:ascii="Arial" w:eastAsia="Times New Roman" w:hAnsi="Arial" w:cs="Times New Roman"/>
          <w:b/>
          <w:szCs w:val="24"/>
          <w:lang w:eastAsia="de-DE"/>
        </w:rPr>
        <w:t>2 July</w:t>
      </w:r>
      <w:r w:rsidRPr="00332050">
        <w:rPr>
          <w:rFonts w:ascii="Arial" w:eastAsia="Times New Roman" w:hAnsi="Arial" w:cs="Times New Roman"/>
          <w:b/>
          <w:szCs w:val="24"/>
          <w:lang w:eastAsia="de-DE"/>
        </w:rPr>
        <w:t xml:space="preserve"> 202</w:t>
      </w:r>
      <w:r w:rsidR="003C3E5C" w:rsidRPr="00332050">
        <w:rPr>
          <w:rFonts w:ascii="Arial" w:eastAsia="Times New Roman" w:hAnsi="Arial" w:cs="Times New Roman"/>
          <w:b/>
          <w:szCs w:val="24"/>
          <w:lang w:eastAsia="de-DE"/>
        </w:rPr>
        <w:t>2</w:t>
      </w:r>
      <w:r w:rsidRPr="00A16EC3">
        <w:rPr>
          <w:rFonts w:ascii="Arial" w:eastAsia="Times New Roman" w:hAnsi="Arial" w:cs="Times New Roman"/>
          <w:szCs w:val="24"/>
          <w:lang w:eastAsia="de-DE"/>
        </w:rPr>
        <w:t>.</w:t>
      </w:r>
    </w:p>
    <w:p w14:paraId="0720FD54" w14:textId="77777777" w:rsidR="00E10D8E" w:rsidRPr="00E10D8E" w:rsidRDefault="00E10D8E" w:rsidP="00E10D8E">
      <w:pPr>
        <w:numPr>
          <w:ilvl w:val="0"/>
          <w:numId w:val="11"/>
        </w:numPr>
        <w:spacing w:after="0" w:line="240" w:lineRule="auto"/>
        <w:ind w:left="567" w:hanging="567"/>
        <w:jc w:val="left"/>
        <w:rPr>
          <w:rFonts w:ascii="Arial" w:eastAsia="Times New Roman" w:hAnsi="Arial" w:cs="Times New Roman"/>
          <w:iCs/>
          <w:szCs w:val="24"/>
          <w:lang w:eastAsia="de-DE"/>
        </w:rPr>
      </w:pPr>
      <w:r w:rsidRPr="00E10D8E">
        <w:rPr>
          <w:rFonts w:ascii="Arial" w:eastAsia="Times New Roman" w:hAnsi="Arial" w:cs="Times New Roman"/>
          <w:iCs/>
          <w:szCs w:val="24"/>
          <w:lang w:eastAsia="de-DE"/>
        </w:rPr>
        <w:t>Contributions not provided in the template for comments, or after the deadline will not be processed.</w:t>
      </w:r>
    </w:p>
    <w:p w14:paraId="6BEDA02D" w14:textId="77777777" w:rsidR="00E10D8E" w:rsidRPr="00E10D8E" w:rsidRDefault="00E10D8E" w:rsidP="00E10D8E">
      <w:pPr>
        <w:spacing w:after="240"/>
        <w:rPr>
          <w:rFonts w:ascii="Arial" w:eastAsia="Times New Roman" w:hAnsi="Arial" w:cs="Times New Roman"/>
          <w:iCs/>
          <w:szCs w:val="24"/>
          <w:lang w:eastAsia="de-DE"/>
        </w:rPr>
      </w:pPr>
    </w:p>
    <w:p w14:paraId="1626C05B" w14:textId="77777777" w:rsidR="00E10D8E" w:rsidRPr="00E10D8E" w:rsidRDefault="00E10D8E" w:rsidP="00E10D8E">
      <w:pPr>
        <w:spacing w:after="120" w:line="240" w:lineRule="auto"/>
        <w:rPr>
          <w:rFonts w:ascii="Arial" w:eastAsia="Times New Roman" w:hAnsi="Arial" w:cs="Times New Roman"/>
          <w:b/>
          <w:iCs/>
          <w:szCs w:val="24"/>
          <w:lang w:eastAsia="de-DE"/>
        </w:rPr>
      </w:pPr>
      <w:r w:rsidRPr="00E10D8E">
        <w:rPr>
          <w:rFonts w:ascii="Arial" w:eastAsia="Times New Roman" w:hAnsi="Arial" w:cs="Times New Roman"/>
          <w:b/>
          <w:iCs/>
          <w:szCs w:val="24"/>
          <w:lang w:eastAsia="de-DE"/>
        </w:rPr>
        <w:t>Publication of responses</w:t>
      </w:r>
    </w:p>
    <w:p w14:paraId="67AE2D03" w14:textId="77777777" w:rsidR="00E10D8E" w:rsidRPr="00E10D8E" w:rsidRDefault="00E10D8E" w:rsidP="00E10D8E">
      <w:pPr>
        <w:spacing w:after="0" w:line="240" w:lineRule="auto"/>
        <w:rPr>
          <w:rFonts w:ascii="Arial" w:eastAsia="Times New Roman" w:hAnsi="Arial" w:cs="Times New Roman"/>
          <w:szCs w:val="22"/>
          <w:lang w:eastAsia="de-DE"/>
        </w:rPr>
      </w:pPr>
      <w:r w:rsidRPr="00E10D8E">
        <w:rPr>
          <w:rFonts w:ascii="Arial" w:eastAsia="Times New Roman" w:hAnsi="Arial" w:cs="Times New Roman"/>
          <w:szCs w:val="22"/>
          <w:lang w:eastAsia="de-DE"/>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2001B0A5" w14:textId="77777777" w:rsidR="00E10D8E" w:rsidRPr="00E10D8E" w:rsidRDefault="00E10D8E" w:rsidP="00E10D8E">
      <w:pPr>
        <w:spacing w:after="0" w:line="240" w:lineRule="auto"/>
        <w:jc w:val="left"/>
        <w:rPr>
          <w:rFonts w:ascii="Arial" w:eastAsia="Times New Roman" w:hAnsi="Arial" w:cs="Times New Roman"/>
          <w:b/>
          <w:iCs/>
          <w:szCs w:val="24"/>
          <w:lang w:eastAsia="en-GB"/>
        </w:rPr>
      </w:pPr>
    </w:p>
    <w:p w14:paraId="7BE27AA3" w14:textId="77777777" w:rsidR="00E10D8E" w:rsidRPr="00E10D8E" w:rsidRDefault="00E10D8E" w:rsidP="00E10D8E">
      <w:pPr>
        <w:spacing w:after="0" w:line="240" w:lineRule="auto"/>
        <w:jc w:val="left"/>
        <w:rPr>
          <w:rFonts w:ascii="Arial" w:eastAsia="Times New Roman" w:hAnsi="Arial" w:cs="Times New Roman"/>
          <w:b/>
          <w:iCs/>
          <w:szCs w:val="24"/>
          <w:lang w:eastAsia="en-GB"/>
        </w:rPr>
      </w:pPr>
    </w:p>
    <w:p w14:paraId="3A87B11B" w14:textId="77777777" w:rsidR="00E10D8E" w:rsidRPr="00E10D8E" w:rsidRDefault="00E10D8E" w:rsidP="00E10D8E">
      <w:pPr>
        <w:spacing w:after="0" w:line="240" w:lineRule="auto"/>
        <w:jc w:val="left"/>
        <w:rPr>
          <w:rFonts w:ascii="Arial" w:eastAsia="Times New Roman" w:hAnsi="Arial" w:cs="Times New Roman"/>
          <w:b/>
          <w:iCs/>
          <w:szCs w:val="24"/>
          <w:lang w:eastAsia="en-GB"/>
        </w:rPr>
      </w:pPr>
      <w:r w:rsidRPr="00E10D8E">
        <w:rPr>
          <w:rFonts w:ascii="Arial" w:eastAsia="Times New Roman" w:hAnsi="Arial" w:cs="Times New Roman"/>
          <w:b/>
          <w:iCs/>
          <w:szCs w:val="24"/>
          <w:lang w:eastAsia="en-GB"/>
        </w:rPr>
        <w:t>Data protection</w:t>
      </w:r>
    </w:p>
    <w:p w14:paraId="02A23640" w14:textId="77777777" w:rsidR="00E10D8E" w:rsidRPr="00E10D8E" w:rsidRDefault="00E10D8E" w:rsidP="00E10D8E">
      <w:pPr>
        <w:spacing w:after="0" w:line="240" w:lineRule="auto"/>
        <w:jc w:val="left"/>
        <w:rPr>
          <w:rFonts w:ascii="Arial" w:eastAsia="Times New Roman" w:hAnsi="Arial" w:cs="Times New Roman"/>
          <w:szCs w:val="24"/>
          <w:lang w:eastAsia="de-DE"/>
        </w:rPr>
      </w:pPr>
    </w:p>
    <w:p w14:paraId="2407D5C5" w14:textId="77777777" w:rsidR="00E10D8E" w:rsidRPr="00E10D8E" w:rsidRDefault="00E10D8E" w:rsidP="00E10D8E">
      <w:pPr>
        <w:spacing w:after="0" w:line="240" w:lineRule="auto"/>
        <w:rPr>
          <w:rFonts w:ascii="Arial" w:eastAsia="Times New Roman" w:hAnsi="Arial" w:cs="Arial"/>
          <w:sz w:val="24"/>
          <w:szCs w:val="24"/>
          <w:lang w:eastAsia="de-DE"/>
        </w:rPr>
      </w:pPr>
      <w:r w:rsidRPr="00E10D8E">
        <w:rPr>
          <w:rFonts w:ascii="Arial" w:eastAsia="Times New Roman" w:hAnsi="Arial" w:cs="Arial"/>
          <w:szCs w:val="24"/>
          <w:lang w:eastAsia="de-DE"/>
        </w:rPr>
        <w:t>The protection of individuals with regard to the processing of personal data by the ESAs is based on Regulation (EU) 2018/1725</w:t>
      </w:r>
      <w:r w:rsidRPr="00E10D8E">
        <w:rPr>
          <w:rFonts w:ascii="Arial" w:eastAsia="Times New Roman" w:hAnsi="Arial" w:cs="Arial"/>
          <w:szCs w:val="24"/>
          <w:vertAlign w:val="superscript"/>
          <w:lang w:eastAsia="de-DE"/>
        </w:rPr>
        <w:footnoteReference w:id="2"/>
      </w:r>
      <w:r w:rsidRPr="00E10D8E">
        <w:rPr>
          <w:rFonts w:ascii="Arial" w:eastAsia="Times New Roman" w:hAnsi="Arial" w:cs="Arial"/>
          <w:szCs w:val="24"/>
          <w:lang w:eastAsia="de-DE"/>
        </w:rPr>
        <w:t xml:space="preserve">. Further information on data protection can be found under the </w:t>
      </w:r>
      <w:hyperlink r:id="rId15" w:history="1">
        <w:r w:rsidRPr="00E10D8E">
          <w:rPr>
            <w:rFonts w:ascii="Arial" w:eastAsia="Times New Roman" w:hAnsi="Arial" w:cs="Arial"/>
            <w:color w:val="0000FF"/>
            <w:szCs w:val="24"/>
            <w:u w:val="single"/>
            <w:lang w:eastAsia="de-DE"/>
          </w:rPr>
          <w:t>Legal notice</w:t>
        </w:r>
      </w:hyperlink>
      <w:r w:rsidRPr="00E10D8E">
        <w:rPr>
          <w:rFonts w:ascii="Arial" w:eastAsia="Times New Roman" w:hAnsi="Arial" w:cs="Arial"/>
          <w:szCs w:val="24"/>
          <w:lang w:eastAsia="de-DE"/>
        </w:rPr>
        <w:t xml:space="preserve"> section of the EBA website and under the </w:t>
      </w:r>
      <w:hyperlink r:id="rId16" w:history="1">
        <w:r w:rsidRPr="00E10D8E">
          <w:rPr>
            <w:rFonts w:ascii="Arial" w:eastAsia="Times New Roman" w:hAnsi="Arial" w:cs="Arial"/>
            <w:color w:val="0000FF"/>
            <w:szCs w:val="24"/>
            <w:u w:val="single"/>
            <w:lang w:eastAsia="de-DE"/>
          </w:rPr>
          <w:t>Legal notice</w:t>
        </w:r>
      </w:hyperlink>
      <w:r w:rsidRPr="00E10D8E">
        <w:rPr>
          <w:rFonts w:ascii="Arial" w:eastAsia="Times New Roman" w:hAnsi="Arial" w:cs="Arial"/>
          <w:szCs w:val="24"/>
          <w:lang w:eastAsia="de-DE"/>
        </w:rPr>
        <w:t xml:space="preserve"> section of the EIOPA website and under the </w:t>
      </w:r>
      <w:hyperlink r:id="rId17" w:history="1">
        <w:r w:rsidRPr="00E10D8E">
          <w:rPr>
            <w:rFonts w:ascii="Arial" w:eastAsia="Times New Roman" w:hAnsi="Arial" w:cs="Arial"/>
            <w:color w:val="0000FF"/>
            <w:szCs w:val="24"/>
            <w:u w:val="single"/>
            <w:lang w:eastAsia="de-DE"/>
          </w:rPr>
          <w:t>Legal notice</w:t>
        </w:r>
      </w:hyperlink>
      <w:r w:rsidRPr="00E10D8E">
        <w:rPr>
          <w:rFonts w:ascii="Arial" w:eastAsia="Times New Roman" w:hAnsi="Arial" w:cs="Arial"/>
          <w:szCs w:val="24"/>
          <w:lang w:eastAsia="de-DE"/>
        </w:rPr>
        <w:t xml:space="preserve"> section of the ESMA website.</w:t>
      </w:r>
    </w:p>
    <w:p w14:paraId="5BA0B9F6" w14:textId="77777777" w:rsidR="00E10D8E" w:rsidRPr="00E10D8E" w:rsidRDefault="00E10D8E" w:rsidP="00E10D8E">
      <w:pPr>
        <w:spacing w:after="120" w:line="240" w:lineRule="auto"/>
        <w:rPr>
          <w:rFonts w:ascii="Arial" w:eastAsia="Times New Roman" w:hAnsi="Arial" w:cs="Times New Roman"/>
          <w:b/>
          <w:iCs/>
          <w:szCs w:val="24"/>
          <w:lang w:eastAsia="en-GB"/>
        </w:rPr>
      </w:pPr>
    </w:p>
    <w:p w14:paraId="400B0994" w14:textId="77777777" w:rsidR="00E10D8E" w:rsidRPr="00E10D8E" w:rsidRDefault="00E10D8E" w:rsidP="00E10D8E">
      <w:pPr>
        <w:spacing w:after="0" w:line="240" w:lineRule="auto"/>
        <w:jc w:val="left"/>
        <w:rPr>
          <w:rFonts w:ascii="Arial" w:eastAsia="Times New Roman" w:hAnsi="Arial" w:cs="Times New Roman"/>
          <w:szCs w:val="24"/>
          <w:lang w:eastAsia="de-DE"/>
        </w:rPr>
      </w:pPr>
    </w:p>
    <w:p w14:paraId="027B4C3C" w14:textId="77777777" w:rsidR="00E10D8E" w:rsidRPr="00E10D8E" w:rsidRDefault="00E10D8E" w:rsidP="00E10D8E">
      <w:pPr>
        <w:spacing w:after="0" w:line="240" w:lineRule="auto"/>
        <w:jc w:val="left"/>
        <w:rPr>
          <w:rFonts w:ascii="Arial" w:eastAsia="Times New Roman" w:hAnsi="Arial" w:cs="Arial"/>
          <w:b/>
          <w:bCs/>
          <w:kern w:val="32"/>
          <w:sz w:val="24"/>
          <w:szCs w:val="32"/>
          <w:lang w:eastAsia="de-DE"/>
        </w:rPr>
      </w:pPr>
      <w:r w:rsidRPr="00E10D8E">
        <w:rPr>
          <w:rFonts w:ascii="Arial" w:eastAsia="Times New Roman" w:hAnsi="Arial" w:cs="Times New Roman"/>
          <w:sz w:val="20"/>
          <w:szCs w:val="24"/>
          <w:lang w:eastAsia="de-DE"/>
        </w:rPr>
        <w:br w:type="page"/>
      </w:r>
    </w:p>
    <w:p w14:paraId="4F2848A0" w14:textId="77777777" w:rsidR="00E10D8E" w:rsidRPr="00E10D8E" w:rsidRDefault="00E10D8E" w:rsidP="00332050">
      <w:pPr>
        <w:keepNext/>
        <w:shd w:val="clear" w:color="auto" w:fill="FFFFFF" w:themeFill="background1"/>
        <w:spacing w:before="240" w:after="60" w:line="240" w:lineRule="auto"/>
        <w:jc w:val="left"/>
        <w:outlineLvl w:val="0"/>
        <w:rPr>
          <w:rFonts w:ascii="Arial" w:eastAsia="Times New Roman" w:hAnsi="Arial" w:cs="Arial"/>
          <w:b/>
          <w:bCs/>
          <w:kern w:val="32"/>
          <w:sz w:val="24"/>
          <w:szCs w:val="32"/>
          <w:lang w:eastAsia="de-DE"/>
        </w:rPr>
      </w:pPr>
      <w:r w:rsidRPr="00E10D8E">
        <w:rPr>
          <w:rFonts w:ascii="Arial" w:eastAsia="Times New Roman" w:hAnsi="Arial" w:cs="Arial"/>
          <w:b/>
          <w:bCs/>
          <w:kern w:val="32"/>
          <w:sz w:val="24"/>
          <w:szCs w:val="32"/>
          <w:lang w:eastAsia="de-DE"/>
        </w:rPr>
        <w:lastRenderedPageBreak/>
        <w:t>General information about respondent</w:t>
      </w:r>
    </w:p>
    <w:p w14:paraId="5777101F" w14:textId="77777777" w:rsidR="00E10D8E" w:rsidRPr="00E10D8E" w:rsidRDefault="00E10D8E" w:rsidP="00E10D8E">
      <w:pPr>
        <w:spacing w:after="120" w:line="264" w:lineRule="auto"/>
        <w:jc w:val="left"/>
        <w:rPr>
          <w:rFonts w:ascii="Arial" w:eastAsia="Times New Roman" w:hAnsi="Arial" w:cs="Times New Roman"/>
          <w:sz w:val="20"/>
          <w:szCs w:val="24"/>
          <w:lang w:eastAsia="de-DE"/>
        </w:rPr>
      </w:pPr>
    </w:p>
    <w:p w14:paraId="528B7F7C" w14:textId="77777777" w:rsidR="00E10D8E" w:rsidRDefault="00E10D8E" w:rsidP="00E10D8E">
      <w:pPr>
        <w:spacing w:after="120" w:line="264" w:lineRule="auto"/>
        <w:jc w:val="left"/>
        <w:rPr>
          <w:rFonts w:ascii="Arial" w:eastAsia="Times New Roman" w:hAnsi="Arial" w:cs="Times New Roman"/>
          <w:sz w:val="20"/>
          <w:szCs w:val="24"/>
          <w:lang w:eastAsia="de-DE"/>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A3C54" w:rsidRPr="00C51119" w14:paraId="06D934C1" w14:textId="77777777" w:rsidTr="000A3C54">
        <w:trPr>
          <w:trHeight w:val="234"/>
        </w:trPr>
        <w:tc>
          <w:tcPr>
            <w:tcW w:w="3929" w:type="dxa"/>
            <w:shd w:val="clear" w:color="auto" w:fill="auto"/>
          </w:tcPr>
          <w:p w14:paraId="6DE101F7" w14:textId="77777777" w:rsidR="000A3C54" w:rsidRPr="00AB6D88" w:rsidRDefault="000A3C54" w:rsidP="0012564C">
            <w:pPr>
              <w:rPr>
                <w:rFonts w:cs="Arial"/>
              </w:rPr>
            </w:pPr>
            <w:bookmarkStart w:id="1" w:name="_Hlk102650496"/>
            <w:permStart w:id="1352283658" w:edGrp="everyone" w:colFirst="1" w:colLast="1"/>
            <w:r w:rsidRPr="00AB6D88">
              <w:rPr>
                <w:rFonts w:cs="Arial"/>
              </w:rPr>
              <w:t>Name of the company / organisation</w:t>
            </w:r>
          </w:p>
        </w:tc>
        <w:sdt>
          <w:sdtPr>
            <w:rPr>
              <w:rStyle w:val="Platzhaltertext"/>
              <w:rFonts w:cs="Arial"/>
              <w:lang w:val="de-DE"/>
            </w:rPr>
            <w:id w:val="-785184427"/>
            <w:text/>
          </w:sdtPr>
          <w:sdtEndPr>
            <w:rPr>
              <w:rStyle w:val="Platzhaltertext"/>
            </w:rPr>
          </w:sdtEndPr>
          <w:sdtContent>
            <w:tc>
              <w:tcPr>
                <w:tcW w:w="5595" w:type="dxa"/>
                <w:shd w:val="clear" w:color="auto" w:fill="auto"/>
              </w:tcPr>
              <w:p w14:paraId="6C1543DC" w14:textId="76A92257" w:rsidR="000A3C54" w:rsidRPr="00C51119" w:rsidRDefault="00E34758" w:rsidP="0012564C">
                <w:pPr>
                  <w:rPr>
                    <w:rStyle w:val="Platzhaltertext"/>
                    <w:rFonts w:cs="Arial"/>
                    <w:lang w:val="de-DE"/>
                  </w:rPr>
                </w:pPr>
                <w:r w:rsidRPr="00C51119">
                  <w:rPr>
                    <w:rStyle w:val="Platzhaltertext"/>
                    <w:rFonts w:cs="Arial"/>
                    <w:lang w:val="de-DE"/>
                  </w:rPr>
                  <w:t xml:space="preserve">Gesamtverband der </w:t>
                </w:r>
                <w:r w:rsidR="00C51119" w:rsidRPr="00C51119">
                  <w:rPr>
                    <w:rStyle w:val="Platzhaltertext"/>
                    <w:rFonts w:cs="Arial"/>
                    <w:lang w:val="de-DE"/>
                  </w:rPr>
                  <w:t>D</w:t>
                </w:r>
                <w:r w:rsidR="00C51119" w:rsidRPr="00C51119">
                  <w:rPr>
                    <w:rStyle w:val="Platzhaltertext"/>
                    <w:lang w:val="de-DE"/>
                  </w:rPr>
                  <w:t>eutschen Versicherungswirtschaft e</w:t>
                </w:r>
                <w:r w:rsidR="00C51119">
                  <w:rPr>
                    <w:rStyle w:val="Platzhaltertext"/>
                    <w:lang w:val="de-DE"/>
                  </w:rPr>
                  <w:t>.V. (GDV)</w:t>
                </w:r>
              </w:p>
            </w:tc>
          </w:sdtContent>
        </w:sdt>
      </w:tr>
      <w:tr w:rsidR="000A3C54" w:rsidRPr="00AB6D88" w14:paraId="5AF4E9BE" w14:textId="77777777" w:rsidTr="0012564C">
        <w:tc>
          <w:tcPr>
            <w:tcW w:w="3929" w:type="dxa"/>
            <w:shd w:val="clear" w:color="auto" w:fill="auto"/>
          </w:tcPr>
          <w:p w14:paraId="55C97DE5" w14:textId="77777777" w:rsidR="000A3C54" w:rsidRPr="00AB6D88" w:rsidRDefault="000A3C54" w:rsidP="0012564C">
            <w:pPr>
              <w:rPr>
                <w:rFonts w:cs="Arial"/>
              </w:rPr>
            </w:pPr>
            <w:permStart w:id="14246144" w:edGrp="everyone" w:colFirst="1" w:colLast="1"/>
            <w:permEnd w:id="1352283658"/>
            <w:r w:rsidRPr="00AB6D88">
              <w:rPr>
                <w:rFonts w:cs="Arial"/>
              </w:rPr>
              <w:t>Activity</w:t>
            </w:r>
          </w:p>
        </w:tc>
        <w:tc>
          <w:tcPr>
            <w:tcW w:w="5595" w:type="dxa"/>
            <w:shd w:val="clear" w:color="auto" w:fill="auto"/>
          </w:tcPr>
          <w:p w14:paraId="2DEF935C" w14:textId="2CE9EBDC" w:rsidR="000A3C54" w:rsidRPr="00AB6D88" w:rsidRDefault="00C0128E" w:rsidP="0012564C">
            <w:pPr>
              <w:rPr>
                <w:rFonts w:cs="Arial"/>
              </w:rPr>
            </w:pPr>
            <w:sdt>
              <w:sdtPr>
                <w:rPr>
                  <w:rFonts w:cs="Arial"/>
                </w:rPr>
                <w:alias w:val="Activity"/>
                <w:tag w:val="Activity"/>
                <w:id w:val="1593126692"/>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34758">
                  <w:rPr>
                    <w:rFonts w:cs="Arial"/>
                  </w:rPr>
                  <w:t>Insurance and Pension</w:t>
                </w:r>
              </w:sdtContent>
            </w:sdt>
          </w:p>
        </w:tc>
      </w:tr>
      <w:tr w:rsidR="000A3C54" w:rsidRPr="00AB6D88" w14:paraId="0ED3CEEA" w14:textId="77777777" w:rsidTr="0012564C">
        <w:tc>
          <w:tcPr>
            <w:tcW w:w="3929" w:type="dxa"/>
            <w:shd w:val="clear" w:color="auto" w:fill="auto"/>
          </w:tcPr>
          <w:p w14:paraId="00B7F625" w14:textId="77777777" w:rsidR="000A3C54" w:rsidRPr="00AB6D88" w:rsidRDefault="000A3C54" w:rsidP="0012564C">
            <w:pPr>
              <w:rPr>
                <w:rFonts w:cs="Arial"/>
              </w:rPr>
            </w:pPr>
            <w:permStart w:id="1689993469" w:edGrp="everyone" w:colFirst="1" w:colLast="1"/>
            <w:permEnd w:id="14246144"/>
            <w:r w:rsidRPr="00AB6D88">
              <w:rPr>
                <w:rFonts w:cs="Arial"/>
              </w:rPr>
              <w:t>Are you representing an association?</w:t>
            </w:r>
          </w:p>
        </w:tc>
        <w:sdt>
          <w:sdtPr>
            <w:rPr>
              <w:rFonts w:cs="Arial"/>
            </w:rPr>
            <w:id w:val="-900975373"/>
            <w14:checkbox>
              <w14:checked w14:val="1"/>
              <w14:checkedState w14:val="2612" w14:font="MS Gothic"/>
              <w14:uncheckedState w14:val="2610" w14:font="MS Gothic"/>
            </w14:checkbox>
          </w:sdtPr>
          <w:sdtEndPr/>
          <w:sdtContent>
            <w:tc>
              <w:tcPr>
                <w:tcW w:w="5595" w:type="dxa"/>
                <w:shd w:val="clear" w:color="auto" w:fill="auto"/>
              </w:tcPr>
              <w:p w14:paraId="2C6A8DEF" w14:textId="5B938AD9" w:rsidR="000A3C54" w:rsidRPr="00AB6D88" w:rsidRDefault="00E34758" w:rsidP="0012564C">
                <w:pPr>
                  <w:rPr>
                    <w:rFonts w:cs="Arial"/>
                  </w:rPr>
                </w:pPr>
                <w:r>
                  <w:rPr>
                    <w:rFonts w:ascii="MS Gothic" w:eastAsia="MS Gothic" w:hAnsi="MS Gothic" w:cs="Arial" w:hint="eastAsia"/>
                  </w:rPr>
                  <w:t>☒</w:t>
                </w:r>
              </w:p>
            </w:tc>
          </w:sdtContent>
        </w:sdt>
      </w:tr>
      <w:tr w:rsidR="000A3C54" w:rsidRPr="00AB6D88" w14:paraId="54F13402" w14:textId="77777777" w:rsidTr="000A3C54">
        <w:trPr>
          <w:trHeight w:val="356"/>
        </w:trPr>
        <w:tc>
          <w:tcPr>
            <w:tcW w:w="3929" w:type="dxa"/>
            <w:shd w:val="clear" w:color="auto" w:fill="auto"/>
          </w:tcPr>
          <w:p w14:paraId="6EB591C0" w14:textId="77777777" w:rsidR="000A3C54" w:rsidRPr="00AB6D88" w:rsidRDefault="000A3C54" w:rsidP="0012564C">
            <w:pPr>
              <w:rPr>
                <w:rFonts w:cs="Arial"/>
              </w:rPr>
            </w:pPr>
            <w:permStart w:id="1842289477" w:edGrp="everyone" w:colFirst="1" w:colLast="1"/>
            <w:permEnd w:id="1689993469"/>
            <w:r w:rsidRPr="00AB6D88">
              <w:rPr>
                <w:rFonts w:cs="Arial"/>
              </w:rPr>
              <w:t>Country/Region</w:t>
            </w:r>
          </w:p>
        </w:tc>
        <w:sdt>
          <w:sdtPr>
            <w:rPr>
              <w:rFonts w:cs="Arial"/>
            </w:rPr>
            <w:alias w:val="Country"/>
            <w:tag w:val="Country"/>
            <w:id w:val="-1310698365"/>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6A577C9" w14:textId="346F4DA8" w:rsidR="000A3C54" w:rsidRPr="00AB6D88" w:rsidRDefault="00E34758" w:rsidP="0012564C">
                <w:pPr>
                  <w:rPr>
                    <w:rFonts w:cs="Arial"/>
                  </w:rPr>
                </w:pPr>
                <w:r>
                  <w:rPr>
                    <w:rFonts w:cs="Arial"/>
                  </w:rPr>
                  <w:t>Germany</w:t>
                </w:r>
              </w:p>
            </w:tc>
          </w:sdtContent>
        </w:sdt>
      </w:tr>
      <w:bookmarkEnd w:id="1"/>
      <w:permEnd w:id="1842289477"/>
    </w:tbl>
    <w:p w14:paraId="6FE595BC" w14:textId="55AE3F1D" w:rsidR="000A3C54" w:rsidRDefault="000A3C54" w:rsidP="00E10D8E">
      <w:pPr>
        <w:spacing w:after="120" w:line="264" w:lineRule="auto"/>
        <w:jc w:val="left"/>
        <w:rPr>
          <w:rFonts w:ascii="Arial" w:eastAsia="Times New Roman" w:hAnsi="Arial" w:cs="Times New Roman"/>
          <w:sz w:val="20"/>
          <w:szCs w:val="24"/>
          <w:lang w:eastAsia="de-DE"/>
        </w:rPr>
      </w:pPr>
    </w:p>
    <w:p w14:paraId="18B81214" w14:textId="77777777" w:rsidR="000A3C54" w:rsidRPr="00E10D8E" w:rsidRDefault="000A3C54" w:rsidP="00E10D8E">
      <w:pPr>
        <w:spacing w:after="120" w:line="264" w:lineRule="auto"/>
        <w:jc w:val="left"/>
        <w:rPr>
          <w:rFonts w:ascii="Arial" w:eastAsia="Times New Roman" w:hAnsi="Arial" w:cs="Times New Roman"/>
          <w:sz w:val="20"/>
          <w:szCs w:val="24"/>
          <w:lang w:eastAsia="de-DE"/>
        </w:rPr>
      </w:pPr>
    </w:p>
    <w:p w14:paraId="4CA698DB" w14:textId="77777777" w:rsidR="00E10D8E" w:rsidRPr="00E10D8E" w:rsidRDefault="00E10D8E" w:rsidP="00E10D8E">
      <w:pPr>
        <w:keepNext/>
        <w:spacing w:before="240" w:after="60" w:line="240" w:lineRule="auto"/>
        <w:ind w:left="431" w:hanging="431"/>
        <w:jc w:val="left"/>
        <w:outlineLvl w:val="0"/>
        <w:rPr>
          <w:rFonts w:ascii="Arial" w:eastAsia="Times New Roman" w:hAnsi="Arial" w:cs="Arial"/>
          <w:b/>
          <w:bCs/>
          <w:kern w:val="32"/>
          <w:sz w:val="24"/>
          <w:szCs w:val="32"/>
          <w:lang w:eastAsia="de-DE"/>
        </w:rPr>
      </w:pPr>
      <w:r w:rsidRPr="00E10D8E">
        <w:rPr>
          <w:rFonts w:ascii="Arial" w:eastAsia="Times New Roman" w:hAnsi="Arial" w:cs="Arial"/>
          <w:b/>
          <w:bCs/>
          <w:kern w:val="32"/>
          <w:sz w:val="24"/>
          <w:szCs w:val="32"/>
          <w:lang w:eastAsia="de-DE"/>
        </w:rPr>
        <w:t>Introduction</w:t>
      </w:r>
      <w:permStart w:id="304814154" w:edGrp="everyone"/>
      <w:permEnd w:id="304814154"/>
    </w:p>
    <w:p w14:paraId="2E42D71C" w14:textId="77777777" w:rsidR="00E10D8E" w:rsidRPr="00E10D8E" w:rsidRDefault="00E10D8E" w:rsidP="00E10D8E">
      <w:pPr>
        <w:spacing w:after="0" w:line="240" w:lineRule="auto"/>
        <w:jc w:val="left"/>
        <w:rPr>
          <w:rFonts w:ascii="Arial" w:eastAsia="Times New Roman" w:hAnsi="Arial" w:cs="Times New Roman"/>
          <w:b/>
          <w:bCs/>
          <w:i/>
          <w:iCs/>
          <w:szCs w:val="24"/>
          <w:lang w:eastAsia="de-DE"/>
        </w:rPr>
      </w:pPr>
      <w:r w:rsidRPr="00E10D8E">
        <w:rPr>
          <w:rFonts w:ascii="Arial" w:eastAsia="Times New Roman" w:hAnsi="Arial" w:cs="Times New Roman"/>
          <w:b/>
          <w:bCs/>
          <w:i/>
          <w:iCs/>
          <w:szCs w:val="24"/>
          <w:lang w:eastAsia="de-DE"/>
        </w:rPr>
        <w:t>Please make your introductory comments below, if any:</w:t>
      </w:r>
    </w:p>
    <w:p w14:paraId="554326EF" w14:textId="77777777" w:rsidR="00E10D8E" w:rsidRPr="00E10D8E" w:rsidRDefault="00E10D8E" w:rsidP="00E10D8E">
      <w:pPr>
        <w:spacing w:after="0" w:line="240" w:lineRule="auto"/>
        <w:jc w:val="left"/>
        <w:rPr>
          <w:rFonts w:ascii="Arial" w:eastAsia="Times New Roman" w:hAnsi="Arial" w:cs="Times New Roman"/>
          <w:sz w:val="20"/>
          <w:szCs w:val="24"/>
          <w:lang w:eastAsia="de-DE"/>
        </w:rPr>
      </w:pPr>
    </w:p>
    <w:p w14:paraId="0C398FE5" w14:textId="22367F83" w:rsidR="00E10D8E" w:rsidRPr="00332050" w:rsidRDefault="00E10D8E" w:rsidP="00E10D8E">
      <w:pPr>
        <w:spacing w:after="0" w:line="240" w:lineRule="auto"/>
        <w:jc w:val="left"/>
        <w:rPr>
          <w:rFonts w:ascii="Arial" w:eastAsia="Times New Roman" w:hAnsi="Arial" w:cs="Times New Roman"/>
          <w:szCs w:val="22"/>
          <w:lang w:eastAsia="de-DE"/>
        </w:rPr>
      </w:pPr>
      <w:r w:rsidRPr="00332050">
        <w:rPr>
          <w:rFonts w:ascii="Arial" w:eastAsia="Times New Roman" w:hAnsi="Arial" w:cs="Times New Roman"/>
          <w:szCs w:val="22"/>
          <w:lang w:eastAsia="de-DE"/>
        </w:rPr>
        <w:t>&lt;ESA_COMMENT_</w:t>
      </w:r>
      <w:r w:rsidR="00A16EC3" w:rsidRPr="00332050">
        <w:rPr>
          <w:rFonts w:ascii="Arial" w:eastAsia="Times New Roman" w:hAnsi="Arial" w:cs="Times New Roman"/>
          <w:szCs w:val="22"/>
          <w:lang w:eastAsia="de-DE"/>
        </w:rPr>
        <w:t>STS_</w:t>
      </w:r>
      <w:r w:rsidRPr="00E10D8E">
        <w:rPr>
          <w:rFonts w:ascii="Arial" w:eastAsia="Times New Roman" w:hAnsi="Arial" w:cs="Times New Roman"/>
          <w:iCs/>
          <w:szCs w:val="24"/>
          <w:lang w:eastAsia="de-DE"/>
        </w:rPr>
        <w:t>SUST</w:t>
      </w:r>
      <w:r w:rsidRPr="00332050">
        <w:rPr>
          <w:rFonts w:ascii="Arial" w:eastAsia="Times New Roman" w:hAnsi="Arial" w:cs="Times New Roman"/>
          <w:szCs w:val="22"/>
          <w:lang w:eastAsia="de-DE"/>
        </w:rPr>
        <w:t>_1&gt;</w:t>
      </w:r>
    </w:p>
    <w:p w14:paraId="18AD57BE" w14:textId="77777777" w:rsidR="002F54E6" w:rsidRPr="00E10D8E" w:rsidRDefault="002F54E6" w:rsidP="00E10D8E">
      <w:pPr>
        <w:spacing w:after="0" w:line="240" w:lineRule="auto"/>
        <w:jc w:val="left"/>
        <w:rPr>
          <w:rFonts w:ascii="Arial" w:eastAsia="Times New Roman" w:hAnsi="Arial" w:cs="Times New Roman"/>
          <w:sz w:val="20"/>
          <w:szCs w:val="24"/>
          <w:lang w:eastAsia="de-DE"/>
        </w:rPr>
      </w:pPr>
    </w:p>
    <w:p w14:paraId="259CE88E" w14:textId="77777777" w:rsidR="00E34758" w:rsidRPr="00E34758" w:rsidRDefault="00E34758" w:rsidP="00E34758">
      <w:pPr>
        <w:pStyle w:val="paragraph"/>
        <w:spacing w:before="0" w:beforeAutospacing="0" w:after="0" w:afterAutospacing="0"/>
        <w:textAlignment w:val="baseline"/>
        <w:rPr>
          <w:rFonts w:ascii="Segoe UI" w:hAnsi="Segoe UI" w:cs="Segoe UI"/>
          <w:sz w:val="18"/>
          <w:szCs w:val="18"/>
          <w:lang w:val="en-GB"/>
        </w:rPr>
      </w:pPr>
      <w:permStart w:id="1082539730" w:edGrp="everyone"/>
      <w:r w:rsidRPr="00E34758">
        <w:rPr>
          <w:rStyle w:val="normaltextrun"/>
          <w:rFonts w:ascii="Arial" w:eastAsiaTheme="majorEastAsia" w:hAnsi="Arial" w:cs="Arial"/>
          <w:sz w:val="22"/>
          <w:szCs w:val="22"/>
          <w:lang w:val="en-GB"/>
        </w:rPr>
        <w:t>We are pleased to participate in the consultation and would like to contribute to successful and practicable securitisations-related sustainability disclosure rules in practice through our comments.</w:t>
      </w:r>
      <w:r w:rsidRPr="00E34758">
        <w:rPr>
          <w:rStyle w:val="eop"/>
          <w:rFonts w:ascii="Arial" w:eastAsiaTheme="majorEastAsia" w:hAnsi="Arial" w:cs="Arial"/>
          <w:sz w:val="22"/>
          <w:szCs w:val="22"/>
          <w:lang w:val="en-GB"/>
        </w:rPr>
        <w:t> </w:t>
      </w:r>
    </w:p>
    <w:p w14:paraId="0F926190" w14:textId="77777777" w:rsidR="00E34758" w:rsidRPr="00E34758" w:rsidRDefault="00E34758" w:rsidP="00E34758">
      <w:pPr>
        <w:pStyle w:val="paragraph"/>
        <w:spacing w:before="0" w:beforeAutospacing="0" w:after="0" w:afterAutospacing="0"/>
        <w:textAlignment w:val="baseline"/>
        <w:rPr>
          <w:rFonts w:ascii="Segoe UI" w:hAnsi="Segoe UI" w:cs="Segoe UI"/>
          <w:sz w:val="18"/>
          <w:szCs w:val="18"/>
          <w:lang w:val="en-GB"/>
        </w:rPr>
      </w:pPr>
      <w:r w:rsidRPr="00E34758">
        <w:rPr>
          <w:rStyle w:val="normaltextrun"/>
          <w:rFonts w:ascii="Arial" w:eastAsiaTheme="majorEastAsia" w:hAnsi="Arial" w:cs="Arial"/>
          <w:sz w:val="22"/>
          <w:szCs w:val="22"/>
          <w:lang w:val="en-GB"/>
        </w:rPr>
        <w:t>We welcome that the securitisations-related sustainability disclosures will be achieved by use of a “Principal adverse impact statement” presented in the template set out in the Annex of the draft RTS, which is closely aligned with the template developed for the draft SFDR RTS.</w:t>
      </w:r>
      <w:r w:rsidRPr="00E34758">
        <w:rPr>
          <w:rStyle w:val="eop"/>
          <w:rFonts w:ascii="Arial" w:eastAsiaTheme="majorEastAsia" w:hAnsi="Arial" w:cs="Arial"/>
          <w:sz w:val="22"/>
          <w:szCs w:val="22"/>
          <w:lang w:val="en-GB"/>
        </w:rPr>
        <w:t> </w:t>
      </w:r>
    </w:p>
    <w:p w14:paraId="7DB579D8" w14:textId="77777777" w:rsidR="00E34758" w:rsidRPr="00E34758" w:rsidRDefault="00E34758" w:rsidP="00E34758">
      <w:pPr>
        <w:pStyle w:val="paragraph"/>
        <w:spacing w:before="0" w:beforeAutospacing="0" w:after="0" w:afterAutospacing="0"/>
        <w:textAlignment w:val="baseline"/>
        <w:rPr>
          <w:rFonts w:ascii="Segoe UI" w:hAnsi="Segoe UI" w:cs="Segoe UI"/>
          <w:sz w:val="18"/>
          <w:szCs w:val="18"/>
          <w:lang w:val="en-GB"/>
        </w:rPr>
      </w:pPr>
      <w:proofErr w:type="gramStart"/>
      <w:r w:rsidRPr="00E34758">
        <w:rPr>
          <w:rStyle w:val="normaltextrun"/>
          <w:rFonts w:ascii="Arial" w:eastAsiaTheme="majorEastAsia" w:hAnsi="Arial" w:cs="Arial"/>
          <w:sz w:val="22"/>
          <w:szCs w:val="22"/>
          <w:lang w:val="en-GB"/>
        </w:rPr>
        <w:t>In order to</w:t>
      </w:r>
      <w:proofErr w:type="gramEnd"/>
      <w:r w:rsidRPr="00E34758">
        <w:rPr>
          <w:rStyle w:val="normaltextrun"/>
          <w:rFonts w:ascii="Arial" w:eastAsiaTheme="majorEastAsia" w:hAnsi="Arial" w:cs="Arial"/>
          <w:sz w:val="22"/>
          <w:szCs w:val="22"/>
          <w:lang w:val="en-GB"/>
        </w:rPr>
        <w:t xml:space="preserve"> keep the effort for the reporting companies as low as possible and to enable a uniform digital evaluation of the sustainability information for investors, we see this approach very positively.</w:t>
      </w:r>
      <w:r w:rsidRPr="00E34758">
        <w:rPr>
          <w:rStyle w:val="eop"/>
          <w:rFonts w:ascii="Arial" w:eastAsiaTheme="majorEastAsia" w:hAnsi="Arial" w:cs="Arial"/>
          <w:sz w:val="22"/>
          <w:szCs w:val="22"/>
          <w:lang w:val="en-GB"/>
        </w:rPr>
        <w:t> </w:t>
      </w:r>
    </w:p>
    <w:p w14:paraId="1751FB57" w14:textId="7343750D" w:rsidR="002F54E6" w:rsidRPr="00E34758" w:rsidRDefault="00E34758" w:rsidP="00E3475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eastAsiaTheme="majorEastAsia" w:hAnsi="Arial" w:cs="Arial"/>
          <w:sz w:val="22"/>
          <w:szCs w:val="22"/>
          <w:lang w:val="en-US"/>
        </w:rPr>
        <w:t xml:space="preserve">The EU Commission wants to significantly advance the European </w:t>
      </w:r>
      <w:proofErr w:type="spellStart"/>
      <w:r>
        <w:rPr>
          <w:rStyle w:val="normaltextrun"/>
          <w:rFonts w:ascii="Arial" w:eastAsiaTheme="majorEastAsia" w:hAnsi="Arial" w:cs="Arial"/>
          <w:sz w:val="22"/>
          <w:szCs w:val="22"/>
          <w:lang w:val="en-US"/>
        </w:rPr>
        <w:t>securitisation</w:t>
      </w:r>
      <w:proofErr w:type="spellEnd"/>
      <w:r>
        <w:rPr>
          <w:rStyle w:val="normaltextrun"/>
          <w:rFonts w:ascii="Arial" w:eastAsiaTheme="majorEastAsia" w:hAnsi="Arial" w:cs="Arial"/>
          <w:sz w:val="22"/>
          <w:szCs w:val="22"/>
          <w:lang w:val="en-US"/>
        </w:rPr>
        <w:t xml:space="preserve"> market and reduce barriers to investment in </w:t>
      </w:r>
      <w:proofErr w:type="spellStart"/>
      <w:r>
        <w:rPr>
          <w:rStyle w:val="normaltextrun"/>
          <w:rFonts w:ascii="Arial" w:eastAsiaTheme="majorEastAsia" w:hAnsi="Arial" w:cs="Arial"/>
          <w:sz w:val="22"/>
          <w:szCs w:val="22"/>
          <w:lang w:val="en-US"/>
        </w:rPr>
        <w:t>securitisation</w:t>
      </w:r>
      <w:proofErr w:type="spellEnd"/>
      <w:r>
        <w:rPr>
          <w:rStyle w:val="normaltextrun"/>
          <w:rFonts w:ascii="Arial" w:eastAsiaTheme="majorEastAsia" w:hAnsi="Arial" w:cs="Arial"/>
          <w:sz w:val="22"/>
          <w:szCs w:val="22"/>
          <w:lang w:val="en-US"/>
        </w:rPr>
        <w:t xml:space="preserve">. This aspect should be </w:t>
      </w:r>
      <w:proofErr w:type="gramStart"/>
      <w:r>
        <w:rPr>
          <w:rStyle w:val="normaltextrun"/>
          <w:rFonts w:ascii="Arial" w:eastAsiaTheme="majorEastAsia" w:hAnsi="Arial" w:cs="Arial"/>
          <w:sz w:val="22"/>
          <w:szCs w:val="22"/>
          <w:lang w:val="en-US"/>
        </w:rPr>
        <w:t>taken into account</w:t>
      </w:r>
      <w:proofErr w:type="gramEnd"/>
      <w:r>
        <w:rPr>
          <w:rStyle w:val="normaltextrun"/>
          <w:rFonts w:ascii="Arial" w:eastAsiaTheme="majorEastAsia" w:hAnsi="Arial" w:cs="Arial"/>
          <w:sz w:val="22"/>
          <w:szCs w:val="22"/>
          <w:lang w:val="en-US"/>
        </w:rPr>
        <w:t xml:space="preserve"> in principle when designing the RTS.</w:t>
      </w:r>
      <w:r w:rsidRPr="00E34758">
        <w:rPr>
          <w:rStyle w:val="eop"/>
          <w:rFonts w:ascii="Arial" w:eastAsiaTheme="majorEastAsia" w:hAnsi="Arial" w:cs="Arial"/>
          <w:sz w:val="22"/>
          <w:szCs w:val="22"/>
          <w:lang w:val="en-GB"/>
        </w:rPr>
        <w:t> </w:t>
      </w:r>
    </w:p>
    <w:permEnd w:id="1082539730"/>
    <w:p w14:paraId="3F240675" w14:textId="583BA621" w:rsidR="00E10D8E" w:rsidRDefault="00E10D8E" w:rsidP="00E10D8E">
      <w:pPr>
        <w:spacing w:after="0" w:line="240" w:lineRule="auto"/>
        <w:jc w:val="left"/>
        <w:rPr>
          <w:rFonts w:ascii="Arial" w:eastAsia="Times New Roman" w:hAnsi="Arial" w:cs="Times New Roman"/>
          <w:sz w:val="20"/>
          <w:szCs w:val="24"/>
          <w:lang w:eastAsia="de-DE"/>
        </w:rPr>
      </w:pPr>
      <w:r w:rsidRPr="00E10D8E">
        <w:rPr>
          <w:rFonts w:ascii="Arial" w:eastAsia="Times New Roman" w:hAnsi="Arial" w:cs="Times New Roman"/>
          <w:sz w:val="20"/>
          <w:szCs w:val="24"/>
          <w:lang w:eastAsia="de-DE"/>
        </w:rPr>
        <w:t>&lt;ESA_COMMENT_</w:t>
      </w:r>
      <w:r w:rsidRPr="00E10D8E">
        <w:rPr>
          <w:rFonts w:ascii="Arial" w:eastAsia="Times New Roman" w:hAnsi="Arial" w:cs="Times New Roman"/>
          <w:iCs/>
          <w:szCs w:val="24"/>
          <w:lang w:eastAsia="de-DE"/>
        </w:rPr>
        <w:t>S</w:t>
      </w:r>
      <w:r w:rsidR="00A16EC3">
        <w:rPr>
          <w:rFonts w:ascii="Arial" w:eastAsia="Times New Roman" w:hAnsi="Arial" w:cs="Times New Roman"/>
          <w:iCs/>
          <w:szCs w:val="24"/>
          <w:lang w:eastAsia="de-DE"/>
        </w:rPr>
        <w:t>TS_SUST</w:t>
      </w:r>
      <w:r w:rsidRPr="00E10D8E">
        <w:rPr>
          <w:rFonts w:ascii="Arial" w:eastAsia="Times New Roman" w:hAnsi="Arial" w:cs="Times New Roman"/>
          <w:sz w:val="20"/>
          <w:szCs w:val="24"/>
          <w:lang w:eastAsia="de-DE"/>
        </w:rPr>
        <w:t>_1&gt;</w:t>
      </w:r>
    </w:p>
    <w:p w14:paraId="03613541" w14:textId="4344BC5B" w:rsidR="00A16EC3" w:rsidRDefault="00A16EC3" w:rsidP="00E10D8E">
      <w:pPr>
        <w:spacing w:after="0" w:line="240" w:lineRule="auto"/>
        <w:jc w:val="left"/>
        <w:rPr>
          <w:rFonts w:ascii="Arial" w:eastAsia="Times New Roman" w:hAnsi="Arial" w:cs="Times New Roman"/>
          <w:sz w:val="20"/>
          <w:szCs w:val="24"/>
          <w:lang w:eastAsia="de-DE"/>
        </w:rPr>
      </w:pPr>
    </w:p>
    <w:p w14:paraId="3EFABC4F" w14:textId="77777777" w:rsidR="00A16EC3" w:rsidRPr="00E10D8E" w:rsidRDefault="00A16EC3" w:rsidP="00E10D8E">
      <w:pPr>
        <w:spacing w:after="0" w:line="240" w:lineRule="auto"/>
        <w:jc w:val="left"/>
        <w:rPr>
          <w:rFonts w:ascii="Arial" w:eastAsia="Times New Roman" w:hAnsi="Arial" w:cs="Times New Roman"/>
          <w:sz w:val="20"/>
          <w:szCs w:val="24"/>
          <w:lang w:eastAsia="de-DE"/>
        </w:rPr>
      </w:pPr>
    </w:p>
    <w:p w14:paraId="4592FA08" w14:textId="7D4A988F" w:rsidR="00E10D8E" w:rsidRPr="00E10D8E" w:rsidRDefault="00E10D8E" w:rsidP="003D0BD8">
      <w:pPr>
        <w:spacing w:after="160" w:line="259" w:lineRule="auto"/>
        <w:ind w:left="709"/>
        <w:rPr>
          <w:rFonts w:ascii="Arial" w:eastAsia="Times New Roman" w:hAnsi="Arial" w:cs="Arial"/>
          <w:sz w:val="20"/>
          <w:lang w:eastAsia="en-GB"/>
        </w:rPr>
      </w:pPr>
      <w:r w:rsidRPr="00E10D8E">
        <w:rPr>
          <w:rFonts w:ascii="Arial" w:eastAsia="Times New Roman" w:hAnsi="Arial" w:cs="Arial"/>
          <w:sz w:val="20"/>
          <w:lang w:eastAsia="en-GB"/>
        </w:rPr>
        <w:br w:type="page"/>
      </w:r>
      <w:r w:rsidRPr="00E10D8E">
        <w:rPr>
          <w:rFonts w:ascii="Arial" w:eastAsia="Times New Roman" w:hAnsi="Arial" w:cs="Arial"/>
          <w:b/>
          <w:bCs/>
          <w:sz w:val="20"/>
          <w:lang w:eastAsia="en-GB"/>
        </w:rPr>
        <w:lastRenderedPageBreak/>
        <w:t xml:space="preserve"> </w:t>
      </w:r>
    </w:p>
    <w:p w14:paraId="0D5E179B"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that it is preferable to make disclosures available in a stand-alone document based on the SFDR template and consider any potential related adjustments to ESMA’s disclosure RTS at a later stage?</w:t>
      </w:r>
    </w:p>
    <w:p w14:paraId="76D5B7D2" w14:textId="77777777" w:rsidR="00931D41" w:rsidRDefault="00931D41" w:rsidP="00931D41">
      <w:pPr>
        <w:spacing w:after="160" w:line="259" w:lineRule="auto"/>
        <w:rPr>
          <w:rFonts w:ascii="Calibri" w:eastAsia="Calibri" w:hAnsi="Calibri" w:cs="Times New Roman"/>
          <w:szCs w:val="22"/>
        </w:rPr>
      </w:pPr>
    </w:p>
    <w:p w14:paraId="6DBC3DFE" w14:textId="6B74B1CB"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&lt;ESA_QUESTION_STS_SUST_1&gt;</w:t>
      </w:r>
    </w:p>
    <w:p w14:paraId="1CF6E854" w14:textId="77777777" w:rsidR="00E34758" w:rsidRPr="00E34758" w:rsidRDefault="00E34758" w:rsidP="00E34758">
      <w:pPr>
        <w:pStyle w:val="paragraph"/>
        <w:spacing w:before="0" w:beforeAutospacing="0" w:after="0" w:afterAutospacing="0"/>
        <w:textAlignment w:val="baseline"/>
        <w:rPr>
          <w:rFonts w:ascii="Segoe UI" w:hAnsi="Segoe UI" w:cs="Segoe UI"/>
          <w:sz w:val="18"/>
          <w:szCs w:val="18"/>
          <w:lang w:val="en-GB"/>
        </w:rPr>
      </w:pPr>
      <w:permStart w:id="317869781" w:edGrp="everyone"/>
      <w:r w:rsidRPr="00E34758">
        <w:rPr>
          <w:rStyle w:val="normaltextrun"/>
          <w:rFonts w:ascii="Arial" w:eastAsiaTheme="majorEastAsia" w:hAnsi="Arial" w:cs="Arial"/>
          <w:sz w:val="22"/>
          <w:szCs w:val="22"/>
          <w:lang w:val="en-GB"/>
        </w:rPr>
        <w:t>We support the approach to start with the SFDR template and to consider the adjustments to the ESMA disclosure at a later stage. </w:t>
      </w:r>
      <w:r w:rsidRPr="00E34758">
        <w:rPr>
          <w:rStyle w:val="eop"/>
          <w:rFonts w:ascii="Arial" w:eastAsiaTheme="majorEastAsia" w:hAnsi="Arial" w:cs="Arial"/>
          <w:sz w:val="22"/>
          <w:szCs w:val="22"/>
          <w:lang w:val="en-GB"/>
        </w:rPr>
        <w:t> </w:t>
      </w:r>
    </w:p>
    <w:p w14:paraId="69A32B50" w14:textId="0BD0A8CD" w:rsidR="00931D41" w:rsidRPr="00E34758" w:rsidRDefault="00E34758" w:rsidP="00E34758">
      <w:pPr>
        <w:pStyle w:val="paragraph"/>
        <w:spacing w:before="0" w:beforeAutospacing="0" w:after="0" w:afterAutospacing="0"/>
        <w:textAlignment w:val="baseline"/>
        <w:rPr>
          <w:rFonts w:ascii="Segoe UI" w:hAnsi="Segoe UI" w:cs="Segoe UI"/>
          <w:sz w:val="18"/>
          <w:szCs w:val="18"/>
          <w:lang w:val="en-GB"/>
        </w:rPr>
      </w:pPr>
      <w:r w:rsidRPr="00E34758">
        <w:rPr>
          <w:rStyle w:val="normaltextrun"/>
          <w:rFonts w:ascii="Arial" w:eastAsiaTheme="majorEastAsia" w:hAnsi="Arial" w:cs="Arial"/>
          <w:sz w:val="22"/>
          <w:szCs w:val="22"/>
          <w:lang w:val="en-GB"/>
        </w:rPr>
        <w:t>Also, from an investor perspective we welcome the publication of PAIs via a securitization repository (SR). </w:t>
      </w:r>
    </w:p>
    <w:permEnd w:id="317869781"/>
    <w:p w14:paraId="33C18796" w14:textId="55562709"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&lt;ESA_QUESTION_STS_SUST_1&gt;</w:t>
      </w:r>
    </w:p>
    <w:p w14:paraId="227B5212" w14:textId="77777777" w:rsidR="00931D41" w:rsidRPr="00931D41" w:rsidRDefault="00931D41" w:rsidP="00931D41">
      <w:pPr>
        <w:spacing w:after="160" w:line="259" w:lineRule="auto"/>
        <w:rPr>
          <w:rFonts w:ascii="Calibri" w:eastAsia="Calibri" w:hAnsi="Calibri" w:cs="Times New Roman"/>
          <w:szCs w:val="22"/>
        </w:rPr>
      </w:pPr>
    </w:p>
    <w:p w14:paraId="70084870"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that originators should disclose information in the principal adverse sustainability impacts statement, about whether and, if so, how principal adverse impacts on sustainability factors are taken into account in the originator’s credit granting criteria? Do you agree that the disclosed information should rely on and cross-reference existing disclosures?</w:t>
      </w:r>
    </w:p>
    <w:p w14:paraId="335AF662" w14:textId="77777777" w:rsidR="00931D41" w:rsidRDefault="00931D41" w:rsidP="00931D41">
      <w:pPr>
        <w:spacing w:after="160" w:line="259" w:lineRule="auto"/>
        <w:rPr>
          <w:rFonts w:ascii="Calibri" w:eastAsia="Calibri" w:hAnsi="Calibri" w:cs="Times New Roman"/>
          <w:szCs w:val="22"/>
        </w:rPr>
      </w:pPr>
    </w:p>
    <w:p w14:paraId="08CFF0F8" w14:textId="7FF9F5E3"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&lt;ESA_QUESTION_STS_SUST_2&gt;</w:t>
      </w:r>
    </w:p>
    <w:p w14:paraId="120F0D84" w14:textId="77777777" w:rsidR="00E34758" w:rsidRPr="00E34758" w:rsidRDefault="00E34758" w:rsidP="00E34758">
      <w:pPr>
        <w:pStyle w:val="paragraph"/>
        <w:spacing w:before="0" w:beforeAutospacing="0" w:after="0" w:afterAutospacing="0"/>
        <w:textAlignment w:val="baseline"/>
        <w:rPr>
          <w:rFonts w:ascii="Segoe UI" w:hAnsi="Segoe UI" w:cs="Segoe UI"/>
          <w:sz w:val="18"/>
          <w:szCs w:val="18"/>
          <w:lang w:val="en-GB"/>
        </w:rPr>
      </w:pPr>
      <w:permStart w:id="825885783" w:edGrp="everyone"/>
      <w:r w:rsidRPr="00E34758">
        <w:rPr>
          <w:rStyle w:val="normaltextrun"/>
          <w:rFonts w:ascii="Arial" w:eastAsiaTheme="majorEastAsia" w:hAnsi="Arial" w:cs="Arial"/>
          <w:sz w:val="22"/>
          <w:szCs w:val="22"/>
          <w:lang w:val="en-GB"/>
        </w:rPr>
        <w:t xml:space="preserve">We agree that originators should disclose information in the principal adverse sustainability impacts statement, how principal adverse impacts on sustainability factors are </w:t>
      </w:r>
      <w:proofErr w:type="gramStart"/>
      <w:r w:rsidRPr="00E34758">
        <w:rPr>
          <w:rStyle w:val="normaltextrun"/>
          <w:rFonts w:ascii="Arial" w:eastAsiaTheme="majorEastAsia" w:hAnsi="Arial" w:cs="Arial"/>
          <w:sz w:val="22"/>
          <w:szCs w:val="22"/>
          <w:lang w:val="en-GB"/>
        </w:rPr>
        <w:t>taken into account</w:t>
      </w:r>
      <w:proofErr w:type="gramEnd"/>
      <w:r w:rsidRPr="00E34758">
        <w:rPr>
          <w:rStyle w:val="normaltextrun"/>
          <w:rFonts w:ascii="Arial" w:eastAsiaTheme="majorEastAsia" w:hAnsi="Arial" w:cs="Arial"/>
          <w:sz w:val="22"/>
          <w:szCs w:val="22"/>
          <w:lang w:val="en-GB"/>
        </w:rPr>
        <w:t xml:space="preserve"> in the originator’s credit granting criteria. </w:t>
      </w:r>
      <w:r w:rsidRPr="00E34758">
        <w:rPr>
          <w:rStyle w:val="eop"/>
          <w:rFonts w:ascii="Arial" w:eastAsiaTheme="majorEastAsia" w:hAnsi="Arial" w:cs="Arial"/>
          <w:sz w:val="22"/>
          <w:szCs w:val="22"/>
          <w:lang w:val="en-GB"/>
        </w:rPr>
        <w:t> </w:t>
      </w:r>
    </w:p>
    <w:p w14:paraId="2C5C0C5F" w14:textId="7DF88657" w:rsidR="00931D41" w:rsidRPr="00E34758" w:rsidRDefault="00E34758" w:rsidP="00E34758">
      <w:pPr>
        <w:pStyle w:val="paragraph"/>
        <w:spacing w:before="0" w:beforeAutospacing="0" w:after="0" w:afterAutospacing="0"/>
        <w:textAlignment w:val="baseline"/>
        <w:rPr>
          <w:rFonts w:ascii="Segoe UI" w:hAnsi="Segoe UI" w:cs="Segoe UI"/>
          <w:sz w:val="18"/>
          <w:szCs w:val="18"/>
          <w:lang w:val="en-GB"/>
        </w:rPr>
      </w:pPr>
      <w:r w:rsidRPr="00E34758">
        <w:rPr>
          <w:rStyle w:val="normaltextrun"/>
          <w:rFonts w:ascii="Arial" w:eastAsiaTheme="majorEastAsia" w:hAnsi="Arial" w:cs="Arial"/>
          <w:sz w:val="22"/>
          <w:szCs w:val="22"/>
          <w:lang w:val="en-GB"/>
        </w:rPr>
        <w:t>In</w:t>
      </w:r>
      <w:r w:rsidRPr="00E34758">
        <w:rPr>
          <w:rStyle w:val="normaltextrun"/>
          <w:rFonts w:ascii="Arial" w:eastAsiaTheme="majorEastAsia" w:hAnsi="Arial" w:cs="Arial"/>
          <w:sz w:val="20"/>
          <w:szCs w:val="20"/>
          <w:lang w:val="en-GB"/>
        </w:rPr>
        <w:t xml:space="preserve"> that regard</w:t>
      </w:r>
      <w:r w:rsidRPr="00E34758">
        <w:rPr>
          <w:rStyle w:val="normaltextrun"/>
          <w:rFonts w:ascii="Arial" w:eastAsiaTheme="majorEastAsia" w:hAnsi="Arial" w:cs="Arial"/>
          <w:sz w:val="22"/>
          <w:szCs w:val="22"/>
          <w:lang w:val="en-GB"/>
        </w:rPr>
        <w:t xml:space="preserve"> we believe that a description of the originator’s policies on the assessment process to identify and prioritise PAIs on sustainability factors in relation to its credit granting is sufficient und would support 15 a) in the Joint Consultation Paper</w:t>
      </w:r>
      <w:r w:rsidRPr="00E34758">
        <w:rPr>
          <w:rStyle w:val="eop"/>
          <w:rFonts w:ascii="Arial" w:eastAsiaTheme="majorEastAsia" w:hAnsi="Arial" w:cs="Arial"/>
          <w:sz w:val="22"/>
          <w:szCs w:val="22"/>
          <w:lang w:val="en-GB"/>
        </w:rPr>
        <w:t> </w:t>
      </w:r>
    </w:p>
    <w:permEnd w:id="825885783"/>
    <w:p w14:paraId="62536DC7" w14:textId="65246034"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&lt;ESA_QUESTION_STS_SUST_2&gt;</w:t>
      </w:r>
    </w:p>
    <w:p w14:paraId="35A76042" w14:textId="77777777" w:rsidR="00931D41" w:rsidRPr="00931D41" w:rsidRDefault="00931D41" w:rsidP="00931D41">
      <w:pPr>
        <w:spacing w:after="160" w:line="259" w:lineRule="auto"/>
        <w:rPr>
          <w:rFonts w:ascii="Calibri" w:eastAsia="Calibri" w:hAnsi="Calibri" w:cs="Times New Roman"/>
          <w:szCs w:val="22"/>
        </w:rPr>
      </w:pPr>
    </w:p>
    <w:p w14:paraId="71248C34"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that originators should disclose information about whether, and if so how, PAI indicators on sustainability factors are considered in the selection of underlying exposures to be added/repurchased to/from the pool at the time of marketing or during the lifetime of the securitisation? Do you agree with the level of information required?</w:t>
      </w:r>
    </w:p>
    <w:p w14:paraId="0CF6BD50" w14:textId="77777777" w:rsidR="00931D41" w:rsidRDefault="00931D41" w:rsidP="00931D41">
      <w:pPr>
        <w:spacing w:after="160" w:line="259" w:lineRule="auto"/>
        <w:rPr>
          <w:rFonts w:ascii="Calibri" w:eastAsia="Calibri" w:hAnsi="Calibri" w:cs="Times New Roman"/>
          <w:szCs w:val="22"/>
        </w:rPr>
      </w:pPr>
    </w:p>
    <w:p w14:paraId="2223AAFE" w14:textId="70C97077"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&lt;ESA_QUESTION_STS_SUST_3&gt;</w:t>
      </w:r>
    </w:p>
    <w:p w14:paraId="044DF8E4" w14:textId="77777777" w:rsidR="00E34758" w:rsidRPr="00E34758" w:rsidRDefault="00E34758" w:rsidP="00E34758">
      <w:pPr>
        <w:spacing w:after="0" w:line="240" w:lineRule="auto"/>
        <w:jc w:val="left"/>
        <w:textAlignment w:val="baseline"/>
        <w:rPr>
          <w:rFonts w:ascii="Segoe UI" w:eastAsia="Times New Roman" w:hAnsi="Segoe UI" w:cs="Segoe UI"/>
          <w:szCs w:val="22"/>
          <w:lang w:eastAsia="de-DE"/>
        </w:rPr>
      </w:pPr>
      <w:bookmarkStart w:id="2" w:name="_Hlk102641453"/>
      <w:permStart w:id="1873031273" w:edGrp="everyone"/>
      <w:r w:rsidRPr="00E34758">
        <w:rPr>
          <w:rFonts w:ascii="Arial" w:eastAsia="Times New Roman" w:hAnsi="Arial" w:cs="Arial"/>
          <w:szCs w:val="22"/>
          <w:lang w:eastAsia="de-DE"/>
        </w:rPr>
        <w:t>Basically, it should be emphasised that information about how PAI indicators on sustainability factors are considered in the selection of underlying exposures to be added/repurchased to/from the pool at the time of marketing or during the lifetime of the securitization</w:t>
      </w:r>
      <w:r w:rsidRPr="00E34758">
        <w:rPr>
          <w:rFonts w:ascii="Arial" w:eastAsia="Times New Roman" w:hAnsi="Arial" w:cs="Arial"/>
          <w:b/>
          <w:bCs/>
          <w:szCs w:val="22"/>
          <w:lang w:eastAsia="de-DE"/>
        </w:rPr>
        <w:t xml:space="preserve"> </w:t>
      </w:r>
      <w:r w:rsidRPr="00E34758">
        <w:rPr>
          <w:rFonts w:ascii="Arial" w:eastAsia="Times New Roman" w:hAnsi="Arial" w:cs="Arial"/>
          <w:szCs w:val="22"/>
          <w:lang w:eastAsia="de-DE"/>
        </w:rPr>
        <w:t>is very important for sustainable investors. </w:t>
      </w:r>
    </w:p>
    <w:p w14:paraId="3E51EE49" w14:textId="77777777" w:rsidR="00E34758" w:rsidRPr="00E34758" w:rsidRDefault="00E34758" w:rsidP="00E34758">
      <w:pPr>
        <w:spacing w:after="0" w:line="240" w:lineRule="auto"/>
        <w:jc w:val="left"/>
        <w:textAlignment w:val="baseline"/>
        <w:rPr>
          <w:rFonts w:ascii="Segoe UI" w:eastAsia="Times New Roman" w:hAnsi="Segoe UI" w:cs="Segoe UI"/>
          <w:szCs w:val="22"/>
          <w:lang w:eastAsia="de-DE"/>
        </w:rPr>
      </w:pPr>
      <w:r w:rsidRPr="00E34758">
        <w:rPr>
          <w:rFonts w:ascii="Arial" w:eastAsia="Times New Roman" w:hAnsi="Arial" w:cs="Arial"/>
          <w:szCs w:val="22"/>
          <w:lang w:eastAsia="de-DE"/>
        </w:rPr>
        <w:t xml:space="preserve">If the originator's procedures and credit granting criteria (as provided by the originator under question Q2) apply for the initial selection of the pool and replenishment of the </w:t>
      </w:r>
      <w:proofErr w:type="gramStart"/>
      <w:r w:rsidRPr="00E34758">
        <w:rPr>
          <w:rFonts w:ascii="Arial" w:eastAsia="Times New Roman" w:hAnsi="Arial" w:cs="Arial"/>
          <w:szCs w:val="22"/>
          <w:lang w:eastAsia="de-DE"/>
        </w:rPr>
        <w:t>pool</w:t>
      </w:r>
      <w:proofErr w:type="gramEnd"/>
      <w:r w:rsidRPr="00E34758">
        <w:rPr>
          <w:rFonts w:ascii="Arial" w:eastAsia="Times New Roman" w:hAnsi="Arial" w:cs="Arial"/>
          <w:szCs w:val="22"/>
          <w:lang w:eastAsia="de-DE"/>
        </w:rPr>
        <w:t xml:space="preserve"> then additional disclosures are not needed. </w:t>
      </w:r>
    </w:p>
    <w:p w14:paraId="682F4DD8" w14:textId="77777777" w:rsidR="00E34758" w:rsidRPr="00E34758" w:rsidRDefault="00E34758" w:rsidP="00E34758">
      <w:pPr>
        <w:spacing w:after="0" w:line="240" w:lineRule="auto"/>
        <w:jc w:val="left"/>
        <w:textAlignment w:val="baseline"/>
        <w:rPr>
          <w:rFonts w:ascii="Segoe UI" w:eastAsia="Times New Roman" w:hAnsi="Segoe UI" w:cs="Segoe UI"/>
          <w:szCs w:val="22"/>
          <w:lang w:eastAsia="de-DE"/>
        </w:rPr>
      </w:pPr>
      <w:r w:rsidRPr="00E34758">
        <w:rPr>
          <w:rFonts w:ascii="Arial" w:eastAsia="Times New Roman" w:hAnsi="Arial" w:cs="Arial"/>
          <w:szCs w:val="22"/>
          <w:lang w:eastAsia="de-DE"/>
        </w:rPr>
        <w:t>Referring to the considerations 17 a – d we would like to note the following. </w:t>
      </w:r>
    </w:p>
    <w:p w14:paraId="79CA43D0" w14:textId="77777777" w:rsidR="00E34758" w:rsidRPr="00E34758" w:rsidRDefault="00E34758" w:rsidP="00E34758">
      <w:pPr>
        <w:numPr>
          <w:ilvl w:val="0"/>
          <w:numId w:val="14"/>
        </w:numPr>
        <w:spacing w:after="0" w:line="240" w:lineRule="auto"/>
        <w:ind w:left="1080" w:firstLine="0"/>
        <w:jc w:val="left"/>
        <w:textAlignment w:val="baseline"/>
        <w:rPr>
          <w:rFonts w:ascii="Segoe UI" w:eastAsia="Times New Roman" w:hAnsi="Segoe UI" w:cs="Segoe UI"/>
          <w:szCs w:val="22"/>
          <w:lang w:eastAsia="de-DE"/>
        </w:rPr>
      </w:pPr>
      <w:r w:rsidRPr="00E34758">
        <w:rPr>
          <w:rFonts w:ascii="Arial" w:eastAsia="Times New Roman" w:hAnsi="Arial" w:cs="Arial"/>
          <w:szCs w:val="22"/>
          <w:lang w:eastAsia="de-DE"/>
        </w:rPr>
        <w:lastRenderedPageBreak/>
        <w:t xml:space="preserve">“a description of any thresholds applicable to the composition of the pool of underlying exposures in the securitisation relating to the PAIs on sustainability factors of the assets financed by the underlying exposures in the pool;” </w:t>
      </w:r>
      <w:r w:rsidRPr="00E34758">
        <w:rPr>
          <w:rFonts w:ascii="Arial" w:eastAsia="Times New Roman" w:hAnsi="Arial" w:cs="Arial"/>
          <w:b/>
          <w:bCs/>
          <w:szCs w:val="22"/>
          <w:lang w:eastAsia="de-DE"/>
        </w:rPr>
        <w:t>Comment:</w:t>
      </w:r>
      <w:r w:rsidRPr="00E34758">
        <w:rPr>
          <w:rFonts w:ascii="Arial" w:eastAsia="Times New Roman" w:hAnsi="Arial" w:cs="Arial"/>
          <w:szCs w:val="22"/>
          <w:lang w:eastAsia="de-DE"/>
        </w:rPr>
        <w:t xml:space="preserve"> From an investor's point of view, this approach would be good.</w:t>
      </w:r>
      <w:r w:rsidRPr="00E34758">
        <w:rPr>
          <w:rFonts w:ascii="Arial" w:eastAsia="Times New Roman" w:hAnsi="Arial" w:cs="Arial"/>
          <w:b/>
          <w:bCs/>
          <w:szCs w:val="22"/>
          <w:lang w:eastAsia="de-DE"/>
        </w:rPr>
        <w:t>  </w:t>
      </w:r>
      <w:r w:rsidRPr="00E34758">
        <w:rPr>
          <w:rFonts w:ascii="Arial" w:eastAsia="Times New Roman" w:hAnsi="Arial" w:cs="Arial"/>
          <w:szCs w:val="22"/>
          <w:lang w:eastAsia="de-DE"/>
        </w:rPr>
        <w:t> </w:t>
      </w:r>
    </w:p>
    <w:p w14:paraId="5F98756D" w14:textId="77777777" w:rsidR="00E34758" w:rsidRPr="00E34758" w:rsidRDefault="00E34758" w:rsidP="00E34758">
      <w:pPr>
        <w:numPr>
          <w:ilvl w:val="0"/>
          <w:numId w:val="15"/>
        </w:numPr>
        <w:spacing w:after="0" w:line="240" w:lineRule="auto"/>
        <w:ind w:left="1080" w:firstLine="0"/>
        <w:jc w:val="left"/>
        <w:textAlignment w:val="baseline"/>
        <w:rPr>
          <w:rFonts w:ascii="Segoe UI" w:eastAsia="Times New Roman" w:hAnsi="Segoe UI" w:cs="Segoe UI"/>
          <w:szCs w:val="22"/>
          <w:lang w:eastAsia="de-DE"/>
        </w:rPr>
      </w:pPr>
      <w:r w:rsidRPr="00E34758">
        <w:rPr>
          <w:rFonts w:ascii="Arial" w:eastAsia="Times New Roman" w:hAnsi="Arial" w:cs="Arial"/>
          <w:szCs w:val="22"/>
          <w:lang w:eastAsia="de-DE"/>
        </w:rPr>
        <w:t xml:space="preserve">“a description of any tests, events and triggers in the securitisation relating to the PAIs on sustainability factors of the assets financed by the underlying exposures;” </w:t>
      </w:r>
      <w:r w:rsidRPr="00E34758">
        <w:rPr>
          <w:rFonts w:ascii="Arial" w:eastAsia="Times New Roman" w:hAnsi="Arial" w:cs="Arial"/>
          <w:b/>
          <w:bCs/>
          <w:szCs w:val="22"/>
          <w:lang w:eastAsia="de-DE"/>
        </w:rPr>
        <w:t xml:space="preserve">Comment: </w:t>
      </w:r>
      <w:r w:rsidRPr="00E34758">
        <w:rPr>
          <w:rFonts w:ascii="Arial" w:eastAsia="Times New Roman" w:hAnsi="Arial" w:cs="Arial"/>
          <w:szCs w:val="22"/>
          <w:lang w:eastAsia="de-DE"/>
        </w:rPr>
        <w:t xml:space="preserve">Would theoretically be OK, but we doubt that PAIs would be applied in tests, </w:t>
      </w:r>
      <w:proofErr w:type="gramStart"/>
      <w:r w:rsidRPr="00E34758">
        <w:rPr>
          <w:rFonts w:ascii="Arial" w:eastAsia="Times New Roman" w:hAnsi="Arial" w:cs="Arial"/>
          <w:szCs w:val="22"/>
          <w:lang w:eastAsia="de-DE"/>
        </w:rPr>
        <w:t>events</w:t>
      </w:r>
      <w:proofErr w:type="gramEnd"/>
      <w:r w:rsidRPr="00E34758">
        <w:rPr>
          <w:rFonts w:ascii="Arial" w:eastAsia="Times New Roman" w:hAnsi="Arial" w:cs="Arial"/>
          <w:szCs w:val="22"/>
          <w:lang w:eastAsia="de-DE"/>
        </w:rPr>
        <w:t xml:space="preserve"> and triggers within the liability structure. </w:t>
      </w:r>
    </w:p>
    <w:p w14:paraId="76DDC1F8" w14:textId="77777777" w:rsidR="00E34758" w:rsidRPr="00E34758" w:rsidRDefault="00E34758" w:rsidP="00E34758">
      <w:pPr>
        <w:numPr>
          <w:ilvl w:val="0"/>
          <w:numId w:val="16"/>
        </w:numPr>
        <w:spacing w:after="0" w:line="240" w:lineRule="auto"/>
        <w:ind w:left="1080" w:firstLine="0"/>
        <w:jc w:val="left"/>
        <w:textAlignment w:val="baseline"/>
        <w:rPr>
          <w:rFonts w:ascii="Segoe UI" w:eastAsia="Times New Roman" w:hAnsi="Segoe UI" w:cs="Segoe UI"/>
          <w:szCs w:val="22"/>
          <w:lang w:eastAsia="de-DE"/>
        </w:rPr>
      </w:pPr>
      <w:r w:rsidRPr="00E34758">
        <w:rPr>
          <w:rFonts w:ascii="Arial" w:eastAsia="Times New Roman" w:hAnsi="Arial" w:cs="Arial"/>
          <w:szCs w:val="22"/>
          <w:lang w:eastAsia="de-DE"/>
        </w:rPr>
        <w:t>“</w:t>
      </w:r>
      <w:proofErr w:type="gramStart"/>
      <w:r w:rsidRPr="00E34758">
        <w:rPr>
          <w:rFonts w:ascii="Arial" w:eastAsia="Times New Roman" w:hAnsi="Arial" w:cs="Arial"/>
          <w:szCs w:val="22"/>
          <w:lang w:eastAsia="de-DE"/>
        </w:rPr>
        <w:t>clear</w:t>
      </w:r>
      <w:proofErr w:type="gramEnd"/>
      <w:r w:rsidRPr="00E34758">
        <w:rPr>
          <w:rFonts w:ascii="Arial" w:eastAsia="Times New Roman" w:hAnsi="Arial" w:cs="Arial"/>
          <w:szCs w:val="22"/>
          <w:lang w:eastAsia="de-DE"/>
        </w:rPr>
        <w:t xml:space="preserve"> references to the relevant pages and sections in the final offering document or the prospectus and the closing transaction documents where these thresholds, tests, events or triggers are described in detail” </w:t>
      </w:r>
      <w:r w:rsidRPr="00E34758">
        <w:rPr>
          <w:rFonts w:ascii="Arial" w:eastAsia="Times New Roman" w:hAnsi="Arial" w:cs="Arial"/>
          <w:b/>
          <w:bCs/>
          <w:szCs w:val="22"/>
          <w:lang w:eastAsia="de-DE"/>
        </w:rPr>
        <w:t xml:space="preserve">Comment: </w:t>
      </w:r>
      <w:r w:rsidRPr="00E34758">
        <w:rPr>
          <w:rFonts w:ascii="Arial" w:eastAsia="Times New Roman" w:hAnsi="Arial" w:cs="Arial"/>
          <w:szCs w:val="22"/>
          <w:lang w:eastAsia="de-DE"/>
        </w:rPr>
        <w:t xml:space="preserve">We don’t think that a reference to the pages in preliminary or final prospectus is necessary. The disclosure should only contain the name of the test and an investor then can search the name in prospectus. As mentioned above to c) we doubt that PAIs would be applied in tests, </w:t>
      </w:r>
      <w:proofErr w:type="gramStart"/>
      <w:r w:rsidRPr="00E34758">
        <w:rPr>
          <w:rFonts w:ascii="Arial" w:eastAsia="Times New Roman" w:hAnsi="Arial" w:cs="Arial"/>
          <w:szCs w:val="22"/>
          <w:lang w:eastAsia="de-DE"/>
        </w:rPr>
        <w:t>events</w:t>
      </w:r>
      <w:proofErr w:type="gramEnd"/>
      <w:r w:rsidRPr="00E34758">
        <w:rPr>
          <w:rFonts w:ascii="Arial" w:eastAsia="Times New Roman" w:hAnsi="Arial" w:cs="Arial"/>
          <w:szCs w:val="22"/>
          <w:lang w:eastAsia="de-DE"/>
        </w:rPr>
        <w:t xml:space="preserve"> and triggers within the liability structure. </w:t>
      </w:r>
    </w:p>
    <w:p w14:paraId="4D638EBD" w14:textId="336F5C6F" w:rsidR="00931D41" w:rsidRPr="00E34758" w:rsidRDefault="00E34758" w:rsidP="00E34758">
      <w:pPr>
        <w:numPr>
          <w:ilvl w:val="0"/>
          <w:numId w:val="17"/>
        </w:numPr>
        <w:spacing w:after="0" w:line="240" w:lineRule="auto"/>
        <w:ind w:left="1080" w:firstLine="0"/>
        <w:jc w:val="left"/>
        <w:textAlignment w:val="baseline"/>
        <w:rPr>
          <w:rFonts w:ascii="Segoe UI" w:eastAsia="Times New Roman" w:hAnsi="Segoe UI" w:cs="Segoe UI"/>
          <w:szCs w:val="22"/>
          <w:lang w:eastAsia="de-DE"/>
        </w:rPr>
      </w:pPr>
      <w:r w:rsidRPr="00E34758">
        <w:rPr>
          <w:rFonts w:ascii="Arial" w:eastAsia="Times New Roman" w:hAnsi="Arial" w:cs="Arial"/>
          <w:szCs w:val="22"/>
          <w:lang w:eastAsia="de-DE"/>
        </w:rPr>
        <w:t>“</w:t>
      </w:r>
      <w:proofErr w:type="gramStart"/>
      <w:r w:rsidRPr="00E34758">
        <w:rPr>
          <w:rFonts w:ascii="Arial" w:eastAsia="Times New Roman" w:hAnsi="Arial" w:cs="Arial"/>
          <w:szCs w:val="22"/>
          <w:lang w:eastAsia="de-DE"/>
        </w:rPr>
        <w:t>where</w:t>
      </w:r>
      <w:proofErr w:type="gramEnd"/>
      <w:r w:rsidRPr="00E34758">
        <w:rPr>
          <w:rFonts w:ascii="Arial" w:eastAsia="Times New Roman" w:hAnsi="Arial" w:cs="Arial"/>
          <w:szCs w:val="22"/>
          <w:lang w:eastAsia="de-DE"/>
        </w:rPr>
        <w:t xml:space="preserve"> information relating to any of the indicators used is not readily available, details of the best efforts used to obtain the information from the obligors, external experts or by making reasonable assumptions.” </w:t>
      </w:r>
      <w:r w:rsidRPr="00E34758">
        <w:rPr>
          <w:rFonts w:ascii="Arial" w:eastAsia="Times New Roman" w:hAnsi="Arial" w:cs="Arial"/>
          <w:b/>
          <w:bCs/>
          <w:szCs w:val="22"/>
          <w:lang w:eastAsia="de-DE"/>
        </w:rPr>
        <w:t xml:space="preserve">Comment: </w:t>
      </w:r>
      <w:r w:rsidRPr="00E34758">
        <w:rPr>
          <w:rFonts w:ascii="Arial" w:eastAsia="Times New Roman" w:hAnsi="Arial" w:cs="Arial"/>
          <w:szCs w:val="22"/>
          <w:lang w:eastAsia="de-DE"/>
        </w:rPr>
        <w:t xml:space="preserve">If the information is not available, it cannot be reported. In principle, reasonable assumptions can provide investors with indications, but it is important that these are also robust </w:t>
      </w:r>
      <w:proofErr w:type="gramStart"/>
      <w:r w:rsidRPr="00E34758">
        <w:rPr>
          <w:rFonts w:ascii="Arial" w:eastAsia="Times New Roman" w:hAnsi="Arial" w:cs="Arial"/>
          <w:szCs w:val="22"/>
          <w:lang w:eastAsia="de-DE"/>
        </w:rPr>
        <w:t>in order to</w:t>
      </w:r>
      <w:proofErr w:type="gramEnd"/>
      <w:r w:rsidRPr="00E34758">
        <w:rPr>
          <w:rFonts w:ascii="Arial" w:eastAsia="Times New Roman" w:hAnsi="Arial" w:cs="Arial"/>
          <w:szCs w:val="22"/>
          <w:lang w:eastAsia="de-DE"/>
        </w:rPr>
        <w:t xml:space="preserve"> avoid the danger of greenwashing. Under no circumstances should investors be obliged to make robust assumptions instead of the originator. If the information is not available a negative certificate might also be possible. </w:t>
      </w:r>
    </w:p>
    <w:bookmarkEnd w:id="2"/>
    <w:permEnd w:id="1873031273"/>
    <w:p w14:paraId="7F67D8E6" w14:textId="7AEC6D3A"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&lt;ESA_QUESTION_STS_SUST_3&gt;</w:t>
      </w:r>
    </w:p>
    <w:p w14:paraId="4DF8F381" w14:textId="77777777" w:rsidR="00931D41" w:rsidRPr="00931D41" w:rsidRDefault="00931D41" w:rsidP="00931D41">
      <w:pPr>
        <w:spacing w:after="160" w:line="259" w:lineRule="auto"/>
        <w:rPr>
          <w:rFonts w:ascii="Calibri" w:eastAsia="Calibri" w:hAnsi="Calibri" w:cs="Times New Roman"/>
          <w:szCs w:val="22"/>
        </w:rPr>
      </w:pPr>
    </w:p>
    <w:p w14:paraId="62A270C1"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Do you agree with the approach taken in the draft RTS which aims for full consistency with the draft SFDR RTS? </w:t>
      </w:r>
    </w:p>
    <w:p w14:paraId="3BD58326" w14:textId="77777777" w:rsidR="00931D41" w:rsidRDefault="00931D41" w:rsidP="00931D41">
      <w:pPr>
        <w:spacing w:after="160" w:line="259" w:lineRule="auto"/>
        <w:rPr>
          <w:rFonts w:ascii="Calibri" w:eastAsia="Calibri" w:hAnsi="Calibri" w:cs="Times New Roman"/>
          <w:szCs w:val="22"/>
        </w:rPr>
      </w:pPr>
    </w:p>
    <w:p w14:paraId="0CCC949A" w14:textId="7862FAE7"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&lt;ESA_QUESTION_STS_SUST_4&gt;</w:t>
      </w:r>
    </w:p>
    <w:p w14:paraId="3757C3F0" w14:textId="77777777" w:rsidR="00E34758" w:rsidRPr="00E34758" w:rsidRDefault="00E34758" w:rsidP="00E34758">
      <w:pPr>
        <w:spacing w:after="0" w:line="240" w:lineRule="auto"/>
        <w:jc w:val="left"/>
        <w:textAlignment w:val="baseline"/>
        <w:rPr>
          <w:rFonts w:ascii="Segoe UI" w:eastAsia="Times New Roman" w:hAnsi="Segoe UI" w:cs="Segoe UI"/>
          <w:sz w:val="18"/>
          <w:szCs w:val="18"/>
          <w:lang w:eastAsia="de-DE"/>
        </w:rPr>
      </w:pPr>
      <w:permStart w:id="1429154123" w:edGrp="everyone"/>
      <w:r w:rsidRPr="00E34758">
        <w:rPr>
          <w:rFonts w:ascii="Arial" w:eastAsia="Times New Roman" w:hAnsi="Arial" w:cs="Arial"/>
          <w:szCs w:val="22"/>
          <w:lang w:eastAsia="de-DE"/>
        </w:rPr>
        <w:t>We support this approach. Even though some data may not yet be available to the originators, it is better to start the process as soon as possible and to use the existing draft SFDR RTS. </w:t>
      </w:r>
    </w:p>
    <w:p w14:paraId="1F6D8E6C" w14:textId="77861FFA" w:rsidR="00931D41" w:rsidRPr="00E34758" w:rsidRDefault="00E34758" w:rsidP="00E34758">
      <w:pPr>
        <w:spacing w:after="0" w:line="240" w:lineRule="auto"/>
        <w:jc w:val="left"/>
        <w:textAlignment w:val="baseline"/>
        <w:rPr>
          <w:rFonts w:ascii="Segoe UI" w:eastAsia="Times New Roman" w:hAnsi="Segoe UI" w:cs="Segoe UI"/>
          <w:sz w:val="18"/>
          <w:szCs w:val="18"/>
          <w:lang w:eastAsia="de-DE"/>
        </w:rPr>
      </w:pPr>
      <w:r w:rsidRPr="00E34758">
        <w:rPr>
          <w:rFonts w:ascii="Arial" w:eastAsia="Times New Roman" w:hAnsi="Arial" w:cs="Arial"/>
          <w:szCs w:val="22"/>
          <w:lang w:eastAsia="de-DE"/>
        </w:rPr>
        <w:t xml:space="preserve">Additional positive aspects would be that the effort for the originators with uniform sustainability disclosure RTS would presumably be </w:t>
      </w:r>
      <w:proofErr w:type="gramStart"/>
      <w:r w:rsidRPr="00E34758">
        <w:rPr>
          <w:rFonts w:ascii="Arial" w:eastAsia="Times New Roman" w:hAnsi="Arial" w:cs="Arial"/>
          <w:szCs w:val="22"/>
          <w:lang w:eastAsia="de-DE"/>
        </w:rPr>
        <w:t>less</w:t>
      </w:r>
      <w:proofErr w:type="gramEnd"/>
      <w:r w:rsidRPr="00E34758">
        <w:rPr>
          <w:rFonts w:ascii="Arial" w:eastAsia="Times New Roman" w:hAnsi="Arial" w:cs="Arial"/>
          <w:szCs w:val="22"/>
          <w:lang w:eastAsia="de-DE"/>
        </w:rPr>
        <w:t xml:space="preserve"> and investors could better evaluate the data in an automated way. </w:t>
      </w:r>
    </w:p>
    <w:permEnd w:id="1429154123"/>
    <w:p w14:paraId="48FD7ABC" w14:textId="084066AC"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&lt;ESA_QUESTION_STS_SUST_4&gt;</w:t>
      </w:r>
    </w:p>
    <w:p w14:paraId="3F5A4C4C" w14:textId="77777777" w:rsidR="00931D41" w:rsidRPr="00931D41" w:rsidRDefault="00931D41" w:rsidP="00931D41">
      <w:pPr>
        <w:spacing w:after="160" w:line="259" w:lineRule="auto"/>
        <w:rPr>
          <w:rFonts w:ascii="Calibri" w:eastAsia="Calibri" w:hAnsi="Calibri" w:cs="Times New Roman"/>
          <w:szCs w:val="22"/>
        </w:rPr>
      </w:pPr>
    </w:p>
    <w:p w14:paraId="062DDCD3"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the inclusion of the new mandatory non-green asset ratio indicator for all asset classes covered by the RTS?</w:t>
      </w:r>
    </w:p>
    <w:p w14:paraId="3537619F" w14:textId="77777777" w:rsidR="00B076B9" w:rsidRDefault="00B076B9" w:rsidP="00931D41">
      <w:pPr>
        <w:spacing w:after="160" w:line="259" w:lineRule="auto"/>
        <w:rPr>
          <w:rFonts w:ascii="Calibri" w:eastAsia="Calibri" w:hAnsi="Calibri" w:cs="Times New Roman"/>
          <w:szCs w:val="22"/>
        </w:rPr>
      </w:pPr>
    </w:p>
    <w:p w14:paraId="287D3CA2" w14:textId="277B0339"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&lt;ESA_QUESTION_STS_SUST_5&gt;</w:t>
      </w:r>
    </w:p>
    <w:p w14:paraId="5BFB0603" w14:textId="77777777" w:rsidR="00E34758" w:rsidRPr="00E34758" w:rsidRDefault="00E34758" w:rsidP="00E34758">
      <w:pPr>
        <w:spacing w:after="0" w:line="240" w:lineRule="auto"/>
        <w:jc w:val="left"/>
        <w:textAlignment w:val="baseline"/>
        <w:rPr>
          <w:rFonts w:ascii="Segoe UI" w:eastAsia="Times New Roman" w:hAnsi="Segoe UI" w:cs="Segoe UI"/>
          <w:sz w:val="18"/>
          <w:szCs w:val="18"/>
          <w:lang w:eastAsia="de-DE"/>
        </w:rPr>
      </w:pPr>
      <w:permStart w:id="485897086" w:edGrp="everyone"/>
      <w:r w:rsidRPr="00E34758">
        <w:rPr>
          <w:rFonts w:ascii="Arial" w:eastAsia="Times New Roman" w:hAnsi="Arial" w:cs="Arial"/>
          <w:szCs w:val="22"/>
          <w:lang w:eastAsia="de-DE"/>
        </w:rPr>
        <w:t xml:space="preserve">There should be no obligation to disclose a non-green asset ratio indicator for securitisations, but only on a voluntary basis. When considering the introduction of a non-green asset ratio </w:t>
      </w:r>
      <w:r w:rsidRPr="00E34758">
        <w:rPr>
          <w:rFonts w:ascii="Arial" w:eastAsia="Times New Roman" w:hAnsi="Arial" w:cs="Arial"/>
          <w:szCs w:val="22"/>
          <w:lang w:eastAsia="de-DE"/>
        </w:rPr>
        <w:lastRenderedPageBreak/>
        <w:t>indicator, competitive disadvantages compared to comparable asset classes should be avoided in any case.  </w:t>
      </w:r>
    </w:p>
    <w:p w14:paraId="48227C0D" w14:textId="77777777" w:rsidR="00E34758" w:rsidRPr="00E34758" w:rsidRDefault="00E34758" w:rsidP="00E34758">
      <w:pPr>
        <w:spacing w:after="0" w:line="240" w:lineRule="auto"/>
        <w:jc w:val="left"/>
        <w:textAlignment w:val="baseline"/>
        <w:rPr>
          <w:rFonts w:ascii="Segoe UI" w:eastAsia="Times New Roman" w:hAnsi="Segoe UI" w:cs="Segoe UI"/>
          <w:sz w:val="18"/>
          <w:szCs w:val="18"/>
          <w:lang w:eastAsia="de-DE"/>
        </w:rPr>
      </w:pPr>
      <w:r w:rsidRPr="00E34758">
        <w:rPr>
          <w:rFonts w:ascii="Arial" w:eastAsia="Times New Roman" w:hAnsi="Arial" w:cs="Arial"/>
          <w:szCs w:val="22"/>
          <w:lang w:eastAsia="de-DE"/>
        </w:rPr>
        <w:t xml:space="preserve">In addition, it should be </w:t>
      </w:r>
      <w:proofErr w:type="gramStart"/>
      <w:r w:rsidRPr="00E34758">
        <w:rPr>
          <w:rFonts w:ascii="Arial" w:eastAsia="Times New Roman" w:hAnsi="Arial" w:cs="Arial"/>
          <w:szCs w:val="22"/>
          <w:lang w:eastAsia="de-DE"/>
        </w:rPr>
        <w:t>taken into account</w:t>
      </w:r>
      <w:proofErr w:type="gramEnd"/>
      <w:r w:rsidRPr="00E34758">
        <w:rPr>
          <w:rFonts w:ascii="Arial" w:eastAsia="Times New Roman" w:hAnsi="Arial" w:cs="Arial"/>
          <w:szCs w:val="22"/>
          <w:lang w:eastAsia="de-DE"/>
        </w:rPr>
        <w:t xml:space="preserve"> that not all originators are credit institutions as some may be non-bank lenders. If these non-bank lenders are required to calculate a GAR ratio on the company </w:t>
      </w:r>
      <w:proofErr w:type="gramStart"/>
      <w:r w:rsidRPr="00E34758">
        <w:rPr>
          <w:rFonts w:ascii="Arial" w:eastAsia="Times New Roman" w:hAnsi="Arial" w:cs="Arial"/>
          <w:szCs w:val="22"/>
          <w:lang w:eastAsia="de-DE"/>
        </w:rPr>
        <w:t>level</w:t>
      </w:r>
      <w:proofErr w:type="gramEnd"/>
      <w:r w:rsidRPr="00E34758">
        <w:rPr>
          <w:rFonts w:ascii="Arial" w:eastAsia="Times New Roman" w:hAnsi="Arial" w:cs="Arial"/>
          <w:szCs w:val="22"/>
          <w:lang w:eastAsia="de-DE"/>
        </w:rPr>
        <w:t xml:space="preserve"> then they should have the possibility to disclose this information voluntarily. But if a non-bank lender is not required to calculate a </w:t>
      </w:r>
      <w:proofErr w:type="gramStart"/>
      <w:r w:rsidRPr="00E34758">
        <w:rPr>
          <w:rFonts w:ascii="Arial" w:eastAsia="Times New Roman" w:hAnsi="Arial" w:cs="Arial"/>
          <w:szCs w:val="22"/>
          <w:lang w:eastAsia="de-DE"/>
        </w:rPr>
        <w:t>GAR</w:t>
      </w:r>
      <w:proofErr w:type="gramEnd"/>
      <w:r w:rsidRPr="00E34758">
        <w:rPr>
          <w:rFonts w:ascii="Arial" w:eastAsia="Times New Roman" w:hAnsi="Arial" w:cs="Arial"/>
          <w:szCs w:val="22"/>
          <w:lang w:eastAsia="de-DE"/>
        </w:rPr>
        <w:t xml:space="preserve"> then it is not clear why it should be done so for securitisation. </w:t>
      </w:r>
    </w:p>
    <w:p w14:paraId="678BCC3F" w14:textId="3717B8E8" w:rsidR="00931D41" w:rsidRPr="00E34758" w:rsidRDefault="00E34758" w:rsidP="00E34758">
      <w:pPr>
        <w:spacing w:after="0" w:line="240" w:lineRule="auto"/>
        <w:jc w:val="left"/>
        <w:textAlignment w:val="baseline"/>
        <w:rPr>
          <w:rFonts w:ascii="Segoe UI" w:eastAsia="Times New Roman" w:hAnsi="Segoe UI" w:cs="Segoe UI"/>
          <w:sz w:val="18"/>
          <w:szCs w:val="18"/>
          <w:lang w:eastAsia="de-DE"/>
        </w:rPr>
      </w:pPr>
      <w:r w:rsidRPr="00E34758">
        <w:rPr>
          <w:rFonts w:ascii="Arial" w:eastAsia="Times New Roman" w:hAnsi="Arial" w:cs="Arial"/>
          <w:szCs w:val="22"/>
          <w:lang w:eastAsia="de-DE"/>
        </w:rPr>
        <w:t>In principle we only agree to disclosure of GAR ratios on the securitization transaction level on a voluntary basis to the extent that comparable asset classes like covered bonds will also report GAR ratios. If it is not envisaged that covered bonds (or similar asset classes) report on GAR ratios on the cover pool basis then we would not like to put ABS transaction at disadvantage versus covered bonds. </w:t>
      </w:r>
    </w:p>
    <w:permEnd w:id="485897086"/>
    <w:p w14:paraId="79276BF8" w14:textId="70C8AEB6"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_QUESTION_STS_SUST_5&gt;</w:t>
      </w:r>
    </w:p>
    <w:p w14:paraId="7865F630" w14:textId="77777777" w:rsidR="00931D41" w:rsidRPr="00931D41" w:rsidRDefault="00931D41" w:rsidP="00931D41">
      <w:pPr>
        <w:spacing w:after="160" w:line="259" w:lineRule="auto"/>
        <w:rPr>
          <w:rFonts w:ascii="Calibri" w:eastAsia="Calibri" w:hAnsi="Calibri" w:cs="Times New Roman"/>
          <w:szCs w:val="22"/>
        </w:rPr>
      </w:pPr>
    </w:p>
    <w:p w14:paraId="7AA27B42"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the proposed PAI indicators for residential real estate?</w:t>
      </w:r>
    </w:p>
    <w:p w14:paraId="3C440BCE" w14:textId="77777777" w:rsidR="00931D41" w:rsidRDefault="00931D41" w:rsidP="00931D41">
      <w:pPr>
        <w:spacing w:after="160" w:line="259" w:lineRule="auto"/>
        <w:rPr>
          <w:rFonts w:ascii="Calibri" w:eastAsia="Calibri" w:hAnsi="Calibri" w:cs="Times New Roman"/>
          <w:szCs w:val="22"/>
        </w:rPr>
      </w:pPr>
    </w:p>
    <w:p w14:paraId="465F7B80" w14:textId="2B3F73A3"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_QUESTION_STS_SUST_6&gt;</w:t>
      </w:r>
    </w:p>
    <w:p w14:paraId="5811C653" w14:textId="40A0E7A6" w:rsidR="00931D41" w:rsidRPr="00931D41" w:rsidRDefault="00E34758" w:rsidP="00931D41">
      <w:pPr>
        <w:spacing w:after="160" w:line="259" w:lineRule="auto"/>
        <w:rPr>
          <w:rFonts w:ascii="Calibri" w:eastAsia="Calibri" w:hAnsi="Calibri" w:cs="Times New Roman"/>
          <w:szCs w:val="22"/>
        </w:rPr>
      </w:pPr>
      <w:permStart w:id="115228996" w:edGrp="everyone"/>
      <w:proofErr w:type="gramStart"/>
      <w:r>
        <w:rPr>
          <w:rStyle w:val="normaltextrun"/>
          <w:rFonts w:ascii="Arial" w:hAnsi="Arial" w:cs="Arial"/>
          <w:color w:val="000000"/>
          <w:szCs w:val="22"/>
          <w:shd w:val="clear" w:color="auto" w:fill="FFFFFF"/>
        </w:rPr>
        <w:t>With regard to</w:t>
      </w:r>
      <w:proofErr w:type="gramEnd"/>
      <w:r>
        <w:rPr>
          <w:rStyle w:val="normaltextrun"/>
          <w:rFonts w:ascii="Arial" w:hAnsi="Arial" w:cs="Arial"/>
          <w:color w:val="000000"/>
          <w:szCs w:val="22"/>
          <w:shd w:val="clear" w:color="auto" w:fill="FFFFFF"/>
        </w:rPr>
        <w:t xml:space="preserve"> the important aspect, that the RTS should be as identical as possible, we agree with the proposed PAI indicators for residential real estate. However, we would like to point out that the data mentioned may not (yet) be available to the originators</w:t>
      </w:r>
      <w:r>
        <w:rPr>
          <w:rStyle w:val="eop"/>
          <w:rFonts w:ascii="Arial" w:hAnsi="Arial" w:cs="Arial"/>
          <w:color w:val="000000"/>
          <w:szCs w:val="22"/>
          <w:shd w:val="clear" w:color="auto" w:fill="FFFFFF"/>
        </w:rPr>
        <w:t>.</w:t>
      </w:r>
    </w:p>
    <w:permEnd w:id="115228996"/>
    <w:p w14:paraId="3CF23C6A" w14:textId="02FFAC15"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_QUESTION_STS_SUST_6&gt;</w:t>
      </w:r>
    </w:p>
    <w:p w14:paraId="2A1570DB" w14:textId="77777777" w:rsidR="00931D41" w:rsidRPr="00931D41" w:rsidRDefault="00931D41" w:rsidP="00931D41">
      <w:pPr>
        <w:spacing w:after="160" w:line="259" w:lineRule="auto"/>
        <w:rPr>
          <w:rFonts w:ascii="Calibri" w:eastAsia="Calibri" w:hAnsi="Calibri" w:cs="Times New Roman"/>
          <w:szCs w:val="22"/>
        </w:rPr>
      </w:pPr>
    </w:p>
    <w:p w14:paraId="13973F87"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Do you propose to add any additional specific indicators for this asset class? </w:t>
      </w:r>
    </w:p>
    <w:p w14:paraId="28419C13" w14:textId="77777777" w:rsidR="00B076B9" w:rsidRDefault="00B076B9" w:rsidP="00931D41">
      <w:pPr>
        <w:spacing w:after="160" w:line="259" w:lineRule="auto"/>
        <w:rPr>
          <w:rFonts w:ascii="Calibri" w:eastAsia="Calibri" w:hAnsi="Calibri" w:cs="Times New Roman"/>
          <w:szCs w:val="22"/>
        </w:rPr>
      </w:pPr>
    </w:p>
    <w:p w14:paraId="2C6CD9D6" w14:textId="780D4FC1" w:rsidR="00931D41" w:rsidRPr="00931D41" w:rsidRDefault="00B076B9" w:rsidP="00931D41">
      <w:pPr>
        <w:spacing w:after="160" w:line="259" w:lineRule="auto"/>
        <w:rPr>
          <w:rFonts w:ascii="Calibri" w:eastAsia="Calibri" w:hAnsi="Calibri" w:cs="Times New Roman"/>
          <w:szCs w:val="22"/>
        </w:rPr>
      </w:pPr>
      <w:r>
        <w:rPr>
          <w:rFonts w:ascii="Calibri" w:eastAsia="Calibri" w:hAnsi="Calibri" w:cs="Times New Roman"/>
          <w:szCs w:val="22"/>
        </w:rPr>
        <w:t>&lt;</w:t>
      </w:r>
      <w:r w:rsidR="00931D41">
        <w:rPr>
          <w:rFonts w:ascii="Calibri" w:eastAsia="Calibri" w:hAnsi="Calibri" w:cs="Times New Roman"/>
          <w:szCs w:val="22"/>
        </w:rPr>
        <w:t>ESA</w:t>
      </w:r>
      <w:r w:rsidR="00931D41" w:rsidRPr="00931D41">
        <w:rPr>
          <w:rFonts w:ascii="Calibri" w:eastAsia="Calibri" w:hAnsi="Calibri" w:cs="Times New Roman"/>
          <w:szCs w:val="22"/>
        </w:rPr>
        <w:t>_QUESTION_STS_SUST_7&gt;</w:t>
      </w:r>
    </w:p>
    <w:p w14:paraId="66EDBEA2" w14:textId="5E940D22" w:rsidR="00931D41" w:rsidRPr="00931D41" w:rsidRDefault="00E34758" w:rsidP="00931D41">
      <w:pPr>
        <w:spacing w:after="160" w:line="259" w:lineRule="auto"/>
        <w:rPr>
          <w:rFonts w:ascii="Calibri" w:eastAsia="Calibri" w:hAnsi="Calibri" w:cs="Times New Roman"/>
          <w:szCs w:val="22"/>
        </w:rPr>
      </w:pPr>
      <w:permStart w:id="1689593580" w:edGrp="everyone"/>
      <w:r>
        <w:rPr>
          <w:rStyle w:val="normaltextrun"/>
          <w:rFonts w:ascii="Arial" w:hAnsi="Arial" w:cs="Arial"/>
          <w:color w:val="000000"/>
          <w:szCs w:val="22"/>
          <w:shd w:val="clear" w:color="auto" w:fill="FFFFFF"/>
        </w:rPr>
        <w:t>The German insurers currently does not see the need to add any additional specific indicators for this asset class. In this context, we would like to emphasise that the disclosure framework should be flexible enough to be expanded by additional PAI data fields or PAI key performance indicators if needed and identified. In the same sense the disclosure framework should be flexible enough to remove PAI data fields if they turn out to be not available and thus the field itself is useless.</w:t>
      </w:r>
    </w:p>
    <w:permEnd w:id="1689593580"/>
    <w:p w14:paraId="49B7292A" w14:textId="0BF3294D"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_QUESTION_STS_SUST_7&gt;</w:t>
      </w:r>
    </w:p>
    <w:p w14:paraId="7855413C" w14:textId="77777777" w:rsidR="00931D41" w:rsidRPr="00931D41" w:rsidRDefault="00931D41" w:rsidP="00931D41">
      <w:pPr>
        <w:spacing w:after="160" w:line="259" w:lineRule="auto"/>
        <w:rPr>
          <w:rFonts w:ascii="Calibri" w:eastAsia="Calibri" w:hAnsi="Calibri" w:cs="Times New Roman"/>
          <w:szCs w:val="22"/>
        </w:rPr>
      </w:pPr>
    </w:p>
    <w:p w14:paraId="79B49BBF"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aligning the PAI indicators for motor vehicles with the screening criteria for motor vehicles established in the Taxonomy Regulation?</w:t>
      </w:r>
    </w:p>
    <w:p w14:paraId="07722D10" w14:textId="77777777" w:rsidR="00931D41" w:rsidRDefault="00931D41" w:rsidP="00931D41">
      <w:pPr>
        <w:spacing w:after="160" w:line="259" w:lineRule="auto"/>
        <w:rPr>
          <w:rFonts w:ascii="Calibri" w:eastAsia="Calibri" w:hAnsi="Calibri" w:cs="Times New Roman"/>
          <w:szCs w:val="22"/>
        </w:rPr>
      </w:pPr>
    </w:p>
    <w:p w14:paraId="20C7DF75" w14:textId="09150BCB"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_QUESTION_STS_SUST_8&gt;</w:t>
      </w:r>
    </w:p>
    <w:p w14:paraId="2ED442BA" w14:textId="7A4EC815" w:rsidR="00931D41" w:rsidRPr="00931D41" w:rsidRDefault="00E34758" w:rsidP="00931D41">
      <w:pPr>
        <w:spacing w:after="160" w:line="259" w:lineRule="auto"/>
        <w:rPr>
          <w:rFonts w:ascii="Calibri" w:eastAsia="Calibri" w:hAnsi="Calibri" w:cs="Times New Roman"/>
          <w:szCs w:val="22"/>
        </w:rPr>
      </w:pPr>
      <w:permStart w:id="1921137286" w:edGrp="everyone"/>
      <w:r>
        <w:rPr>
          <w:rStyle w:val="normaltextrun"/>
          <w:rFonts w:ascii="Arial" w:hAnsi="Arial" w:cs="Arial"/>
          <w:color w:val="000000"/>
          <w:szCs w:val="22"/>
          <w:shd w:val="clear" w:color="auto" w:fill="FFFFFF"/>
        </w:rPr>
        <w:t xml:space="preserve">From an Investor perspective we doubt that all information listed in this paragraph may be available for originators, for example the PAI mentioned under “Social and employee matters”. An alignment of the PAI indicators for motor vehicles with the screening criteria for motor vehicles established in the Taxonomy Regulation should not result in a competitive </w:t>
      </w:r>
      <w:r>
        <w:rPr>
          <w:rStyle w:val="normaltextrun"/>
          <w:rFonts w:ascii="Arial" w:hAnsi="Arial" w:cs="Arial"/>
          <w:color w:val="000000"/>
          <w:szCs w:val="22"/>
          <w:shd w:val="clear" w:color="auto" w:fill="FFFFFF"/>
        </w:rPr>
        <w:lastRenderedPageBreak/>
        <w:t>disadvantage for securitisations</w:t>
      </w:r>
      <w:r>
        <w:rPr>
          <w:rStyle w:val="normaltextrun"/>
          <w:rFonts w:ascii="Arial" w:hAnsi="Arial" w:cs="Arial"/>
          <w:color w:val="000000"/>
          <w:szCs w:val="22"/>
          <w:shd w:val="clear" w:color="auto" w:fill="FFFFFF"/>
        </w:rPr>
        <w:t xml:space="preserve"> </w:t>
      </w:r>
      <w:r>
        <w:rPr>
          <w:rStyle w:val="normaltextrun"/>
          <w:rFonts w:ascii="Arial" w:hAnsi="Arial" w:cs="Arial"/>
          <w:color w:val="000000"/>
          <w:szCs w:val="22"/>
          <w:shd w:val="clear" w:color="auto" w:fill="FFFFFF"/>
        </w:rPr>
        <w:t>but should take place simultaneously and for all comparable asset classes.</w:t>
      </w:r>
    </w:p>
    <w:permEnd w:id="1921137286"/>
    <w:p w14:paraId="2010AE64" w14:textId="4D49EC5D"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_QUESTION_STS_SUST_8&gt;</w:t>
      </w:r>
    </w:p>
    <w:p w14:paraId="634F38A4" w14:textId="77777777" w:rsidR="00931D41" w:rsidRPr="00931D41" w:rsidRDefault="00931D41" w:rsidP="00931D41">
      <w:pPr>
        <w:spacing w:after="160" w:line="259" w:lineRule="auto"/>
        <w:rPr>
          <w:rFonts w:ascii="Calibri" w:eastAsia="Calibri" w:hAnsi="Calibri" w:cs="Times New Roman"/>
          <w:szCs w:val="22"/>
        </w:rPr>
      </w:pPr>
    </w:p>
    <w:p w14:paraId="713CC710"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expanding the indicators to potentially cover these additional aspects at a later stage?</w:t>
      </w:r>
    </w:p>
    <w:p w14:paraId="6B67C1B8" w14:textId="77777777" w:rsidR="00B076B9" w:rsidRDefault="00B076B9" w:rsidP="00931D41">
      <w:pPr>
        <w:spacing w:after="160" w:line="259" w:lineRule="auto"/>
        <w:rPr>
          <w:rFonts w:ascii="Calibri" w:eastAsia="Calibri" w:hAnsi="Calibri" w:cs="Times New Roman"/>
          <w:szCs w:val="22"/>
          <w:lang w:val="en-US"/>
        </w:rPr>
      </w:pPr>
    </w:p>
    <w:p w14:paraId="43ADA8B3" w14:textId="16CDACB8"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_QUESTION_STS_SUST_9&gt;</w:t>
      </w:r>
    </w:p>
    <w:p w14:paraId="782DA67A" w14:textId="1F9B999A" w:rsidR="00931D41" w:rsidRPr="00931D41" w:rsidRDefault="00E34758" w:rsidP="00931D41">
      <w:pPr>
        <w:spacing w:after="160" w:line="259" w:lineRule="auto"/>
        <w:rPr>
          <w:rFonts w:ascii="Calibri" w:eastAsia="Calibri" w:hAnsi="Calibri" w:cs="Times New Roman"/>
          <w:szCs w:val="22"/>
        </w:rPr>
      </w:pPr>
      <w:permStart w:id="1988769801" w:edGrp="everyone"/>
      <w:r>
        <w:rPr>
          <w:rStyle w:val="normaltextrun"/>
          <w:rFonts w:ascii="Arial" w:hAnsi="Arial" w:cs="Arial"/>
          <w:color w:val="000000"/>
          <w:szCs w:val="22"/>
          <w:shd w:val="clear" w:color="auto" w:fill="FFFFFF"/>
        </w:rPr>
        <w:t xml:space="preserve">Generally </w:t>
      </w:r>
      <w:proofErr w:type="gramStart"/>
      <w:r>
        <w:rPr>
          <w:rStyle w:val="normaltextrun"/>
          <w:rFonts w:ascii="Arial" w:hAnsi="Arial" w:cs="Arial"/>
          <w:color w:val="000000"/>
          <w:szCs w:val="22"/>
          <w:shd w:val="clear" w:color="auto" w:fill="FFFFFF"/>
        </w:rPr>
        <w:t>speaking</w:t>
      </w:r>
      <w:proofErr w:type="gramEnd"/>
      <w:r>
        <w:rPr>
          <w:rStyle w:val="normaltextrun"/>
          <w:rFonts w:ascii="Arial" w:hAnsi="Arial" w:cs="Arial"/>
          <w:color w:val="000000"/>
          <w:szCs w:val="22"/>
          <w:shd w:val="clear" w:color="auto" w:fill="FFFFFF"/>
        </w:rPr>
        <w:t xml:space="preserve"> it would be appreciated if these aspects are considered at a later stage, however the feedback of the originators is important here as they know best which data is available or could become available.</w:t>
      </w:r>
    </w:p>
    <w:permEnd w:id="1988769801"/>
    <w:p w14:paraId="0A589328" w14:textId="5231484C"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_QUESTION_STS_SUST_9&gt;</w:t>
      </w:r>
    </w:p>
    <w:p w14:paraId="03120A53" w14:textId="77777777" w:rsidR="00931D41" w:rsidRPr="00931D41" w:rsidRDefault="00931D41" w:rsidP="00931D41">
      <w:pPr>
        <w:spacing w:after="160" w:line="259" w:lineRule="auto"/>
        <w:rPr>
          <w:rFonts w:ascii="Calibri" w:eastAsia="Calibri" w:hAnsi="Calibri" w:cs="Times New Roman"/>
          <w:szCs w:val="22"/>
        </w:rPr>
      </w:pPr>
    </w:p>
    <w:p w14:paraId="6622CCBF"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applying the mandatory indicators for social and employee, respect for human rights, anti-corruption and anti-bribery matters to the manufacturer of the vehicle?</w:t>
      </w:r>
    </w:p>
    <w:p w14:paraId="3A01ABCC" w14:textId="77777777" w:rsidR="00B076B9" w:rsidRDefault="00B076B9" w:rsidP="00931D41">
      <w:pPr>
        <w:spacing w:after="160" w:line="259" w:lineRule="auto"/>
        <w:rPr>
          <w:rFonts w:ascii="Calibri" w:eastAsia="Calibri" w:hAnsi="Calibri" w:cs="Times New Roman"/>
          <w:szCs w:val="22"/>
        </w:rPr>
      </w:pPr>
    </w:p>
    <w:p w14:paraId="601596E0" w14:textId="0B759C8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_QUESTION_STS_SUST_10&gt;</w:t>
      </w:r>
    </w:p>
    <w:p w14:paraId="3749F7E7" w14:textId="69E1268F" w:rsidR="00931D41" w:rsidRPr="00931D41" w:rsidRDefault="00E34758" w:rsidP="00931D41">
      <w:pPr>
        <w:spacing w:after="160" w:line="259" w:lineRule="auto"/>
        <w:rPr>
          <w:rFonts w:ascii="Calibri" w:eastAsia="Calibri" w:hAnsi="Calibri" w:cs="Times New Roman"/>
          <w:szCs w:val="22"/>
        </w:rPr>
      </w:pPr>
      <w:permStart w:id="593448151" w:edGrp="everyone"/>
      <w:r>
        <w:rPr>
          <w:rStyle w:val="normaltextrun"/>
          <w:rFonts w:ascii="Arial" w:hAnsi="Arial" w:cs="Arial"/>
          <w:color w:val="000000"/>
          <w:szCs w:val="22"/>
          <w:shd w:val="clear" w:color="auto" w:fill="FFFFFF"/>
        </w:rPr>
        <w:t xml:space="preserve">We do not support the idea of applying the mandatory indicators for social and employee, respect for human rights, anti-corruption and anti-bribery matters to the manufacturer of the vehicle for the following reason. The consumer / buyer of a car decides about the manufacturer and the car model she or he wants to buy. The positive or negative PAIs that are associated with a car manufacturer and their car model is or should be measured and disclosed on the level of the car manufacturer itself. Furthermore, it must be </w:t>
      </w:r>
      <w:proofErr w:type="gramStart"/>
      <w:r>
        <w:rPr>
          <w:rStyle w:val="normaltextrun"/>
          <w:rFonts w:ascii="Arial" w:hAnsi="Arial" w:cs="Arial"/>
          <w:color w:val="000000"/>
          <w:szCs w:val="22"/>
          <w:shd w:val="clear" w:color="auto" w:fill="FFFFFF"/>
        </w:rPr>
        <w:t>taken into account</w:t>
      </w:r>
      <w:proofErr w:type="gramEnd"/>
      <w:r>
        <w:rPr>
          <w:rStyle w:val="normaltextrun"/>
          <w:rFonts w:ascii="Arial" w:hAnsi="Arial" w:cs="Arial"/>
          <w:color w:val="000000"/>
          <w:szCs w:val="22"/>
          <w:shd w:val="clear" w:color="auto" w:fill="FFFFFF"/>
        </w:rPr>
        <w:t xml:space="preserve"> that in most cases the originator is not associated to the manufacturer of the vehicle and is therefore not in the position to report on this topic.</w:t>
      </w:r>
    </w:p>
    <w:permEnd w:id="593448151"/>
    <w:p w14:paraId="2BB81B4E" w14:textId="5EC720A7"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_QUESTION_STS_SUST_10&gt;</w:t>
      </w:r>
    </w:p>
    <w:p w14:paraId="50FC56A0" w14:textId="77777777" w:rsidR="00931D41" w:rsidRPr="00931D41" w:rsidRDefault="00931D41" w:rsidP="00931D41">
      <w:pPr>
        <w:spacing w:after="160" w:line="259" w:lineRule="auto"/>
        <w:rPr>
          <w:rFonts w:ascii="Calibri" w:eastAsia="Calibri" w:hAnsi="Calibri" w:cs="Times New Roman"/>
          <w:szCs w:val="22"/>
        </w:rPr>
      </w:pPr>
    </w:p>
    <w:p w14:paraId="7B94296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propose to add any additional specific indicators for this asset class?</w:t>
      </w:r>
    </w:p>
    <w:p w14:paraId="47DD38A6" w14:textId="77777777" w:rsidR="00B076B9" w:rsidRDefault="00B076B9" w:rsidP="00931D41">
      <w:pPr>
        <w:spacing w:after="160" w:line="259" w:lineRule="auto"/>
        <w:rPr>
          <w:rFonts w:ascii="Calibri" w:eastAsia="Calibri" w:hAnsi="Calibri" w:cs="Times New Roman"/>
          <w:szCs w:val="22"/>
        </w:rPr>
      </w:pPr>
    </w:p>
    <w:p w14:paraId="7E05B9EB" w14:textId="6D288E05"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_QUESTION_STS_SUST_11&gt;</w:t>
      </w:r>
    </w:p>
    <w:p w14:paraId="3CBA7AA9" w14:textId="3BA6C1FF" w:rsidR="00931D41" w:rsidRPr="00931D41" w:rsidRDefault="00E34758" w:rsidP="00931D41">
      <w:pPr>
        <w:spacing w:after="160" w:line="259" w:lineRule="auto"/>
        <w:rPr>
          <w:rFonts w:ascii="Calibri" w:eastAsia="Calibri" w:hAnsi="Calibri" w:cs="Times New Roman"/>
          <w:szCs w:val="22"/>
        </w:rPr>
      </w:pPr>
      <w:permStart w:id="172038619" w:edGrp="everyone"/>
      <w:r>
        <w:rPr>
          <w:rStyle w:val="normaltextrun"/>
          <w:rFonts w:ascii="Arial" w:hAnsi="Arial" w:cs="Arial"/>
          <w:color w:val="000000"/>
          <w:sz w:val="20"/>
          <w:shd w:val="clear" w:color="auto" w:fill="FFFFFF"/>
        </w:rPr>
        <w:t>At the current stage we would not recommend an extension of any additional specific indicators for this asset class. In this context, we would like to emphasise that the disclosure framework should be flexible enough to be expanded by additional PAI data fields if needed and identified. In the same sense the disclosure framework should be flexible enough to remove PAI data fields if they turn out to be not available and thus the field useless.</w:t>
      </w:r>
    </w:p>
    <w:permEnd w:id="172038619"/>
    <w:p w14:paraId="59007CD6" w14:textId="79D8B438"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_QUESTION_STS_SUST_11&gt;</w:t>
      </w:r>
    </w:p>
    <w:p w14:paraId="02C1F69C" w14:textId="77777777" w:rsidR="00931D41" w:rsidRPr="00931D41" w:rsidRDefault="00931D41" w:rsidP="00931D41">
      <w:pPr>
        <w:spacing w:after="160" w:line="259" w:lineRule="auto"/>
        <w:rPr>
          <w:rFonts w:ascii="Calibri" w:eastAsia="Calibri" w:hAnsi="Calibri" w:cs="Times New Roman"/>
          <w:szCs w:val="22"/>
        </w:rPr>
      </w:pPr>
    </w:p>
    <w:p w14:paraId="661E827B"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agree with using the SFDR real estate PAI indicators for commercial real estate securitisation?</w:t>
      </w:r>
    </w:p>
    <w:p w14:paraId="42A7A10E" w14:textId="77777777" w:rsidR="00931D41" w:rsidRDefault="00931D41" w:rsidP="00931D41">
      <w:pPr>
        <w:spacing w:after="160" w:line="259" w:lineRule="auto"/>
        <w:rPr>
          <w:rFonts w:ascii="Calibri" w:eastAsia="Calibri" w:hAnsi="Calibri" w:cs="Times New Roman"/>
          <w:szCs w:val="22"/>
        </w:rPr>
      </w:pPr>
    </w:p>
    <w:p w14:paraId="3B809149" w14:textId="0242404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_QUESTION_STS_SUST_12&gt;</w:t>
      </w:r>
    </w:p>
    <w:p w14:paraId="4E527DE0" w14:textId="2CCC5ADD" w:rsidR="00931D41" w:rsidRPr="00931D41" w:rsidRDefault="001C7A9E" w:rsidP="00931D41">
      <w:pPr>
        <w:spacing w:after="160" w:line="259" w:lineRule="auto"/>
        <w:rPr>
          <w:rFonts w:ascii="Calibri" w:eastAsia="Calibri" w:hAnsi="Calibri" w:cs="Times New Roman"/>
          <w:szCs w:val="22"/>
        </w:rPr>
      </w:pPr>
      <w:permStart w:id="38931893" w:edGrp="everyone"/>
      <w:r>
        <w:rPr>
          <w:rStyle w:val="normaltextrun"/>
          <w:rFonts w:ascii="Arial" w:hAnsi="Arial" w:cs="Arial"/>
          <w:color w:val="000000"/>
          <w:szCs w:val="22"/>
          <w:shd w:val="clear" w:color="auto" w:fill="FFFFFF"/>
        </w:rPr>
        <w:t xml:space="preserve"> </w:t>
      </w:r>
      <w:r>
        <w:rPr>
          <w:rStyle w:val="normaltextrun"/>
          <w:rFonts w:ascii="Arial" w:hAnsi="Arial" w:cs="Arial"/>
          <w:color w:val="000000"/>
          <w:szCs w:val="22"/>
          <w:shd w:val="clear" w:color="auto" w:fill="FFFFFF"/>
        </w:rPr>
        <w:t xml:space="preserve">In principle, we consider an alignment of the </w:t>
      </w:r>
      <w:r>
        <w:rPr>
          <w:rStyle w:val="normaltextrun"/>
          <w:rFonts w:ascii="Arial" w:hAnsi="Arial" w:cs="Arial"/>
          <w:b/>
          <w:bCs/>
          <w:color w:val="000000"/>
          <w:szCs w:val="22"/>
          <w:shd w:val="clear" w:color="auto" w:fill="FFFFFF"/>
          <w:lang w:val="en-US"/>
        </w:rPr>
        <w:t xml:space="preserve">SFDR real estate PAI indicators </w:t>
      </w:r>
      <w:r>
        <w:rPr>
          <w:rStyle w:val="normaltextrun"/>
          <w:rFonts w:ascii="Arial" w:hAnsi="Arial" w:cs="Arial"/>
          <w:color w:val="000000"/>
          <w:szCs w:val="22"/>
          <w:shd w:val="clear" w:color="auto" w:fill="FFFFFF"/>
        </w:rPr>
        <w:t xml:space="preserve">indicators and the PAI </w:t>
      </w:r>
      <w:r>
        <w:rPr>
          <w:rStyle w:val="normaltextrun"/>
          <w:rFonts w:ascii="Arial" w:hAnsi="Arial" w:cs="Arial"/>
          <w:b/>
          <w:bCs/>
          <w:color w:val="000000"/>
          <w:szCs w:val="22"/>
          <w:shd w:val="clear" w:color="auto" w:fill="FFFFFF"/>
          <w:lang w:val="en-US"/>
        </w:rPr>
        <w:t xml:space="preserve">indicators for commercial real estate </w:t>
      </w:r>
      <w:r>
        <w:rPr>
          <w:rStyle w:val="normaltextrun"/>
          <w:rFonts w:ascii="Arial" w:hAnsi="Arial" w:cs="Arial"/>
          <w:color w:val="000000"/>
          <w:szCs w:val="22"/>
          <w:shd w:val="clear" w:color="auto" w:fill="FFFFFF"/>
        </w:rPr>
        <w:t>securitisations to be sensible. </w:t>
      </w:r>
    </w:p>
    <w:permEnd w:id="38931893"/>
    <w:p w14:paraId="4DB3EAD8" w14:textId="4FAB83A7"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_QUESTION_STS_SUST_12&gt;</w:t>
      </w:r>
    </w:p>
    <w:p w14:paraId="0A452C99" w14:textId="77777777" w:rsidR="00931D41" w:rsidRPr="00931D41" w:rsidRDefault="00931D41" w:rsidP="00931D41">
      <w:pPr>
        <w:spacing w:after="160" w:line="259" w:lineRule="auto"/>
        <w:rPr>
          <w:rFonts w:ascii="Calibri" w:eastAsia="Calibri" w:hAnsi="Calibri" w:cs="Times New Roman"/>
          <w:szCs w:val="22"/>
        </w:rPr>
      </w:pPr>
    </w:p>
    <w:p w14:paraId="1ACCB20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consider it useful to provide originators of securitisations consisting of corporate debt including trade receivables a template to disclose standardised information on principal adverse impacts on sustainability factors?</w:t>
      </w:r>
    </w:p>
    <w:p w14:paraId="5F423383" w14:textId="77777777" w:rsidR="00931D41" w:rsidRDefault="00931D41" w:rsidP="00931D41">
      <w:pPr>
        <w:spacing w:after="160" w:line="259" w:lineRule="auto"/>
        <w:rPr>
          <w:rFonts w:ascii="Calibri" w:eastAsia="Calibri" w:hAnsi="Calibri" w:cs="Times New Roman"/>
          <w:szCs w:val="22"/>
        </w:rPr>
      </w:pPr>
    </w:p>
    <w:p w14:paraId="39D6F5E9" w14:textId="33DA7834"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_QUESTION_STS_SUST_13&gt;</w:t>
      </w:r>
    </w:p>
    <w:p w14:paraId="32187106" w14:textId="77777777" w:rsidR="001C7A9E" w:rsidRPr="001C7A9E" w:rsidRDefault="001C7A9E" w:rsidP="001C7A9E">
      <w:pPr>
        <w:spacing w:after="0" w:line="240" w:lineRule="auto"/>
        <w:jc w:val="left"/>
        <w:textAlignment w:val="baseline"/>
        <w:rPr>
          <w:rFonts w:ascii="Segoe UI" w:eastAsia="Times New Roman" w:hAnsi="Segoe UI" w:cs="Segoe UI"/>
          <w:sz w:val="18"/>
          <w:szCs w:val="18"/>
          <w:lang w:eastAsia="de-DE"/>
        </w:rPr>
      </w:pPr>
      <w:permStart w:id="1641821733" w:edGrp="everyone"/>
      <w:r w:rsidRPr="001C7A9E">
        <w:rPr>
          <w:rFonts w:ascii="Arial" w:eastAsia="Times New Roman" w:hAnsi="Arial" w:cs="Arial"/>
          <w:szCs w:val="22"/>
          <w:lang w:eastAsia="de-DE"/>
        </w:rPr>
        <w:t xml:space="preserve">We support the idea </w:t>
      </w:r>
      <w:r w:rsidRPr="001C7A9E">
        <w:rPr>
          <w:rFonts w:ascii="Arial" w:eastAsia="Times New Roman" w:hAnsi="Arial" w:cs="Arial"/>
          <w:szCs w:val="22"/>
          <w:lang w:val="en-US" w:eastAsia="de-DE"/>
        </w:rPr>
        <w:t xml:space="preserve">to provide originators of </w:t>
      </w:r>
      <w:proofErr w:type="spellStart"/>
      <w:r w:rsidRPr="001C7A9E">
        <w:rPr>
          <w:rFonts w:ascii="Arial" w:eastAsia="Times New Roman" w:hAnsi="Arial" w:cs="Arial"/>
          <w:szCs w:val="22"/>
          <w:lang w:val="en-US" w:eastAsia="de-DE"/>
        </w:rPr>
        <w:t>securitisations</w:t>
      </w:r>
      <w:proofErr w:type="spellEnd"/>
      <w:r w:rsidRPr="001C7A9E">
        <w:rPr>
          <w:rFonts w:ascii="Arial" w:eastAsia="Times New Roman" w:hAnsi="Arial" w:cs="Arial"/>
          <w:szCs w:val="22"/>
          <w:lang w:val="en-US" w:eastAsia="de-DE"/>
        </w:rPr>
        <w:t xml:space="preserve"> consisting of corporate debt a template to disclose </w:t>
      </w:r>
      <w:proofErr w:type="spellStart"/>
      <w:r w:rsidRPr="001C7A9E">
        <w:rPr>
          <w:rFonts w:ascii="Arial" w:eastAsia="Times New Roman" w:hAnsi="Arial" w:cs="Arial"/>
          <w:szCs w:val="22"/>
          <w:lang w:val="en-US" w:eastAsia="de-DE"/>
        </w:rPr>
        <w:t>standardised</w:t>
      </w:r>
      <w:proofErr w:type="spellEnd"/>
      <w:r w:rsidRPr="001C7A9E">
        <w:rPr>
          <w:rFonts w:ascii="Arial" w:eastAsia="Times New Roman" w:hAnsi="Arial" w:cs="Arial"/>
          <w:szCs w:val="22"/>
          <w:lang w:val="en-US" w:eastAsia="de-DE"/>
        </w:rPr>
        <w:t xml:space="preserve"> information on principal adverse impacts on sustainability factors. </w:t>
      </w:r>
      <w:r w:rsidRPr="001C7A9E">
        <w:rPr>
          <w:rFonts w:ascii="Arial" w:eastAsia="Times New Roman" w:hAnsi="Arial" w:cs="Arial"/>
          <w:szCs w:val="22"/>
          <w:lang w:eastAsia="de-DE"/>
        </w:rPr>
        <w:t> </w:t>
      </w:r>
    </w:p>
    <w:p w14:paraId="06A4C20A" w14:textId="65E57DC1" w:rsidR="00931D41" w:rsidRPr="001C7A9E" w:rsidRDefault="001C7A9E" w:rsidP="001C7A9E">
      <w:pPr>
        <w:spacing w:after="0" w:line="240" w:lineRule="auto"/>
        <w:jc w:val="left"/>
        <w:textAlignment w:val="baseline"/>
        <w:rPr>
          <w:rFonts w:ascii="Segoe UI" w:eastAsia="Times New Roman" w:hAnsi="Segoe UI" w:cs="Segoe UI"/>
          <w:sz w:val="18"/>
          <w:szCs w:val="18"/>
          <w:lang w:eastAsia="de-DE"/>
        </w:rPr>
      </w:pPr>
      <w:r w:rsidRPr="001C7A9E">
        <w:rPr>
          <w:rFonts w:ascii="Arial" w:eastAsia="Times New Roman" w:hAnsi="Arial" w:cs="Arial"/>
          <w:szCs w:val="22"/>
          <w:lang w:eastAsia="de-DE"/>
        </w:rPr>
        <w:t>However, we would like to comment on the trade receivables mentioned that in this case the additional data collection and reporting burden may be just too high as trade receivables with short maturities may be a low margin product where the extra cost of collecting the data is not justified. The EU Commission wants to significantly advance the European securitisation market and reduce barriers to investment in securitisation. Therefore, the RTS should be designed in a practice-oriented manner. </w:t>
      </w:r>
    </w:p>
    <w:permEnd w:id="1641821733"/>
    <w:p w14:paraId="385CB6E5" w14:textId="682236D7" w:rsidR="002F54E6"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_QUESTION_STS_SUST_13&gt;</w:t>
      </w:r>
    </w:p>
    <w:p w14:paraId="25DD2044" w14:textId="77777777" w:rsidR="002F54E6" w:rsidRPr="00931D41" w:rsidRDefault="002F54E6" w:rsidP="00931D41">
      <w:pPr>
        <w:spacing w:after="160" w:line="259" w:lineRule="auto"/>
        <w:rPr>
          <w:rFonts w:ascii="Calibri" w:eastAsia="Calibri" w:hAnsi="Calibri" w:cs="Times New Roman"/>
          <w:szCs w:val="22"/>
        </w:rPr>
      </w:pPr>
    </w:p>
    <w:p w14:paraId="2F2B8DC5"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agree with applying the draft SFDR RTS PAI indicators to exposures to corporates?</w:t>
      </w:r>
    </w:p>
    <w:p w14:paraId="025C6A27" w14:textId="77777777" w:rsidR="00931D41" w:rsidRDefault="00931D41" w:rsidP="00931D41">
      <w:pPr>
        <w:spacing w:after="160" w:line="259" w:lineRule="auto"/>
        <w:rPr>
          <w:rFonts w:ascii="Calibri" w:eastAsia="Calibri" w:hAnsi="Calibri" w:cs="Times New Roman"/>
          <w:szCs w:val="22"/>
        </w:rPr>
      </w:pPr>
    </w:p>
    <w:p w14:paraId="34EA99D4" w14:textId="09BF1384"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_QUESTION_STS_SUST_14&gt;</w:t>
      </w:r>
    </w:p>
    <w:p w14:paraId="271C3CFF" w14:textId="1C986DE9" w:rsidR="00931D41" w:rsidRPr="00E34758" w:rsidRDefault="001C7A9E" w:rsidP="00E34758">
      <w:pPr>
        <w:spacing w:after="0" w:line="240" w:lineRule="auto"/>
        <w:jc w:val="left"/>
        <w:textAlignment w:val="baseline"/>
        <w:rPr>
          <w:rFonts w:ascii="Segoe UI" w:eastAsia="Times New Roman" w:hAnsi="Segoe UI" w:cs="Segoe UI"/>
          <w:sz w:val="18"/>
          <w:szCs w:val="18"/>
          <w:lang w:eastAsia="de-DE"/>
        </w:rPr>
      </w:pPr>
      <w:permStart w:id="287247984" w:edGrp="everyone"/>
      <w:r>
        <w:rPr>
          <w:rStyle w:val="normaltextrun"/>
          <w:rFonts w:ascii="Arial" w:hAnsi="Arial" w:cs="Arial"/>
          <w:color w:val="000000"/>
          <w:szCs w:val="22"/>
          <w:shd w:val="clear" w:color="auto" w:fill="FFFFFF"/>
        </w:rPr>
        <w:t xml:space="preserve">We </w:t>
      </w:r>
      <w:r>
        <w:rPr>
          <w:rStyle w:val="normaltextrun"/>
          <w:rFonts w:ascii="Arial" w:hAnsi="Arial" w:cs="Arial"/>
          <w:color w:val="000000"/>
          <w:szCs w:val="22"/>
          <w:shd w:val="clear" w:color="auto" w:fill="FFFFFF"/>
          <w:lang w:val="en-US"/>
        </w:rPr>
        <w:t xml:space="preserve">agree with applying the draft SFDR RTS PAI indicators to exposures to corporates. </w:t>
      </w:r>
      <w:r>
        <w:rPr>
          <w:rStyle w:val="normaltextrun"/>
          <w:rFonts w:ascii="Arial" w:hAnsi="Arial" w:cs="Arial"/>
          <w:color w:val="000000"/>
          <w:szCs w:val="22"/>
          <w:shd w:val="clear" w:color="auto" w:fill="FFFFFF"/>
        </w:rPr>
        <w:t>If the PAI data is available for corporates that are required to report on their relevant PAIs as per SFDR then this PAI information should be aggregated on portfolio level and be made available to investors in transactions that mainly securitise corporate credit risk. As already mentioned in question 14, we would propose an exception on trade receivables for the known reasons</w:t>
      </w:r>
      <w:r w:rsidR="00E34758" w:rsidRPr="00E34758">
        <w:rPr>
          <w:rFonts w:ascii="Arial" w:eastAsia="Times New Roman" w:hAnsi="Arial" w:cs="Arial"/>
          <w:szCs w:val="22"/>
          <w:lang w:eastAsia="de-DE"/>
        </w:rPr>
        <w:t>. </w:t>
      </w:r>
    </w:p>
    <w:permEnd w:id="287247984"/>
    <w:p w14:paraId="015CDA75" w14:textId="4312D52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_QUESTION_STS_SUST_14&gt;</w:t>
      </w:r>
    </w:p>
    <w:p w14:paraId="6235697B" w14:textId="77777777" w:rsidR="00931D41" w:rsidRPr="00931D41" w:rsidRDefault="00931D41" w:rsidP="00931D41">
      <w:pPr>
        <w:spacing w:after="160" w:line="259" w:lineRule="auto"/>
        <w:rPr>
          <w:rFonts w:ascii="Calibri" w:eastAsia="Calibri" w:hAnsi="Calibri" w:cs="Times New Roman"/>
          <w:szCs w:val="22"/>
        </w:rPr>
      </w:pPr>
    </w:p>
    <w:p w14:paraId="361C8F9E"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Would you agree with applying the proposed application of the same draft SFDR RTS PAIs focusing on the seller in the case of securitisation consisting of trade receivables? </w:t>
      </w:r>
    </w:p>
    <w:p w14:paraId="1675278D" w14:textId="77777777" w:rsidR="00B076B9" w:rsidRDefault="00B076B9" w:rsidP="00931D41">
      <w:pPr>
        <w:spacing w:after="160" w:line="259" w:lineRule="auto"/>
        <w:rPr>
          <w:rFonts w:ascii="Calibri" w:eastAsia="Calibri" w:hAnsi="Calibri" w:cs="Times New Roman"/>
          <w:szCs w:val="22"/>
        </w:rPr>
      </w:pPr>
    </w:p>
    <w:p w14:paraId="00BE6FFA" w14:textId="0E8B70DB"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lastRenderedPageBreak/>
        <w:t>&lt;</w:t>
      </w:r>
      <w:r>
        <w:rPr>
          <w:rFonts w:ascii="Calibri" w:eastAsia="Calibri" w:hAnsi="Calibri" w:cs="Times New Roman"/>
          <w:szCs w:val="22"/>
        </w:rPr>
        <w:t>ESA</w:t>
      </w:r>
      <w:r w:rsidRPr="00931D41">
        <w:rPr>
          <w:rFonts w:ascii="Calibri" w:eastAsia="Calibri" w:hAnsi="Calibri" w:cs="Times New Roman"/>
          <w:szCs w:val="22"/>
        </w:rPr>
        <w:t>_QUESTION_STS_SUST_15&gt;</w:t>
      </w:r>
    </w:p>
    <w:p w14:paraId="24DA798D" w14:textId="15550614" w:rsidR="00931D41" w:rsidRPr="00931D41" w:rsidRDefault="001C7A9E" w:rsidP="00931D41">
      <w:pPr>
        <w:spacing w:after="160" w:line="259" w:lineRule="auto"/>
        <w:rPr>
          <w:rFonts w:ascii="Calibri" w:eastAsia="Calibri" w:hAnsi="Calibri" w:cs="Times New Roman"/>
          <w:szCs w:val="22"/>
        </w:rPr>
      </w:pPr>
      <w:permStart w:id="99906514" w:edGrp="everyone"/>
      <w:r>
        <w:rPr>
          <w:rStyle w:val="normaltextrun"/>
          <w:rFonts w:ascii="Arial" w:hAnsi="Arial" w:cs="Arial"/>
          <w:color w:val="000000"/>
          <w:szCs w:val="22"/>
          <w:shd w:val="clear" w:color="auto" w:fill="FFFFFF"/>
        </w:rPr>
        <w:t xml:space="preserve"> </w:t>
      </w:r>
      <w:r>
        <w:rPr>
          <w:rStyle w:val="normaltextrun"/>
          <w:rFonts w:ascii="Arial" w:hAnsi="Arial" w:cs="Arial"/>
          <w:color w:val="000000"/>
          <w:szCs w:val="22"/>
          <w:shd w:val="clear" w:color="auto" w:fill="FFFFFF"/>
        </w:rPr>
        <w:t xml:space="preserve">No comment, but we refer to our concerns regarding </w:t>
      </w:r>
      <w:r>
        <w:rPr>
          <w:rStyle w:val="normaltextrun"/>
          <w:rFonts w:ascii="Arial" w:hAnsi="Arial" w:cs="Arial"/>
          <w:color w:val="000000"/>
          <w:szCs w:val="22"/>
          <w:shd w:val="clear" w:color="auto" w:fill="FFFFFF"/>
          <w:lang w:val="en-US"/>
        </w:rPr>
        <w:t>trade receivables</w:t>
      </w:r>
      <w:r>
        <w:rPr>
          <w:rStyle w:val="normaltextrun"/>
          <w:rFonts w:ascii="Arial" w:hAnsi="Arial" w:cs="Arial"/>
          <w:b/>
          <w:bCs/>
          <w:color w:val="000000"/>
          <w:szCs w:val="22"/>
          <w:shd w:val="clear" w:color="auto" w:fill="FFFFFF"/>
          <w:lang w:val="en-US"/>
        </w:rPr>
        <w:t xml:space="preserve"> </w:t>
      </w:r>
      <w:r>
        <w:rPr>
          <w:rStyle w:val="normaltextrun"/>
          <w:rFonts w:ascii="Arial" w:hAnsi="Arial" w:cs="Arial"/>
          <w:color w:val="000000"/>
          <w:szCs w:val="22"/>
          <w:shd w:val="clear" w:color="auto" w:fill="FFFFFF"/>
        </w:rPr>
        <w:t>in question 14 and 15</w:t>
      </w:r>
      <w:r w:rsidR="00721432">
        <w:rPr>
          <w:rStyle w:val="normaltextrun"/>
          <w:rFonts w:ascii="Arial" w:hAnsi="Arial" w:cs="Arial"/>
          <w:color w:val="000000"/>
          <w:szCs w:val="22"/>
          <w:shd w:val="clear" w:color="auto" w:fill="FFFFFF"/>
        </w:rPr>
        <w:t>.</w:t>
      </w:r>
    </w:p>
    <w:permEnd w:id="99906514"/>
    <w:p w14:paraId="6C75E4BF" w14:textId="6DF4A846"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_QUESTION_STS_SUST_15&gt;</w:t>
      </w:r>
    </w:p>
    <w:p w14:paraId="01D56685" w14:textId="77777777" w:rsidR="00931D41" w:rsidRPr="00931D41" w:rsidRDefault="00931D41" w:rsidP="00931D41">
      <w:pPr>
        <w:spacing w:after="160" w:line="259" w:lineRule="auto"/>
        <w:rPr>
          <w:rFonts w:ascii="Calibri" w:eastAsia="Calibri" w:hAnsi="Calibri" w:cs="Times New Roman"/>
          <w:szCs w:val="22"/>
        </w:rPr>
      </w:pPr>
    </w:p>
    <w:p w14:paraId="72CAA034"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agree with adopting the proposed proportionate approach to SME loan?</w:t>
      </w:r>
    </w:p>
    <w:p w14:paraId="596FA5FB" w14:textId="77777777" w:rsidR="00931D41" w:rsidRDefault="00931D41" w:rsidP="00931D41">
      <w:pPr>
        <w:spacing w:after="160" w:line="259" w:lineRule="auto"/>
        <w:rPr>
          <w:rFonts w:ascii="Calibri" w:eastAsia="Calibri" w:hAnsi="Calibri" w:cs="Times New Roman"/>
          <w:szCs w:val="22"/>
        </w:rPr>
      </w:pPr>
    </w:p>
    <w:p w14:paraId="6270EB51" w14:textId="2E60FA50"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_QUESTION_STS_SUST_16&gt;</w:t>
      </w:r>
    </w:p>
    <w:p w14:paraId="21008015" w14:textId="7DEF1B3C" w:rsidR="00931D41" w:rsidRPr="00931D41" w:rsidRDefault="001C7A9E" w:rsidP="00931D41">
      <w:pPr>
        <w:spacing w:after="160" w:line="259" w:lineRule="auto"/>
        <w:rPr>
          <w:rFonts w:ascii="Calibri" w:eastAsia="Calibri" w:hAnsi="Calibri" w:cs="Times New Roman"/>
          <w:szCs w:val="22"/>
        </w:rPr>
      </w:pPr>
      <w:permStart w:id="2047155948" w:edGrp="everyone"/>
      <w:r>
        <w:rPr>
          <w:rStyle w:val="normaltextrun"/>
          <w:rFonts w:ascii="Arial" w:hAnsi="Arial" w:cs="Arial"/>
          <w:color w:val="000000"/>
          <w:szCs w:val="22"/>
          <w:shd w:val="clear" w:color="auto" w:fill="FFFFFF"/>
        </w:rPr>
        <w:t>Yes, we w</w:t>
      </w:r>
      <w:proofErr w:type="spellStart"/>
      <w:r>
        <w:rPr>
          <w:rStyle w:val="normaltextrun"/>
          <w:rFonts w:ascii="Arial" w:hAnsi="Arial" w:cs="Arial"/>
          <w:color w:val="000000"/>
          <w:szCs w:val="22"/>
          <w:shd w:val="clear" w:color="auto" w:fill="FFFFFF"/>
          <w:lang w:val="en-US"/>
        </w:rPr>
        <w:t>ould</w:t>
      </w:r>
      <w:proofErr w:type="spellEnd"/>
      <w:r>
        <w:rPr>
          <w:rStyle w:val="normaltextrun"/>
          <w:rFonts w:ascii="Arial" w:hAnsi="Arial" w:cs="Arial"/>
          <w:color w:val="000000"/>
          <w:szCs w:val="22"/>
          <w:shd w:val="clear" w:color="auto" w:fill="FFFFFF"/>
          <w:lang w:val="en-US"/>
        </w:rPr>
        <w:t xml:space="preserve"> agree with adopting the proposed proportionate approach to SME loan. </w:t>
      </w:r>
      <w:r>
        <w:rPr>
          <w:rStyle w:val="normaltextrun"/>
          <w:rFonts w:ascii="Arial" w:hAnsi="Arial" w:cs="Arial"/>
          <w:color w:val="000000"/>
          <w:szCs w:val="22"/>
          <w:shd w:val="clear" w:color="auto" w:fill="FFFFFF"/>
        </w:rPr>
        <w:t>If the PAI data is available for corporates that are required to report on their relevant PAIs as per SFDR then this PAI information should be aggregated on portfolio level and be made available to investors in transaction than mainly securitise corporate credit risk.</w:t>
      </w:r>
    </w:p>
    <w:permEnd w:id="2047155948"/>
    <w:p w14:paraId="2B3E708F" w14:textId="5641D81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_QUESTION_STS_SUST_16&gt;</w:t>
      </w:r>
    </w:p>
    <w:p w14:paraId="1570EA01" w14:textId="77777777" w:rsidR="00931D41" w:rsidRPr="00931D41" w:rsidRDefault="00931D41" w:rsidP="00931D41">
      <w:pPr>
        <w:spacing w:after="160" w:line="259" w:lineRule="auto"/>
        <w:rPr>
          <w:rFonts w:ascii="Calibri" w:eastAsia="Calibri" w:hAnsi="Calibri" w:cs="Times New Roman"/>
          <w:szCs w:val="22"/>
        </w:rPr>
      </w:pPr>
    </w:p>
    <w:p w14:paraId="27CDE9D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propose to add any additional specific indicators for these three types of securitisation?</w:t>
      </w:r>
    </w:p>
    <w:p w14:paraId="42854A98" w14:textId="77777777" w:rsidR="00B076B9" w:rsidRDefault="00B076B9" w:rsidP="00931D41">
      <w:pPr>
        <w:spacing w:after="160" w:line="259" w:lineRule="auto"/>
        <w:rPr>
          <w:rFonts w:ascii="Calibri" w:eastAsia="Calibri" w:hAnsi="Calibri" w:cs="Times New Roman"/>
          <w:szCs w:val="22"/>
        </w:rPr>
      </w:pPr>
    </w:p>
    <w:p w14:paraId="21912098" w14:textId="0447689F"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_QUESTION_STS_SUST_17&gt;</w:t>
      </w:r>
    </w:p>
    <w:p w14:paraId="579C3D3C" w14:textId="751989C5" w:rsidR="00931D41" w:rsidRPr="00931D41" w:rsidRDefault="001C7A9E" w:rsidP="00931D41">
      <w:pPr>
        <w:spacing w:after="160" w:line="259" w:lineRule="auto"/>
        <w:rPr>
          <w:rFonts w:ascii="Calibri" w:eastAsia="Calibri" w:hAnsi="Calibri" w:cs="Times New Roman"/>
          <w:szCs w:val="22"/>
        </w:rPr>
      </w:pPr>
      <w:permStart w:id="306336476" w:edGrp="everyone"/>
      <w:r>
        <w:rPr>
          <w:rStyle w:val="normaltextrun"/>
          <w:rFonts w:ascii="Arial" w:hAnsi="Arial" w:cs="Arial"/>
          <w:color w:val="000000"/>
          <w:szCs w:val="22"/>
          <w:shd w:val="clear" w:color="auto" w:fill="FFFFFF"/>
        </w:rPr>
        <w:t>At the current stage we would not agree to</w:t>
      </w:r>
      <w:r>
        <w:rPr>
          <w:rStyle w:val="normaltextrun"/>
          <w:rFonts w:ascii="Arial" w:hAnsi="Arial" w:cs="Arial"/>
          <w:b/>
          <w:bCs/>
          <w:color w:val="000000"/>
          <w:szCs w:val="22"/>
          <w:shd w:val="clear" w:color="auto" w:fill="FFFFFF"/>
          <w:lang w:val="en-US"/>
        </w:rPr>
        <w:t xml:space="preserve"> </w:t>
      </w:r>
      <w:r>
        <w:rPr>
          <w:rStyle w:val="normaltextrun"/>
          <w:rFonts w:ascii="Arial" w:hAnsi="Arial" w:cs="Arial"/>
          <w:color w:val="000000"/>
          <w:szCs w:val="22"/>
          <w:shd w:val="clear" w:color="auto" w:fill="FFFFFF"/>
          <w:lang w:val="en-US"/>
        </w:rPr>
        <w:t xml:space="preserve">add any additional specific indicators for these three types of </w:t>
      </w:r>
      <w:proofErr w:type="spellStart"/>
      <w:proofErr w:type="gramStart"/>
      <w:r>
        <w:rPr>
          <w:rStyle w:val="normaltextrun"/>
          <w:rFonts w:ascii="Arial" w:hAnsi="Arial" w:cs="Arial"/>
          <w:color w:val="000000"/>
          <w:szCs w:val="22"/>
          <w:shd w:val="clear" w:color="auto" w:fill="FFFFFF"/>
          <w:lang w:val="en-US"/>
        </w:rPr>
        <w:t>securitisation</w:t>
      </w:r>
      <w:proofErr w:type="spellEnd"/>
      <w:proofErr w:type="gramEnd"/>
      <w:r>
        <w:rPr>
          <w:rStyle w:val="normaltextrun"/>
          <w:rFonts w:ascii="Arial" w:hAnsi="Arial" w:cs="Arial"/>
          <w:color w:val="000000"/>
          <w:szCs w:val="22"/>
          <w:shd w:val="clear" w:color="auto" w:fill="FFFFFF"/>
          <w:lang w:val="en-US"/>
        </w:rPr>
        <w:t xml:space="preserve">. As already mentioned in question 8 </w:t>
      </w:r>
      <w:r>
        <w:rPr>
          <w:rStyle w:val="normaltextrun"/>
          <w:rFonts w:ascii="Arial" w:hAnsi="Arial" w:cs="Arial"/>
          <w:color w:val="000000"/>
          <w:szCs w:val="22"/>
          <w:shd w:val="clear" w:color="auto" w:fill="FFFFFF"/>
        </w:rPr>
        <w:t>we would like to emphasise in this context that the disclosure framework should be flexible enough to be expanded by additional PAI data fields or PAI key performance indicators if needed and identified. In the same sense the disclosure framework should be flexible enough to remove PAI data fields if they turn out to be not available and thus the field itself is useless. </w:t>
      </w:r>
    </w:p>
    <w:permEnd w:id="306336476"/>
    <w:p w14:paraId="1FE614B8" w14:textId="47F10BB0"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_QUESTION_STS_SUST_17&gt;</w:t>
      </w:r>
    </w:p>
    <w:p w14:paraId="411C74E1" w14:textId="77777777" w:rsidR="002F54E6" w:rsidRPr="00931D41" w:rsidRDefault="002F54E6" w:rsidP="00931D41">
      <w:pPr>
        <w:spacing w:after="160" w:line="259" w:lineRule="auto"/>
        <w:rPr>
          <w:rFonts w:ascii="Calibri" w:eastAsia="Calibri" w:hAnsi="Calibri" w:cs="Times New Roman"/>
          <w:szCs w:val="22"/>
        </w:rPr>
      </w:pPr>
    </w:p>
    <w:p w14:paraId="4A373E8D"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Would you agree that there are no appropriate PAI indicators for securitisations backed by consumer loans or by credit card debt? If not, which PAI indicators would you propose for these loan types? </w:t>
      </w:r>
    </w:p>
    <w:p w14:paraId="38E6AB53" w14:textId="77777777" w:rsidR="00B076B9" w:rsidRDefault="00B076B9" w:rsidP="00931D41">
      <w:pPr>
        <w:spacing w:after="160" w:line="259" w:lineRule="auto"/>
        <w:rPr>
          <w:rFonts w:ascii="Calibri" w:eastAsia="Calibri" w:hAnsi="Calibri" w:cs="Times New Roman"/>
          <w:szCs w:val="22"/>
        </w:rPr>
      </w:pPr>
    </w:p>
    <w:p w14:paraId="44678D20" w14:textId="365368C2"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_QUESTION_STS_SUST_18&gt;</w:t>
      </w:r>
    </w:p>
    <w:p w14:paraId="00C90FEC" w14:textId="77777777" w:rsidR="001C7A9E" w:rsidRPr="001C7A9E" w:rsidRDefault="001C7A9E" w:rsidP="001C7A9E">
      <w:pPr>
        <w:spacing w:after="0" w:line="240" w:lineRule="auto"/>
        <w:jc w:val="left"/>
        <w:textAlignment w:val="baseline"/>
        <w:rPr>
          <w:rFonts w:ascii="Segoe UI" w:eastAsia="Times New Roman" w:hAnsi="Segoe UI" w:cs="Segoe UI"/>
          <w:sz w:val="18"/>
          <w:szCs w:val="18"/>
          <w:lang w:eastAsia="de-DE"/>
        </w:rPr>
      </w:pPr>
      <w:permStart w:id="461183418" w:edGrp="everyone"/>
      <w:r w:rsidRPr="001C7A9E">
        <w:rPr>
          <w:rFonts w:ascii="Arial" w:eastAsia="Times New Roman" w:hAnsi="Arial" w:cs="Arial"/>
          <w:szCs w:val="22"/>
          <w:lang w:eastAsia="de-DE"/>
        </w:rPr>
        <w:t xml:space="preserve">We share the view that there are no suitable </w:t>
      </w:r>
      <w:r w:rsidRPr="001C7A9E">
        <w:rPr>
          <w:rFonts w:ascii="Arial" w:eastAsia="Times New Roman" w:hAnsi="Arial" w:cs="Arial"/>
          <w:szCs w:val="22"/>
          <w:lang w:val="en-US" w:eastAsia="de-DE"/>
        </w:rPr>
        <w:t xml:space="preserve">PAI indicators for </w:t>
      </w:r>
      <w:proofErr w:type="spellStart"/>
      <w:r w:rsidRPr="001C7A9E">
        <w:rPr>
          <w:rFonts w:ascii="Arial" w:eastAsia="Times New Roman" w:hAnsi="Arial" w:cs="Arial"/>
          <w:szCs w:val="22"/>
          <w:lang w:val="en-US" w:eastAsia="de-DE"/>
        </w:rPr>
        <w:t>securitisations</w:t>
      </w:r>
      <w:proofErr w:type="spellEnd"/>
      <w:r w:rsidRPr="001C7A9E">
        <w:rPr>
          <w:rFonts w:ascii="Arial" w:eastAsia="Times New Roman" w:hAnsi="Arial" w:cs="Arial"/>
          <w:szCs w:val="22"/>
          <w:lang w:val="en-US" w:eastAsia="de-DE"/>
        </w:rPr>
        <w:t xml:space="preserve"> backed by consumer loans or by credit card debt</w:t>
      </w:r>
      <w:r w:rsidRPr="001C7A9E">
        <w:rPr>
          <w:rFonts w:ascii="Arial" w:eastAsia="Times New Roman" w:hAnsi="Arial" w:cs="Arial"/>
          <w:szCs w:val="22"/>
          <w:lang w:eastAsia="de-DE"/>
        </w:rPr>
        <w:t>.  </w:t>
      </w:r>
    </w:p>
    <w:p w14:paraId="3C748B8E" w14:textId="77777777" w:rsidR="001C7A9E" w:rsidRPr="001C7A9E" w:rsidRDefault="001C7A9E" w:rsidP="001C7A9E">
      <w:pPr>
        <w:spacing w:after="0" w:line="240" w:lineRule="auto"/>
        <w:jc w:val="left"/>
        <w:textAlignment w:val="baseline"/>
        <w:rPr>
          <w:rFonts w:ascii="Segoe UI" w:eastAsia="Times New Roman" w:hAnsi="Segoe UI" w:cs="Segoe UI"/>
          <w:sz w:val="18"/>
          <w:szCs w:val="18"/>
          <w:lang w:eastAsia="de-DE"/>
        </w:rPr>
      </w:pPr>
      <w:proofErr w:type="gramStart"/>
      <w:r w:rsidRPr="001C7A9E">
        <w:rPr>
          <w:rFonts w:ascii="Arial" w:eastAsia="Times New Roman" w:hAnsi="Arial" w:cs="Arial"/>
          <w:szCs w:val="22"/>
          <w:lang w:eastAsia="de-DE"/>
        </w:rPr>
        <w:t>Typically</w:t>
      </w:r>
      <w:proofErr w:type="gramEnd"/>
      <w:r w:rsidRPr="001C7A9E">
        <w:rPr>
          <w:rFonts w:ascii="Arial" w:eastAsia="Times New Roman" w:hAnsi="Arial" w:cs="Arial"/>
          <w:szCs w:val="22"/>
          <w:lang w:eastAsia="de-DE"/>
        </w:rPr>
        <w:t xml:space="preserve"> consumer debt is a general purpose loan and the consumer / borrower is free to choose the use for the loan and e.g. may use the loan proceeds to purchase products or engage in activities with a negative environmental and/or social impact. </w:t>
      </w:r>
      <w:proofErr w:type="gramStart"/>
      <w:r w:rsidRPr="001C7A9E">
        <w:rPr>
          <w:rFonts w:ascii="Arial" w:eastAsia="Times New Roman" w:hAnsi="Arial" w:cs="Arial"/>
          <w:szCs w:val="22"/>
          <w:lang w:eastAsia="de-DE"/>
        </w:rPr>
        <w:t>However</w:t>
      </w:r>
      <w:proofErr w:type="gramEnd"/>
      <w:r w:rsidRPr="001C7A9E">
        <w:rPr>
          <w:rFonts w:ascii="Arial" w:eastAsia="Times New Roman" w:hAnsi="Arial" w:cs="Arial"/>
          <w:szCs w:val="22"/>
          <w:lang w:eastAsia="de-DE"/>
        </w:rPr>
        <w:t xml:space="preserve"> the originator has no impact and cannot control how the consumer spends the loan proceeds.  </w:t>
      </w:r>
    </w:p>
    <w:p w14:paraId="5E1A909D" w14:textId="77777777" w:rsidR="001C7A9E" w:rsidRPr="001C7A9E" w:rsidRDefault="001C7A9E" w:rsidP="001C7A9E">
      <w:pPr>
        <w:spacing w:after="0" w:line="240" w:lineRule="auto"/>
        <w:jc w:val="left"/>
        <w:textAlignment w:val="baseline"/>
        <w:rPr>
          <w:rFonts w:ascii="Segoe UI" w:eastAsia="Times New Roman" w:hAnsi="Segoe UI" w:cs="Segoe UI"/>
          <w:sz w:val="18"/>
          <w:szCs w:val="18"/>
          <w:lang w:eastAsia="de-DE"/>
        </w:rPr>
      </w:pPr>
      <w:r w:rsidRPr="001C7A9E">
        <w:rPr>
          <w:rFonts w:ascii="Arial" w:eastAsia="Times New Roman" w:hAnsi="Arial" w:cs="Arial"/>
          <w:szCs w:val="22"/>
          <w:lang w:eastAsia="de-DE"/>
        </w:rPr>
        <w:lastRenderedPageBreak/>
        <w:t>A typical social factor like extending loans to underserved borrowers may be associated with higher credit risk. And sometimes not granting a loan to a borrower can be associated with a positive social impact as this borrower may be protected from over indebtedness.  </w:t>
      </w:r>
    </w:p>
    <w:p w14:paraId="539DDFA9" w14:textId="456B358F" w:rsidR="00931D41" w:rsidRPr="001C7A9E" w:rsidRDefault="001C7A9E" w:rsidP="001C7A9E">
      <w:pPr>
        <w:spacing w:after="0" w:line="240" w:lineRule="auto"/>
        <w:jc w:val="left"/>
        <w:textAlignment w:val="baseline"/>
        <w:rPr>
          <w:rFonts w:ascii="Segoe UI" w:eastAsia="Times New Roman" w:hAnsi="Segoe UI" w:cs="Segoe UI"/>
          <w:sz w:val="18"/>
          <w:szCs w:val="18"/>
          <w:lang w:eastAsia="de-DE"/>
        </w:rPr>
      </w:pPr>
      <w:r w:rsidRPr="001C7A9E">
        <w:rPr>
          <w:rFonts w:ascii="Arial" w:eastAsia="Times New Roman" w:hAnsi="Arial" w:cs="Arial"/>
          <w:szCs w:val="22"/>
          <w:lang w:eastAsia="de-DE"/>
        </w:rPr>
        <w:t>It is very difficult to think of social PAI for consumer debt, we note that ICMA Pre-Issuance Checklist for Social Bonds mentions several factors that are not applicable to Consumer ABS. </w:t>
      </w:r>
    </w:p>
    <w:permEnd w:id="461183418"/>
    <w:p w14:paraId="3C35B18F" w14:textId="55F6E924" w:rsid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_QUESTION_STS_SUST_18&gt;</w:t>
      </w:r>
    </w:p>
    <w:p w14:paraId="5730B3D6" w14:textId="77777777" w:rsidR="002F54E6" w:rsidRPr="00931D41" w:rsidRDefault="002F54E6" w:rsidP="00931D41">
      <w:pPr>
        <w:spacing w:after="160" w:line="259" w:lineRule="auto"/>
        <w:rPr>
          <w:rFonts w:ascii="Calibri" w:eastAsia="Calibri" w:hAnsi="Calibri" w:cs="Times New Roman"/>
          <w:szCs w:val="22"/>
        </w:rPr>
      </w:pPr>
    </w:p>
    <w:p w14:paraId="72E98F2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consider that it would be useful to develop standardised PAI indicators on sustainability factors for other types of securitisation?</w:t>
      </w:r>
    </w:p>
    <w:p w14:paraId="4EA54BA2" w14:textId="77777777" w:rsidR="00B076B9" w:rsidRDefault="00B076B9" w:rsidP="00931D41">
      <w:pPr>
        <w:spacing w:after="160" w:line="259" w:lineRule="auto"/>
        <w:rPr>
          <w:rFonts w:ascii="Calibri" w:eastAsia="Calibri" w:hAnsi="Calibri" w:cs="Times New Roman"/>
          <w:szCs w:val="22"/>
        </w:rPr>
      </w:pPr>
    </w:p>
    <w:p w14:paraId="052644C2" w14:textId="673A9CFC"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_QUESTION_STS_SUST_19&gt;</w:t>
      </w:r>
    </w:p>
    <w:p w14:paraId="39C1E06C" w14:textId="77777777" w:rsidR="001C7A9E" w:rsidRPr="001C7A9E" w:rsidRDefault="001C7A9E" w:rsidP="001C7A9E">
      <w:pPr>
        <w:spacing w:after="0" w:line="240" w:lineRule="auto"/>
        <w:jc w:val="left"/>
        <w:textAlignment w:val="baseline"/>
        <w:rPr>
          <w:rFonts w:ascii="Segoe UI" w:eastAsia="Times New Roman" w:hAnsi="Segoe UI" w:cs="Segoe UI"/>
          <w:sz w:val="18"/>
          <w:szCs w:val="18"/>
          <w:lang w:eastAsia="de-DE"/>
        </w:rPr>
      </w:pPr>
      <w:permStart w:id="1018709264" w:edGrp="everyone"/>
      <w:r w:rsidRPr="001C7A9E">
        <w:rPr>
          <w:rFonts w:ascii="Arial" w:eastAsia="Times New Roman" w:hAnsi="Arial" w:cs="Arial"/>
          <w:szCs w:val="22"/>
          <w:lang w:eastAsia="de-DE"/>
        </w:rPr>
        <w:t xml:space="preserve">We support the idea to </w:t>
      </w:r>
      <w:r w:rsidRPr="001C7A9E">
        <w:rPr>
          <w:rFonts w:ascii="Arial" w:eastAsia="Times New Roman" w:hAnsi="Arial" w:cs="Arial"/>
          <w:szCs w:val="22"/>
          <w:lang w:val="en-US" w:eastAsia="de-DE"/>
        </w:rPr>
        <w:t xml:space="preserve">develop </w:t>
      </w:r>
      <w:proofErr w:type="spellStart"/>
      <w:r w:rsidRPr="001C7A9E">
        <w:rPr>
          <w:rFonts w:ascii="Arial" w:eastAsia="Times New Roman" w:hAnsi="Arial" w:cs="Arial"/>
          <w:szCs w:val="22"/>
          <w:lang w:val="en-US" w:eastAsia="de-DE"/>
        </w:rPr>
        <w:t>standardised</w:t>
      </w:r>
      <w:proofErr w:type="spellEnd"/>
      <w:r w:rsidRPr="001C7A9E">
        <w:rPr>
          <w:rFonts w:ascii="Arial" w:eastAsia="Times New Roman" w:hAnsi="Arial" w:cs="Arial"/>
          <w:szCs w:val="22"/>
          <w:lang w:val="en-US" w:eastAsia="de-DE"/>
        </w:rPr>
        <w:t xml:space="preserve"> PAI indicators on sustainability factors for other types of </w:t>
      </w:r>
      <w:proofErr w:type="spellStart"/>
      <w:proofErr w:type="gramStart"/>
      <w:r w:rsidRPr="001C7A9E">
        <w:rPr>
          <w:rFonts w:ascii="Arial" w:eastAsia="Times New Roman" w:hAnsi="Arial" w:cs="Arial"/>
          <w:szCs w:val="22"/>
          <w:lang w:val="en-US" w:eastAsia="de-DE"/>
        </w:rPr>
        <w:t>securitisation</w:t>
      </w:r>
      <w:proofErr w:type="spellEnd"/>
      <w:proofErr w:type="gramEnd"/>
      <w:r w:rsidRPr="001C7A9E">
        <w:rPr>
          <w:rFonts w:ascii="Arial" w:eastAsia="Times New Roman" w:hAnsi="Arial" w:cs="Arial"/>
          <w:szCs w:val="22"/>
          <w:lang w:val="en-US" w:eastAsia="de-DE"/>
        </w:rPr>
        <w:t>.</w:t>
      </w:r>
      <w:r w:rsidRPr="001C7A9E">
        <w:rPr>
          <w:rFonts w:ascii="Arial" w:eastAsia="Times New Roman" w:hAnsi="Arial" w:cs="Arial"/>
          <w:szCs w:val="22"/>
          <w:lang w:eastAsia="de-DE"/>
        </w:rPr>
        <w:t> </w:t>
      </w:r>
    </w:p>
    <w:p w14:paraId="28287BC1" w14:textId="0FD9DB72" w:rsidR="00931D41" w:rsidRPr="00721432" w:rsidRDefault="001C7A9E" w:rsidP="00721432">
      <w:pPr>
        <w:spacing w:after="0" w:line="240" w:lineRule="auto"/>
        <w:jc w:val="left"/>
        <w:textAlignment w:val="baseline"/>
        <w:rPr>
          <w:rFonts w:ascii="Segoe UI" w:eastAsia="Times New Roman" w:hAnsi="Segoe UI" w:cs="Segoe UI"/>
          <w:sz w:val="18"/>
          <w:szCs w:val="18"/>
          <w:lang w:eastAsia="de-DE"/>
        </w:rPr>
      </w:pPr>
      <w:r w:rsidRPr="001C7A9E">
        <w:rPr>
          <w:rFonts w:ascii="Arial" w:eastAsia="Times New Roman" w:hAnsi="Arial" w:cs="Arial"/>
          <w:szCs w:val="22"/>
          <w:lang w:eastAsia="de-DE"/>
        </w:rPr>
        <w:t xml:space="preserve">There should generally be the possibility for atypical securitisations that do not fall under the typical categories of auto, consumer, residential, etc. to report PAI. In this context, it would make sense, if appropriate, to introduce a broad category called "other </w:t>
      </w:r>
      <w:proofErr w:type="spellStart"/>
      <w:r w:rsidRPr="001C7A9E">
        <w:rPr>
          <w:rFonts w:ascii="Arial" w:eastAsia="Times New Roman" w:hAnsi="Arial" w:cs="Arial"/>
          <w:szCs w:val="22"/>
          <w:lang w:val="en-US" w:eastAsia="de-DE"/>
        </w:rPr>
        <w:t>securitisation</w:t>
      </w:r>
      <w:proofErr w:type="spellEnd"/>
      <w:r w:rsidRPr="001C7A9E">
        <w:rPr>
          <w:rFonts w:ascii="Arial" w:eastAsia="Times New Roman" w:hAnsi="Arial" w:cs="Arial"/>
          <w:szCs w:val="22"/>
          <w:lang w:eastAsia="de-DE"/>
        </w:rPr>
        <w:t xml:space="preserve"> ". This category could include, for example, securitisation of loans backed by solar panels</w:t>
      </w:r>
      <w:r w:rsidR="00721432" w:rsidRPr="00721432">
        <w:rPr>
          <w:rFonts w:ascii="Arial" w:eastAsia="Times New Roman" w:hAnsi="Arial" w:cs="Arial"/>
          <w:szCs w:val="22"/>
          <w:lang w:eastAsia="de-DE"/>
        </w:rPr>
        <w:t>. </w:t>
      </w:r>
    </w:p>
    <w:permEnd w:id="1018709264"/>
    <w:p w14:paraId="433A1C4D" w14:textId="038D852C" w:rsidR="00E10D8E" w:rsidRPr="00E10D8E" w:rsidRDefault="00931D41" w:rsidP="00B076B9">
      <w:pPr>
        <w:spacing w:after="160" w:line="259" w:lineRule="auto"/>
        <w:rPr>
          <w:highlight w:val="yellow"/>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_QUESTION_STS_SUST_19&gt;</w:t>
      </w:r>
    </w:p>
    <w:sectPr w:rsidR="00E10D8E" w:rsidRPr="00E10D8E" w:rsidSect="00E10D8E">
      <w:headerReference w:type="default" r:id="rId18"/>
      <w:footerReference w:type="default" r:id="rId19"/>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CAF7" w14:textId="77777777" w:rsidR="00C0128E" w:rsidRDefault="00C0128E" w:rsidP="007E7997">
      <w:pPr>
        <w:spacing w:line="240" w:lineRule="auto"/>
      </w:pPr>
      <w:r>
        <w:separator/>
      </w:r>
    </w:p>
  </w:endnote>
  <w:endnote w:type="continuationSeparator" w:id="0">
    <w:p w14:paraId="187FDE4E" w14:textId="77777777" w:rsidR="00C0128E" w:rsidRDefault="00C0128E" w:rsidP="007E7997">
      <w:pPr>
        <w:spacing w:line="240" w:lineRule="auto"/>
      </w:pPr>
      <w:r>
        <w:continuationSeparator/>
      </w:r>
    </w:p>
  </w:endnote>
  <w:endnote w:type="continuationNotice" w:id="1">
    <w:p w14:paraId="5A273E27" w14:textId="77777777" w:rsidR="00C0128E" w:rsidRDefault="00C01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B4A1" w14:textId="3889C157" w:rsidR="006A44DA" w:rsidRDefault="00EA4224" w:rsidP="002F54E6">
    <w:pPr>
      <w:pStyle w:val="Fuzeile"/>
      <w:jc w:val="right"/>
    </w:pPr>
    <w:r>
      <w:rPr>
        <w:rFonts w:asciiTheme="majorHAnsi" w:hAnsiTheme="majorHAnsi"/>
        <w:color w:val="FFFFFF" w:themeColor="background1"/>
      </w:rPr>
      <w:t>6</w:t>
    </w:r>
    <w:r w:rsidR="002F54E6">
      <w:rPr>
        <w:rFonts w:asciiTheme="majorHAnsi" w:hAnsiTheme="majorHAnsi"/>
        <w:color w:val="FFFFFF" w:themeColor="background1"/>
      </w:rPr>
      <w:t xml:space="preserve"> May 2022</w:t>
    </w:r>
    <w:r w:rsidR="006A44DA">
      <w:rPr>
        <w:rFonts w:asciiTheme="majorHAnsi" w:hAnsiTheme="majorHAnsi"/>
        <w:color w:val="FFFFFF" w:themeColor="background1"/>
      </w:rPr>
      <w:t xml:space="preserve"> | ESMA</w:t>
    </w:r>
    <w:r w:rsidR="002F54E6">
      <w:rPr>
        <w:rFonts w:asciiTheme="majorHAnsi" w:hAnsiTheme="majorHAnsi"/>
        <w:color w:val="FFFFFF" w:themeColor="background1"/>
      </w:rPr>
      <w:t>82-402-859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0596038D" w14:textId="4647B99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4C75" w14:textId="77777777" w:rsidR="00C0128E" w:rsidRDefault="00C0128E" w:rsidP="007E7997">
      <w:pPr>
        <w:spacing w:line="240" w:lineRule="auto"/>
      </w:pPr>
      <w:bookmarkStart w:id="0" w:name="_Hlk102638719"/>
      <w:bookmarkEnd w:id="0"/>
      <w:r>
        <w:separator/>
      </w:r>
    </w:p>
  </w:footnote>
  <w:footnote w:type="continuationSeparator" w:id="0">
    <w:p w14:paraId="41EBAC0E" w14:textId="77777777" w:rsidR="00C0128E" w:rsidRDefault="00C0128E" w:rsidP="007E7997">
      <w:pPr>
        <w:spacing w:line="240" w:lineRule="auto"/>
      </w:pPr>
      <w:r>
        <w:continuationSeparator/>
      </w:r>
    </w:p>
  </w:footnote>
  <w:footnote w:type="continuationNotice" w:id="1">
    <w:p w14:paraId="3A7F380E" w14:textId="77777777" w:rsidR="00C0128E" w:rsidRDefault="00C0128E">
      <w:pPr>
        <w:spacing w:after="0" w:line="240" w:lineRule="auto"/>
      </w:pPr>
    </w:p>
  </w:footnote>
  <w:footnote w:id="2">
    <w:p w14:paraId="328EE99C" w14:textId="77777777" w:rsidR="00E10D8E" w:rsidRDefault="00E10D8E" w:rsidP="00E10D8E">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B805" w14:textId="4EA3277D" w:rsidR="006A44DA" w:rsidRDefault="006A44DA">
    <w:pPr>
      <w:pStyle w:val="Kopfzeile"/>
    </w:pPr>
    <w:r>
      <w:rPr>
        <w:noProof/>
        <w:lang w:val="en-US"/>
      </w:rPr>
      <w:drawing>
        <wp:anchor distT="0" distB="0" distL="114300" distR="114300" simplePos="0" relativeHeight="251658240" behindDoc="1" locked="0" layoutInCell="1" allowOverlap="1" wp14:anchorId="5349BD1F" wp14:editId="6ABFA181">
          <wp:simplePos x="0" y="0"/>
          <wp:positionH relativeFrom="page">
            <wp:align>right</wp:align>
          </wp:positionH>
          <wp:positionV relativeFrom="page">
            <wp:align>bottom</wp:align>
          </wp:positionV>
          <wp:extent cx="7560310" cy="6800850"/>
          <wp:effectExtent l="0" t="0" r="2540" b="0"/>
          <wp:wrapNone/>
          <wp:docPr id="6" name="Picture 6"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sidR="0030314E">
      <w:rPr>
        <w:noProof/>
      </w:rPr>
      <w:drawing>
        <wp:inline distT="0" distB="0" distL="0" distR="0" wp14:anchorId="642ECE72" wp14:editId="2E99E0BB">
          <wp:extent cx="5760720" cy="6591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9F88" w14:textId="605CE515" w:rsidR="006A44DA" w:rsidRPr="00E1522D" w:rsidRDefault="0037407C" w:rsidP="0037407C">
    <w:pPr>
      <w:pStyle w:val="Kopfzeile"/>
      <w:spacing w:after="0"/>
      <w:jc w:val="right"/>
      <w:rPr>
        <w:noProof/>
      </w:rPr>
    </w:pPr>
    <w:r>
      <w:rPr>
        <w:noProof/>
      </w:rPr>
      <w:drawing>
        <wp:inline distT="0" distB="0" distL="0" distR="0" wp14:anchorId="66CD4811" wp14:editId="6B03F606">
          <wp:extent cx="5760720" cy="659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p w14:paraId="5E8AEFB5" w14:textId="77777777" w:rsidR="006A44DA" w:rsidRPr="00E1522D" w:rsidRDefault="006A44DA" w:rsidP="006C5A3D">
    <w:pPr>
      <w:pStyle w:val="Kopfzeile"/>
      <w:spacing w:after="0"/>
      <w:ind w:left="70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70B0C82"/>
    <w:multiLevelType w:val="multilevel"/>
    <w:tmpl w:val="1D06DA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5792E13"/>
    <w:multiLevelType w:val="hybridMultilevel"/>
    <w:tmpl w:val="8EB66FA2"/>
    <w:lvl w:ilvl="0" w:tplc="11B0EBEE">
      <w:start w:val="1"/>
      <w:numFmt w:val="bullet"/>
      <w:pStyle w:val="Listenabsatz"/>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44980"/>
    <w:multiLevelType w:val="multilevel"/>
    <w:tmpl w:val="F9C22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1C16F62"/>
    <w:multiLevelType w:val="multilevel"/>
    <w:tmpl w:val="8D3A88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6BAD1101"/>
    <w:multiLevelType w:val="multilevel"/>
    <w:tmpl w:val="647663A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A3F2488"/>
    <w:multiLevelType w:val="multilevel"/>
    <w:tmpl w:val="7D8CDA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4"/>
  </w:num>
  <w:num w:numId="3">
    <w:abstractNumId w:val="14"/>
  </w:num>
  <w:num w:numId="4">
    <w:abstractNumId w:val="5"/>
  </w:num>
  <w:num w:numId="5">
    <w:abstractNumId w:val="13"/>
  </w:num>
  <w:num w:numId="6">
    <w:abstractNumId w:val="9"/>
  </w:num>
  <w:num w:numId="7">
    <w:abstractNumId w:val="0"/>
  </w:num>
  <w:num w:numId="8">
    <w:abstractNumId w:val="6"/>
  </w:num>
  <w:num w:numId="9">
    <w:abstractNumId w:val="3"/>
  </w:num>
  <w:num w:numId="10">
    <w:abstractNumId w:val="1"/>
  </w:num>
  <w:num w:numId="11">
    <w:abstractNumId w:val="7"/>
  </w:num>
  <w:num w:numId="12">
    <w:abstractNumId w:val="10"/>
  </w:num>
  <w:num w:numId="13">
    <w:abstractNumId w:val="8"/>
  </w:num>
  <w:num w:numId="14">
    <w:abstractNumId w:val="11"/>
  </w:num>
  <w:num w:numId="15">
    <w:abstractNumId w:val="2"/>
  </w:num>
  <w:num w:numId="16">
    <w:abstractNumId w:val="15"/>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F5"/>
    <w:rsid w:val="00012D68"/>
    <w:rsid w:val="00015167"/>
    <w:rsid w:val="00020300"/>
    <w:rsid w:val="00025A7F"/>
    <w:rsid w:val="000344E9"/>
    <w:rsid w:val="000372BF"/>
    <w:rsid w:val="0004374E"/>
    <w:rsid w:val="00044C5A"/>
    <w:rsid w:val="000504AC"/>
    <w:rsid w:val="00054C9F"/>
    <w:rsid w:val="00087D2D"/>
    <w:rsid w:val="000A3C54"/>
    <w:rsid w:val="000A5C0E"/>
    <w:rsid w:val="000B5D3D"/>
    <w:rsid w:val="000C0CE0"/>
    <w:rsid w:val="000C7EDE"/>
    <w:rsid w:val="000D1038"/>
    <w:rsid w:val="000D1E53"/>
    <w:rsid w:val="000E7879"/>
    <w:rsid w:val="00107F3E"/>
    <w:rsid w:val="00110E98"/>
    <w:rsid w:val="00115648"/>
    <w:rsid w:val="00130EF9"/>
    <w:rsid w:val="00132657"/>
    <w:rsid w:val="0014084B"/>
    <w:rsid w:val="001449B6"/>
    <w:rsid w:val="00144AAD"/>
    <w:rsid w:val="0016369E"/>
    <w:rsid w:val="00170D8A"/>
    <w:rsid w:val="00173A98"/>
    <w:rsid w:val="001752CF"/>
    <w:rsid w:val="00194440"/>
    <w:rsid w:val="00197FF5"/>
    <w:rsid w:val="001B2151"/>
    <w:rsid w:val="001B4996"/>
    <w:rsid w:val="001B73E7"/>
    <w:rsid w:val="001C69A8"/>
    <w:rsid w:val="001C7A9E"/>
    <w:rsid w:val="001D7492"/>
    <w:rsid w:val="001F6DD6"/>
    <w:rsid w:val="001F7E7D"/>
    <w:rsid w:val="00205C40"/>
    <w:rsid w:val="0020622B"/>
    <w:rsid w:val="0021101C"/>
    <w:rsid w:val="00230B22"/>
    <w:rsid w:val="00233DDB"/>
    <w:rsid w:val="00245056"/>
    <w:rsid w:val="002574D1"/>
    <w:rsid w:val="00263AFF"/>
    <w:rsid w:val="002B59F0"/>
    <w:rsid w:val="002D557C"/>
    <w:rsid w:val="002E1C11"/>
    <w:rsid w:val="002E4311"/>
    <w:rsid w:val="002E7268"/>
    <w:rsid w:val="002F54E6"/>
    <w:rsid w:val="0030314E"/>
    <w:rsid w:val="003077E7"/>
    <w:rsid w:val="00310DE9"/>
    <w:rsid w:val="00314117"/>
    <w:rsid w:val="00317DF8"/>
    <w:rsid w:val="00317EDF"/>
    <w:rsid w:val="0032385A"/>
    <w:rsid w:val="003279E7"/>
    <w:rsid w:val="00332050"/>
    <w:rsid w:val="00332816"/>
    <w:rsid w:val="0033324D"/>
    <w:rsid w:val="00337A48"/>
    <w:rsid w:val="003454ED"/>
    <w:rsid w:val="00366D42"/>
    <w:rsid w:val="0037245E"/>
    <w:rsid w:val="0037407C"/>
    <w:rsid w:val="003C3E5C"/>
    <w:rsid w:val="003C4EB5"/>
    <w:rsid w:val="003D0BD8"/>
    <w:rsid w:val="003D61FE"/>
    <w:rsid w:val="003F0BBC"/>
    <w:rsid w:val="003F39B1"/>
    <w:rsid w:val="003F4AFE"/>
    <w:rsid w:val="00405453"/>
    <w:rsid w:val="00424573"/>
    <w:rsid w:val="004302ED"/>
    <w:rsid w:val="00435FE9"/>
    <w:rsid w:val="00445696"/>
    <w:rsid w:val="00445C10"/>
    <w:rsid w:val="00454259"/>
    <w:rsid w:val="0048000F"/>
    <w:rsid w:val="004E6F1E"/>
    <w:rsid w:val="00501C1C"/>
    <w:rsid w:val="0050545C"/>
    <w:rsid w:val="0052388C"/>
    <w:rsid w:val="005264C5"/>
    <w:rsid w:val="00526E5D"/>
    <w:rsid w:val="005647ED"/>
    <w:rsid w:val="00565193"/>
    <w:rsid w:val="00572A06"/>
    <w:rsid w:val="005A07B6"/>
    <w:rsid w:val="005B3BA8"/>
    <w:rsid w:val="005B6B12"/>
    <w:rsid w:val="005C03B4"/>
    <w:rsid w:val="005E0B00"/>
    <w:rsid w:val="005F002F"/>
    <w:rsid w:val="005F1194"/>
    <w:rsid w:val="006014B2"/>
    <w:rsid w:val="00601C34"/>
    <w:rsid w:val="00602590"/>
    <w:rsid w:val="00604186"/>
    <w:rsid w:val="006334B4"/>
    <w:rsid w:val="0063565E"/>
    <w:rsid w:val="00636E02"/>
    <w:rsid w:val="00642297"/>
    <w:rsid w:val="0064351D"/>
    <w:rsid w:val="00644A34"/>
    <w:rsid w:val="00662882"/>
    <w:rsid w:val="00665A7C"/>
    <w:rsid w:val="00671363"/>
    <w:rsid w:val="00672409"/>
    <w:rsid w:val="006760AD"/>
    <w:rsid w:val="00685A84"/>
    <w:rsid w:val="006A30A8"/>
    <w:rsid w:val="006A44DA"/>
    <w:rsid w:val="006A6374"/>
    <w:rsid w:val="006A7A10"/>
    <w:rsid w:val="006B0DA4"/>
    <w:rsid w:val="006B1B6B"/>
    <w:rsid w:val="006B34DC"/>
    <w:rsid w:val="006B6CDB"/>
    <w:rsid w:val="006C0D3A"/>
    <w:rsid w:val="006C5A3D"/>
    <w:rsid w:val="006E1AAD"/>
    <w:rsid w:val="006F53E8"/>
    <w:rsid w:val="007023F5"/>
    <w:rsid w:val="00706072"/>
    <w:rsid w:val="00712300"/>
    <w:rsid w:val="007151BF"/>
    <w:rsid w:val="007205F7"/>
    <w:rsid w:val="00721432"/>
    <w:rsid w:val="00740229"/>
    <w:rsid w:val="0076571A"/>
    <w:rsid w:val="00766D94"/>
    <w:rsid w:val="007675BB"/>
    <w:rsid w:val="007823A2"/>
    <w:rsid w:val="007827A3"/>
    <w:rsid w:val="00784292"/>
    <w:rsid w:val="00794595"/>
    <w:rsid w:val="00794C71"/>
    <w:rsid w:val="00797E0C"/>
    <w:rsid w:val="007B10F5"/>
    <w:rsid w:val="007D104F"/>
    <w:rsid w:val="007D5C4D"/>
    <w:rsid w:val="007E7997"/>
    <w:rsid w:val="00810C3D"/>
    <w:rsid w:val="00840EC8"/>
    <w:rsid w:val="00842AC5"/>
    <w:rsid w:val="00843C16"/>
    <w:rsid w:val="00846B78"/>
    <w:rsid w:val="0085754A"/>
    <w:rsid w:val="008755EE"/>
    <w:rsid w:val="0089075A"/>
    <w:rsid w:val="00891391"/>
    <w:rsid w:val="008C767A"/>
    <w:rsid w:val="008D5C28"/>
    <w:rsid w:val="008D7023"/>
    <w:rsid w:val="00925E04"/>
    <w:rsid w:val="00931D41"/>
    <w:rsid w:val="00972E4C"/>
    <w:rsid w:val="0098532F"/>
    <w:rsid w:val="0099526D"/>
    <w:rsid w:val="009A0969"/>
    <w:rsid w:val="009A3DA7"/>
    <w:rsid w:val="009A7F6B"/>
    <w:rsid w:val="009B36BE"/>
    <w:rsid w:val="009C7694"/>
    <w:rsid w:val="009D7294"/>
    <w:rsid w:val="009F2FD3"/>
    <w:rsid w:val="00A026A4"/>
    <w:rsid w:val="00A0307C"/>
    <w:rsid w:val="00A16EC3"/>
    <w:rsid w:val="00A410CC"/>
    <w:rsid w:val="00A43AD1"/>
    <w:rsid w:val="00A57743"/>
    <w:rsid w:val="00A772D0"/>
    <w:rsid w:val="00A91D91"/>
    <w:rsid w:val="00AA054E"/>
    <w:rsid w:val="00AB7542"/>
    <w:rsid w:val="00AC7764"/>
    <w:rsid w:val="00AC79E0"/>
    <w:rsid w:val="00AD150A"/>
    <w:rsid w:val="00AD239F"/>
    <w:rsid w:val="00AE4FC7"/>
    <w:rsid w:val="00B00DF5"/>
    <w:rsid w:val="00B02648"/>
    <w:rsid w:val="00B040F3"/>
    <w:rsid w:val="00B04283"/>
    <w:rsid w:val="00B076B9"/>
    <w:rsid w:val="00B11EFB"/>
    <w:rsid w:val="00B15C0B"/>
    <w:rsid w:val="00B17AF3"/>
    <w:rsid w:val="00B27499"/>
    <w:rsid w:val="00B40D81"/>
    <w:rsid w:val="00B50534"/>
    <w:rsid w:val="00B52E10"/>
    <w:rsid w:val="00B655D1"/>
    <w:rsid w:val="00B73281"/>
    <w:rsid w:val="00B7765E"/>
    <w:rsid w:val="00B85764"/>
    <w:rsid w:val="00B91B6E"/>
    <w:rsid w:val="00BB449C"/>
    <w:rsid w:val="00BC2561"/>
    <w:rsid w:val="00BC422A"/>
    <w:rsid w:val="00BE225E"/>
    <w:rsid w:val="00BE2B4F"/>
    <w:rsid w:val="00BF25CD"/>
    <w:rsid w:val="00C0128E"/>
    <w:rsid w:val="00C0696A"/>
    <w:rsid w:val="00C123AA"/>
    <w:rsid w:val="00C138DD"/>
    <w:rsid w:val="00C13A4F"/>
    <w:rsid w:val="00C36B53"/>
    <w:rsid w:val="00C4316E"/>
    <w:rsid w:val="00C51119"/>
    <w:rsid w:val="00C570F9"/>
    <w:rsid w:val="00C775F7"/>
    <w:rsid w:val="00C84A0F"/>
    <w:rsid w:val="00CB50EF"/>
    <w:rsid w:val="00CB791A"/>
    <w:rsid w:val="00CD47B2"/>
    <w:rsid w:val="00CE49F8"/>
    <w:rsid w:val="00CE55C4"/>
    <w:rsid w:val="00CF01DC"/>
    <w:rsid w:val="00CF0BAC"/>
    <w:rsid w:val="00D0373D"/>
    <w:rsid w:val="00D22F2F"/>
    <w:rsid w:val="00D23A01"/>
    <w:rsid w:val="00D33C31"/>
    <w:rsid w:val="00D46275"/>
    <w:rsid w:val="00D604F0"/>
    <w:rsid w:val="00D60C99"/>
    <w:rsid w:val="00D73338"/>
    <w:rsid w:val="00D73444"/>
    <w:rsid w:val="00D740B5"/>
    <w:rsid w:val="00DA74C1"/>
    <w:rsid w:val="00DE3473"/>
    <w:rsid w:val="00DF3785"/>
    <w:rsid w:val="00DF4CF1"/>
    <w:rsid w:val="00E02098"/>
    <w:rsid w:val="00E10D8E"/>
    <w:rsid w:val="00E1522D"/>
    <w:rsid w:val="00E21617"/>
    <w:rsid w:val="00E27B64"/>
    <w:rsid w:val="00E3456B"/>
    <w:rsid w:val="00E34758"/>
    <w:rsid w:val="00E366E2"/>
    <w:rsid w:val="00E55BB9"/>
    <w:rsid w:val="00E65F35"/>
    <w:rsid w:val="00E74E8C"/>
    <w:rsid w:val="00E81C78"/>
    <w:rsid w:val="00EA03D7"/>
    <w:rsid w:val="00EA4224"/>
    <w:rsid w:val="00EB501F"/>
    <w:rsid w:val="00EC6BD8"/>
    <w:rsid w:val="00ED4213"/>
    <w:rsid w:val="00ED5030"/>
    <w:rsid w:val="00ED74D7"/>
    <w:rsid w:val="00EF5CB6"/>
    <w:rsid w:val="00F01F41"/>
    <w:rsid w:val="00F06455"/>
    <w:rsid w:val="00F1604B"/>
    <w:rsid w:val="00F1684E"/>
    <w:rsid w:val="00F226E0"/>
    <w:rsid w:val="00F44161"/>
    <w:rsid w:val="00F67EBD"/>
    <w:rsid w:val="00F71462"/>
    <w:rsid w:val="00F80FAB"/>
    <w:rsid w:val="00F87C05"/>
    <w:rsid w:val="00FA0D71"/>
    <w:rsid w:val="00FB3B3B"/>
    <w:rsid w:val="00FD00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922CA"/>
  <w15:docId w15:val="{AD1420BE-C1B1-45F4-ABD2-BE2A34E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3444"/>
    <w:pPr>
      <w:spacing w:after="250" w:line="276" w:lineRule="auto"/>
      <w:jc w:val="both"/>
    </w:pPr>
    <w:rPr>
      <w:sz w:val="22"/>
      <w:lang w:val="en-GB"/>
    </w:rPr>
  </w:style>
  <w:style w:type="paragraph" w:styleId="berschrift1">
    <w:name w:val="heading 1"/>
    <w:basedOn w:val="Standard"/>
    <w:next w:val="Standard"/>
    <w:link w:val="berschrift1Zchn"/>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E65F35"/>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48000F"/>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E65F35"/>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aliases w:val="Paragraphe EI,Paragraphe de liste1,EC"/>
    <w:basedOn w:val="Standard"/>
    <w:link w:val="ListenabsatzZchn"/>
    <w:autoRedefine/>
    <w:uiPriority w:val="34"/>
    <w:qFormat/>
    <w:rsid w:val="00A16EC3"/>
    <w:pPr>
      <w:numPr>
        <w:numId w:val="11"/>
      </w:numPr>
      <w:spacing w:after="240"/>
      <w:ind w:left="567" w:hanging="567"/>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Question,Text,Diskret betoning,Emphase pâle"/>
    <w:basedOn w:val="Absatz-Standardschriftart"/>
    <w:uiPriority w:val="19"/>
    <w:qFormat/>
    <w:rsid w:val="00AA054E"/>
    <w:rPr>
      <w:i/>
      <w:iCs/>
      <w:color w:val="404040"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B91B6E"/>
    <w:pPr>
      <w:contextualSpacing/>
    </w:pPr>
    <w:rPr>
      <w:b/>
    </w:rPr>
  </w:style>
  <w:style w:type="character" w:customStyle="1" w:styleId="QuestionstyleChar">
    <w:name w:val="Question style Char"/>
    <w:basedOn w:val="Absatz-Standardschriftart"/>
    <w:link w:val="Questionstyle"/>
    <w:rsid w:val="00B91B6E"/>
    <w:rPr>
      <w:b/>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pPr>
      <w:spacing w:after="0" w:line="240" w:lineRule="auto"/>
    </w:pPr>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Standard"/>
    <w:next w:val="Standard"/>
    <w:autoRedefine/>
    <w:uiPriority w:val="39"/>
    <w:unhideWhenUsed/>
    <w:rsid w:val="00CF0BAC"/>
    <w:pPr>
      <w:spacing w:after="100"/>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semiHidden/>
    <w:unhideWhenUsed/>
    <w:rsid w:val="00D33C31"/>
    <w:pPr>
      <w:spacing w:line="240" w:lineRule="auto"/>
    </w:pPr>
    <w:rPr>
      <w:sz w:val="20"/>
    </w:rPr>
  </w:style>
  <w:style w:type="character" w:customStyle="1" w:styleId="KommentartextZchn">
    <w:name w:val="Kommentartext Zchn"/>
    <w:basedOn w:val="Absatz-Standardschriftart"/>
    <w:link w:val="Kommentartext"/>
    <w:uiPriority w:val="99"/>
    <w:semiHidden/>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customStyle="1" w:styleId="ListenabsatzZchn">
    <w:name w:val="Listenabsatz Zchn"/>
    <w:aliases w:val="Paragraphe EI Zchn,Paragraphe de liste1 Zchn,EC Zchn"/>
    <w:link w:val="Listenabsatz"/>
    <w:uiPriority w:val="34"/>
    <w:locked/>
    <w:rsid w:val="00A16EC3"/>
    <w:rPr>
      <w:sz w:val="22"/>
      <w:lang w:val="en-GB"/>
    </w:rPr>
  </w:style>
  <w:style w:type="character" w:styleId="Platzhaltertext">
    <w:name w:val="Placeholder Text"/>
    <w:uiPriority w:val="99"/>
    <w:semiHidden/>
    <w:rsid w:val="00A16EC3"/>
    <w:rPr>
      <w:color w:val="808080"/>
    </w:rPr>
  </w:style>
  <w:style w:type="paragraph" w:customStyle="1" w:styleId="paragraph">
    <w:name w:val="paragraph"/>
    <w:basedOn w:val="Standard"/>
    <w:rsid w:val="00E34758"/>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E34758"/>
  </w:style>
  <w:style w:type="character" w:customStyle="1" w:styleId="eop">
    <w:name w:val="eop"/>
    <w:basedOn w:val="Absatz-Standardschriftart"/>
    <w:rsid w:val="00E3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8566">
      <w:bodyDiv w:val="1"/>
      <w:marLeft w:val="0"/>
      <w:marRight w:val="0"/>
      <w:marTop w:val="0"/>
      <w:marBottom w:val="0"/>
      <w:divBdr>
        <w:top w:val="none" w:sz="0" w:space="0" w:color="auto"/>
        <w:left w:val="none" w:sz="0" w:space="0" w:color="auto"/>
        <w:bottom w:val="none" w:sz="0" w:space="0" w:color="auto"/>
        <w:right w:val="none" w:sz="0" w:space="0" w:color="auto"/>
      </w:divBdr>
      <w:divsChild>
        <w:div w:id="37442433">
          <w:marLeft w:val="0"/>
          <w:marRight w:val="0"/>
          <w:marTop w:val="0"/>
          <w:marBottom w:val="0"/>
          <w:divBdr>
            <w:top w:val="none" w:sz="0" w:space="0" w:color="auto"/>
            <w:left w:val="none" w:sz="0" w:space="0" w:color="auto"/>
            <w:bottom w:val="none" w:sz="0" w:space="0" w:color="auto"/>
            <w:right w:val="none" w:sz="0" w:space="0" w:color="auto"/>
          </w:divBdr>
        </w:div>
        <w:div w:id="438641176">
          <w:marLeft w:val="0"/>
          <w:marRight w:val="0"/>
          <w:marTop w:val="0"/>
          <w:marBottom w:val="0"/>
          <w:divBdr>
            <w:top w:val="none" w:sz="0" w:space="0" w:color="auto"/>
            <w:left w:val="none" w:sz="0" w:space="0" w:color="auto"/>
            <w:bottom w:val="none" w:sz="0" w:space="0" w:color="auto"/>
            <w:right w:val="none" w:sz="0" w:space="0" w:color="auto"/>
          </w:divBdr>
        </w:div>
        <w:div w:id="390350332">
          <w:marLeft w:val="0"/>
          <w:marRight w:val="0"/>
          <w:marTop w:val="0"/>
          <w:marBottom w:val="0"/>
          <w:divBdr>
            <w:top w:val="none" w:sz="0" w:space="0" w:color="auto"/>
            <w:left w:val="none" w:sz="0" w:space="0" w:color="auto"/>
            <w:bottom w:val="none" w:sz="0" w:space="0" w:color="auto"/>
            <w:right w:val="none" w:sz="0" w:space="0" w:color="auto"/>
          </w:divBdr>
        </w:div>
        <w:div w:id="1591155721">
          <w:marLeft w:val="0"/>
          <w:marRight w:val="0"/>
          <w:marTop w:val="0"/>
          <w:marBottom w:val="0"/>
          <w:divBdr>
            <w:top w:val="none" w:sz="0" w:space="0" w:color="auto"/>
            <w:left w:val="none" w:sz="0" w:space="0" w:color="auto"/>
            <w:bottom w:val="none" w:sz="0" w:space="0" w:color="auto"/>
            <w:right w:val="none" w:sz="0" w:space="0" w:color="auto"/>
          </w:divBdr>
        </w:div>
      </w:divsChild>
    </w:div>
    <w:div w:id="355271181">
      <w:bodyDiv w:val="1"/>
      <w:marLeft w:val="0"/>
      <w:marRight w:val="0"/>
      <w:marTop w:val="0"/>
      <w:marBottom w:val="0"/>
      <w:divBdr>
        <w:top w:val="none" w:sz="0" w:space="0" w:color="auto"/>
        <w:left w:val="none" w:sz="0" w:space="0" w:color="auto"/>
        <w:bottom w:val="none" w:sz="0" w:space="0" w:color="auto"/>
        <w:right w:val="none" w:sz="0" w:space="0" w:color="auto"/>
      </w:divBdr>
      <w:divsChild>
        <w:div w:id="163978523">
          <w:marLeft w:val="0"/>
          <w:marRight w:val="0"/>
          <w:marTop w:val="0"/>
          <w:marBottom w:val="0"/>
          <w:divBdr>
            <w:top w:val="none" w:sz="0" w:space="0" w:color="auto"/>
            <w:left w:val="none" w:sz="0" w:space="0" w:color="auto"/>
            <w:bottom w:val="none" w:sz="0" w:space="0" w:color="auto"/>
            <w:right w:val="none" w:sz="0" w:space="0" w:color="auto"/>
          </w:divBdr>
        </w:div>
        <w:div w:id="802307430">
          <w:marLeft w:val="0"/>
          <w:marRight w:val="0"/>
          <w:marTop w:val="0"/>
          <w:marBottom w:val="0"/>
          <w:divBdr>
            <w:top w:val="none" w:sz="0" w:space="0" w:color="auto"/>
            <w:left w:val="none" w:sz="0" w:space="0" w:color="auto"/>
            <w:bottom w:val="none" w:sz="0" w:space="0" w:color="auto"/>
            <w:right w:val="none" w:sz="0" w:space="0" w:color="auto"/>
          </w:divBdr>
        </w:div>
      </w:divsChild>
    </w:div>
    <w:div w:id="513612903">
      <w:bodyDiv w:val="1"/>
      <w:marLeft w:val="0"/>
      <w:marRight w:val="0"/>
      <w:marTop w:val="0"/>
      <w:marBottom w:val="0"/>
      <w:divBdr>
        <w:top w:val="none" w:sz="0" w:space="0" w:color="auto"/>
        <w:left w:val="none" w:sz="0" w:space="0" w:color="auto"/>
        <w:bottom w:val="none" w:sz="0" w:space="0" w:color="auto"/>
        <w:right w:val="none" w:sz="0" w:space="0" w:color="auto"/>
      </w:divBdr>
      <w:divsChild>
        <w:div w:id="2054769446">
          <w:marLeft w:val="0"/>
          <w:marRight w:val="0"/>
          <w:marTop w:val="0"/>
          <w:marBottom w:val="0"/>
          <w:divBdr>
            <w:top w:val="none" w:sz="0" w:space="0" w:color="auto"/>
            <w:left w:val="none" w:sz="0" w:space="0" w:color="auto"/>
            <w:bottom w:val="none" w:sz="0" w:space="0" w:color="auto"/>
            <w:right w:val="none" w:sz="0" w:space="0" w:color="auto"/>
          </w:divBdr>
        </w:div>
        <w:div w:id="442962172">
          <w:marLeft w:val="0"/>
          <w:marRight w:val="0"/>
          <w:marTop w:val="0"/>
          <w:marBottom w:val="0"/>
          <w:divBdr>
            <w:top w:val="none" w:sz="0" w:space="0" w:color="auto"/>
            <w:left w:val="none" w:sz="0" w:space="0" w:color="auto"/>
            <w:bottom w:val="none" w:sz="0" w:space="0" w:color="auto"/>
            <w:right w:val="none" w:sz="0" w:space="0" w:color="auto"/>
          </w:divBdr>
        </w:div>
      </w:divsChild>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941258757">
      <w:bodyDiv w:val="1"/>
      <w:marLeft w:val="0"/>
      <w:marRight w:val="0"/>
      <w:marTop w:val="0"/>
      <w:marBottom w:val="0"/>
      <w:divBdr>
        <w:top w:val="none" w:sz="0" w:space="0" w:color="auto"/>
        <w:left w:val="none" w:sz="0" w:space="0" w:color="auto"/>
        <w:bottom w:val="none" w:sz="0" w:space="0" w:color="auto"/>
        <w:right w:val="none" w:sz="0" w:space="0" w:color="auto"/>
      </w:divBdr>
      <w:divsChild>
        <w:div w:id="995458011">
          <w:marLeft w:val="0"/>
          <w:marRight w:val="0"/>
          <w:marTop w:val="0"/>
          <w:marBottom w:val="0"/>
          <w:divBdr>
            <w:top w:val="none" w:sz="0" w:space="0" w:color="auto"/>
            <w:left w:val="none" w:sz="0" w:space="0" w:color="auto"/>
            <w:bottom w:val="none" w:sz="0" w:space="0" w:color="auto"/>
            <w:right w:val="none" w:sz="0" w:space="0" w:color="auto"/>
          </w:divBdr>
        </w:div>
        <w:div w:id="1006782390">
          <w:marLeft w:val="0"/>
          <w:marRight w:val="0"/>
          <w:marTop w:val="0"/>
          <w:marBottom w:val="0"/>
          <w:divBdr>
            <w:top w:val="none" w:sz="0" w:space="0" w:color="auto"/>
            <w:left w:val="none" w:sz="0" w:space="0" w:color="auto"/>
            <w:bottom w:val="none" w:sz="0" w:space="0" w:color="auto"/>
            <w:right w:val="none" w:sz="0" w:space="0" w:color="auto"/>
          </w:divBdr>
        </w:div>
      </w:divsChild>
    </w:div>
    <w:div w:id="1191411487">
      <w:bodyDiv w:val="1"/>
      <w:marLeft w:val="0"/>
      <w:marRight w:val="0"/>
      <w:marTop w:val="0"/>
      <w:marBottom w:val="0"/>
      <w:divBdr>
        <w:top w:val="none" w:sz="0" w:space="0" w:color="auto"/>
        <w:left w:val="none" w:sz="0" w:space="0" w:color="auto"/>
        <w:bottom w:val="none" w:sz="0" w:space="0" w:color="auto"/>
        <w:right w:val="none" w:sz="0" w:space="0" w:color="auto"/>
      </w:divBdr>
      <w:divsChild>
        <w:div w:id="269314800">
          <w:marLeft w:val="0"/>
          <w:marRight w:val="0"/>
          <w:marTop w:val="0"/>
          <w:marBottom w:val="0"/>
          <w:divBdr>
            <w:top w:val="none" w:sz="0" w:space="0" w:color="auto"/>
            <w:left w:val="none" w:sz="0" w:space="0" w:color="auto"/>
            <w:bottom w:val="none" w:sz="0" w:space="0" w:color="auto"/>
            <w:right w:val="none" w:sz="0" w:space="0" w:color="auto"/>
          </w:divBdr>
        </w:div>
        <w:div w:id="688263017">
          <w:marLeft w:val="0"/>
          <w:marRight w:val="0"/>
          <w:marTop w:val="0"/>
          <w:marBottom w:val="0"/>
          <w:divBdr>
            <w:top w:val="none" w:sz="0" w:space="0" w:color="auto"/>
            <w:left w:val="none" w:sz="0" w:space="0" w:color="auto"/>
            <w:bottom w:val="none" w:sz="0" w:space="0" w:color="auto"/>
            <w:right w:val="none" w:sz="0" w:space="0" w:color="auto"/>
          </w:divBdr>
        </w:div>
        <w:div w:id="835920925">
          <w:marLeft w:val="0"/>
          <w:marRight w:val="0"/>
          <w:marTop w:val="0"/>
          <w:marBottom w:val="0"/>
          <w:divBdr>
            <w:top w:val="none" w:sz="0" w:space="0" w:color="auto"/>
            <w:left w:val="none" w:sz="0" w:space="0" w:color="auto"/>
            <w:bottom w:val="none" w:sz="0" w:space="0" w:color="auto"/>
            <w:right w:val="none" w:sz="0" w:space="0" w:color="auto"/>
          </w:divBdr>
        </w:div>
        <w:div w:id="62535849">
          <w:marLeft w:val="0"/>
          <w:marRight w:val="0"/>
          <w:marTop w:val="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1675634">
      <w:bodyDiv w:val="1"/>
      <w:marLeft w:val="0"/>
      <w:marRight w:val="0"/>
      <w:marTop w:val="0"/>
      <w:marBottom w:val="0"/>
      <w:divBdr>
        <w:top w:val="none" w:sz="0" w:space="0" w:color="auto"/>
        <w:left w:val="none" w:sz="0" w:space="0" w:color="auto"/>
        <w:bottom w:val="none" w:sz="0" w:space="0" w:color="auto"/>
        <w:right w:val="none" w:sz="0" w:space="0" w:color="auto"/>
      </w:divBdr>
      <w:divsChild>
        <w:div w:id="2119106606">
          <w:marLeft w:val="0"/>
          <w:marRight w:val="0"/>
          <w:marTop w:val="0"/>
          <w:marBottom w:val="0"/>
          <w:divBdr>
            <w:top w:val="none" w:sz="0" w:space="0" w:color="auto"/>
            <w:left w:val="none" w:sz="0" w:space="0" w:color="auto"/>
            <w:bottom w:val="none" w:sz="0" w:space="0" w:color="auto"/>
            <w:right w:val="none" w:sz="0" w:space="0" w:color="auto"/>
          </w:divBdr>
        </w:div>
        <w:div w:id="1840341380">
          <w:marLeft w:val="0"/>
          <w:marRight w:val="0"/>
          <w:marTop w:val="0"/>
          <w:marBottom w:val="0"/>
          <w:divBdr>
            <w:top w:val="none" w:sz="0" w:space="0" w:color="auto"/>
            <w:left w:val="none" w:sz="0" w:space="0" w:color="auto"/>
            <w:bottom w:val="none" w:sz="0" w:space="0" w:color="auto"/>
            <w:right w:val="none" w:sz="0" w:space="0" w:color="auto"/>
          </w:divBdr>
        </w:div>
        <w:div w:id="411582467">
          <w:marLeft w:val="0"/>
          <w:marRight w:val="0"/>
          <w:marTop w:val="0"/>
          <w:marBottom w:val="0"/>
          <w:divBdr>
            <w:top w:val="none" w:sz="0" w:space="0" w:color="auto"/>
            <w:left w:val="none" w:sz="0" w:space="0" w:color="auto"/>
            <w:bottom w:val="none" w:sz="0" w:space="0" w:color="auto"/>
            <w:right w:val="none" w:sz="0" w:space="0" w:color="auto"/>
          </w:divBdr>
        </w:div>
      </w:divsChild>
    </w:div>
    <w:div w:id="1617592010">
      <w:bodyDiv w:val="1"/>
      <w:marLeft w:val="0"/>
      <w:marRight w:val="0"/>
      <w:marTop w:val="0"/>
      <w:marBottom w:val="0"/>
      <w:divBdr>
        <w:top w:val="none" w:sz="0" w:space="0" w:color="auto"/>
        <w:left w:val="none" w:sz="0" w:space="0" w:color="auto"/>
        <w:bottom w:val="none" w:sz="0" w:space="0" w:color="auto"/>
        <w:right w:val="none" w:sz="0" w:space="0" w:color="auto"/>
      </w:divBdr>
      <w:divsChild>
        <w:div w:id="271128774">
          <w:marLeft w:val="0"/>
          <w:marRight w:val="0"/>
          <w:marTop w:val="0"/>
          <w:marBottom w:val="0"/>
          <w:divBdr>
            <w:top w:val="none" w:sz="0" w:space="0" w:color="auto"/>
            <w:left w:val="none" w:sz="0" w:space="0" w:color="auto"/>
            <w:bottom w:val="none" w:sz="0" w:space="0" w:color="auto"/>
            <w:right w:val="none" w:sz="0" w:space="0" w:color="auto"/>
          </w:divBdr>
        </w:div>
        <w:div w:id="2077896434">
          <w:marLeft w:val="0"/>
          <w:marRight w:val="0"/>
          <w:marTop w:val="0"/>
          <w:marBottom w:val="0"/>
          <w:divBdr>
            <w:top w:val="none" w:sz="0" w:space="0" w:color="auto"/>
            <w:left w:val="none" w:sz="0" w:space="0" w:color="auto"/>
            <w:bottom w:val="none" w:sz="0" w:space="0" w:color="auto"/>
            <w:right w:val="none" w:sz="0" w:space="0" w:color="auto"/>
          </w:divBdr>
        </w:div>
        <w:div w:id="135611919">
          <w:marLeft w:val="0"/>
          <w:marRight w:val="0"/>
          <w:marTop w:val="0"/>
          <w:marBottom w:val="0"/>
          <w:divBdr>
            <w:top w:val="none" w:sz="0" w:space="0" w:color="auto"/>
            <w:left w:val="none" w:sz="0" w:space="0" w:color="auto"/>
            <w:bottom w:val="none" w:sz="0" w:space="0" w:color="auto"/>
            <w:right w:val="none" w:sz="0" w:space="0" w:color="auto"/>
          </w:divBdr>
        </w:div>
        <w:div w:id="309484651">
          <w:marLeft w:val="0"/>
          <w:marRight w:val="0"/>
          <w:marTop w:val="0"/>
          <w:marBottom w:val="0"/>
          <w:divBdr>
            <w:top w:val="none" w:sz="0" w:space="0" w:color="auto"/>
            <w:left w:val="none" w:sz="0" w:space="0" w:color="auto"/>
            <w:bottom w:val="none" w:sz="0" w:space="0" w:color="auto"/>
            <w:right w:val="none" w:sz="0" w:space="0" w:color="auto"/>
          </w:divBdr>
        </w:div>
        <w:div w:id="1729643187">
          <w:marLeft w:val="0"/>
          <w:marRight w:val="0"/>
          <w:marTop w:val="0"/>
          <w:marBottom w:val="0"/>
          <w:divBdr>
            <w:top w:val="none" w:sz="0" w:space="0" w:color="auto"/>
            <w:left w:val="none" w:sz="0" w:space="0" w:color="auto"/>
            <w:bottom w:val="none" w:sz="0" w:space="0" w:color="auto"/>
            <w:right w:val="none" w:sz="0" w:space="0" w:color="auto"/>
          </w:divBdr>
        </w:div>
        <w:div w:id="1495150154">
          <w:marLeft w:val="0"/>
          <w:marRight w:val="0"/>
          <w:marTop w:val="0"/>
          <w:marBottom w:val="0"/>
          <w:divBdr>
            <w:top w:val="none" w:sz="0" w:space="0" w:color="auto"/>
            <w:left w:val="none" w:sz="0" w:space="0" w:color="auto"/>
            <w:bottom w:val="none" w:sz="0" w:space="0" w:color="auto"/>
            <w:right w:val="none" w:sz="0" w:space="0" w:color="auto"/>
          </w:divBdr>
        </w:div>
        <w:div w:id="1154686183">
          <w:marLeft w:val="0"/>
          <w:marRight w:val="0"/>
          <w:marTop w:val="0"/>
          <w:marBottom w:val="0"/>
          <w:divBdr>
            <w:top w:val="none" w:sz="0" w:space="0" w:color="auto"/>
            <w:left w:val="none" w:sz="0" w:space="0" w:color="auto"/>
            <w:bottom w:val="none" w:sz="0" w:space="0" w:color="auto"/>
            <w:right w:val="none" w:sz="0" w:space="0" w:color="auto"/>
          </w:divBdr>
        </w:div>
      </w:divsChild>
    </w:div>
    <w:div w:id="1690332181">
      <w:bodyDiv w:val="1"/>
      <w:marLeft w:val="0"/>
      <w:marRight w:val="0"/>
      <w:marTop w:val="0"/>
      <w:marBottom w:val="0"/>
      <w:divBdr>
        <w:top w:val="none" w:sz="0" w:space="0" w:color="auto"/>
        <w:left w:val="none" w:sz="0" w:space="0" w:color="auto"/>
        <w:bottom w:val="none" w:sz="0" w:space="0" w:color="auto"/>
        <w:right w:val="none" w:sz="0" w:space="0" w:color="auto"/>
      </w:divBdr>
      <w:divsChild>
        <w:div w:id="1072390678">
          <w:marLeft w:val="0"/>
          <w:marRight w:val="0"/>
          <w:marTop w:val="0"/>
          <w:marBottom w:val="0"/>
          <w:divBdr>
            <w:top w:val="none" w:sz="0" w:space="0" w:color="auto"/>
            <w:left w:val="none" w:sz="0" w:space="0" w:color="auto"/>
            <w:bottom w:val="none" w:sz="0" w:space="0" w:color="auto"/>
            <w:right w:val="none" w:sz="0" w:space="0" w:color="auto"/>
          </w:divBdr>
        </w:div>
        <w:div w:id="2094155406">
          <w:marLeft w:val="0"/>
          <w:marRight w:val="0"/>
          <w:marTop w:val="0"/>
          <w:marBottom w:val="0"/>
          <w:divBdr>
            <w:top w:val="none" w:sz="0" w:space="0" w:color="auto"/>
            <w:left w:val="none" w:sz="0" w:space="0" w:color="auto"/>
            <w:bottom w:val="none" w:sz="0" w:space="0" w:color="auto"/>
            <w:right w:val="none" w:sz="0" w:space="0" w:color="auto"/>
          </w:divBdr>
        </w:div>
      </w:divsChild>
    </w:div>
    <w:div w:id="1715422654">
      <w:bodyDiv w:val="1"/>
      <w:marLeft w:val="0"/>
      <w:marRight w:val="0"/>
      <w:marTop w:val="0"/>
      <w:marBottom w:val="0"/>
      <w:divBdr>
        <w:top w:val="none" w:sz="0" w:space="0" w:color="auto"/>
        <w:left w:val="none" w:sz="0" w:space="0" w:color="auto"/>
        <w:bottom w:val="none" w:sz="0" w:space="0" w:color="auto"/>
        <w:right w:val="none" w:sz="0" w:space="0" w:color="auto"/>
      </w:divBdr>
      <w:divsChild>
        <w:div w:id="301078887">
          <w:marLeft w:val="0"/>
          <w:marRight w:val="0"/>
          <w:marTop w:val="0"/>
          <w:marBottom w:val="0"/>
          <w:divBdr>
            <w:top w:val="none" w:sz="0" w:space="0" w:color="auto"/>
            <w:left w:val="none" w:sz="0" w:space="0" w:color="auto"/>
            <w:bottom w:val="none" w:sz="0" w:space="0" w:color="auto"/>
            <w:right w:val="none" w:sz="0" w:space="0" w:color="auto"/>
          </w:divBdr>
        </w:div>
        <w:div w:id="194582836">
          <w:marLeft w:val="0"/>
          <w:marRight w:val="0"/>
          <w:marTop w:val="0"/>
          <w:marBottom w:val="0"/>
          <w:divBdr>
            <w:top w:val="none" w:sz="0" w:space="0" w:color="auto"/>
            <w:left w:val="none" w:sz="0" w:space="0" w:color="auto"/>
            <w:bottom w:val="none" w:sz="0" w:space="0" w:color="auto"/>
            <w:right w:val="none" w:sz="0" w:space="0" w:color="auto"/>
          </w:divBdr>
        </w:div>
      </w:divsChild>
    </w:div>
    <w:div w:id="1846743764">
      <w:bodyDiv w:val="1"/>
      <w:marLeft w:val="0"/>
      <w:marRight w:val="0"/>
      <w:marTop w:val="0"/>
      <w:marBottom w:val="0"/>
      <w:divBdr>
        <w:top w:val="none" w:sz="0" w:space="0" w:color="auto"/>
        <w:left w:val="none" w:sz="0" w:space="0" w:color="auto"/>
        <w:bottom w:val="none" w:sz="0" w:space="0" w:color="auto"/>
        <w:right w:val="none" w:sz="0" w:space="0" w:color="auto"/>
      </w:divBdr>
      <w:divsChild>
        <w:div w:id="547842439">
          <w:marLeft w:val="0"/>
          <w:marRight w:val="0"/>
          <w:marTop w:val="0"/>
          <w:marBottom w:val="0"/>
          <w:divBdr>
            <w:top w:val="none" w:sz="0" w:space="0" w:color="auto"/>
            <w:left w:val="none" w:sz="0" w:space="0" w:color="auto"/>
            <w:bottom w:val="none" w:sz="0" w:space="0" w:color="auto"/>
            <w:right w:val="none" w:sz="0" w:space="0" w:color="auto"/>
          </w:divBdr>
        </w:div>
        <w:div w:id="2019581321">
          <w:marLeft w:val="0"/>
          <w:marRight w:val="0"/>
          <w:marTop w:val="0"/>
          <w:marBottom w:val="0"/>
          <w:divBdr>
            <w:top w:val="none" w:sz="0" w:space="0" w:color="auto"/>
            <w:left w:val="none" w:sz="0" w:space="0" w:color="auto"/>
            <w:bottom w:val="none" w:sz="0" w:space="0" w:color="auto"/>
            <w:right w:val="none" w:sz="0" w:space="0" w:color="auto"/>
          </w:divBdr>
        </w:div>
      </w:divsChild>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93354500">
      <w:bodyDiv w:val="1"/>
      <w:marLeft w:val="0"/>
      <w:marRight w:val="0"/>
      <w:marTop w:val="0"/>
      <w:marBottom w:val="0"/>
      <w:divBdr>
        <w:top w:val="none" w:sz="0" w:space="0" w:color="auto"/>
        <w:left w:val="none" w:sz="0" w:space="0" w:color="auto"/>
        <w:bottom w:val="none" w:sz="0" w:space="0" w:color="auto"/>
        <w:right w:val="none" w:sz="0" w:space="0" w:color="auto"/>
      </w:divBdr>
      <w:divsChild>
        <w:div w:id="791941375">
          <w:marLeft w:val="0"/>
          <w:marRight w:val="0"/>
          <w:marTop w:val="0"/>
          <w:marBottom w:val="0"/>
          <w:divBdr>
            <w:top w:val="none" w:sz="0" w:space="0" w:color="auto"/>
            <w:left w:val="none" w:sz="0" w:space="0" w:color="auto"/>
            <w:bottom w:val="none" w:sz="0" w:space="0" w:color="auto"/>
            <w:right w:val="none" w:sz="0" w:space="0" w:color="auto"/>
          </w:divBdr>
        </w:div>
        <w:div w:id="582960335">
          <w:marLeft w:val="0"/>
          <w:marRight w:val="0"/>
          <w:marTop w:val="0"/>
          <w:marBottom w:val="0"/>
          <w:divBdr>
            <w:top w:val="none" w:sz="0" w:space="0" w:color="auto"/>
            <w:left w:val="none" w:sz="0" w:space="0" w:color="auto"/>
            <w:bottom w:val="none" w:sz="0" w:space="0" w:color="auto"/>
            <w:right w:val="none" w:sz="0" w:space="0" w:color="auto"/>
          </w:divBdr>
        </w:div>
        <w:div w:id="1536891476">
          <w:marLeft w:val="0"/>
          <w:marRight w:val="0"/>
          <w:marTop w:val="0"/>
          <w:marBottom w:val="0"/>
          <w:divBdr>
            <w:top w:val="none" w:sz="0" w:space="0" w:color="auto"/>
            <w:left w:val="none" w:sz="0" w:space="0" w:color="auto"/>
            <w:bottom w:val="none" w:sz="0" w:space="0" w:color="auto"/>
            <w:right w:val="none" w:sz="0" w:space="0" w:color="auto"/>
          </w:divBdr>
        </w:div>
        <w:div w:id="201359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legal-notice" TargetMode="External"/><Relationship Id="rId2" Type="http://schemas.openxmlformats.org/officeDocument/2006/relationships/customXml" Target="../customXml/item2.xml"/><Relationship Id="rId16" Type="http://schemas.openxmlformats.org/officeDocument/2006/relationships/hyperlink" Target="https://eiopa.europa.eu/Pages/Links/Legal-notic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ba.europa.eu/legal-notic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sma.europa.eu/press-news/consult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olicy Document" ma:contentTypeID="0x01010096E895F3FA8DEF418F22A8585F3FABBA0100C89BA0C30D434946AFB0C531B265A33A" ma:contentTypeVersion="9" ma:contentTypeDescription="" ma:contentTypeScope="" ma:versionID="a14f8784f8b56d2b23256e50358ee732">
  <xsd:schema xmlns:xsd="http://www.w3.org/2001/XMLSchema" xmlns:xs="http://www.w3.org/2001/XMLSchema" xmlns:p="http://schemas.microsoft.com/office/2006/metadata/properties" xmlns:ns2="78640e1d-5d46-4ec7-a977-00f9a87352c4" targetNamespace="http://schemas.microsoft.com/office/2006/metadata/properties" ma:root="true" ma:fieldsID="f032db470b8137341f6c6742342d80d3" ns2:_="">
    <xsd:import namespace="78640e1d-5d46-4ec7-a977-00f9a87352c4"/>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oad9d1fe70254c23a005212532657f54" minOccurs="0"/>
                <xsd:element ref="ns2:TaxCatchAll" minOccurs="0"/>
                <xsd:element ref="ns2:TaxCatchAllLabel" minOccurs="0"/>
                <xsd:element ref="ns2:ead4ea96406242e8a458f8778297a076" minOccurs="0"/>
                <xsd:element ref="ns2:i8df37bf6c8643eda3d0b45bd339b48c" minOccurs="0"/>
                <xsd:element ref="ns2:d68ffd618eb0411395627521cb141d6e" minOccurs="0"/>
                <xsd:element ref="ns2:g3ca8be29498467c935e293e151210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40e1d-5d46-4ec7-a977-00f9a87352c4"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simpleType>
    </xsd:element>
    <xsd:element name="MeetingDate" ma:index="7" nillable="true" ma:displayName="Meeting Date" ma:description="" ma:internalName="MeetingDat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ad9d1fe70254c23a005212532657f54" ma:index="11" nillable="true" ma:taxonomy="true" ma:internalName="oad9d1fe70254c23a005212532657f54" ma:taxonomyFieldName="DocumentType" ma:displayName="Document Type" ma:readOnly="false" ma:fieldId="{8ad9d1fe-7025-4c23-a005-212532657f54}"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068b95c-3fc0-48ff-b759-3cdf20d1c1bb}" ma:internalName="TaxCatchAll" ma:showField="CatchAllData" ma:web="78640e1d-5d46-4ec7-a977-00f9a87352c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068b95c-3fc0-48ff-b759-3cdf20d1c1bb}" ma:internalName="TaxCatchAllLabel" ma:readOnly="true" ma:showField="CatchAllDataLabel" ma:web="78640e1d-5d46-4ec7-a977-00f9a87352c4">
      <xsd:complexType>
        <xsd:complexContent>
          <xsd:extension base="dms:MultiChoiceLookup">
            <xsd:sequence>
              <xsd:element name="Value" type="dms:Lookup" maxOccurs="unbounded" minOccurs="0" nillable="true"/>
            </xsd:sequence>
          </xsd:extension>
        </xsd:complexContent>
      </xsd:complexType>
    </xsd:element>
    <xsd:element name="ead4ea96406242e8a458f8778297a076" ma:index="15" ma:taxonomy="true" ma:internalName="ead4ea96406242e8a458f8778297a076" ma:taxonomyFieldName="ConfidentialityLevel" ma:displayName="Confidentiality Level" ma:default="-1;#Regular|07f1e362-856b-423d-bea6-a14079762141" ma:fieldId="{ead4ea96-4062-42e8-a458-f8778297a07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i8df37bf6c8643eda3d0b45bd339b48c" ma:index="18" nillable="true" ma:taxonomy="true" ma:internalName="i8df37bf6c8643eda3d0b45bd339b48c" ma:taxonomyFieldName="EsmaAudience" ma:displayName="Audience" ma:fieldId="{28df37bf-6c86-43ed-a3d0-b45bd339b48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d68ffd618eb0411395627521cb141d6e" ma:index="21" ma:taxonomy="true" ma:internalName="d68ffd618eb0411395627521cb141d6e" ma:taxonomyFieldName="Topic" ma:displayName="Topic" ma:fieldId="{d68ffd61-8eb0-4113-9562-7521cb141d6e}" ma:sspId="0ac1876e-32bf-4158-94e7-cdbcd053a335" ma:termSetId="e1688bb8-4f6e-42fc-9665-3f2b5d57ce31" ma:anchorId="00000000-0000-0000-0000-000000000000" ma:open="false" ma:isKeyword="false">
      <xsd:complexType>
        <xsd:sequence>
          <xsd:element ref="pc:Terms" minOccurs="0" maxOccurs="1"/>
        </xsd:sequence>
      </xsd:complexType>
    </xsd:element>
    <xsd:element name="g3ca8be29498467c935e293e1512101c" ma:index="23" nillable="true" ma:taxonomy="true" ma:internalName="g3ca8be29498467c935e293e1512101c" ma:taxonomyFieldName="SubTopic" ma:displayName="Sub Topic" ma:fieldId="{03ca8be2-9498-467c-935e-293e1512101c}" ma:sspId="0ac1876e-32bf-4158-94e7-cdbcd053a335" ma:termSetId="5713c003-20fa-4d11-92ea-69d57b33a1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640e1d-5d46-4ec7-a977-00f9a87352c4">
      <Value>62</Value>
      <Value>17</Value>
      <Value>233</Value>
      <Value>57</Value>
      <Value>45</Value>
    </TaxCatchAll>
    <_dlc_DocId xmlns="78640e1d-5d46-4ec7-a977-00f9a87352c4">ESMA82-402-859</_dlc_DocId>
    <_dlc_DocIdUrl xmlns="78640e1d-5d46-4ec7-a977-00f9a87352c4">
      <Url>https://sherpa.esma.europa.eu/sites/SEC/_layouts/15/DocIdRedir.aspx?ID=ESMA82-402-859</Url>
      <Description>ESMA82-402-859</Description>
    </_dlc_DocIdUrl>
    <Year xmlns="78640e1d-5d46-4ec7-a977-00f9a87352c4">2022</Year>
    <ead4ea96406242e8a458f8778297a076 xmlns="78640e1d-5d46-4ec7-a977-00f9a87352c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ead4ea96406242e8a458f8778297a076>
    <MeetingDate xmlns="78640e1d-5d46-4ec7-a977-00f9a87352c4">2024-04-26T22:00:00+00:00</MeetingDate>
    <i8df37bf6c8643eda3d0b45bd339b48c xmlns="78640e1d-5d46-4ec7-a977-00f9a87352c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i8df37bf6c8643eda3d0b45bd339b48c>
    <d68ffd618eb0411395627521cb141d6e xmlns="78640e1d-5d46-4ec7-a977-00f9a87352c4">
      <Terms xmlns="http://schemas.microsoft.com/office/infopath/2007/PartnerControls">
        <TermInfo xmlns="http://schemas.microsoft.com/office/infopath/2007/PartnerControls">
          <TermName xmlns="http://schemas.microsoft.com/office/infopath/2007/PartnerControls">Securitisation Network</TermName>
          <TermId xmlns="http://schemas.microsoft.com/office/infopath/2007/PartnerControls">07192484-6f74-4c4a-9bf3-6b2ee3ad64d5</TermId>
        </TermInfo>
      </Terms>
    </d68ffd618eb0411395627521cb141d6e>
    <oad9d1fe70254c23a005212532657f54 xmlns="78640e1d-5d46-4ec7-a977-00f9a87352c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d9d1fe70254c23a005212532657f54>
    <g3ca8be29498467c935e293e1512101c xmlns="78640e1d-5d46-4ec7-a977-00f9a87352c4">
      <Terms xmlns="http://schemas.microsoft.com/office/infopath/2007/PartnerControls">
        <TermInfo xmlns="http://schemas.microsoft.com/office/infopath/2007/PartnerControls">
          <TermName xmlns="http://schemas.microsoft.com/office/infopath/2007/PartnerControls">SECR 2</TermName>
          <TermId xmlns="http://schemas.microsoft.com/office/infopath/2007/PartnerControls">88b0798f-52be-4847-90d9-7d4712a840fa</TermId>
        </TermInfo>
      </Terms>
    </g3ca8be29498467c935e293e1512101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6367623A-AC87-4B7C-96DB-35A9F903D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40e1d-5d46-4ec7-a977-00f9a8735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78640e1d-5d46-4ec7-a977-00f9a87352c4"/>
  </ds:schemaRefs>
</ds:datastoreItem>
</file>

<file path=customXml/itemProps5.xml><?xml version="1.0" encoding="utf-8"?>
<ds:datastoreItem xmlns:ds="http://schemas.openxmlformats.org/officeDocument/2006/customXml" ds:itemID="{75689521-34FD-41F8-BDAC-8724E96E43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2711</Words>
  <Characters>17085</Characters>
  <Application>Microsoft Office Word</Application>
  <DocSecurity>0</DocSecurity>
  <Lines>142</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Peiter</dc:creator>
  <cp:keywords/>
  <cp:lastModifiedBy>Maik Preußner</cp:lastModifiedBy>
  <cp:revision>3</cp:revision>
  <dcterms:created xsi:type="dcterms:W3CDTF">2022-07-01T13:23:00Z</dcterms:created>
  <dcterms:modified xsi:type="dcterms:W3CDTF">2022-07-01T13:25:00Z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50acab3f6949599688191e8740e810">
    <vt:lpwstr>Regular|07f1e362-856b-423d-bea6-a14079762141</vt:lpwstr>
  </property>
  <property fmtid="{D5CDD505-2E9C-101B-9397-08002B2CF9AE}" pid="3" name="n84bf37b4eaf4fd99e887816221de8a8">
    <vt:lpwstr>EN|f7e7f686-dfa7-4032-a218-a5881e990598</vt:lpwstr>
  </property>
  <property fmtid="{D5CDD505-2E9C-101B-9397-08002B2CF9AE}" pid="4" name="ESMATemplatesConfidentialityLevel">
    <vt:lpwstr>5;#Regular|07f1e362-856b-423d-bea6-a14079762141</vt:lpwstr>
  </property>
  <property fmtid="{D5CDD505-2E9C-101B-9397-08002B2CF9AE}" pid="5" name="ESMATemplatesTopic">
    <vt:lpwstr>105;#Report|6152310e-8bc8-447a-92f1-7d43d5ef86b8</vt:lpwstr>
  </property>
  <property fmtid="{D5CDD505-2E9C-101B-9397-08002B2CF9AE}" pid="6" name="_dlc_DocIdItemGuid">
    <vt:lpwstr>6700fca0-e24f-4110-aca0-8fef833c174d</vt:lpwstr>
  </property>
  <property fmtid="{D5CDD505-2E9C-101B-9397-08002B2CF9AE}" pid="7" name="EsmaAudience">
    <vt:lpwstr>62;#Public|902c1e7c-3957-48c1-abbe-acf26525b3f2</vt:lpwstr>
  </property>
  <property fmtid="{D5CDD505-2E9C-101B-9397-08002B2CF9AE}" pid="8" name="Topic">
    <vt:lpwstr>45;#Securitisation Network|07192484-6f74-4c4a-9bf3-6b2ee3ad64d5</vt:lpwstr>
  </property>
  <property fmtid="{D5CDD505-2E9C-101B-9397-08002B2CF9AE}" pid="9" name="ConfidentialityLevel">
    <vt:lpwstr>57;#Public|a0c619ff-bd46-48f0-b213-6b7c03fe156d</vt:lpwstr>
  </property>
  <property fmtid="{D5CDD505-2E9C-101B-9397-08002B2CF9AE}" pid="10" name="DocumentType">
    <vt:lpwstr>17;#Report|78753201-1e9e-4a21-a088-6ff602b5c999</vt:lpwstr>
  </property>
  <property fmtid="{D5CDD505-2E9C-101B-9397-08002B2CF9AE}" pid="11" name="SubTopic">
    <vt:lpwstr>233;#SECR 2|88b0798f-52be-4847-90d9-7d4712a840fa</vt:lpwstr>
  </property>
  <property fmtid="{D5CDD505-2E9C-101B-9397-08002B2CF9AE}" pid="12" name="ContentTypeId">
    <vt:lpwstr>0x01010096E895F3FA8DEF418F22A8585F3FABBA0100C89BA0C30D434946AFB0C531B265A33A</vt:lpwstr>
  </property>
</Properties>
</file>