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b/>
          <w:sz w:val="28"/>
          <w:szCs w:val="24"/>
          <w:lang w:eastAsia="de-DE"/>
        </w:rPr>
        <w:id w:val="-973058580"/>
        <w:docPartObj>
          <w:docPartGallery w:val="Cover Pages"/>
          <w:docPartUnique/>
        </w:docPartObj>
      </w:sdtPr>
      <w:sdtEndPr>
        <w:rPr>
          <w:rFonts w:ascii="Arial" w:eastAsia="Times New Roman" w:hAnsi="Arial" w:cs="Times New Roman"/>
          <w:b w:val="0"/>
          <w:bCs/>
          <w:iCs/>
          <w:sz w:val="17"/>
        </w:rPr>
      </w:sdtEndPr>
      <w:sdtContent>
        <w:p w14:paraId="60E0DB7B" w14:textId="77777777" w:rsidR="007E7997" w:rsidRPr="00E36A9D"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firstRow="1" w:lastRow="1" w:firstColumn="1" w:lastColumn="1" w:noHBand="0" w:noVBand="0"/>
          </w:tblPr>
          <w:tblGrid>
            <w:gridCol w:w="9412"/>
          </w:tblGrid>
          <w:tr w:rsidR="007E7997" w:rsidRPr="00E36A9D" w14:paraId="11ED3B68" w14:textId="77777777" w:rsidTr="00E10D8E">
            <w:trPr>
              <w:trHeight w:hRule="exact" w:val="1423"/>
            </w:trPr>
            <w:tc>
              <w:tcPr>
                <w:tcW w:w="9412" w:type="dxa"/>
                <w:vAlign w:val="bottom"/>
              </w:tcPr>
              <w:p w14:paraId="2D50DAF9" w14:textId="6FA25BFB" w:rsidR="007E7997" w:rsidRPr="00E36A9D" w:rsidRDefault="00E10D8E" w:rsidP="007E7997">
                <w:pPr>
                  <w:pStyle w:val="Titel"/>
                </w:pPr>
                <w:r w:rsidRPr="00E36A9D">
                  <w:rPr>
                    <w:rFonts w:ascii="Arial" w:eastAsia="Times New Roman" w:hAnsi="Arial" w:cs="Arial"/>
                    <w:color w:val="2D4190"/>
                    <w:spacing w:val="0"/>
                    <w:sz w:val="40"/>
                    <w:szCs w:val="24"/>
                    <w:lang w:eastAsia="de-DE"/>
                  </w:rPr>
                  <w:t>Response form for the Joint Consultation Paper concerning sustainable disclosures for STS securitisations</w:t>
                </w:r>
              </w:p>
            </w:tc>
          </w:tr>
          <w:tr w:rsidR="007E7997" w:rsidRPr="00E36A9D" w14:paraId="1AB1E013" w14:textId="77777777" w:rsidTr="007E7997">
            <w:trPr>
              <w:trHeight w:hRule="exact" w:val="454"/>
            </w:trPr>
            <w:tc>
              <w:tcPr>
                <w:tcW w:w="9412" w:type="dxa"/>
                <w:tcMar>
                  <w:top w:w="142" w:type="dxa"/>
                </w:tcMar>
              </w:tcPr>
              <w:p w14:paraId="644A8A8B" w14:textId="77777777" w:rsidR="00B50534" w:rsidRPr="00E36A9D" w:rsidRDefault="00B50534" w:rsidP="00E10D8E">
                <w:pPr>
                  <w:pStyle w:val="Untertitel"/>
                </w:pPr>
              </w:p>
            </w:tc>
          </w:tr>
        </w:tbl>
        <w:p w14:paraId="34EDE9C2" w14:textId="77777777" w:rsidR="007E7997" w:rsidRPr="00E36A9D" w:rsidRDefault="007E7997">
          <w:pPr>
            <w:spacing w:after="120" w:line="264" w:lineRule="auto"/>
          </w:pPr>
          <w:r w:rsidRPr="00E36A9D">
            <w:rPr>
              <w:color w:val="FF0000"/>
            </w:rPr>
            <w:br w:type="page"/>
          </w:r>
        </w:p>
        <w:p w14:paraId="50EF4753" w14:textId="77777777" w:rsidR="007E7997" w:rsidRPr="00E36A9D" w:rsidRDefault="007E7997">
          <w:pPr>
            <w:spacing w:after="120" w:line="264" w:lineRule="auto"/>
            <w:rPr>
              <w:rFonts w:asciiTheme="majorHAnsi" w:eastAsiaTheme="majorEastAsia" w:hAnsiTheme="majorHAnsi" w:cstheme="majorBidi"/>
              <w:sz w:val="32"/>
              <w:szCs w:val="32"/>
            </w:rPr>
            <w:sectPr w:rsidR="007E7997" w:rsidRPr="00E36A9D" w:rsidSect="007E799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52C1D76B" w14:textId="100A331D" w:rsidR="009F2FD3" w:rsidRPr="00E36A9D" w:rsidRDefault="003D0BD8" w:rsidP="009F2FD3">
          <w:pPr>
            <w:pStyle w:val="02Date"/>
            <w:spacing w:after="0"/>
            <w:jc w:val="right"/>
            <w:rPr>
              <w:rFonts w:ascii="Arial" w:hAnsi="Arial" w:cs="Arial"/>
            </w:rPr>
          </w:pPr>
          <w:r w:rsidRPr="00E36A9D">
            <w:rPr>
              <w:rFonts w:ascii="Arial" w:hAnsi="Arial" w:cs="Arial"/>
            </w:rPr>
            <w:lastRenderedPageBreak/>
            <w:t xml:space="preserve">Date: </w:t>
          </w:r>
          <w:r w:rsidR="00EA4224" w:rsidRPr="00E36A9D">
            <w:rPr>
              <w:rFonts w:ascii="Arial" w:hAnsi="Arial" w:cs="Arial"/>
            </w:rPr>
            <w:t>6</w:t>
          </w:r>
          <w:r w:rsidRPr="00E36A9D">
            <w:rPr>
              <w:rFonts w:ascii="Arial" w:hAnsi="Arial" w:cs="Arial"/>
            </w:rPr>
            <w:t xml:space="preserve"> May 2022</w:t>
          </w:r>
        </w:p>
        <w:p w14:paraId="069015E5" w14:textId="443CE277" w:rsidR="007E7997" w:rsidRPr="00E36A9D" w:rsidRDefault="009F2FD3" w:rsidP="009F2FD3">
          <w:pPr>
            <w:pStyle w:val="02Date"/>
            <w:spacing w:after="0"/>
            <w:jc w:val="right"/>
            <w:rPr>
              <w:rFonts w:ascii="Arial" w:hAnsi="Arial"/>
              <w:bCs/>
              <w:iCs/>
            </w:rPr>
          </w:pPr>
          <w:r w:rsidRPr="00E36A9D">
            <w:rPr>
              <w:rFonts w:ascii="Arial" w:hAnsi="Arial" w:cs="Arial"/>
            </w:rPr>
            <w:t>ESMA</w:t>
          </w:r>
          <w:r w:rsidR="002F54E6" w:rsidRPr="00E36A9D">
            <w:rPr>
              <w:rFonts w:ascii="Arial" w:hAnsi="Arial" w:cs="Arial"/>
            </w:rPr>
            <w:t>82-402-859</w:t>
          </w:r>
        </w:p>
      </w:sdtContent>
    </w:sdt>
    <w:p w14:paraId="50CD57A6" w14:textId="77777777" w:rsidR="00A16EC3" w:rsidRPr="00E36A9D" w:rsidRDefault="00A16EC3" w:rsidP="00A16EC3">
      <w:pPr>
        <w:tabs>
          <w:tab w:val="left" w:pos="2690"/>
        </w:tabs>
        <w:rPr>
          <w:rFonts w:ascii="Arial" w:eastAsia="Times New Roman" w:hAnsi="Arial" w:cs="Arial"/>
          <w:b/>
          <w:sz w:val="24"/>
          <w:szCs w:val="24"/>
          <w:lang w:eastAsia="de-DE"/>
        </w:rPr>
      </w:pPr>
    </w:p>
    <w:p w14:paraId="083B5710" w14:textId="77777777" w:rsidR="00A16EC3" w:rsidRPr="00E36A9D" w:rsidRDefault="00A16EC3" w:rsidP="00A16EC3">
      <w:pPr>
        <w:tabs>
          <w:tab w:val="left" w:pos="2690"/>
        </w:tabs>
        <w:rPr>
          <w:rFonts w:ascii="Arial" w:eastAsia="Times New Roman" w:hAnsi="Arial" w:cs="Arial"/>
          <w:b/>
          <w:sz w:val="24"/>
          <w:szCs w:val="24"/>
          <w:lang w:eastAsia="de-DE"/>
        </w:rPr>
      </w:pPr>
    </w:p>
    <w:p w14:paraId="7D4D60BD" w14:textId="70A86BC5" w:rsidR="00E10D8E" w:rsidRPr="00E36A9D" w:rsidRDefault="00E10D8E" w:rsidP="00A16EC3">
      <w:pPr>
        <w:tabs>
          <w:tab w:val="left" w:pos="2690"/>
        </w:tabs>
        <w:rPr>
          <w:rFonts w:ascii="Arial" w:eastAsia="Times New Roman" w:hAnsi="Arial" w:cs="Arial"/>
          <w:b/>
          <w:sz w:val="24"/>
          <w:szCs w:val="24"/>
          <w:lang w:eastAsia="de-DE"/>
        </w:rPr>
      </w:pPr>
      <w:r w:rsidRPr="00E36A9D">
        <w:rPr>
          <w:rFonts w:ascii="Arial" w:eastAsia="Times New Roman" w:hAnsi="Arial" w:cs="Arial"/>
          <w:b/>
          <w:sz w:val="24"/>
          <w:szCs w:val="24"/>
          <w:lang w:eastAsia="de-DE"/>
        </w:rPr>
        <w:t xml:space="preserve">Responding to this paper </w:t>
      </w:r>
    </w:p>
    <w:p w14:paraId="1C852095" w14:textId="250BF7B0" w:rsidR="00E10D8E" w:rsidRPr="00E36A9D" w:rsidRDefault="00E10D8E" w:rsidP="00E10D8E">
      <w:pPr>
        <w:spacing w:after="240" w:line="240" w:lineRule="auto"/>
        <w:rPr>
          <w:rStyle w:val="SchwacheHervorhebung"/>
          <w:i w:val="0"/>
          <w:color w:val="auto"/>
        </w:rPr>
      </w:pPr>
      <w:r w:rsidRPr="00E36A9D">
        <w:rPr>
          <w:rStyle w:val="SchwacheHervorhebung"/>
          <w:i w:val="0"/>
          <w:color w:val="auto"/>
        </w:rPr>
        <w:t>The European Supervisory Authorities (ESAs) welcome comments on this consultation paper setting out the proposed Regulatory Technical Standards (hereinafter “RTS”) on the content, methodologies and presentation of information in respect of the sustainability indicators in relation to adverse impacts on the climate and other environmental, social and governance-related adverse impacts pursuant to Articles 22(6) and 26d(6) of the Regulation (EU) 2017/2402 (</w:t>
      </w:r>
      <w:r w:rsidR="00A16EC3" w:rsidRPr="00E36A9D">
        <w:rPr>
          <w:rStyle w:val="SchwacheHervorhebung"/>
          <w:i w:val="0"/>
          <w:color w:val="auto"/>
        </w:rPr>
        <w:t xml:space="preserve">hereafter </w:t>
      </w:r>
      <w:r w:rsidRPr="00E36A9D">
        <w:rPr>
          <w:rStyle w:val="SchwacheHervorhebung"/>
          <w:i w:val="0"/>
          <w:color w:val="auto"/>
        </w:rPr>
        <w:t>the Securitisation Regulation)</w:t>
      </w:r>
      <w:r w:rsidR="00A16EC3" w:rsidRPr="00E36A9D">
        <w:rPr>
          <w:rStyle w:val="SchwacheHervorhebung"/>
          <w:i w:val="0"/>
          <w:color w:val="auto"/>
        </w:rPr>
        <w:t xml:space="preserve"> </w:t>
      </w:r>
      <w:r w:rsidRPr="00E36A9D">
        <w:rPr>
          <w:rStyle w:val="SchwacheHervorhebung"/>
          <w:i w:val="0"/>
          <w:color w:val="auto"/>
        </w:rPr>
        <w:t xml:space="preserve">and in particular on the specific questions summarised in Section </w:t>
      </w:r>
      <w:r w:rsidR="009F2FD3" w:rsidRPr="00E36A9D">
        <w:rPr>
          <w:rStyle w:val="SchwacheHervorhebung"/>
          <w:i w:val="0"/>
          <w:color w:val="auto"/>
        </w:rPr>
        <w:t>5</w:t>
      </w:r>
      <w:r w:rsidRPr="00E36A9D">
        <w:rPr>
          <w:rStyle w:val="SchwacheHervorhebung"/>
          <w:i w:val="0"/>
          <w:color w:val="auto"/>
        </w:rPr>
        <w:t xml:space="preserve"> of the consultation paper under “</w:t>
      </w:r>
      <w:r w:rsidR="009F2FD3" w:rsidRPr="00E36A9D">
        <w:rPr>
          <w:rStyle w:val="SchwacheHervorhebung"/>
          <w:i w:val="0"/>
          <w:color w:val="auto"/>
        </w:rPr>
        <w:t xml:space="preserve">List of </w:t>
      </w:r>
      <w:r w:rsidRPr="00E36A9D">
        <w:rPr>
          <w:rStyle w:val="SchwacheHervorhebung"/>
          <w:i w:val="0"/>
          <w:color w:val="auto"/>
        </w:rPr>
        <w:t>stakeholder</w:t>
      </w:r>
      <w:r w:rsidR="00A16EC3" w:rsidRPr="00E36A9D">
        <w:rPr>
          <w:rStyle w:val="SchwacheHervorhebung"/>
          <w:i w:val="0"/>
          <w:color w:val="auto"/>
        </w:rPr>
        <w:t xml:space="preserve"> questions</w:t>
      </w:r>
      <w:r w:rsidRPr="00E36A9D">
        <w:rPr>
          <w:rStyle w:val="SchwacheHervorhebung"/>
          <w:i w:val="0"/>
          <w:color w:val="auto"/>
        </w:rPr>
        <w:t xml:space="preserve">”. </w:t>
      </w:r>
    </w:p>
    <w:p w14:paraId="3A3FB997" w14:textId="77777777" w:rsidR="00E10D8E" w:rsidRPr="00E36A9D" w:rsidRDefault="00E10D8E" w:rsidP="00E10D8E">
      <w:pPr>
        <w:spacing w:after="240" w:line="240" w:lineRule="auto"/>
        <w:rPr>
          <w:rFonts w:ascii="Arial" w:eastAsia="Times New Roman" w:hAnsi="Arial" w:cs="Times New Roman"/>
          <w:bCs/>
          <w:iCs/>
          <w:szCs w:val="24"/>
          <w:lang w:eastAsia="de-DE"/>
        </w:rPr>
      </w:pPr>
      <w:r w:rsidRPr="00E36A9D">
        <w:rPr>
          <w:rFonts w:ascii="Arial" w:eastAsia="Times New Roman" w:hAnsi="Arial" w:cs="Times New Roman"/>
          <w:bCs/>
          <w:iCs/>
          <w:szCs w:val="24"/>
          <w:lang w:eastAsia="de-DE"/>
        </w:rPr>
        <w:t>Comments are most helpful if they:</w:t>
      </w:r>
    </w:p>
    <w:p w14:paraId="39BF97F1" w14:textId="77777777" w:rsidR="00E10D8E" w:rsidRPr="00E36A9D" w:rsidRDefault="00E10D8E" w:rsidP="00E10D8E">
      <w:pPr>
        <w:numPr>
          <w:ilvl w:val="0"/>
          <w:numId w:val="12"/>
        </w:numPr>
        <w:spacing w:after="0" w:line="240" w:lineRule="auto"/>
        <w:contextualSpacing/>
        <w:jc w:val="left"/>
        <w:rPr>
          <w:rFonts w:ascii="Arial" w:eastAsia="Times New Roman" w:hAnsi="Arial" w:cs="Times New Roman"/>
          <w:bCs/>
          <w:iCs/>
          <w:szCs w:val="24"/>
          <w:lang w:eastAsia="de-DE"/>
        </w:rPr>
      </w:pPr>
      <w:r w:rsidRPr="00E36A9D">
        <w:rPr>
          <w:rFonts w:ascii="Arial" w:eastAsia="Times New Roman" w:hAnsi="Arial" w:cs="Times New Roman"/>
          <w:bCs/>
          <w:iCs/>
          <w:szCs w:val="24"/>
          <w:lang w:eastAsia="de-DE"/>
        </w:rPr>
        <w:t>contain a clear rationale; and</w:t>
      </w:r>
    </w:p>
    <w:p w14:paraId="0634DA56" w14:textId="77777777" w:rsidR="00E10D8E" w:rsidRPr="00E36A9D" w:rsidRDefault="00E10D8E" w:rsidP="009F2FD3">
      <w:pPr>
        <w:numPr>
          <w:ilvl w:val="0"/>
          <w:numId w:val="12"/>
        </w:numPr>
        <w:spacing w:after="0" w:line="240" w:lineRule="auto"/>
        <w:contextualSpacing/>
        <w:jc w:val="left"/>
        <w:rPr>
          <w:rStyle w:val="SchwacheHervorhebung"/>
          <w:iCs w:val="0"/>
          <w:color w:val="auto"/>
        </w:rPr>
      </w:pPr>
      <w:r w:rsidRPr="00E36A9D">
        <w:rPr>
          <w:rFonts w:ascii="Arial" w:eastAsia="Times New Roman" w:hAnsi="Arial" w:cs="Times New Roman"/>
          <w:bCs/>
          <w:iCs/>
          <w:szCs w:val="24"/>
          <w:lang w:eastAsia="de-DE"/>
        </w:rPr>
        <w:t xml:space="preserve">describe any alternatives the ESAs should </w:t>
      </w:r>
      <w:r w:rsidRPr="00E36A9D">
        <w:rPr>
          <w:rStyle w:val="SchwacheHervorhebung"/>
          <w:iCs w:val="0"/>
          <w:color w:val="auto"/>
        </w:rPr>
        <w:t>consider.</w:t>
      </w:r>
    </w:p>
    <w:p w14:paraId="7CAA1F0A" w14:textId="77777777" w:rsidR="009F2FD3" w:rsidRPr="00E36A9D" w:rsidRDefault="009F2FD3" w:rsidP="009F2FD3">
      <w:pPr>
        <w:spacing w:after="240" w:line="240" w:lineRule="auto"/>
        <w:contextualSpacing/>
        <w:rPr>
          <w:rStyle w:val="SchwacheHervorhebung"/>
          <w:i w:val="0"/>
          <w:color w:val="auto"/>
        </w:rPr>
      </w:pPr>
    </w:p>
    <w:p w14:paraId="4A6569CD" w14:textId="2C84C5EF" w:rsidR="00E10D8E" w:rsidRPr="00E36A9D" w:rsidRDefault="00E10D8E" w:rsidP="009F2FD3">
      <w:pPr>
        <w:spacing w:after="240" w:line="240" w:lineRule="auto"/>
        <w:contextualSpacing/>
        <w:rPr>
          <w:rFonts w:ascii="Arial" w:eastAsia="Times New Roman" w:hAnsi="Arial" w:cs="Times New Roman"/>
          <w:bCs/>
          <w:i/>
          <w:szCs w:val="24"/>
          <w:lang w:eastAsia="de-DE"/>
        </w:rPr>
      </w:pPr>
      <w:r w:rsidRPr="00E36A9D">
        <w:rPr>
          <w:rStyle w:val="SchwacheHervorhebung"/>
          <w:i w:val="0"/>
          <w:color w:val="auto"/>
        </w:rPr>
        <w:t>When describing alternative approaches the ESAs encourage</w:t>
      </w:r>
      <w:r w:rsidRPr="00E36A9D">
        <w:rPr>
          <w:rFonts w:ascii="Arial" w:eastAsia="Times New Roman" w:hAnsi="Arial" w:cs="Times New Roman"/>
          <w:bCs/>
          <w:i/>
          <w:szCs w:val="24"/>
          <w:lang w:eastAsia="de-DE"/>
        </w:rPr>
        <w:t xml:space="preserve"> stakeholders to consider how the approach would achieve the aims of SFDR.</w:t>
      </w:r>
    </w:p>
    <w:p w14:paraId="2F98AD0C" w14:textId="77777777" w:rsidR="00E10D8E" w:rsidRPr="00E36A9D" w:rsidRDefault="00E10D8E" w:rsidP="00E10D8E">
      <w:pPr>
        <w:spacing w:after="0" w:line="240" w:lineRule="auto"/>
        <w:jc w:val="left"/>
        <w:rPr>
          <w:rFonts w:ascii="Arial" w:eastAsia="Times New Roman" w:hAnsi="Arial" w:cs="Times New Roman"/>
          <w:iCs/>
          <w:szCs w:val="24"/>
          <w:lang w:eastAsia="de-DE"/>
        </w:rPr>
      </w:pPr>
    </w:p>
    <w:p w14:paraId="0F337B75" w14:textId="77777777" w:rsidR="00E10D8E" w:rsidRPr="00E36A9D" w:rsidRDefault="00E10D8E" w:rsidP="00E10D8E">
      <w:pPr>
        <w:spacing w:after="120" w:line="240" w:lineRule="auto"/>
        <w:rPr>
          <w:rFonts w:ascii="Arial" w:eastAsia="Times New Roman" w:hAnsi="Arial" w:cs="Times New Roman"/>
          <w:b/>
          <w:iCs/>
          <w:szCs w:val="24"/>
          <w:lang w:eastAsia="de-DE"/>
        </w:rPr>
      </w:pPr>
      <w:r w:rsidRPr="00E36A9D">
        <w:rPr>
          <w:rFonts w:ascii="Arial" w:eastAsia="Times New Roman" w:hAnsi="Arial" w:cs="Times New Roman"/>
          <w:b/>
          <w:iCs/>
          <w:szCs w:val="24"/>
          <w:lang w:eastAsia="de-DE"/>
        </w:rPr>
        <w:t>Instructions</w:t>
      </w:r>
    </w:p>
    <w:p w14:paraId="4513DFAA" w14:textId="77777777" w:rsidR="00E10D8E" w:rsidRPr="00E36A9D" w:rsidRDefault="00E10D8E" w:rsidP="00E10D8E">
      <w:pPr>
        <w:spacing w:after="240"/>
        <w:rPr>
          <w:rFonts w:ascii="Arial" w:eastAsia="Times New Roman" w:hAnsi="Arial" w:cs="Times New Roman"/>
          <w:iCs/>
          <w:szCs w:val="24"/>
          <w:lang w:eastAsia="de-DE"/>
        </w:rPr>
      </w:pPr>
      <w:r w:rsidRPr="00E36A9D">
        <w:rPr>
          <w:rFonts w:ascii="Arial" w:eastAsia="Times New Roman" w:hAnsi="Arial" w:cs="Times New Roman"/>
          <w:iCs/>
          <w:szCs w:val="24"/>
          <w:lang w:eastAsia="de-DE"/>
        </w:rPr>
        <w:t>In order to facilitate analysis of responses to the Consultation Paper, respondents are requested to follow the below steps when preparing and submitting their response:</w:t>
      </w:r>
    </w:p>
    <w:p w14:paraId="26786463" w14:textId="77777777" w:rsidR="00E10D8E" w:rsidRPr="00E36A9D" w:rsidRDefault="00E10D8E" w:rsidP="00A16EC3">
      <w:pPr>
        <w:pStyle w:val="Listenabsatz"/>
        <w:rPr>
          <w:rStyle w:val="SchwacheHervorhebung"/>
          <w:i w:val="0"/>
          <w:color w:val="auto"/>
        </w:rPr>
      </w:pPr>
      <w:r w:rsidRPr="00E36A9D">
        <w:rPr>
          <w:rStyle w:val="SchwacheHervorhebung"/>
          <w:i w:val="0"/>
          <w:color w:val="auto"/>
        </w:rPr>
        <w:t xml:space="preserve">Insert your responses to the questions in the Consultation Paper in the present response form. </w:t>
      </w:r>
    </w:p>
    <w:p w14:paraId="73AFE575" w14:textId="7937C38F" w:rsidR="00E10D8E" w:rsidRPr="00E36A9D" w:rsidRDefault="00E10D8E" w:rsidP="00A16EC3">
      <w:pPr>
        <w:pStyle w:val="Listenabsatz"/>
        <w:rPr>
          <w:rStyle w:val="SchwacheHervorhebung"/>
          <w:i w:val="0"/>
          <w:color w:val="auto"/>
        </w:rPr>
      </w:pPr>
      <w:r w:rsidRPr="00E36A9D">
        <w:rPr>
          <w:rStyle w:val="SchwacheHervorhebung"/>
          <w:i w:val="0"/>
          <w:color w:val="auto"/>
        </w:rPr>
        <w:t>Please do not remove tags of the type &lt;ESA_QUESTION_STS</w:t>
      </w:r>
      <w:r w:rsidR="00230B22" w:rsidRPr="00E36A9D">
        <w:rPr>
          <w:rStyle w:val="SchwacheHervorhebung"/>
          <w:i w:val="0"/>
          <w:color w:val="auto"/>
        </w:rPr>
        <w:t>_SUS</w:t>
      </w:r>
      <w:r w:rsidR="00C4316E" w:rsidRPr="00E36A9D">
        <w:rPr>
          <w:rStyle w:val="SchwacheHervorhebung"/>
          <w:i w:val="0"/>
          <w:color w:val="auto"/>
        </w:rPr>
        <w:t>T</w:t>
      </w:r>
      <w:r w:rsidRPr="00E36A9D">
        <w:rPr>
          <w:rStyle w:val="SchwacheHervorhebung"/>
          <w:i w:val="0"/>
          <w:color w:val="auto"/>
        </w:rPr>
        <w:t>_1&gt;. Your response to each question has to be framed by the two tags corresponding to the question.</w:t>
      </w:r>
    </w:p>
    <w:p w14:paraId="3E029BE3" w14:textId="77777777" w:rsidR="00E10D8E" w:rsidRPr="00E36A9D" w:rsidRDefault="00E10D8E" w:rsidP="00A16EC3">
      <w:pPr>
        <w:pStyle w:val="Listenabsatz"/>
        <w:rPr>
          <w:rStyle w:val="SchwacheHervorhebung"/>
          <w:i w:val="0"/>
          <w:color w:val="auto"/>
        </w:rPr>
      </w:pPr>
      <w:r w:rsidRPr="00E36A9D">
        <w:rPr>
          <w:rStyle w:val="SchwacheHervorhebung"/>
          <w:i w:val="0"/>
          <w:color w:val="auto"/>
        </w:rPr>
        <w:t>If you do not wish to respond to a given question, please do not delete it but simply leave the text “TYPE YOUR TEXT HERE” between the tags.</w:t>
      </w:r>
    </w:p>
    <w:p w14:paraId="052319FA" w14:textId="5CEB3EC0" w:rsidR="00E10D8E" w:rsidRPr="00E36A9D" w:rsidRDefault="00E10D8E" w:rsidP="00A16EC3">
      <w:pPr>
        <w:pStyle w:val="Listenabsatz"/>
        <w:rPr>
          <w:rStyle w:val="SchwacheHervorhebung"/>
          <w:i w:val="0"/>
          <w:color w:val="auto"/>
        </w:rPr>
      </w:pPr>
      <w:r w:rsidRPr="00E36A9D">
        <w:rPr>
          <w:rStyle w:val="SchwacheHervorhebung"/>
          <w:i w:val="0"/>
          <w:color w:val="auto"/>
        </w:rPr>
        <w:t xml:space="preserve">When you have drafted your response, name your response form according to the following convention: </w:t>
      </w:r>
      <w:proofErr w:type="spellStart"/>
      <w:r w:rsidRPr="00E36A9D">
        <w:rPr>
          <w:rStyle w:val="SchwacheHervorhebung"/>
          <w:i w:val="0"/>
          <w:color w:val="auto"/>
        </w:rPr>
        <w:t>ESA_S</w:t>
      </w:r>
      <w:r w:rsidR="003C3E5C" w:rsidRPr="00E36A9D">
        <w:rPr>
          <w:rStyle w:val="SchwacheHervorhebung"/>
          <w:i w:val="0"/>
          <w:color w:val="auto"/>
        </w:rPr>
        <w:t>TS_SUST</w:t>
      </w:r>
      <w:r w:rsidRPr="00E36A9D">
        <w:rPr>
          <w:rStyle w:val="SchwacheHervorhebung"/>
          <w:i w:val="0"/>
          <w:color w:val="auto"/>
        </w:rPr>
        <w:t>_nameofrespondent_RESPONSEFORM</w:t>
      </w:r>
      <w:proofErr w:type="spellEnd"/>
      <w:r w:rsidRPr="00E36A9D">
        <w:rPr>
          <w:rStyle w:val="SchwacheHervorhebung"/>
          <w:i w:val="0"/>
          <w:color w:val="auto"/>
        </w:rPr>
        <w:t>. For example, for a respondent named ABCD, the response form would be entitled ESA_</w:t>
      </w:r>
      <w:r w:rsidR="00C4316E" w:rsidRPr="00E36A9D">
        <w:rPr>
          <w:rStyle w:val="SchwacheHervorhebung"/>
          <w:i w:val="0"/>
          <w:color w:val="auto"/>
        </w:rPr>
        <w:t>S</w:t>
      </w:r>
      <w:r w:rsidR="003C3E5C" w:rsidRPr="00E36A9D">
        <w:rPr>
          <w:rStyle w:val="SchwacheHervorhebung"/>
          <w:i w:val="0"/>
          <w:color w:val="auto"/>
        </w:rPr>
        <w:t>T</w:t>
      </w:r>
      <w:r w:rsidR="00C4316E" w:rsidRPr="00E36A9D">
        <w:rPr>
          <w:rStyle w:val="SchwacheHervorhebung"/>
          <w:i w:val="0"/>
          <w:color w:val="auto"/>
        </w:rPr>
        <w:t>S</w:t>
      </w:r>
      <w:r w:rsidR="003C3E5C" w:rsidRPr="00E36A9D">
        <w:rPr>
          <w:rStyle w:val="SchwacheHervorhebung"/>
          <w:i w:val="0"/>
          <w:color w:val="auto"/>
        </w:rPr>
        <w:t>_SUST</w:t>
      </w:r>
      <w:r w:rsidRPr="00E36A9D">
        <w:rPr>
          <w:rStyle w:val="SchwacheHervorhebung"/>
          <w:i w:val="0"/>
          <w:color w:val="auto"/>
        </w:rPr>
        <w:t>_ABCD_RESPONSEFORM.</w:t>
      </w:r>
    </w:p>
    <w:p w14:paraId="2EA83C60" w14:textId="776FE385" w:rsidR="00E10D8E" w:rsidRPr="00E36A9D" w:rsidRDefault="00E10D8E" w:rsidP="00A16EC3">
      <w:pPr>
        <w:pStyle w:val="Listenabsatz"/>
        <w:rPr>
          <w:rFonts w:ascii="Arial" w:eastAsia="Times New Roman" w:hAnsi="Arial" w:cs="Times New Roman"/>
          <w:szCs w:val="24"/>
          <w:lang w:eastAsia="de-DE"/>
        </w:rPr>
      </w:pPr>
      <w:r w:rsidRPr="00E36A9D">
        <w:rPr>
          <w:rStyle w:val="SchwacheHervorhebung"/>
          <w:i w:val="0"/>
          <w:color w:val="auto"/>
        </w:rPr>
        <w:t>The consultation paper is available on the websites of the three ESAs and the Joint</w:t>
      </w:r>
      <w:r w:rsidRPr="00E36A9D">
        <w:rPr>
          <w:rFonts w:ascii="Arial" w:eastAsia="Times New Roman" w:hAnsi="Arial" w:cs="Times New Roman"/>
          <w:szCs w:val="24"/>
          <w:lang w:eastAsia="de-DE"/>
        </w:rPr>
        <w:t xml:space="preserve"> Committee. Comments on this consultation paper can be sent using the response form, via the </w:t>
      </w:r>
      <w:hyperlink r:id="rId17" w:history="1">
        <w:r w:rsidRPr="00E36A9D">
          <w:rPr>
            <w:rFonts w:ascii="Arial" w:eastAsia="Times New Roman" w:hAnsi="Arial" w:cs="Arial"/>
            <w:color w:val="0000FF"/>
            <w:szCs w:val="24"/>
            <w:u w:val="single"/>
            <w:lang w:eastAsia="de-DE"/>
          </w:rPr>
          <w:t>ESMA website</w:t>
        </w:r>
      </w:hyperlink>
      <w:r w:rsidRPr="00E36A9D">
        <w:rPr>
          <w:rFonts w:ascii="Arial" w:eastAsia="Times New Roman" w:hAnsi="Arial" w:cs="Times New Roman"/>
          <w:sz w:val="24"/>
          <w:szCs w:val="24"/>
          <w:lang w:eastAsia="de-DE"/>
        </w:rPr>
        <w:t xml:space="preserve"> </w:t>
      </w:r>
      <w:r w:rsidRPr="00E36A9D">
        <w:rPr>
          <w:rFonts w:ascii="Arial" w:eastAsia="Times New Roman" w:hAnsi="Arial" w:cs="Times New Roman"/>
          <w:szCs w:val="24"/>
          <w:lang w:eastAsia="de-DE"/>
        </w:rPr>
        <w:t xml:space="preserve">under the heading ‘Your input - Consultations’ by </w:t>
      </w:r>
      <w:r w:rsidR="003C3E5C" w:rsidRPr="00E36A9D">
        <w:rPr>
          <w:rFonts w:ascii="Arial" w:eastAsia="Times New Roman" w:hAnsi="Arial" w:cs="Times New Roman"/>
          <w:b/>
          <w:szCs w:val="24"/>
          <w:lang w:eastAsia="de-DE"/>
        </w:rPr>
        <w:t>2 July</w:t>
      </w:r>
      <w:r w:rsidRPr="00E36A9D">
        <w:rPr>
          <w:rFonts w:ascii="Arial" w:eastAsia="Times New Roman" w:hAnsi="Arial" w:cs="Times New Roman"/>
          <w:b/>
          <w:szCs w:val="24"/>
          <w:lang w:eastAsia="de-DE"/>
        </w:rPr>
        <w:t xml:space="preserve"> 202</w:t>
      </w:r>
      <w:r w:rsidR="003C3E5C" w:rsidRPr="00E36A9D">
        <w:rPr>
          <w:rFonts w:ascii="Arial" w:eastAsia="Times New Roman" w:hAnsi="Arial" w:cs="Times New Roman"/>
          <w:b/>
          <w:szCs w:val="24"/>
          <w:lang w:eastAsia="de-DE"/>
        </w:rPr>
        <w:t>2</w:t>
      </w:r>
      <w:r w:rsidRPr="00E36A9D">
        <w:rPr>
          <w:rFonts w:ascii="Arial" w:eastAsia="Times New Roman" w:hAnsi="Arial" w:cs="Times New Roman"/>
          <w:szCs w:val="24"/>
          <w:lang w:eastAsia="de-DE"/>
        </w:rPr>
        <w:t>.</w:t>
      </w:r>
    </w:p>
    <w:p w14:paraId="0720FD54" w14:textId="77777777" w:rsidR="00E10D8E" w:rsidRPr="00E36A9D" w:rsidRDefault="00E10D8E" w:rsidP="00E10D8E">
      <w:pPr>
        <w:numPr>
          <w:ilvl w:val="0"/>
          <w:numId w:val="11"/>
        </w:numPr>
        <w:spacing w:after="0" w:line="240" w:lineRule="auto"/>
        <w:ind w:left="567" w:hanging="567"/>
        <w:jc w:val="left"/>
        <w:rPr>
          <w:rFonts w:ascii="Arial" w:eastAsia="Times New Roman" w:hAnsi="Arial" w:cs="Times New Roman"/>
          <w:iCs/>
          <w:szCs w:val="24"/>
          <w:lang w:eastAsia="de-DE"/>
        </w:rPr>
      </w:pPr>
      <w:r w:rsidRPr="00E36A9D">
        <w:rPr>
          <w:rFonts w:ascii="Arial" w:eastAsia="Times New Roman" w:hAnsi="Arial" w:cs="Times New Roman"/>
          <w:iCs/>
          <w:szCs w:val="24"/>
          <w:lang w:eastAsia="de-DE"/>
        </w:rPr>
        <w:t>Contributions not provided in the template for comments, or after the deadline will not be processed.</w:t>
      </w:r>
    </w:p>
    <w:p w14:paraId="6BEDA02D" w14:textId="77777777" w:rsidR="00E10D8E" w:rsidRPr="00E36A9D" w:rsidRDefault="00E10D8E" w:rsidP="00E10D8E">
      <w:pPr>
        <w:spacing w:after="240"/>
        <w:rPr>
          <w:rFonts w:ascii="Arial" w:eastAsia="Times New Roman" w:hAnsi="Arial" w:cs="Times New Roman"/>
          <w:iCs/>
          <w:szCs w:val="24"/>
          <w:lang w:eastAsia="de-DE"/>
        </w:rPr>
      </w:pPr>
    </w:p>
    <w:p w14:paraId="1626C05B" w14:textId="77777777" w:rsidR="00E10D8E" w:rsidRPr="00E36A9D" w:rsidRDefault="00E10D8E" w:rsidP="00E10D8E">
      <w:pPr>
        <w:spacing w:after="120" w:line="240" w:lineRule="auto"/>
        <w:rPr>
          <w:rFonts w:ascii="Arial" w:eastAsia="Times New Roman" w:hAnsi="Arial" w:cs="Times New Roman"/>
          <w:b/>
          <w:iCs/>
          <w:szCs w:val="24"/>
          <w:lang w:eastAsia="de-DE"/>
        </w:rPr>
      </w:pPr>
      <w:r w:rsidRPr="00E36A9D">
        <w:rPr>
          <w:rFonts w:ascii="Arial" w:eastAsia="Times New Roman" w:hAnsi="Arial" w:cs="Times New Roman"/>
          <w:b/>
          <w:iCs/>
          <w:szCs w:val="24"/>
          <w:lang w:eastAsia="de-DE"/>
        </w:rPr>
        <w:t>Publication of responses</w:t>
      </w:r>
    </w:p>
    <w:p w14:paraId="67AE2D03" w14:textId="77777777" w:rsidR="00E10D8E" w:rsidRPr="00E36A9D" w:rsidRDefault="00E10D8E" w:rsidP="00E10D8E">
      <w:pPr>
        <w:spacing w:after="0" w:line="240" w:lineRule="auto"/>
        <w:rPr>
          <w:rFonts w:ascii="Arial" w:eastAsia="Times New Roman" w:hAnsi="Arial" w:cs="Times New Roman"/>
          <w:szCs w:val="22"/>
          <w:lang w:eastAsia="de-DE"/>
        </w:rPr>
      </w:pPr>
      <w:r w:rsidRPr="00E36A9D">
        <w:rPr>
          <w:rFonts w:ascii="Arial" w:eastAsia="Times New Roman" w:hAnsi="Arial" w:cs="Times New Roman"/>
          <w:szCs w:val="22"/>
          <w:lang w:eastAsia="de-DE"/>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2001B0A5" w14:textId="77777777" w:rsidR="00E10D8E" w:rsidRPr="00E36A9D" w:rsidRDefault="00E10D8E" w:rsidP="00E10D8E">
      <w:pPr>
        <w:spacing w:after="0" w:line="240" w:lineRule="auto"/>
        <w:jc w:val="left"/>
        <w:rPr>
          <w:rFonts w:ascii="Arial" w:eastAsia="Times New Roman" w:hAnsi="Arial" w:cs="Times New Roman"/>
          <w:b/>
          <w:iCs/>
          <w:szCs w:val="24"/>
          <w:lang w:eastAsia="en-GB"/>
        </w:rPr>
      </w:pPr>
    </w:p>
    <w:p w14:paraId="7BE27AA3" w14:textId="77777777" w:rsidR="00E10D8E" w:rsidRPr="00E36A9D" w:rsidRDefault="00E10D8E" w:rsidP="00E10D8E">
      <w:pPr>
        <w:spacing w:after="0" w:line="240" w:lineRule="auto"/>
        <w:jc w:val="left"/>
        <w:rPr>
          <w:rFonts w:ascii="Arial" w:eastAsia="Times New Roman" w:hAnsi="Arial" w:cs="Times New Roman"/>
          <w:b/>
          <w:iCs/>
          <w:szCs w:val="24"/>
          <w:lang w:eastAsia="en-GB"/>
        </w:rPr>
      </w:pPr>
    </w:p>
    <w:p w14:paraId="3A87B11B" w14:textId="77777777" w:rsidR="00E10D8E" w:rsidRPr="00E36A9D" w:rsidRDefault="00E10D8E" w:rsidP="00E10D8E">
      <w:pPr>
        <w:spacing w:after="0" w:line="240" w:lineRule="auto"/>
        <w:jc w:val="left"/>
        <w:rPr>
          <w:rFonts w:ascii="Arial" w:eastAsia="Times New Roman" w:hAnsi="Arial" w:cs="Times New Roman"/>
          <w:b/>
          <w:iCs/>
          <w:szCs w:val="24"/>
          <w:lang w:eastAsia="en-GB"/>
        </w:rPr>
      </w:pPr>
      <w:r w:rsidRPr="00E36A9D">
        <w:rPr>
          <w:rFonts w:ascii="Arial" w:eastAsia="Times New Roman" w:hAnsi="Arial" w:cs="Times New Roman"/>
          <w:b/>
          <w:iCs/>
          <w:szCs w:val="24"/>
          <w:lang w:eastAsia="en-GB"/>
        </w:rPr>
        <w:t>Data protection</w:t>
      </w:r>
    </w:p>
    <w:p w14:paraId="02A23640" w14:textId="77777777" w:rsidR="00E10D8E" w:rsidRPr="00E36A9D" w:rsidRDefault="00E10D8E" w:rsidP="00E10D8E">
      <w:pPr>
        <w:spacing w:after="0" w:line="240" w:lineRule="auto"/>
        <w:jc w:val="left"/>
        <w:rPr>
          <w:rFonts w:ascii="Arial" w:eastAsia="Times New Roman" w:hAnsi="Arial" w:cs="Times New Roman"/>
          <w:szCs w:val="24"/>
          <w:lang w:eastAsia="de-DE"/>
        </w:rPr>
      </w:pPr>
    </w:p>
    <w:p w14:paraId="2407D5C5" w14:textId="77777777" w:rsidR="00E10D8E" w:rsidRPr="00E36A9D" w:rsidRDefault="00E10D8E" w:rsidP="00E10D8E">
      <w:pPr>
        <w:spacing w:after="0" w:line="240" w:lineRule="auto"/>
        <w:rPr>
          <w:rFonts w:ascii="Arial" w:eastAsia="Times New Roman" w:hAnsi="Arial" w:cs="Arial"/>
          <w:sz w:val="24"/>
          <w:szCs w:val="24"/>
          <w:lang w:eastAsia="de-DE"/>
        </w:rPr>
      </w:pPr>
      <w:r w:rsidRPr="00E36A9D">
        <w:rPr>
          <w:rFonts w:ascii="Arial" w:eastAsia="Times New Roman" w:hAnsi="Arial" w:cs="Arial"/>
          <w:szCs w:val="24"/>
          <w:lang w:eastAsia="de-DE"/>
        </w:rPr>
        <w:t>The protection of individuals with regard to the processing of personal data by the ESAs is based on Regulation (EU) 2018/1725</w:t>
      </w:r>
      <w:r w:rsidRPr="00E36A9D">
        <w:rPr>
          <w:rFonts w:ascii="Arial" w:eastAsia="Times New Roman" w:hAnsi="Arial" w:cs="Arial"/>
          <w:szCs w:val="24"/>
          <w:vertAlign w:val="superscript"/>
          <w:lang w:eastAsia="de-DE"/>
        </w:rPr>
        <w:footnoteReference w:id="2"/>
      </w:r>
      <w:r w:rsidRPr="00E36A9D">
        <w:rPr>
          <w:rFonts w:ascii="Arial" w:eastAsia="Times New Roman" w:hAnsi="Arial" w:cs="Arial"/>
          <w:szCs w:val="24"/>
          <w:lang w:eastAsia="de-DE"/>
        </w:rPr>
        <w:t xml:space="preserve">. Further information on data protection can be found under the </w:t>
      </w:r>
      <w:hyperlink r:id="rId18" w:history="1">
        <w:r w:rsidRPr="00E36A9D">
          <w:rPr>
            <w:rFonts w:ascii="Arial" w:eastAsia="Times New Roman" w:hAnsi="Arial" w:cs="Arial"/>
            <w:color w:val="0000FF"/>
            <w:szCs w:val="24"/>
            <w:u w:val="single"/>
            <w:lang w:eastAsia="de-DE"/>
          </w:rPr>
          <w:t>Legal notice</w:t>
        </w:r>
      </w:hyperlink>
      <w:r w:rsidRPr="00E36A9D">
        <w:rPr>
          <w:rFonts w:ascii="Arial" w:eastAsia="Times New Roman" w:hAnsi="Arial" w:cs="Arial"/>
          <w:szCs w:val="24"/>
          <w:lang w:eastAsia="de-DE"/>
        </w:rPr>
        <w:t xml:space="preserve"> section of the EBA website and under the </w:t>
      </w:r>
      <w:hyperlink r:id="rId19" w:history="1">
        <w:r w:rsidRPr="00E36A9D">
          <w:rPr>
            <w:rFonts w:ascii="Arial" w:eastAsia="Times New Roman" w:hAnsi="Arial" w:cs="Arial"/>
            <w:color w:val="0000FF"/>
            <w:szCs w:val="24"/>
            <w:u w:val="single"/>
            <w:lang w:eastAsia="de-DE"/>
          </w:rPr>
          <w:t>Legal notice</w:t>
        </w:r>
      </w:hyperlink>
      <w:r w:rsidRPr="00E36A9D">
        <w:rPr>
          <w:rFonts w:ascii="Arial" w:eastAsia="Times New Roman" w:hAnsi="Arial" w:cs="Arial"/>
          <w:szCs w:val="24"/>
          <w:lang w:eastAsia="de-DE"/>
        </w:rPr>
        <w:t xml:space="preserve"> section of the EIOPA website and under the </w:t>
      </w:r>
      <w:hyperlink r:id="rId20" w:history="1">
        <w:r w:rsidRPr="00E36A9D">
          <w:rPr>
            <w:rFonts w:ascii="Arial" w:eastAsia="Times New Roman" w:hAnsi="Arial" w:cs="Arial"/>
            <w:color w:val="0000FF"/>
            <w:szCs w:val="24"/>
            <w:u w:val="single"/>
            <w:lang w:eastAsia="de-DE"/>
          </w:rPr>
          <w:t>Legal notice</w:t>
        </w:r>
      </w:hyperlink>
      <w:r w:rsidRPr="00E36A9D">
        <w:rPr>
          <w:rFonts w:ascii="Arial" w:eastAsia="Times New Roman" w:hAnsi="Arial" w:cs="Arial"/>
          <w:szCs w:val="24"/>
          <w:lang w:eastAsia="de-DE"/>
        </w:rPr>
        <w:t xml:space="preserve"> section of the ESMA website.</w:t>
      </w:r>
    </w:p>
    <w:p w14:paraId="5BA0B9F6" w14:textId="77777777" w:rsidR="00E10D8E" w:rsidRPr="00E36A9D" w:rsidRDefault="00E10D8E" w:rsidP="00E10D8E">
      <w:pPr>
        <w:spacing w:after="120" w:line="240" w:lineRule="auto"/>
        <w:rPr>
          <w:rFonts w:ascii="Arial" w:eastAsia="Times New Roman" w:hAnsi="Arial" w:cs="Times New Roman"/>
          <w:b/>
          <w:iCs/>
          <w:szCs w:val="24"/>
          <w:lang w:eastAsia="en-GB"/>
        </w:rPr>
      </w:pPr>
    </w:p>
    <w:p w14:paraId="400B0994" w14:textId="77777777" w:rsidR="00E10D8E" w:rsidRPr="00E36A9D" w:rsidRDefault="00E10D8E" w:rsidP="00E10D8E">
      <w:pPr>
        <w:spacing w:after="0" w:line="240" w:lineRule="auto"/>
        <w:jc w:val="left"/>
        <w:rPr>
          <w:rFonts w:ascii="Arial" w:eastAsia="Times New Roman" w:hAnsi="Arial" w:cs="Times New Roman"/>
          <w:szCs w:val="24"/>
          <w:lang w:eastAsia="de-DE"/>
        </w:rPr>
      </w:pPr>
    </w:p>
    <w:p w14:paraId="027B4C3C" w14:textId="77777777" w:rsidR="00E10D8E" w:rsidRPr="00E36A9D" w:rsidRDefault="00E10D8E" w:rsidP="00E10D8E">
      <w:pPr>
        <w:spacing w:after="0" w:line="240" w:lineRule="auto"/>
        <w:jc w:val="left"/>
        <w:rPr>
          <w:rFonts w:ascii="Arial" w:eastAsia="Times New Roman" w:hAnsi="Arial" w:cs="Arial"/>
          <w:b/>
          <w:bCs/>
          <w:kern w:val="32"/>
          <w:sz w:val="24"/>
          <w:szCs w:val="32"/>
          <w:lang w:eastAsia="de-DE"/>
        </w:rPr>
      </w:pPr>
      <w:r w:rsidRPr="00E36A9D">
        <w:rPr>
          <w:rFonts w:ascii="Arial" w:eastAsia="Times New Roman" w:hAnsi="Arial" w:cs="Times New Roman"/>
          <w:sz w:val="20"/>
          <w:szCs w:val="24"/>
          <w:lang w:eastAsia="de-DE"/>
        </w:rPr>
        <w:br w:type="page"/>
      </w:r>
    </w:p>
    <w:p w14:paraId="4F2848A0" w14:textId="77777777" w:rsidR="00E10D8E" w:rsidRPr="00E36A9D" w:rsidRDefault="00E10D8E" w:rsidP="00332050">
      <w:pPr>
        <w:keepNext/>
        <w:shd w:val="clear" w:color="auto" w:fill="FFFFFF" w:themeFill="background1"/>
        <w:spacing w:before="240" w:after="60" w:line="240" w:lineRule="auto"/>
        <w:jc w:val="left"/>
        <w:outlineLvl w:val="0"/>
        <w:rPr>
          <w:rFonts w:ascii="Arial" w:eastAsia="Times New Roman" w:hAnsi="Arial" w:cs="Arial"/>
          <w:b/>
          <w:bCs/>
          <w:kern w:val="32"/>
          <w:sz w:val="24"/>
          <w:szCs w:val="32"/>
          <w:lang w:eastAsia="de-DE"/>
        </w:rPr>
      </w:pPr>
      <w:r w:rsidRPr="00E36A9D">
        <w:rPr>
          <w:rFonts w:ascii="Arial" w:eastAsia="Times New Roman" w:hAnsi="Arial" w:cs="Arial"/>
          <w:b/>
          <w:bCs/>
          <w:kern w:val="32"/>
          <w:sz w:val="24"/>
          <w:szCs w:val="32"/>
          <w:lang w:eastAsia="de-DE"/>
        </w:rPr>
        <w:lastRenderedPageBreak/>
        <w:t>General information about respondent</w:t>
      </w:r>
    </w:p>
    <w:p w14:paraId="5777101F" w14:textId="77777777" w:rsidR="00E10D8E" w:rsidRPr="00E36A9D" w:rsidRDefault="00E10D8E" w:rsidP="00E10D8E">
      <w:pPr>
        <w:spacing w:after="120" w:line="264" w:lineRule="auto"/>
        <w:jc w:val="left"/>
        <w:rPr>
          <w:rFonts w:ascii="Arial" w:eastAsia="Times New Roman" w:hAnsi="Arial" w:cs="Times New Roman"/>
          <w:sz w:val="20"/>
          <w:szCs w:val="24"/>
          <w:lang w:eastAsia="de-DE"/>
        </w:rPr>
      </w:pPr>
    </w:p>
    <w:p w14:paraId="528B7F7C" w14:textId="77777777" w:rsidR="00E10D8E" w:rsidRPr="00E36A9D" w:rsidRDefault="00E10D8E" w:rsidP="00E10D8E">
      <w:pPr>
        <w:spacing w:after="120" w:line="264" w:lineRule="auto"/>
        <w:jc w:val="left"/>
        <w:rPr>
          <w:rFonts w:ascii="Arial" w:eastAsia="Times New Roman" w:hAnsi="Arial" w:cs="Times New Roman"/>
          <w:sz w:val="20"/>
          <w:szCs w:val="24"/>
          <w:lang w:eastAsia="de-DE"/>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A3C54" w:rsidRPr="008501E0" w14:paraId="06D934C1" w14:textId="77777777" w:rsidTr="000A3C54">
        <w:trPr>
          <w:trHeight w:val="234"/>
        </w:trPr>
        <w:tc>
          <w:tcPr>
            <w:tcW w:w="3929" w:type="dxa"/>
            <w:shd w:val="clear" w:color="auto" w:fill="auto"/>
          </w:tcPr>
          <w:p w14:paraId="6DE101F7" w14:textId="77777777" w:rsidR="000A3C54" w:rsidRPr="00E36A9D" w:rsidRDefault="000A3C54" w:rsidP="0012564C">
            <w:pPr>
              <w:rPr>
                <w:rFonts w:cs="Arial"/>
              </w:rPr>
            </w:pPr>
            <w:bookmarkStart w:id="1" w:name="_Hlk102650496"/>
            <w:permStart w:id="1352283658" w:edGrp="everyone" w:colFirst="1" w:colLast="1"/>
            <w:r w:rsidRPr="00E36A9D">
              <w:rPr>
                <w:rFonts w:cs="Arial"/>
              </w:rPr>
              <w:t>Name of the company / organisation</w:t>
            </w:r>
          </w:p>
        </w:tc>
        <w:sdt>
          <w:sdtPr>
            <w:rPr>
              <w:rStyle w:val="Platzhaltertext"/>
              <w:rFonts w:cs="Arial"/>
              <w:color w:val="auto"/>
              <w:lang w:val="de-DE"/>
            </w:rPr>
            <w:id w:val="-785184427"/>
            <w:text/>
          </w:sdtPr>
          <w:sdtContent>
            <w:tc>
              <w:tcPr>
                <w:tcW w:w="5595" w:type="dxa"/>
                <w:shd w:val="clear" w:color="auto" w:fill="auto"/>
              </w:tcPr>
              <w:p w14:paraId="6C1543DC" w14:textId="201BFBE1" w:rsidR="000A3C54" w:rsidRPr="008501E0" w:rsidRDefault="008501E0" w:rsidP="0012564C">
                <w:pPr>
                  <w:rPr>
                    <w:rStyle w:val="Platzhaltertext"/>
                    <w:rFonts w:cs="Arial"/>
                    <w:lang w:val="de-DE"/>
                  </w:rPr>
                </w:pPr>
                <w:r w:rsidRPr="008501E0">
                  <w:rPr>
                    <w:rStyle w:val="Platzhaltertext"/>
                    <w:rFonts w:cs="Arial"/>
                    <w:color w:val="auto"/>
                    <w:lang w:val="de-DE"/>
                  </w:rPr>
                  <w:t>BRAUS BERATUNG+REVISION GmbH Wirtschaftsprüfungsgesellschaft</w:t>
                </w:r>
              </w:p>
            </w:tc>
          </w:sdtContent>
        </w:sdt>
      </w:tr>
      <w:tr w:rsidR="000A3C54" w:rsidRPr="00E36A9D" w14:paraId="5AF4E9BE" w14:textId="77777777" w:rsidTr="0012564C">
        <w:tc>
          <w:tcPr>
            <w:tcW w:w="3929" w:type="dxa"/>
            <w:shd w:val="clear" w:color="auto" w:fill="auto"/>
          </w:tcPr>
          <w:p w14:paraId="55C97DE5" w14:textId="77777777" w:rsidR="000A3C54" w:rsidRPr="00E36A9D" w:rsidRDefault="000A3C54" w:rsidP="0012564C">
            <w:pPr>
              <w:rPr>
                <w:rFonts w:cs="Arial"/>
              </w:rPr>
            </w:pPr>
            <w:permStart w:id="14246144" w:edGrp="everyone" w:colFirst="1" w:colLast="1"/>
            <w:permEnd w:id="1352283658"/>
            <w:r w:rsidRPr="00E36A9D">
              <w:rPr>
                <w:rFonts w:cs="Arial"/>
              </w:rPr>
              <w:t>Activity</w:t>
            </w:r>
          </w:p>
        </w:tc>
        <w:tc>
          <w:tcPr>
            <w:tcW w:w="5595" w:type="dxa"/>
            <w:shd w:val="clear" w:color="auto" w:fill="auto"/>
          </w:tcPr>
          <w:p w14:paraId="2DEF935C" w14:textId="4AF55AEB" w:rsidR="000A3C54" w:rsidRPr="00E36A9D" w:rsidRDefault="00D12845" w:rsidP="0012564C">
            <w:pPr>
              <w:rPr>
                <w:rFonts w:cs="Arial"/>
              </w:rPr>
            </w:pPr>
            <w:sdt>
              <w:sdtPr>
                <w:rPr>
                  <w:rFonts w:cs="Arial"/>
                </w:rPr>
                <w:alias w:val="Activity"/>
                <w:tag w:val="Activity"/>
                <w:id w:val="1593126692"/>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501E0">
                  <w:rPr>
                    <w:rFonts w:cs="Arial"/>
                  </w:rPr>
                  <w:t>A</w:t>
                </w:r>
                <w:r w:rsidR="008501E0">
                  <w:t>udit</w:t>
                </w:r>
              </w:sdtContent>
            </w:sdt>
          </w:p>
        </w:tc>
      </w:tr>
      <w:tr w:rsidR="000A3C54" w:rsidRPr="00E36A9D" w14:paraId="0ED3CEEA" w14:textId="77777777" w:rsidTr="0012564C">
        <w:tc>
          <w:tcPr>
            <w:tcW w:w="3929" w:type="dxa"/>
            <w:shd w:val="clear" w:color="auto" w:fill="auto"/>
          </w:tcPr>
          <w:p w14:paraId="00B7F625" w14:textId="77777777" w:rsidR="000A3C54" w:rsidRPr="00E36A9D" w:rsidRDefault="000A3C54" w:rsidP="0012564C">
            <w:pPr>
              <w:rPr>
                <w:rFonts w:cs="Arial"/>
              </w:rPr>
            </w:pPr>
            <w:permStart w:id="1689993469" w:edGrp="everyone" w:colFirst="1" w:colLast="1"/>
            <w:permEnd w:id="14246144"/>
            <w:r w:rsidRPr="00E36A9D">
              <w:rPr>
                <w:rFonts w:cs="Arial"/>
              </w:rPr>
              <w:t>Are you representing an association?</w:t>
            </w:r>
          </w:p>
        </w:tc>
        <w:sdt>
          <w:sdtPr>
            <w:rPr>
              <w:rFonts w:cs="Arial"/>
            </w:rPr>
            <w:id w:val="-900975373"/>
            <w14:checkbox>
              <w14:checked w14:val="0"/>
              <w14:checkedState w14:val="2612" w14:font="MS Gothic"/>
              <w14:uncheckedState w14:val="2610" w14:font="MS Gothic"/>
            </w14:checkbox>
          </w:sdtPr>
          <w:sdtEndPr/>
          <w:sdtContent>
            <w:tc>
              <w:tcPr>
                <w:tcW w:w="5595" w:type="dxa"/>
                <w:shd w:val="clear" w:color="auto" w:fill="auto"/>
              </w:tcPr>
              <w:p w14:paraId="2C6A8DEF" w14:textId="112A0CA1" w:rsidR="000A3C54" w:rsidRPr="00E36A9D" w:rsidRDefault="0077421B" w:rsidP="0012564C">
                <w:pPr>
                  <w:rPr>
                    <w:rFonts w:cs="Arial"/>
                  </w:rPr>
                </w:pPr>
                <w:r>
                  <w:rPr>
                    <w:rFonts w:ascii="MS Gothic" w:eastAsia="MS Gothic" w:hAnsi="MS Gothic" w:cs="Arial" w:hint="eastAsia"/>
                  </w:rPr>
                  <w:t>☐</w:t>
                </w:r>
              </w:p>
            </w:tc>
          </w:sdtContent>
        </w:sdt>
      </w:tr>
      <w:tr w:rsidR="000A3C54" w:rsidRPr="00E36A9D" w14:paraId="54F13402" w14:textId="77777777" w:rsidTr="000A3C54">
        <w:trPr>
          <w:trHeight w:val="356"/>
        </w:trPr>
        <w:tc>
          <w:tcPr>
            <w:tcW w:w="3929" w:type="dxa"/>
            <w:shd w:val="clear" w:color="auto" w:fill="auto"/>
          </w:tcPr>
          <w:p w14:paraId="6EB591C0" w14:textId="77777777" w:rsidR="000A3C54" w:rsidRPr="00E36A9D" w:rsidRDefault="000A3C54" w:rsidP="0012564C">
            <w:pPr>
              <w:rPr>
                <w:rFonts w:cs="Arial"/>
              </w:rPr>
            </w:pPr>
            <w:permStart w:id="1842289477" w:edGrp="everyone" w:colFirst="1" w:colLast="1"/>
            <w:permEnd w:id="1689993469"/>
            <w:r w:rsidRPr="00E36A9D">
              <w:rPr>
                <w:rFonts w:cs="Arial"/>
              </w:rPr>
              <w:t>Country/Region</w:t>
            </w:r>
          </w:p>
        </w:tc>
        <w:sdt>
          <w:sdtPr>
            <w:rPr>
              <w:rFonts w:cs="Arial"/>
            </w:rPr>
            <w:alias w:val="Country"/>
            <w:tag w:val="Country"/>
            <w:id w:val="-1310698365"/>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46A577C9" w14:textId="51937891" w:rsidR="000A3C54" w:rsidRPr="00E36A9D" w:rsidRDefault="00B57D8B" w:rsidP="0012564C">
                <w:pPr>
                  <w:rPr>
                    <w:rFonts w:cs="Arial"/>
                  </w:rPr>
                </w:pPr>
                <w:r>
                  <w:rPr>
                    <w:rFonts w:cs="Arial"/>
                  </w:rPr>
                  <w:t>Germany</w:t>
                </w:r>
              </w:p>
            </w:tc>
          </w:sdtContent>
        </w:sdt>
      </w:tr>
      <w:bookmarkEnd w:id="1"/>
      <w:permEnd w:id="1842289477"/>
    </w:tbl>
    <w:p w14:paraId="6FE595BC" w14:textId="55AE3F1D" w:rsidR="000A3C54" w:rsidRPr="00E36A9D" w:rsidRDefault="000A3C54" w:rsidP="00E10D8E">
      <w:pPr>
        <w:spacing w:after="120" w:line="264" w:lineRule="auto"/>
        <w:jc w:val="left"/>
        <w:rPr>
          <w:rFonts w:ascii="Arial" w:eastAsia="Times New Roman" w:hAnsi="Arial" w:cs="Times New Roman"/>
          <w:sz w:val="20"/>
          <w:szCs w:val="24"/>
          <w:lang w:eastAsia="de-DE"/>
        </w:rPr>
      </w:pPr>
    </w:p>
    <w:p w14:paraId="18B81214" w14:textId="77777777" w:rsidR="000A3C54" w:rsidRPr="00E36A9D" w:rsidRDefault="000A3C54" w:rsidP="00E10D8E">
      <w:pPr>
        <w:spacing w:after="120" w:line="264" w:lineRule="auto"/>
        <w:jc w:val="left"/>
        <w:rPr>
          <w:rFonts w:ascii="Arial" w:eastAsia="Times New Roman" w:hAnsi="Arial" w:cs="Times New Roman"/>
          <w:sz w:val="20"/>
          <w:szCs w:val="24"/>
          <w:lang w:eastAsia="de-DE"/>
        </w:rPr>
      </w:pPr>
    </w:p>
    <w:p w14:paraId="4CA698DB" w14:textId="77777777" w:rsidR="00E10D8E" w:rsidRPr="00E36A9D" w:rsidRDefault="00E10D8E" w:rsidP="00E10D8E">
      <w:pPr>
        <w:keepNext/>
        <w:spacing w:before="240" w:after="60" w:line="240" w:lineRule="auto"/>
        <w:ind w:left="431" w:hanging="431"/>
        <w:jc w:val="left"/>
        <w:outlineLvl w:val="0"/>
        <w:rPr>
          <w:rFonts w:ascii="Arial" w:eastAsia="Times New Roman" w:hAnsi="Arial" w:cs="Arial"/>
          <w:b/>
          <w:bCs/>
          <w:kern w:val="32"/>
          <w:sz w:val="24"/>
          <w:szCs w:val="32"/>
          <w:lang w:eastAsia="de-DE"/>
        </w:rPr>
      </w:pPr>
      <w:r w:rsidRPr="00E36A9D">
        <w:rPr>
          <w:rFonts w:ascii="Arial" w:eastAsia="Times New Roman" w:hAnsi="Arial" w:cs="Arial"/>
          <w:b/>
          <w:bCs/>
          <w:kern w:val="32"/>
          <w:sz w:val="24"/>
          <w:szCs w:val="32"/>
          <w:lang w:eastAsia="de-DE"/>
        </w:rPr>
        <w:t>Introduction</w:t>
      </w:r>
      <w:permStart w:id="304814154" w:edGrp="everyone"/>
      <w:permEnd w:id="304814154"/>
    </w:p>
    <w:p w14:paraId="2E42D71C" w14:textId="77777777" w:rsidR="00E10D8E" w:rsidRPr="00E36A9D" w:rsidRDefault="00E10D8E" w:rsidP="00E10D8E">
      <w:pPr>
        <w:spacing w:after="0" w:line="240" w:lineRule="auto"/>
        <w:jc w:val="left"/>
        <w:rPr>
          <w:rFonts w:ascii="Arial" w:eastAsia="Times New Roman" w:hAnsi="Arial" w:cs="Times New Roman"/>
          <w:b/>
          <w:bCs/>
          <w:i/>
          <w:iCs/>
          <w:szCs w:val="24"/>
          <w:lang w:eastAsia="de-DE"/>
        </w:rPr>
      </w:pPr>
      <w:r w:rsidRPr="00E36A9D">
        <w:rPr>
          <w:rFonts w:ascii="Arial" w:eastAsia="Times New Roman" w:hAnsi="Arial" w:cs="Times New Roman"/>
          <w:b/>
          <w:bCs/>
          <w:i/>
          <w:iCs/>
          <w:szCs w:val="24"/>
          <w:lang w:eastAsia="de-DE"/>
        </w:rPr>
        <w:t>Please make your introductory comments below, if any:</w:t>
      </w:r>
    </w:p>
    <w:p w14:paraId="554326EF" w14:textId="77777777" w:rsidR="00E10D8E" w:rsidRPr="00E36A9D" w:rsidRDefault="00E10D8E" w:rsidP="00E10D8E">
      <w:pPr>
        <w:spacing w:after="0" w:line="240" w:lineRule="auto"/>
        <w:jc w:val="left"/>
        <w:rPr>
          <w:rFonts w:ascii="Arial" w:eastAsia="Times New Roman" w:hAnsi="Arial" w:cs="Times New Roman"/>
          <w:sz w:val="20"/>
          <w:szCs w:val="24"/>
          <w:lang w:eastAsia="de-DE"/>
        </w:rPr>
      </w:pPr>
    </w:p>
    <w:p w14:paraId="0C398FE5" w14:textId="22367F83" w:rsidR="00E10D8E" w:rsidRPr="008501E0" w:rsidRDefault="00E10D8E" w:rsidP="00F840B0">
      <w:pPr>
        <w:spacing w:after="160" w:line="259" w:lineRule="auto"/>
        <w:jc w:val="left"/>
        <w:rPr>
          <w:rFonts w:ascii="Arial" w:eastAsia="Times New Roman" w:hAnsi="Arial" w:cs="Times New Roman"/>
          <w:szCs w:val="22"/>
          <w:lang w:val="de-DE" w:eastAsia="de-DE"/>
        </w:rPr>
      </w:pPr>
      <w:r w:rsidRPr="008501E0">
        <w:rPr>
          <w:rFonts w:ascii="Arial" w:eastAsia="Times New Roman" w:hAnsi="Arial" w:cs="Times New Roman"/>
          <w:szCs w:val="22"/>
          <w:lang w:val="de-DE" w:eastAsia="de-DE"/>
        </w:rPr>
        <w:t>&lt;ESA_COMMENT_</w:t>
      </w:r>
      <w:r w:rsidR="00A16EC3" w:rsidRPr="008501E0">
        <w:rPr>
          <w:rFonts w:ascii="Arial" w:eastAsia="Times New Roman" w:hAnsi="Arial" w:cs="Times New Roman"/>
          <w:szCs w:val="22"/>
          <w:lang w:val="de-DE" w:eastAsia="de-DE"/>
        </w:rPr>
        <w:t>STS_</w:t>
      </w:r>
      <w:r w:rsidRPr="008501E0">
        <w:rPr>
          <w:rFonts w:ascii="Arial" w:eastAsia="Times New Roman" w:hAnsi="Arial" w:cs="Times New Roman"/>
          <w:iCs/>
          <w:szCs w:val="24"/>
          <w:lang w:val="de-DE" w:eastAsia="de-DE"/>
        </w:rPr>
        <w:t>SUST</w:t>
      </w:r>
      <w:r w:rsidRPr="008501E0">
        <w:rPr>
          <w:rFonts w:ascii="Arial" w:eastAsia="Times New Roman" w:hAnsi="Arial" w:cs="Times New Roman"/>
          <w:szCs w:val="22"/>
          <w:lang w:val="de-DE" w:eastAsia="de-DE"/>
        </w:rPr>
        <w:t>_1&gt;</w:t>
      </w:r>
    </w:p>
    <w:p w14:paraId="385347BB" w14:textId="118D4307" w:rsidR="00DF14DE" w:rsidRDefault="008501E0" w:rsidP="004E37CA">
      <w:pPr>
        <w:spacing w:after="160" w:line="259" w:lineRule="auto"/>
        <w:rPr>
          <w:rFonts w:ascii="Calibri" w:hAnsi="Calibri" w:cs="Calibri"/>
          <w:szCs w:val="22"/>
          <w:lang w:val="en-US"/>
        </w:rPr>
      </w:pPr>
      <w:r w:rsidRPr="008501E0">
        <w:rPr>
          <w:rFonts w:ascii="Calibri" w:eastAsia="Times New Roman" w:hAnsi="Calibri" w:cs="Calibri"/>
          <w:szCs w:val="22"/>
          <w:lang w:val="en-US" w:eastAsia="de-DE"/>
        </w:rPr>
        <w:t xml:space="preserve">BRAUS BERATUN+REVISION GmbH </w:t>
      </w:r>
      <w:proofErr w:type="spellStart"/>
      <w:r w:rsidRPr="008501E0">
        <w:rPr>
          <w:rFonts w:ascii="Calibri" w:eastAsia="Times New Roman" w:hAnsi="Calibri" w:cs="Calibri"/>
          <w:szCs w:val="22"/>
          <w:lang w:val="en-US" w:eastAsia="de-DE"/>
        </w:rPr>
        <w:t>Wirtschaftsprüfungsgesellschaft</w:t>
      </w:r>
      <w:proofErr w:type="spellEnd"/>
      <w:r w:rsidRPr="008501E0">
        <w:rPr>
          <w:rFonts w:ascii="Calibri" w:eastAsia="Times New Roman" w:hAnsi="Calibri" w:cs="Calibri"/>
          <w:szCs w:val="22"/>
          <w:lang w:val="en-US" w:eastAsia="de-DE"/>
        </w:rPr>
        <w:t xml:space="preserve"> is a small independent audit firm focused on servicing companies of</w:t>
      </w:r>
      <w:r>
        <w:rPr>
          <w:rFonts w:ascii="Calibri" w:eastAsia="Times New Roman" w:hAnsi="Calibri" w:cs="Calibri"/>
          <w:szCs w:val="22"/>
          <w:lang w:val="en-US" w:eastAsia="de-DE"/>
        </w:rPr>
        <w:t xml:space="preserve"> the financial services industry</w:t>
      </w:r>
      <w:r w:rsidR="00DF14DE" w:rsidRPr="008501E0">
        <w:rPr>
          <w:rFonts w:ascii="Calibri" w:hAnsi="Calibri" w:cs="Calibri"/>
          <w:szCs w:val="22"/>
          <w:lang w:val="en-US"/>
        </w:rPr>
        <w:t>.</w:t>
      </w:r>
      <w:r>
        <w:rPr>
          <w:rFonts w:ascii="Calibri" w:hAnsi="Calibri" w:cs="Calibri"/>
          <w:szCs w:val="22"/>
          <w:lang w:val="en-US"/>
        </w:rPr>
        <w:t xml:space="preserve"> In addition, we audit endowments and </w:t>
      </w:r>
      <w:r w:rsidR="00836C05">
        <w:rPr>
          <w:rFonts w:ascii="Calibri" w:hAnsi="Calibri" w:cs="Calibri"/>
          <w:szCs w:val="22"/>
          <w:lang w:val="en-US"/>
        </w:rPr>
        <w:t>offer regulatory and strategic advice to companies of other sectors, too.</w:t>
      </w:r>
    </w:p>
    <w:p w14:paraId="3645421E" w14:textId="630F9A8C" w:rsidR="00836C05" w:rsidRPr="008501E0" w:rsidRDefault="00836C05" w:rsidP="004E37CA">
      <w:pPr>
        <w:spacing w:after="160" w:line="259" w:lineRule="auto"/>
        <w:rPr>
          <w:rFonts w:ascii="Calibri" w:hAnsi="Calibri" w:cs="Calibri"/>
          <w:szCs w:val="22"/>
          <w:lang w:val="en-US"/>
        </w:rPr>
      </w:pPr>
      <w:r>
        <w:rPr>
          <w:rFonts w:ascii="Calibri" w:hAnsi="Calibri" w:cs="Calibri"/>
          <w:szCs w:val="22"/>
          <w:lang w:val="en-US"/>
        </w:rPr>
        <w:t>We support numerous companies in their efforts to implement the new sustainability reporting requirements.</w:t>
      </w:r>
    </w:p>
    <w:p w14:paraId="3F240675" w14:textId="583BA621" w:rsidR="00E10D8E" w:rsidRPr="00E36A9D" w:rsidRDefault="00E10D8E" w:rsidP="00E10D8E">
      <w:pPr>
        <w:spacing w:after="0" w:line="240" w:lineRule="auto"/>
        <w:jc w:val="left"/>
        <w:rPr>
          <w:rFonts w:ascii="Arial" w:eastAsia="Times New Roman" w:hAnsi="Arial" w:cs="Times New Roman"/>
          <w:sz w:val="20"/>
          <w:szCs w:val="24"/>
          <w:lang w:eastAsia="de-DE"/>
        </w:rPr>
      </w:pPr>
      <w:r w:rsidRPr="00E36A9D">
        <w:rPr>
          <w:rFonts w:ascii="Arial" w:eastAsia="Times New Roman" w:hAnsi="Arial" w:cs="Times New Roman"/>
          <w:sz w:val="20"/>
          <w:szCs w:val="24"/>
          <w:lang w:eastAsia="de-DE"/>
        </w:rPr>
        <w:t>&lt;ESA_COMMENT_</w:t>
      </w:r>
      <w:r w:rsidRPr="00E36A9D">
        <w:rPr>
          <w:rFonts w:ascii="Arial" w:eastAsia="Times New Roman" w:hAnsi="Arial" w:cs="Times New Roman"/>
          <w:iCs/>
          <w:szCs w:val="24"/>
          <w:lang w:eastAsia="de-DE"/>
        </w:rPr>
        <w:t>S</w:t>
      </w:r>
      <w:r w:rsidR="00A16EC3" w:rsidRPr="00E36A9D">
        <w:rPr>
          <w:rFonts w:ascii="Arial" w:eastAsia="Times New Roman" w:hAnsi="Arial" w:cs="Times New Roman"/>
          <w:iCs/>
          <w:szCs w:val="24"/>
          <w:lang w:eastAsia="de-DE"/>
        </w:rPr>
        <w:t>TS_SUST</w:t>
      </w:r>
      <w:r w:rsidRPr="00E36A9D">
        <w:rPr>
          <w:rFonts w:ascii="Arial" w:eastAsia="Times New Roman" w:hAnsi="Arial" w:cs="Times New Roman"/>
          <w:sz w:val="20"/>
          <w:szCs w:val="24"/>
          <w:lang w:eastAsia="de-DE"/>
        </w:rPr>
        <w:t>_1&gt;</w:t>
      </w:r>
    </w:p>
    <w:p w14:paraId="03613541" w14:textId="4344BC5B" w:rsidR="00A16EC3" w:rsidRPr="00E36A9D" w:rsidRDefault="00A16EC3" w:rsidP="00E10D8E">
      <w:pPr>
        <w:spacing w:after="0" w:line="240" w:lineRule="auto"/>
        <w:jc w:val="left"/>
        <w:rPr>
          <w:rFonts w:ascii="Arial" w:eastAsia="Times New Roman" w:hAnsi="Arial" w:cs="Times New Roman"/>
          <w:sz w:val="20"/>
          <w:szCs w:val="24"/>
          <w:lang w:eastAsia="de-DE"/>
        </w:rPr>
      </w:pPr>
    </w:p>
    <w:p w14:paraId="3EFABC4F" w14:textId="77777777" w:rsidR="00A16EC3" w:rsidRPr="00E36A9D" w:rsidRDefault="00A16EC3" w:rsidP="00E10D8E">
      <w:pPr>
        <w:spacing w:after="0" w:line="240" w:lineRule="auto"/>
        <w:jc w:val="left"/>
        <w:rPr>
          <w:rFonts w:ascii="Arial" w:eastAsia="Times New Roman" w:hAnsi="Arial" w:cs="Times New Roman"/>
          <w:sz w:val="20"/>
          <w:szCs w:val="24"/>
          <w:lang w:eastAsia="de-DE"/>
        </w:rPr>
      </w:pPr>
    </w:p>
    <w:p w14:paraId="4592FA08" w14:textId="7D4A988F" w:rsidR="00E10D8E" w:rsidRPr="00E36A9D" w:rsidRDefault="00E10D8E" w:rsidP="003D0BD8">
      <w:pPr>
        <w:spacing w:after="160" w:line="259" w:lineRule="auto"/>
        <w:ind w:left="709"/>
        <w:rPr>
          <w:rFonts w:ascii="Arial" w:eastAsia="Times New Roman" w:hAnsi="Arial" w:cs="Arial"/>
          <w:sz w:val="20"/>
          <w:lang w:eastAsia="en-GB"/>
        </w:rPr>
      </w:pPr>
      <w:r w:rsidRPr="00E36A9D">
        <w:rPr>
          <w:rFonts w:ascii="Arial" w:eastAsia="Times New Roman" w:hAnsi="Arial" w:cs="Arial"/>
          <w:sz w:val="20"/>
          <w:lang w:eastAsia="en-GB"/>
        </w:rPr>
        <w:br w:type="page"/>
      </w:r>
      <w:r w:rsidRPr="00E36A9D">
        <w:rPr>
          <w:rFonts w:ascii="Arial" w:eastAsia="Times New Roman" w:hAnsi="Arial" w:cs="Arial"/>
          <w:b/>
          <w:bCs/>
          <w:sz w:val="20"/>
          <w:lang w:eastAsia="en-GB"/>
        </w:rPr>
        <w:lastRenderedPageBreak/>
        <w:t xml:space="preserve"> </w:t>
      </w:r>
    </w:p>
    <w:p w14:paraId="0D5E179B" w14:textId="77777777" w:rsidR="00931D41" w:rsidRPr="00045811" w:rsidRDefault="00931D41" w:rsidP="00931D41">
      <w:pPr>
        <w:numPr>
          <w:ilvl w:val="0"/>
          <w:numId w:val="13"/>
        </w:numPr>
        <w:spacing w:after="160" w:line="259" w:lineRule="auto"/>
        <w:contextualSpacing/>
        <w:rPr>
          <w:rFonts w:ascii="Arial" w:eastAsia="Times New Roman" w:hAnsi="Arial" w:cs="Arial"/>
          <w:b/>
          <w:szCs w:val="22"/>
        </w:rPr>
      </w:pPr>
      <w:r w:rsidRPr="00045811">
        <w:rPr>
          <w:rFonts w:ascii="Arial" w:eastAsia="Times New Roman" w:hAnsi="Arial" w:cs="Arial"/>
          <w:b/>
          <w:szCs w:val="22"/>
        </w:rPr>
        <w:t>: Do you agree that it is preferable to make disclosures available in a stand-alone document based on the SFDR template and consider any potential related adjustments to ESMA’s disclosure RTS at a later stage?</w:t>
      </w:r>
    </w:p>
    <w:p w14:paraId="09328125" w14:textId="77777777" w:rsidR="00FE5B1B" w:rsidRPr="00E36A9D" w:rsidRDefault="00FE5B1B" w:rsidP="00FE5B1B">
      <w:pPr>
        <w:spacing w:after="160" w:line="259" w:lineRule="auto"/>
        <w:rPr>
          <w:rFonts w:ascii="Calibri" w:eastAsia="Calibri" w:hAnsi="Calibri" w:cs="Times New Roman"/>
          <w:szCs w:val="22"/>
        </w:rPr>
      </w:pPr>
    </w:p>
    <w:p w14:paraId="71911E50" w14:textId="77777777" w:rsidR="00FE5B1B" w:rsidRPr="00E36A9D" w:rsidRDefault="00FE5B1B" w:rsidP="00FE5B1B">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&lt;ESA_QUESTION_STS_SUST_1&gt;</w:t>
      </w:r>
    </w:p>
    <w:p w14:paraId="07B62757" w14:textId="2594E99D" w:rsidR="00FE5B1B" w:rsidRPr="00E36A9D" w:rsidRDefault="00FE5B1B" w:rsidP="00FE5B1B">
      <w:pPr>
        <w:spacing w:after="160" w:line="259" w:lineRule="auto"/>
        <w:rPr>
          <w:rFonts w:ascii="Calibri" w:eastAsia="Calibri" w:hAnsi="Calibri" w:cs="Times New Roman"/>
          <w:szCs w:val="22"/>
        </w:rPr>
      </w:pPr>
      <w:r w:rsidRPr="00E36A9D">
        <w:rPr>
          <w:rFonts w:ascii="Calibri" w:eastAsia="Calibri" w:hAnsi="Calibri" w:cs="Times New Roman"/>
          <w:szCs w:val="22"/>
        </w:rPr>
        <w:t xml:space="preserve">Yes, the impression </w:t>
      </w:r>
      <w:r w:rsidR="00B267D5" w:rsidRPr="00E36A9D">
        <w:rPr>
          <w:rFonts w:ascii="Calibri" w:eastAsia="Calibri" w:hAnsi="Calibri" w:cs="Times New Roman"/>
          <w:szCs w:val="22"/>
        </w:rPr>
        <w:t xml:space="preserve">is </w:t>
      </w:r>
      <w:r w:rsidRPr="00E36A9D">
        <w:rPr>
          <w:rFonts w:ascii="Calibri" w:eastAsia="Calibri" w:hAnsi="Calibri" w:cs="Times New Roman"/>
          <w:szCs w:val="22"/>
        </w:rPr>
        <w:t xml:space="preserve">that </w:t>
      </w:r>
      <w:r w:rsidR="005958C5" w:rsidRPr="00E36A9D">
        <w:rPr>
          <w:rFonts w:ascii="Calibri" w:eastAsia="Calibri" w:hAnsi="Calibri" w:cs="Times New Roman"/>
          <w:szCs w:val="22"/>
        </w:rPr>
        <w:t xml:space="preserve">the envisaged sustainable disclosures for STS securitisations </w:t>
      </w:r>
      <w:r w:rsidR="002513B1" w:rsidRPr="00E36A9D">
        <w:rPr>
          <w:rFonts w:ascii="Calibri" w:eastAsia="Calibri" w:hAnsi="Calibri" w:cs="Times New Roman"/>
          <w:szCs w:val="22"/>
        </w:rPr>
        <w:t xml:space="preserve">do </w:t>
      </w:r>
      <w:r w:rsidRPr="00E36A9D">
        <w:rPr>
          <w:rFonts w:ascii="Calibri" w:eastAsia="Calibri" w:hAnsi="Calibri" w:cs="Times New Roman"/>
          <w:szCs w:val="22"/>
        </w:rPr>
        <w:t>not fit with existing template</w:t>
      </w:r>
      <w:r w:rsidR="002513B1" w:rsidRPr="00E36A9D">
        <w:rPr>
          <w:rFonts w:ascii="Calibri" w:eastAsia="Calibri" w:hAnsi="Calibri" w:cs="Times New Roman"/>
          <w:szCs w:val="22"/>
        </w:rPr>
        <w:t>s</w:t>
      </w:r>
      <w:r w:rsidRPr="00E36A9D">
        <w:rPr>
          <w:rFonts w:ascii="Calibri" w:eastAsia="Calibri" w:hAnsi="Calibri" w:cs="Times New Roman"/>
          <w:szCs w:val="22"/>
        </w:rPr>
        <w:t>.</w:t>
      </w:r>
    </w:p>
    <w:p w14:paraId="56823409" w14:textId="77777777" w:rsidR="00FE5B1B" w:rsidRPr="00E36A9D" w:rsidRDefault="00FE5B1B" w:rsidP="00FE5B1B">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&lt;ESA_QUESTION_STS_SUST_1&gt;</w:t>
      </w:r>
    </w:p>
    <w:p w14:paraId="42749517" w14:textId="77777777" w:rsidR="003E2D47" w:rsidRPr="00E36A9D" w:rsidRDefault="003E2D47" w:rsidP="003E2D47">
      <w:pPr>
        <w:spacing w:after="160" w:line="259" w:lineRule="auto"/>
        <w:rPr>
          <w:rFonts w:ascii="Calibri" w:eastAsia="Calibri" w:hAnsi="Calibri" w:cs="Times New Roman"/>
          <w:szCs w:val="22"/>
        </w:rPr>
      </w:pPr>
    </w:p>
    <w:p w14:paraId="0D8868DA" w14:textId="77777777" w:rsidR="003E2D47" w:rsidRPr="00911534" w:rsidRDefault="003E2D47" w:rsidP="00AD617E">
      <w:pPr>
        <w:numPr>
          <w:ilvl w:val="0"/>
          <w:numId w:val="13"/>
        </w:numPr>
        <w:spacing w:after="160" w:line="259" w:lineRule="auto"/>
        <w:contextualSpacing/>
        <w:rPr>
          <w:rFonts w:ascii="Arial" w:eastAsia="Times New Roman" w:hAnsi="Arial" w:cs="Arial"/>
          <w:b/>
          <w:szCs w:val="22"/>
        </w:rPr>
      </w:pPr>
      <w:r w:rsidRPr="00911534">
        <w:rPr>
          <w:rFonts w:ascii="Arial" w:eastAsia="Times New Roman" w:hAnsi="Arial" w:cs="Arial"/>
          <w:b/>
          <w:szCs w:val="22"/>
        </w:rPr>
        <w:t>: Do you agree that originators should disclose information in the principal adverse sustainability impacts statement, about whether and, if so, how principal adverse impacts on sustainability factors are taken into account in the originator’s credit granting criteria? Do you agree that the disclosed information should rely on and cross-reference existing disclosures?</w:t>
      </w:r>
    </w:p>
    <w:p w14:paraId="452B3056" w14:textId="77777777" w:rsidR="003E2D47" w:rsidRPr="00E36A9D" w:rsidRDefault="003E2D47" w:rsidP="003E2D47">
      <w:pPr>
        <w:spacing w:after="160" w:line="259" w:lineRule="auto"/>
        <w:rPr>
          <w:rFonts w:ascii="Calibri" w:eastAsia="Calibri" w:hAnsi="Calibri" w:cs="Times New Roman"/>
          <w:szCs w:val="22"/>
        </w:rPr>
      </w:pPr>
    </w:p>
    <w:p w14:paraId="08CFF0F8" w14:textId="7FF9F5E3" w:rsidR="00931D41" w:rsidRPr="00E36A9D" w:rsidRDefault="00931D41" w:rsidP="00066DFC">
      <w:pPr>
        <w:spacing w:after="160" w:line="259" w:lineRule="auto"/>
        <w:rPr>
          <w:rFonts w:ascii="Calibri" w:eastAsia="Calibri" w:hAnsi="Calibri" w:cs="Calibri"/>
          <w:szCs w:val="22"/>
        </w:rPr>
      </w:pPr>
      <w:r w:rsidRPr="00E36A9D">
        <w:rPr>
          <w:rFonts w:ascii="Calibri" w:eastAsia="Calibri" w:hAnsi="Calibri" w:cs="Calibri"/>
          <w:szCs w:val="22"/>
        </w:rPr>
        <w:t>&lt;ESA_QUESTION_STS_SUST_2&gt;</w:t>
      </w:r>
    </w:p>
    <w:p w14:paraId="39658860" w14:textId="182C0672" w:rsidR="00836C05" w:rsidRDefault="00836C05" w:rsidP="00911534">
      <w:pPr>
        <w:spacing w:after="160" w:line="259" w:lineRule="auto"/>
        <w:rPr>
          <w:rFonts w:ascii="Calibri" w:hAnsi="Calibri" w:cs="Calibri"/>
          <w:szCs w:val="22"/>
        </w:rPr>
      </w:pPr>
      <w:r>
        <w:rPr>
          <w:rFonts w:ascii="Calibri" w:hAnsi="Calibri" w:cs="Calibri"/>
          <w:szCs w:val="22"/>
        </w:rPr>
        <w:t>From our market experience, usually the loan pool transferred via a STS securitisation resembles the overall loan pool that the originator services and having been granted using the same criteria. Accordingly, in such cases, there is little value in an additional description of the process for the STS portfolio.</w:t>
      </w:r>
    </w:p>
    <w:p w14:paraId="6BFFF251" w14:textId="62111392" w:rsidR="00836C05" w:rsidRDefault="00836C05" w:rsidP="00911534">
      <w:pPr>
        <w:spacing w:after="160" w:line="259" w:lineRule="auto"/>
        <w:rPr>
          <w:rFonts w:ascii="Calibri" w:hAnsi="Calibri" w:cs="Calibri"/>
          <w:szCs w:val="22"/>
        </w:rPr>
      </w:pPr>
      <w:r>
        <w:rPr>
          <w:rFonts w:ascii="Calibri" w:hAnsi="Calibri" w:cs="Calibri"/>
          <w:szCs w:val="22"/>
        </w:rPr>
        <w:t>However, there my be instances where this assumption does not hold true. If the STS pool has been selected using different criteria, we believe that such a statement is necessary.</w:t>
      </w:r>
    </w:p>
    <w:p w14:paraId="4428B56F" w14:textId="51966455" w:rsidR="00836C05" w:rsidRDefault="00836C05" w:rsidP="00911534">
      <w:pPr>
        <w:spacing w:after="160" w:line="259" w:lineRule="auto"/>
        <w:rPr>
          <w:rFonts w:ascii="Calibri" w:hAnsi="Calibri" w:cs="Calibri"/>
          <w:szCs w:val="22"/>
        </w:rPr>
      </w:pPr>
      <w:r>
        <w:rPr>
          <w:rFonts w:ascii="Calibri" w:hAnsi="Calibri" w:cs="Calibri"/>
          <w:szCs w:val="22"/>
        </w:rPr>
        <w:t>In summary, we believe that this should be optional depending on the characteristics of the pool and whether separate criteria were used to choose which assets to allocate to the STS securitisation.</w:t>
      </w:r>
    </w:p>
    <w:p w14:paraId="62536DC7" w14:textId="35C29F4C" w:rsidR="00931D41" w:rsidRPr="00E36A9D" w:rsidRDefault="00931D41"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&lt;ESA_QUESTION_STS_SUST_2&gt;</w:t>
      </w:r>
    </w:p>
    <w:p w14:paraId="35A76042" w14:textId="77777777" w:rsidR="00931D41" w:rsidRPr="00E36A9D" w:rsidRDefault="00931D41" w:rsidP="00931D41">
      <w:pPr>
        <w:spacing w:after="160" w:line="259" w:lineRule="auto"/>
        <w:rPr>
          <w:rFonts w:ascii="Calibri" w:eastAsia="Calibri" w:hAnsi="Calibri" w:cs="Times New Roman"/>
          <w:szCs w:val="22"/>
        </w:rPr>
      </w:pPr>
    </w:p>
    <w:p w14:paraId="71248C34"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Do you agree that originators should disclose information about whether, and if so how, PAI indicators on sustainability factors are considered in the selection of underlying exposures to be added/repurchased to/from the pool at the time of marketing or during the lifetime of the securitisation? Do you agree with the level of information required?</w:t>
      </w:r>
    </w:p>
    <w:p w14:paraId="0CF6BD50" w14:textId="77777777" w:rsidR="00931D41" w:rsidRPr="00E2422C" w:rsidRDefault="00931D41" w:rsidP="00931D41">
      <w:pPr>
        <w:spacing w:after="160" w:line="259" w:lineRule="auto"/>
        <w:rPr>
          <w:rFonts w:ascii="Calibri" w:eastAsia="Calibri" w:hAnsi="Calibri" w:cs="Times New Roman"/>
          <w:szCs w:val="22"/>
        </w:rPr>
      </w:pPr>
    </w:p>
    <w:p w14:paraId="2223AAFE" w14:textId="70C97077" w:rsidR="00931D41" w:rsidRPr="00E36A9D"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&lt;ESA_QUESTION_STS_SUST_3&gt;</w:t>
      </w:r>
    </w:p>
    <w:p w14:paraId="64C8FE57" w14:textId="45B9B848" w:rsidR="00836C05" w:rsidRDefault="00836C05" w:rsidP="00F9191B">
      <w:pPr>
        <w:spacing w:after="160" w:line="259" w:lineRule="auto"/>
        <w:rPr>
          <w:rFonts w:ascii="Calibri" w:hAnsi="Calibri" w:cs="Calibri"/>
          <w:szCs w:val="22"/>
        </w:rPr>
      </w:pPr>
      <w:r>
        <w:rPr>
          <w:rFonts w:ascii="Calibri" w:hAnsi="Calibri" w:cs="Calibri"/>
          <w:szCs w:val="22"/>
        </w:rPr>
        <w:t xml:space="preserve">As stated before, we would expect the pool of purchased assets on the STS securitisation </w:t>
      </w:r>
      <w:r w:rsidR="007455B1">
        <w:rPr>
          <w:rFonts w:ascii="Calibri" w:hAnsi="Calibri" w:cs="Calibri"/>
          <w:szCs w:val="22"/>
        </w:rPr>
        <w:t>level to closely resemble the pool of assets on the originator level. In such a case, it should be possible to rely upon the characteristics of the pool of assets on the originator level.</w:t>
      </w:r>
    </w:p>
    <w:p w14:paraId="00DF7631" w14:textId="51176009" w:rsidR="007455B1" w:rsidRDefault="007455B1" w:rsidP="00F9191B">
      <w:pPr>
        <w:spacing w:after="160" w:line="259" w:lineRule="auto"/>
        <w:rPr>
          <w:rFonts w:ascii="Calibri" w:hAnsi="Calibri" w:cs="Calibri"/>
          <w:szCs w:val="22"/>
        </w:rPr>
      </w:pPr>
      <w:r>
        <w:rPr>
          <w:rFonts w:ascii="Calibri" w:hAnsi="Calibri" w:cs="Calibri"/>
          <w:szCs w:val="22"/>
        </w:rPr>
        <w:lastRenderedPageBreak/>
        <w:t xml:space="preserve">At the same time, it is perceivable – and in the future highly likely – that there is an incentive to securitize green assets in a separate securitisation. In such cases, it is highly beneficial to include information on an asset by asset basis. </w:t>
      </w:r>
    </w:p>
    <w:p w14:paraId="08CC2625" w14:textId="3895DAFA" w:rsidR="007455B1" w:rsidRDefault="007455B1" w:rsidP="00F9191B">
      <w:pPr>
        <w:spacing w:after="160" w:line="259" w:lineRule="auto"/>
        <w:rPr>
          <w:rFonts w:ascii="Calibri" w:hAnsi="Calibri" w:cs="Calibri"/>
          <w:szCs w:val="22"/>
        </w:rPr>
      </w:pPr>
      <w:r>
        <w:rPr>
          <w:rFonts w:ascii="Calibri" w:hAnsi="Calibri" w:cs="Calibri"/>
          <w:szCs w:val="22"/>
        </w:rPr>
        <w:t>In summary, we suggest to give originators the options to either report the PAI on the originator level or choose to report on an asset by asset basis. The latter should be mandatory in cases where it is highly likely that the characteristics of the pool of assets in the STS securitisation does not resemble the characteristics of the general pool of assets on the originator level.</w:t>
      </w:r>
    </w:p>
    <w:p w14:paraId="67FE89B3" w14:textId="67817D77" w:rsidR="007455B1" w:rsidRPr="007455B1" w:rsidRDefault="007455B1" w:rsidP="00F9191B">
      <w:pPr>
        <w:spacing w:after="160" w:line="259" w:lineRule="auto"/>
        <w:rPr>
          <w:rFonts w:ascii="Calibri" w:hAnsi="Calibri" w:cs="Calibri"/>
          <w:szCs w:val="22"/>
          <w:lang w:val="en-US"/>
        </w:rPr>
      </w:pPr>
      <w:r w:rsidRPr="007455B1">
        <w:rPr>
          <w:rFonts w:ascii="Calibri" w:hAnsi="Calibri" w:cs="Calibri"/>
          <w:szCs w:val="22"/>
          <w:lang w:val="en-US"/>
        </w:rPr>
        <w:t>Furthermore we want to s</w:t>
      </w:r>
      <w:r>
        <w:rPr>
          <w:rFonts w:ascii="Calibri" w:hAnsi="Calibri" w:cs="Calibri"/>
          <w:szCs w:val="22"/>
          <w:lang w:val="en-US"/>
        </w:rPr>
        <w:t>tress that originators will in many cases have to determine characteristics on a “best effort” basis. Especially when large pool of assets are transferred to a STS securitization</w:t>
      </w:r>
      <w:r w:rsidR="00F900C0">
        <w:rPr>
          <w:rFonts w:ascii="Calibri" w:hAnsi="Calibri" w:cs="Calibri"/>
          <w:szCs w:val="22"/>
          <w:lang w:val="en-US"/>
        </w:rPr>
        <w:t>,</w:t>
      </w:r>
      <w:r>
        <w:rPr>
          <w:rFonts w:ascii="Calibri" w:hAnsi="Calibri" w:cs="Calibri"/>
          <w:szCs w:val="22"/>
          <w:lang w:val="en-US"/>
        </w:rPr>
        <w:t xml:space="preserve"> it will be necessary to work with assumptions.</w:t>
      </w:r>
    </w:p>
    <w:p w14:paraId="7F67D8E6" w14:textId="18C08C99" w:rsidR="00931D41" w:rsidRPr="007455B1" w:rsidRDefault="00931D41" w:rsidP="00931D41">
      <w:pPr>
        <w:spacing w:after="160" w:line="259" w:lineRule="auto"/>
        <w:rPr>
          <w:rFonts w:ascii="Calibri" w:eastAsia="Calibri" w:hAnsi="Calibri" w:cs="Times New Roman"/>
          <w:szCs w:val="22"/>
          <w:lang w:val="en-US"/>
        </w:rPr>
      </w:pPr>
      <w:r w:rsidRPr="007455B1">
        <w:rPr>
          <w:rFonts w:ascii="Calibri" w:eastAsia="Calibri" w:hAnsi="Calibri" w:cs="Times New Roman"/>
          <w:szCs w:val="22"/>
          <w:lang w:val="en-US"/>
        </w:rPr>
        <w:t>&lt;ESA_QUESTION_STS_SUST_3&gt;</w:t>
      </w:r>
    </w:p>
    <w:p w14:paraId="4DF8F381" w14:textId="77777777" w:rsidR="00931D41" w:rsidRPr="007455B1" w:rsidRDefault="00931D41" w:rsidP="00931D41">
      <w:pPr>
        <w:spacing w:after="160" w:line="259" w:lineRule="auto"/>
        <w:rPr>
          <w:rFonts w:ascii="Calibri" w:eastAsia="Calibri" w:hAnsi="Calibri" w:cs="Times New Roman"/>
          <w:szCs w:val="22"/>
          <w:lang w:val="en-US"/>
        </w:rPr>
      </w:pPr>
    </w:p>
    <w:p w14:paraId="62A270C1"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xml:space="preserve">: Do you agree with the approach taken in the draft RTS which aims for full consistency with the draft SFDR RTS? </w:t>
      </w:r>
    </w:p>
    <w:p w14:paraId="3BD58326" w14:textId="77777777" w:rsidR="00931D41" w:rsidRPr="00E2422C" w:rsidRDefault="00931D41" w:rsidP="00931D41">
      <w:pPr>
        <w:spacing w:after="160" w:line="259" w:lineRule="auto"/>
        <w:rPr>
          <w:rFonts w:ascii="Calibri" w:eastAsia="Calibri" w:hAnsi="Calibri" w:cs="Times New Roman"/>
          <w:szCs w:val="22"/>
        </w:rPr>
      </w:pPr>
    </w:p>
    <w:p w14:paraId="0CCC949A" w14:textId="7862FAE7"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&lt;ESA_QUESTION_STS_SUST_4&gt;</w:t>
      </w:r>
    </w:p>
    <w:p w14:paraId="6AEC15F3" w14:textId="136A2AC0" w:rsidR="001351EF" w:rsidRPr="00E2422C" w:rsidRDefault="00F900C0" w:rsidP="003529E9">
      <w:pPr>
        <w:spacing w:after="160" w:line="259" w:lineRule="auto"/>
        <w:rPr>
          <w:rFonts w:ascii="Calibri" w:hAnsi="Calibri" w:cs="Calibri"/>
          <w:szCs w:val="22"/>
        </w:rPr>
      </w:pPr>
      <w:r>
        <w:rPr>
          <w:rFonts w:ascii="Calibri" w:hAnsi="Calibri" w:cs="Calibri"/>
          <w:szCs w:val="22"/>
        </w:rPr>
        <w:t>In principle</w:t>
      </w:r>
      <w:r w:rsidR="001E5761" w:rsidRPr="00E2422C">
        <w:rPr>
          <w:rFonts w:ascii="Calibri" w:hAnsi="Calibri" w:cs="Calibri"/>
          <w:szCs w:val="22"/>
        </w:rPr>
        <w:t>, y</w:t>
      </w:r>
      <w:r w:rsidR="001351EF" w:rsidRPr="00E2422C">
        <w:rPr>
          <w:rFonts w:ascii="Calibri" w:hAnsi="Calibri" w:cs="Calibri"/>
          <w:szCs w:val="22"/>
        </w:rPr>
        <w:t xml:space="preserve">es. </w:t>
      </w:r>
      <w:r w:rsidR="0010534C" w:rsidRPr="00E2422C">
        <w:rPr>
          <w:rFonts w:ascii="Calibri" w:hAnsi="Calibri" w:cs="Calibri"/>
          <w:szCs w:val="22"/>
        </w:rPr>
        <w:t>F</w:t>
      </w:r>
      <w:r w:rsidR="001351EF" w:rsidRPr="00E2422C">
        <w:rPr>
          <w:rFonts w:ascii="Calibri" w:hAnsi="Calibri" w:cs="Calibri"/>
          <w:szCs w:val="22"/>
        </w:rPr>
        <w:t xml:space="preserve">ull consistency </w:t>
      </w:r>
      <w:r w:rsidR="0010534C" w:rsidRPr="00E2422C">
        <w:rPr>
          <w:rFonts w:ascii="Calibri" w:hAnsi="Calibri" w:cs="Calibri"/>
          <w:szCs w:val="22"/>
        </w:rPr>
        <w:t xml:space="preserve">with the SFDR RTS, however, </w:t>
      </w:r>
      <w:r w:rsidR="001351EF" w:rsidRPr="00E2422C">
        <w:rPr>
          <w:rFonts w:ascii="Calibri" w:hAnsi="Calibri" w:cs="Calibri"/>
          <w:szCs w:val="22"/>
        </w:rPr>
        <w:t>might not be reasonable in all cases</w:t>
      </w:r>
      <w:r w:rsidR="0010534C" w:rsidRPr="00E2422C">
        <w:rPr>
          <w:rFonts w:ascii="Calibri" w:hAnsi="Calibri" w:cs="Calibri"/>
          <w:szCs w:val="22"/>
        </w:rPr>
        <w:t xml:space="preserve"> and practically not feasible</w:t>
      </w:r>
      <w:r w:rsidR="008C0D92" w:rsidRPr="00E2422C">
        <w:rPr>
          <w:rFonts w:ascii="Calibri" w:hAnsi="Calibri" w:cs="Calibri"/>
          <w:szCs w:val="22"/>
        </w:rPr>
        <w:t>.</w:t>
      </w:r>
      <w:r w:rsidR="00506D3C" w:rsidRPr="00E2422C">
        <w:rPr>
          <w:rFonts w:ascii="Calibri" w:hAnsi="Calibri" w:cs="Calibri"/>
          <w:szCs w:val="22"/>
        </w:rPr>
        <w:t xml:space="preserve"> In absence of a final SFDR RTS it is hard to give a qualified opinion about it.</w:t>
      </w:r>
    </w:p>
    <w:p w14:paraId="48FD7ABC" w14:textId="084066AC" w:rsidR="00931D41" w:rsidRPr="00E36A9D"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&lt;ESA_QUESTION_STS_SUST_4&gt;</w:t>
      </w:r>
    </w:p>
    <w:p w14:paraId="3F5A4C4C" w14:textId="77777777" w:rsidR="00931D41" w:rsidRPr="00E36A9D" w:rsidRDefault="00931D41" w:rsidP="00931D41">
      <w:pPr>
        <w:spacing w:after="160" w:line="259" w:lineRule="auto"/>
        <w:rPr>
          <w:rFonts w:ascii="Calibri" w:eastAsia="Calibri" w:hAnsi="Calibri" w:cs="Times New Roman"/>
          <w:szCs w:val="22"/>
        </w:rPr>
      </w:pPr>
    </w:p>
    <w:p w14:paraId="062DDCD3" w14:textId="77777777" w:rsidR="00931D41" w:rsidRPr="00261E50" w:rsidRDefault="00931D41" w:rsidP="00AD617E">
      <w:pPr>
        <w:numPr>
          <w:ilvl w:val="0"/>
          <w:numId w:val="13"/>
        </w:numPr>
        <w:spacing w:after="160" w:line="259" w:lineRule="auto"/>
        <w:contextualSpacing/>
        <w:rPr>
          <w:rFonts w:ascii="Arial" w:eastAsia="Times New Roman" w:hAnsi="Arial" w:cs="Arial"/>
          <w:b/>
          <w:szCs w:val="22"/>
        </w:rPr>
      </w:pPr>
      <w:r w:rsidRPr="00261E50">
        <w:rPr>
          <w:rFonts w:ascii="Arial" w:eastAsia="Times New Roman" w:hAnsi="Arial" w:cs="Arial"/>
          <w:b/>
          <w:szCs w:val="22"/>
        </w:rPr>
        <w:t>: Do you agree with the inclusion of the new mandatory non-green asset ratio indicator for all asset classes covered by the RTS?</w:t>
      </w:r>
    </w:p>
    <w:p w14:paraId="3537619F" w14:textId="77777777" w:rsidR="00B076B9" w:rsidRPr="00E36A9D" w:rsidRDefault="00B076B9" w:rsidP="00931D41">
      <w:pPr>
        <w:spacing w:after="160" w:line="259" w:lineRule="auto"/>
        <w:rPr>
          <w:rFonts w:ascii="Calibri" w:eastAsia="Calibri" w:hAnsi="Calibri" w:cs="Times New Roman"/>
          <w:szCs w:val="22"/>
        </w:rPr>
      </w:pPr>
    </w:p>
    <w:p w14:paraId="287D3CA2" w14:textId="277B0339" w:rsidR="00931D41" w:rsidRPr="00E36A9D" w:rsidRDefault="00931D41"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&lt;ESA_QUESTION_STS_SUST_5&gt;</w:t>
      </w:r>
    </w:p>
    <w:p w14:paraId="651C50A8" w14:textId="77777777" w:rsidR="00F900C0" w:rsidRDefault="00F900C0" w:rsidP="00261E50">
      <w:pPr>
        <w:spacing w:after="160" w:line="259" w:lineRule="auto"/>
        <w:rPr>
          <w:rFonts w:ascii="Calibri" w:hAnsi="Calibri" w:cs="Calibri"/>
          <w:szCs w:val="22"/>
        </w:rPr>
      </w:pPr>
      <w:r>
        <w:rPr>
          <w:rFonts w:ascii="Calibri" w:hAnsi="Calibri" w:cs="Calibri"/>
          <w:szCs w:val="22"/>
        </w:rPr>
        <w:t>We believe it will be beneficial to add a green asset ratio to the disclosed information, thus enabling buy side firms to obtain the information required under TR and CSRD</w:t>
      </w:r>
      <w:r w:rsidR="00261E50">
        <w:rPr>
          <w:rFonts w:ascii="Calibri" w:hAnsi="Calibri" w:cs="Calibri"/>
          <w:szCs w:val="22"/>
        </w:rPr>
        <w:t>.</w:t>
      </w:r>
      <w:r>
        <w:rPr>
          <w:rFonts w:ascii="Calibri" w:hAnsi="Calibri" w:cs="Calibri"/>
          <w:szCs w:val="22"/>
        </w:rPr>
        <w:t xml:space="preserve"> </w:t>
      </w:r>
    </w:p>
    <w:p w14:paraId="2DE562EB" w14:textId="77777777" w:rsidR="00F900C0" w:rsidRDefault="00F900C0" w:rsidP="00261E50">
      <w:pPr>
        <w:spacing w:after="160" w:line="259" w:lineRule="auto"/>
        <w:rPr>
          <w:rFonts w:ascii="Calibri" w:hAnsi="Calibri" w:cs="Calibri"/>
          <w:szCs w:val="22"/>
        </w:rPr>
      </w:pPr>
      <w:r>
        <w:rPr>
          <w:rFonts w:ascii="Calibri" w:hAnsi="Calibri" w:cs="Calibri"/>
          <w:szCs w:val="22"/>
        </w:rPr>
        <w:t xml:space="preserve">However, please be aware of the practical challenges in obtaining such information and the necessity to determine such a ration on a “best effort” basis for the time being. </w:t>
      </w:r>
    </w:p>
    <w:p w14:paraId="7161474A" w14:textId="33DFC8E9" w:rsidR="00261E50" w:rsidRPr="00D3461F" w:rsidRDefault="00F900C0" w:rsidP="00261E50">
      <w:pPr>
        <w:spacing w:after="160" w:line="259" w:lineRule="auto"/>
        <w:rPr>
          <w:rFonts w:ascii="Calibri" w:hAnsi="Calibri" w:cs="Calibri"/>
          <w:szCs w:val="22"/>
        </w:rPr>
      </w:pPr>
      <w:r>
        <w:rPr>
          <w:rFonts w:ascii="Calibri" w:hAnsi="Calibri" w:cs="Calibri"/>
          <w:szCs w:val="22"/>
        </w:rPr>
        <w:t>While we understand the importance of preventing greenwashing, STS originators should not be held liable for the achievement of certain characteristics as long as they showed a reasonable amount of effort to obtain the required information and made prudent decisions in quantifying the green / non-green asset ratio and PAIs.</w:t>
      </w:r>
    </w:p>
    <w:p w14:paraId="79276BF8" w14:textId="229A5402"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&lt;ESA_QUESTION_STS_SUST_5&gt;</w:t>
      </w:r>
    </w:p>
    <w:p w14:paraId="7865F630" w14:textId="77777777" w:rsidR="00931D41" w:rsidRPr="00E2422C" w:rsidRDefault="00931D41" w:rsidP="00931D41">
      <w:pPr>
        <w:spacing w:after="160" w:line="259" w:lineRule="auto"/>
        <w:rPr>
          <w:rFonts w:ascii="Calibri" w:eastAsia="Calibri" w:hAnsi="Calibri" w:cs="Times New Roman"/>
          <w:szCs w:val="22"/>
        </w:rPr>
      </w:pPr>
    </w:p>
    <w:p w14:paraId="7AA27B42"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Do you agree with the proposed PAI indicators for residential real estate?</w:t>
      </w:r>
    </w:p>
    <w:p w14:paraId="3C440BCE" w14:textId="77777777" w:rsidR="00931D41" w:rsidRPr="00E2422C" w:rsidRDefault="00931D41" w:rsidP="00931D41">
      <w:pPr>
        <w:spacing w:after="160" w:line="259" w:lineRule="auto"/>
        <w:rPr>
          <w:rFonts w:ascii="Calibri" w:eastAsia="Calibri" w:hAnsi="Calibri" w:cs="Times New Roman"/>
          <w:szCs w:val="22"/>
        </w:rPr>
      </w:pPr>
    </w:p>
    <w:p w14:paraId="465F7B80" w14:textId="2B3F73A3"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lastRenderedPageBreak/>
        <w:t>&lt;ESA_QUESTION_STS_SUST_6&gt;</w:t>
      </w:r>
    </w:p>
    <w:p w14:paraId="5811C653" w14:textId="6D50A1DA" w:rsidR="00931D41" w:rsidRPr="00632142" w:rsidRDefault="00632142" w:rsidP="00931D41">
      <w:pPr>
        <w:spacing w:after="160" w:line="259" w:lineRule="auto"/>
        <w:rPr>
          <w:rFonts w:ascii="Calibri" w:eastAsia="Calibri" w:hAnsi="Calibri" w:cs="Times New Roman"/>
          <w:szCs w:val="22"/>
          <w:lang w:val="es-ES"/>
        </w:rPr>
      </w:pPr>
      <w:permStart w:id="115228996" w:edGrp="everyone"/>
      <w:r w:rsidRPr="00632142">
        <w:rPr>
          <w:rFonts w:ascii="Calibri" w:eastAsia="Calibri" w:hAnsi="Calibri" w:cs="Times New Roman"/>
          <w:szCs w:val="22"/>
          <w:lang w:val="es-ES"/>
        </w:rPr>
        <w:t>Ye</w:t>
      </w:r>
      <w:r>
        <w:rPr>
          <w:rFonts w:ascii="Calibri" w:eastAsia="Calibri" w:hAnsi="Calibri" w:cs="Times New Roman"/>
          <w:szCs w:val="22"/>
          <w:lang w:val="es-ES"/>
        </w:rPr>
        <w:t>s</w:t>
      </w:r>
    </w:p>
    <w:permEnd w:id="115228996"/>
    <w:p w14:paraId="3CF23C6A" w14:textId="02FFAC15" w:rsidR="00931D41" w:rsidRPr="00632142" w:rsidRDefault="00931D41" w:rsidP="00931D41">
      <w:pPr>
        <w:spacing w:after="160" w:line="259" w:lineRule="auto"/>
        <w:rPr>
          <w:rFonts w:ascii="Calibri" w:eastAsia="Calibri" w:hAnsi="Calibri" w:cs="Times New Roman"/>
          <w:szCs w:val="22"/>
          <w:lang w:val="en-US"/>
        </w:rPr>
      </w:pPr>
      <w:r w:rsidRPr="00632142">
        <w:rPr>
          <w:rFonts w:ascii="Calibri" w:eastAsia="Calibri" w:hAnsi="Calibri" w:cs="Times New Roman"/>
          <w:szCs w:val="22"/>
          <w:lang w:val="en-US"/>
        </w:rPr>
        <w:t>&lt;ESA_QUESTION_STS_SUST_6&gt;</w:t>
      </w:r>
    </w:p>
    <w:p w14:paraId="2A1570DB" w14:textId="77777777" w:rsidR="00931D41" w:rsidRPr="00632142" w:rsidRDefault="00931D41" w:rsidP="00931D41">
      <w:pPr>
        <w:spacing w:after="160" w:line="259" w:lineRule="auto"/>
        <w:rPr>
          <w:rFonts w:ascii="Calibri" w:eastAsia="Calibri" w:hAnsi="Calibri" w:cs="Times New Roman"/>
          <w:szCs w:val="22"/>
          <w:lang w:val="en-US"/>
        </w:rPr>
      </w:pPr>
    </w:p>
    <w:p w14:paraId="13973F87"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xml:space="preserve">: Do you propose to add any additional specific indicators for this asset class? </w:t>
      </w:r>
    </w:p>
    <w:p w14:paraId="28419C13" w14:textId="77777777" w:rsidR="00B076B9" w:rsidRPr="00E36A9D" w:rsidRDefault="00B076B9" w:rsidP="00931D41">
      <w:pPr>
        <w:spacing w:after="160" w:line="259" w:lineRule="auto"/>
        <w:rPr>
          <w:rFonts w:ascii="Calibri" w:eastAsia="Calibri" w:hAnsi="Calibri" w:cs="Times New Roman"/>
          <w:szCs w:val="22"/>
        </w:rPr>
      </w:pPr>
    </w:p>
    <w:p w14:paraId="2C6CD9D6" w14:textId="780D4FC1" w:rsidR="00931D41" w:rsidRPr="00E36A9D" w:rsidRDefault="00B076B9"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w:t>
      </w:r>
      <w:r w:rsidR="00931D41" w:rsidRPr="00E36A9D">
        <w:rPr>
          <w:rFonts w:ascii="Calibri" w:eastAsia="Calibri" w:hAnsi="Calibri" w:cs="Times New Roman"/>
          <w:szCs w:val="22"/>
        </w:rPr>
        <w:t>ESA_QUESTION_STS_SUST_7&gt;</w:t>
      </w:r>
    </w:p>
    <w:p w14:paraId="66EDBEA2" w14:textId="0196384A" w:rsidR="00931D41" w:rsidRPr="00632142" w:rsidRDefault="00632142" w:rsidP="00931D41">
      <w:pPr>
        <w:spacing w:after="160" w:line="259" w:lineRule="auto"/>
        <w:rPr>
          <w:rFonts w:ascii="Calibri" w:eastAsia="Calibri" w:hAnsi="Calibri" w:cs="Times New Roman"/>
          <w:szCs w:val="22"/>
          <w:lang w:val="es-ES"/>
        </w:rPr>
      </w:pPr>
      <w:permStart w:id="1689593580" w:edGrp="everyone"/>
      <w:r w:rsidRPr="00632142">
        <w:rPr>
          <w:rFonts w:ascii="Calibri" w:eastAsia="Calibri" w:hAnsi="Calibri" w:cs="Times New Roman"/>
          <w:szCs w:val="22"/>
          <w:lang w:val="es-ES"/>
        </w:rPr>
        <w:t>Ye</w:t>
      </w:r>
      <w:r>
        <w:rPr>
          <w:rFonts w:ascii="Calibri" w:eastAsia="Calibri" w:hAnsi="Calibri" w:cs="Times New Roman"/>
          <w:szCs w:val="22"/>
          <w:lang w:val="es-ES"/>
        </w:rPr>
        <w:t>s</w:t>
      </w:r>
    </w:p>
    <w:permEnd w:id="1689593580"/>
    <w:p w14:paraId="49B7292A" w14:textId="0BF3294D" w:rsidR="00931D41" w:rsidRPr="00632142" w:rsidRDefault="00931D41" w:rsidP="00931D41">
      <w:pPr>
        <w:spacing w:after="160" w:line="259" w:lineRule="auto"/>
        <w:rPr>
          <w:rFonts w:ascii="Calibri" w:eastAsia="Calibri" w:hAnsi="Calibri" w:cs="Times New Roman"/>
          <w:szCs w:val="22"/>
          <w:lang w:val="en-US"/>
        </w:rPr>
      </w:pPr>
      <w:r w:rsidRPr="00632142">
        <w:rPr>
          <w:rFonts w:ascii="Calibri" w:eastAsia="Calibri" w:hAnsi="Calibri" w:cs="Times New Roman"/>
          <w:szCs w:val="22"/>
          <w:lang w:val="en-US"/>
        </w:rPr>
        <w:t>&lt;ESA_QUESTION_STS_SUST_7&gt;</w:t>
      </w:r>
    </w:p>
    <w:p w14:paraId="7855413C" w14:textId="77777777" w:rsidR="00931D41" w:rsidRPr="00632142" w:rsidRDefault="00931D41" w:rsidP="00931D41">
      <w:pPr>
        <w:spacing w:after="160" w:line="259" w:lineRule="auto"/>
        <w:rPr>
          <w:rFonts w:ascii="Calibri" w:eastAsia="Calibri" w:hAnsi="Calibri" w:cs="Times New Roman"/>
          <w:szCs w:val="22"/>
          <w:lang w:val="en-US"/>
        </w:rPr>
      </w:pPr>
    </w:p>
    <w:p w14:paraId="79B49BBF"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Do you agree with aligning the PAI indicators for motor vehicles with the screening criteria for motor vehicles established in the Taxonomy Regulation?</w:t>
      </w:r>
    </w:p>
    <w:p w14:paraId="07722D10" w14:textId="77777777" w:rsidR="00931D41" w:rsidRPr="00E36A9D" w:rsidRDefault="00931D41" w:rsidP="00931D41">
      <w:pPr>
        <w:spacing w:after="160" w:line="259" w:lineRule="auto"/>
        <w:rPr>
          <w:rFonts w:ascii="Calibri" w:eastAsia="Calibri" w:hAnsi="Calibri" w:cs="Times New Roman"/>
          <w:szCs w:val="22"/>
        </w:rPr>
      </w:pPr>
    </w:p>
    <w:p w14:paraId="20C7DF75" w14:textId="09150BCB" w:rsidR="00931D41" w:rsidRPr="00E36A9D" w:rsidRDefault="00931D41"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&lt;ESA_QUESTION_STS_SUST_8&gt;</w:t>
      </w:r>
    </w:p>
    <w:p w14:paraId="70FC7BEE" w14:textId="701F610E" w:rsidR="0092423D" w:rsidRPr="00E36A9D" w:rsidRDefault="00632142" w:rsidP="00BA3F69">
      <w:pPr>
        <w:spacing w:after="160" w:line="259" w:lineRule="auto"/>
        <w:rPr>
          <w:rFonts w:ascii="Calibri" w:hAnsi="Calibri" w:cs="Calibri"/>
          <w:szCs w:val="22"/>
        </w:rPr>
      </w:pPr>
      <w:r>
        <w:rPr>
          <w:rFonts w:ascii="Calibri" w:hAnsi="Calibri" w:cs="Calibri"/>
          <w:szCs w:val="22"/>
        </w:rPr>
        <w:t>Yes</w:t>
      </w:r>
      <w:r w:rsidR="0092423D" w:rsidRPr="00E36A9D">
        <w:rPr>
          <w:rFonts w:ascii="Calibri" w:hAnsi="Calibri" w:cs="Calibri"/>
          <w:szCs w:val="22"/>
        </w:rPr>
        <w:t>.</w:t>
      </w:r>
    </w:p>
    <w:p w14:paraId="2010AE64" w14:textId="4D49EC5D" w:rsidR="00931D41" w:rsidRPr="00E36A9D" w:rsidRDefault="00931D41"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&lt;ESA_QUESTION_STS_SUST_8&gt;</w:t>
      </w:r>
    </w:p>
    <w:p w14:paraId="634F38A4" w14:textId="77777777" w:rsidR="00931D41" w:rsidRPr="00E36A9D" w:rsidRDefault="00931D41" w:rsidP="00931D41">
      <w:pPr>
        <w:spacing w:after="160" w:line="259" w:lineRule="auto"/>
        <w:rPr>
          <w:rFonts w:ascii="Calibri" w:eastAsia="Calibri" w:hAnsi="Calibri" w:cs="Times New Roman"/>
          <w:szCs w:val="22"/>
        </w:rPr>
      </w:pPr>
    </w:p>
    <w:p w14:paraId="713CC710" w14:textId="77777777" w:rsidR="00931D41" w:rsidRPr="004A3E32" w:rsidRDefault="00931D41" w:rsidP="00AD617E">
      <w:pPr>
        <w:numPr>
          <w:ilvl w:val="0"/>
          <w:numId w:val="13"/>
        </w:numPr>
        <w:spacing w:after="160" w:line="259" w:lineRule="auto"/>
        <w:contextualSpacing/>
        <w:rPr>
          <w:rFonts w:ascii="Arial" w:eastAsia="Times New Roman" w:hAnsi="Arial" w:cs="Arial"/>
          <w:b/>
          <w:szCs w:val="22"/>
        </w:rPr>
      </w:pPr>
      <w:r w:rsidRPr="004A3E32">
        <w:rPr>
          <w:rFonts w:ascii="Arial" w:eastAsia="Times New Roman" w:hAnsi="Arial" w:cs="Arial"/>
          <w:b/>
          <w:szCs w:val="22"/>
        </w:rPr>
        <w:t>: Do you agree with expanding the indicators to potentially cover these additional aspects at a later stage?</w:t>
      </w:r>
    </w:p>
    <w:p w14:paraId="6B67C1B8" w14:textId="77777777" w:rsidR="00B076B9" w:rsidRPr="00E36A9D" w:rsidRDefault="00B076B9" w:rsidP="00931D41">
      <w:pPr>
        <w:spacing w:after="160" w:line="259" w:lineRule="auto"/>
        <w:rPr>
          <w:rFonts w:ascii="Calibri" w:eastAsia="Calibri" w:hAnsi="Calibri" w:cs="Times New Roman"/>
          <w:szCs w:val="22"/>
        </w:rPr>
      </w:pPr>
    </w:p>
    <w:p w14:paraId="43ADA8B3" w14:textId="16CDACB8" w:rsidR="00931D41" w:rsidRPr="00E36A9D" w:rsidRDefault="00931D41"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&lt;ESA_QUESTION_STS_SUST_9&gt;</w:t>
      </w:r>
    </w:p>
    <w:p w14:paraId="60DABEAA" w14:textId="77777777" w:rsidR="00060DA8" w:rsidRDefault="00632142" w:rsidP="00A434A2">
      <w:pPr>
        <w:spacing w:after="160" w:line="259" w:lineRule="auto"/>
        <w:rPr>
          <w:rFonts w:ascii="Calibri" w:hAnsi="Calibri" w:cs="Calibri"/>
          <w:bCs/>
          <w:lang w:val="en-US"/>
        </w:rPr>
      </w:pPr>
      <w:r w:rsidRPr="00632142">
        <w:rPr>
          <w:rFonts w:ascii="Calibri" w:hAnsi="Calibri" w:cs="Calibri"/>
          <w:bCs/>
          <w:lang w:val="en-US"/>
        </w:rPr>
        <w:t>We b</w:t>
      </w:r>
      <w:r>
        <w:rPr>
          <w:rFonts w:ascii="Calibri" w:hAnsi="Calibri" w:cs="Calibri"/>
          <w:bCs/>
          <w:lang w:val="en-US"/>
        </w:rPr>
        <w:t xml:space="preserve">elieve it is necessary to align the information provided with the information needs of potential buyers of STS </w:t>
      </w:r>
      <w:proofErr w:type="spellStart"/>
      <w:r>
        <w:rPr>
          <w:rFonts w:ascii="Calibri" w:hAnsi="Calibri" w:cs="Calibri"/>
          <w:bCs/>
          <w:lang w:val="en-US"/>
        </w:rPr>
        <w:t>securitisations</w:t>
      </w:r>
      <w:proofErr w:type="spellEnd"/>
      <w:r>
        <w:rPr>
          <w:rFonts w:ascii="Calibri" w:hAnsi="Calibri" w:cs="Calibri"/>
          <w:bCs/>
          <w:lang w:val="en-US"/>
        </w:rPr>
        <w:t xml:space="preserve">. Additional reporting requirements that do not have any practical value for the investors should not be required. </w:t>
      </w:r>
    </w:p>
    <w:p w14:paraId="156CB854" w14:textId="77777777" w:rsidR="00060DA8" w:rsidRDefault="00632142" w:rsidP="00A434A2">
      <w:pPr>
        <w:spacing w:after="160" w:line="259" w:lineRule="auto"/>
        <w:rPr>
          <w:rFonts w:ascii="Calibri" w:hAnsi="Calibri" w:cs="Calibri"/>
          <w:bCs/>
          <w:lang w:val="en-US"/>
        </w:rPr>
      </w:pPr>
      <w:r>
        <w:rPr>
          <w:rFonts w:ascii="Calibri" w:hAnsi="Calibri" w:cs="Calibri"/>
          <w:bCs/>
          <w:lang w:val="en-US"/>
        </w:rPr>
        <w:t xml:space="preserve">While the additional factors that are suggested may be interesting from an environmental perspective, they are difficult to determine on a pool basis (especially in cases where third party vehicles are securitized) and raise substantial doubt about the quality and reliability of such information. </w:t>
      </w:r>
    </w:p>
    <w:p w14:paraId="608ED21F" w14:textId="34ECB18C" w:rsidR="00F05596" w:rsidRPr="00632142" w:rsidRDefault="00632142" w:rsidP="00A434A2">
      <w:pPr>
        <w:spacing w:after="160" w:line="259" w:lineRule="auto"/>
        <w:rPr>
          <w:rFonts w:ascii="Calibri" w:hAnsi="Calibri" w:cs="Calibri"/>
          <w:lang w:val="en-US"/>
        </w:rPr>
      </w:pPr>
      <w:r>
        <w:rPr>
          <w:rFonts w:ascii="Calibri" w:hAnsi="Calibri" w:cs="Calibri"/>
          <w:bCs/>
          <w:lang w:val="en-US"/>
        </w:rPr>
        <w:t xml:space="preserve">While we understand the importance of the PAI reporting – and are optimistic that ever more producers will be able to provide the necessary information – </w:t>
      </w:r>
      <w:r w:rsidR="00060DA8">
        <w:rPr>
          <w:rFonts w:ascii="Calibri" w:hAnsi="Calibri" w:cs="Calibri"/>
          <w:bCs/>
          <w:lang w:val="en-US"/>
        </w:rPr>
        <w:t>this additional information</w:t>
      </w:r>
      <w:r>
        <w:rPr>
          <w:rFonts w:ascii="Calibri" w:hAnsi="Calibri" w:cs="Calibri"/>
          <w:bCs/>
          <w:lang w:val="en-US"/>
        </w:rPr>
        <w:t xml:space="preserve"> is currently not required from car manufacturers </w:t>
      </w:r>
      <w:r w:rsidR="00060DA8">
        <w:rPr>
          <w:rFonts w:ascii="Calibri" w:hAnsi="Calibri" w:cs="Calibri"/>
          <w:bCs/>
          <w:lang w:val="en-US"/>
        </w:rPr>
        <w:t>and adds no value to investors.</w:t>
      </w:r>
    </w:p>
    <w:p w14:paraId="0A589328" w14:textId="5231484C" w:rsidR="00931D41" w:rsidRPr="00632142" w:rsidRDefault="00931D41" w:rsidP="00931D41">
      <w:pPr>
        <w:spacing w:after="160" w:line="259" w:lineRule="auto"/>
        <w:rPr>
          <w:rFonts w:ascii="Calibri" w:eastAsia="Calibri" w:hAnsi="Calibri" w:cs="Times New Roman"/>
          <w:szCs w:val="22"/>
          <w:lang w:val="en-US"/>
        </w:rPr>
      </w:pPr>
      <w:r w:rsidRPr="00632142">
        <w:rPr>
          <w:rFonts w:ascii="Calibri" w:eastAsia="Calibri" w:hAnsi="Calibri" w:cs="Times New Roman"/>
          <w:szCs w:val="22"/>
          <w:lang w:val="en-US"/>
        </w:rPr>
        <w:t>&lt;ESA_QUESTION_STS_SUST_9&gt;</w:t>
      </w:r>
    </w:p>
    <w:p w14:paraId="03120A53" w14:textId="77777777" w:rsidR="00931D41" w:rsidRPr="00632142" w:rsidRDefault="00931D41" w:rsidP="00931D41">
      <w:pPr>
        <w:spacing w:after="160" w:line="259" w:lineRule="auto"/>
        <w:rPr>
          <w:rFonts w:ascii="Calibri" w:eastAsia="Calibri" w:hAnsi="Calibri" w:cs="Times New Roman"/>
          <w:szCs w:val="22"/>
          <w:lang w:val="en-US"/>
        </w:rPr>
      </w:pPr>
    </w:p>
    <w:p w14:paraId="6622CCBF" w14:textId="77777777" w:rsidR="00931D41" w:rsidRPr="004A3E32" w:rsidRDefault="00931D41" w:rsidP="00AD617E">
      <w:pPr>
        <w:numPr>
          <w:ilvl w:val="0"/>
          <w:numId w:val="13"/>
        </w:numPr>
        <w:spacing w:after="160" w:line="259" w:lineRule="auto"/>
        <w:contextualSpacing/>
        <w:rPr>
          <w:rFonts w:ascii="Arial" w:eastAsia="Times New Roman" w:hAnsi="Arial" w:cs="Arial"/>
          <w:b/>
          <w:szCs w:val="22"/>
        </w:rPr>
      </w:pPr>
      <w:r w:rsidRPr="004A3E32">
        <w:rPr>
          <w:rFonts w:ascii="Arial" w:eastAsia="Times New Roman" w:hAnsi="Arial" w:cs="Arial"/>
          <w:b/>
          <w:szCs w:val="22"/>
        </w:rPr>
        <w:t>: Do you agree with applying the mandatory indicators for social and employee, respect for human rights, anti-corruption and anti-bribery matters to the manufacturer of the vehicle?</w:t>
      </w:r>
    </w:p>
    <w:p w14:paraId="3A01ABCC" w14:textId="77777777" w:rsidR="00B076B9" w:rsidRPr="004A3E32" w:rsidRDefault="00B076B9" w:rsidP="00931D41">
      <w:pPr>
        <w:spacing w:after="160" w:line="259" w:lineRule="auto"/>
        <w:rPr>
          <w:rFonts w:ascii="Calibri" w:eastAsia="Calibri" w:hAnsi="Calibri" w:cs="Times New Roman"/>
          <w:szCs w:val="22"/>
        </w:rPr>
      </w:pPr>
    </w:p>
    <w:p w14:paraId="601596E0" w14:textId="0B759C81" w:rsidR="00931D41" w:rsidRPr="004A3E32" w:rsidRDefault="00931D41" w:rsidP="00931D41">
      <w:pPr>
        <w:spacing w:after="160" w:line="259" w:lineRule="auto"/>
        <w:rPr>
          <w:rFonts w:ascii="Calibri" w:eastAsia="Calibri" w:hAnsi="Calibri" w:cs="Times New Roman"/>
          <w:szCs w:val="22"/>
        </w:rPr>
      </w:pPr>
      <w:r w:rsidRPr="004A3E32">
        <w:rPr>
          <w:rFonts w:ascii="Calibri" w:eastAsia="Calibri" w:hAnsi="Calibri" w:cs="Times New Roman"/>
          <w:szCs w:val="22"/>
        </w:rPr>
        <w:t>&lt;ESA_QUESTION_STS_SUST_10&gt;</w:t>
      </w:r>
    </w:p>
    <w:p w14:paraId="57D9627C" w14:textId="0CC49FB7" w:rsidR="00060DA8" w:rsidRDefault="00060DA8" w:rsidP="009F2918">
      <w:pPr>
        <w:spacing w:after="160" w:line="259" w:lineRule="auto"/>
        <w:rPr>
          <w:rFonts w:ascii="Calibri" w:hAnsi="Calibri" w:cs="Calibri"/>
          <w:szCs w:val="22"/>
        </w:rPr>
      </w:pPr>
      <w:r>
        <w:rPr>
          <w:rFonts w:ascii="Calibri" w:hAnsi="Calibri" w:cs="Calibri"/>
          <w:szCs w:val="22"/>
        </w:rPr>
        <w:t>If the STS securitisation only includes loans relating to one manufacturer, it seems to be feasible – and valuable – to add this information.</w:t>
      </w:r>
    </w:p>
    <w:p w14:paraId="719CC211" w14:textId="1A4B8D40" w:rsidR="00060DA8" w:rsidRDefault="00060DA8" w:rsidP="009F2918">
      <w:pPr>
        <w:spacing w:after="160" w:line="259" w:lineRule="auto"/>
        <w:rPr>
          <w:rFonts w:ascii="Calibri" w:hAnsi="Calibri" w:cs="Calibri"/>
          <w:szCs w:val="22"/>
        </w:rPr>
      </w:pPr>
      <w:r>
        <w:rPr>
          <w:rFonts w:ascii="Calibri" w:hAnsi="Calibri" w:cs="Calibri"/>
          <w:szCs w:val="22"/>
        </w:rPr>
        <w:t>However</w:t>
      </w:r>
      <w:r w:rsidR="0097760F" w:rsidRPr="004A3E32">
        <w:rPr>
          <w:rFonts w:ascii="Calibri" w:hAnsi="Calibri" w:cs="Calibri"/>
          <w:szCs w:val="22"/>
        </w:rPr>
        <w:t xml:space="preserve">, any such statement can only be made by the respective manufacturer of the vehicle underlying the respective </w:t>
      </w:r>
      <w:r>
        <w:rPr>
          <w:rFonts w:ascii="Calibri" w:hAnsi="Calibri" w:cs="Calibri"/>
          <w:szCs w:val="22"/>
        </w:rPr>
        <w:t>a</w:t>
      </w:r>
      <w:r w:rsidR="0097760F" w:rsidRPr="004A3E32">
        <w:rPr>
          <w:rFonts w:ascii="Calibri" w:hAnsi="Calibri" w:cs="Calibri"/>
          <w:szCs w:val="22"/>
        </w:rPr>
        <w:t xml:space="preserve">uto loan / lease contract. In case of securitised portfolios with underlying </w:t>
      </w:r>
      <w:r>
        <w:rPr>
          <w:rFonts w:ascii="Calibri" w:hAnsi="Calibri" w:cs="Calibri"/>
          <w:szCs w:val="22"/>
        </w:rPr>
        <w:t>a</w:t>
      </w:r>
      <w:r w:rsidR="0097760F" w:rsidRPr="004A3E32">
        <w:rPr>
          <w:rFonts w:ascii="Calibri" w:hAnsi="Calibri" w:cs="Calibri"/>
          <w:szCs w:val="22"/>
        </w:rPr>
        <w:t xml:space="preserve">uto loans / leases relating to a variety </w:t>
      </w:r>
      <w:r w:rsidR="003276E5" w:rsidRPr="004A3E32">
        <w:rPr>
          <w:rFonts w:ascii="Calibri" w:hAnsi="Calibri" w:cs="Calibri"/>
          <w:szCs w:val="22"/>
        </w:rPr>
        <w:t xml:space="preserve">of </w:t>
      </w:r>
      <w:r w:rsidR="0097760F" w:rsidRPr="004A3E32">
        <w:rPr>
          <w:rFonts w:ascii="Calibri" w:hAnsi="Calibri" w:cs="Calibri"/>
          <w:szCs w:val="22"/>
        </w:rPr>
        <w:t xml:space="preserve">vehicles from different manufacturers, it </w:t>
      </w:r>
      <w:r w:rsidR="0036068D" w:rsidRPr="004A3E32">
        <w:rPr>
          <w:rFonts w:ascii="Calibri" w:hAnsi="Calibri" w:cs="Calibri"/>
          <w:szCs w:val="22"/>
        </w:rPr>
        <w:t>i</w:t>
      </w:r>
      <w:r w:rsidR="00E36A9D" w:rsidRPr="004A3E32">
        <w:rPr>
          <w:rFonts w:ascii="Calibri" w:hAnsi="Calibri" w:cs="Calibri"/>
          <w:szCs w:val="22"/>
        </w:rPr>
        <w:t>s</w:t>
      </w:r>
      <w:r w:rsidR="0036068D" w:rsidRPr="004A3E32">
        <w:rPr>
          <w:rFonts w:ascii="Calibri" w:hAnsi="Calibri" w:cs="Calibri"/>
          <w:szCs w:val="22"/>
        </w:rPr>
        <w:t xml:space="preserve"> </w:t>
      </w:r>
      <w:r>
        <w:rPr>
          <w:rFonts w:ascii="Calibri" w:hAnsi="Calibri" w:cs="Calibri"/>
          <w:szCs w:val="22"/>
        </w:rPr>
        <w:t>difficult</w:t>
      </w:r>
      <w:r w:rsidR="0036068D" w:rsidRPr="004A3E32">
        <w:rPr>
          <w:rFonts w:ascii="Calibri" w:hAnsi="Calibri" w:cs="Calibri"/>
          <w:szCs w:val="22"/>
        </w:rPr>
        <w:t xml:space="preserve"> </w:t>
      </w:r>
      <w:r w:rsidR="0097760F" w:rsidRPr="004A3E32">
        <w:rPr>
          <w:rFonts w:ascii="Calibri" w:hAnsi="Calibri" w:cs="Calibri"/>
          <w:szCs w:val="22"/>
        </w:rPr>
        <w:t xml:space="preserve">for </w:t>
      </w:r>
      <w:r w:rsidR="00171C56" w:rsidRPr="004A3E32">
        <w:rPr>
          <w:rFonts w:ascii="Calibri" w:hAnsi="Calibri" w:cs="Calibri"/>
          <w:szCs w:val="22"/>
        </w:rPr>
        <w:t xml:space="preserve">a </w:t>
      </w:r>
      <w:r w:rsidR="0097760F" w:rsidRPr="004A3E32">
        <w:rPr>
          <w:rFonts w:ascii="Calibri" w:hAnsi="Calibri" w:cs="Calibri"/>
          <w:szCs w:val="22"/>
        </w:rPr>
        <w:t>non-captive originator to make such statement for the entire</w:t>
      </w:r>
      <w:r w:rsidR="00171C56" w:rsidRPr="004A3E32">
        <w:rPr>
          <w:rFonts w:ascii="Calibri" w:hAnsi="Calibri" w:cs="Calibri"/>
          <w:szCs w:val="22"/>
        </w:rPr>
        <w:t xml:space="preserve"> </w:t>
      </w:r>
      <w:r w:rsidR="0097760F" w:rsidRPr="004A3E32">
        <w:rPr>
          <w:rFonts w:ascii="Calibri" w:hAnsi="Calibri" w:cs="Calibri"/>
          <w:szCs w:val="22"/>
        </w:rPr>
        <w:t>securitised pool.</w:t>
      </w:r>
      <w:r w:rsidR="009F2918" w:rsidRPr="004A3E32">
        <w:rPr>
          <w:rFonts w:ascii="Calibri" w:hAnsi="Calibri" w:cs="Calibri"/>
          <w:szCs w:val="22"/>
        </w:rPr>
        <w:t xml:space="preserve"> </w:t>
      </w:r>
    </w:p>
    <w:p w14:paraId="5F769C27" w14:textId="6638068F" w:rsidR="00060DA8" w:rsidRDefault="00060DA8" w:rsidP="009F2918">
      <w:pPr>
        <w:spacing w:after="160" w:line="259" w:lineRule="auto"/>
        <w:rPr>
          <w:rFonts w:ascii="Calibri" w:hAnsi="Calibri" w:cs="Calibri"/>
          <w:szCs w:val="22"/>
        </w:rPr>
      </w:pPr>
      <w:r>
        <w:rPr>
          <w:rFonts w:ascii="Calibri" w:hAnsi="Calibri" w:cs="Calibri"/>
          <w:szCs w:val="22"/>
        </w:rPr>
        <w:t xml:space="preserve">We therefore suggest to only include the indicators with a </w:t>
      </w:r>
      <w:r>
        <w:rPr>
          <w:rFonts w:ascii="Calibri" w:hAnsi="Calibri" w:cs="Calibri"/>
          <w:szCs w:val="22"/>
        </w:rPr>
        <w:t xml:space="preserve">“DNSH” </w:t>
      </w:r>
      <w:r>
        <w:rPr>
          <w:rFonts w:ascii="Calibri" w:hAnsi="Calibri" w:cs="Calibri"/>
          <w:szCs w:val="22"/>
        </w:rPr>
        <w:t>character, namely 10, 11 and 14 of Table 1 draft SFDR RTS, Annex I.</w:t>
      </w:r>
    </w:p>
    <w:p w14:paraId="2BB81B4E" w14:textId="765EC424" w:rsidR="00931D41" w:rsidRPr="004A3E32" w:rsidRDefault="00931D41" w:rsidP="00931D41">
      <w:pPr>
        <w:spacing w:after="160" w:line="259" w:lineRule="auto"/>
        <w:rPr>
          <w:rFonts w:ascii="Calibri" w:eastAsia="Calibri" w:hAnsi="Calibri" w:cs="Times New Roman"/>
          <w:szCs w:val="22"/>
        </w:rPr>
      </w:pPr>
      <w:r w:rsidRPr="004A3E32">
        <w:rPr>
          <w:rFonts w:ascii="Calibri" w:eastAsia="Calibri" w:hAnsi="Calibri" w:cs="Times New Roman"/>
          <w:szCs w:val="22"/>
        </w:rPr>
        <w:t>&lt;ESA_QUESTION_STS_SUST_10&gt;</w:t>
      </w:r>
    </w:p>
    <w:p w14:paraId="50FC56A0" w14:textId="77777777" w:rsidR="00931D41" w:rsidRPr="004A3E32" w:rsidRDefault="00931D41" w:rsidP="00931D41">
      <w:pPr>
        <w:spacing w:after="160" w:line="259" w:lineRule="auto"/>
        <w:rPr>
          <w:rFonts w:ascii="Calibri" w:eastAsia="Calibri" w:hAnsi="Calibri" w:cs="Times New Roman"/>
          <w:szCs w:val="22"/>
        </w:rPr>
      </w:pPr>
    </w:p>
    <w:p w14:paraId="7B94296A" w14:textId="77777777" w:rsidR="00931D41" w:rsidRPr="004A3E32" w:rsidRDefault="00931D41" w:rsidP="00AD617E">
      <w:pPr>
        <w:numPr>
          <w:ilvl w:val="0"/>
          <w:numId w:val="13"/>
        </w:numPr>
        <w:spacing w:after="160" w:line="259" w:lineRule="auto"/>
        <w:contextualSpacing/>
        <w:rPr>
          <w:rFonts w:ascii="Arial" w:eastAsia="Times New Roman" w:hAnsi="Arial" w:cs="Arial"/>
          <w:b/>
          <w:szCs w:val="22"/>
        </w:rPr>
      </w:pPr>
      <w:r w:rsidRPr="004A3E32">
        <w:rPr>
          <w:rFonts w:ascii="Arial" w:eastAsia="Times New Roman" w:hAnsi="Arial" w:cs="Arial"/>
          <w:b/>
          <w:szCs w:val="22"/>
        </w:rPr>
        <w:t>: Do you propose to add any additional specific indicators for this asset class?</w:t>
      </w:r>
    </w:p>
    <w:p w14:paraId="47DD38A6" w14:textId="77777777" w:rsidR="00B076B9" w:rsidRPr="00E36A9D" w:rsidRDefault="00B076B9" w:rsidP="00931D41">
      <w:pPr>
        <w:spacing w:after="160" w:line="259" w:lineRule="auto"/>
        <w:rPr>
          <w:rFonts w:ascii="Calibri" w:eastAsia="Calibri" w:hAnsi="Calibri" w:cs="Times New Roman"/>
          <w:szCs w:val="22"/>
        </w:rPr>
      </w:pPr>
    </w:p>
    <w:p w14:paraId="7E05B9EB" w14:textId="6D288E05" w:rsidR="00931D41" w:rsidRPr="00E36A9D" w:rsidRDefault="00931D41"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&lt;ESA_QUESTION_STS_SUST_11&gt;</w:t>
      </w:r>
    </w:p>
    <w:p w14:paraId="41174CB1" w14:textId="77777777" w:rsidR="003E1249" w:rsidRDefault="00DE18F7" w:rsidP="00A26766">
      <w:pPr>
        <w:spacing w:after="160" w:line="259" w:lineRule="auto"/>
        <w:rPr>
          <w:rFonts w:ascii="Calibri" w:hAnsi="Calibri" w:cs="Calibri"/>
          <w:szCs w:val="22"/>
        </w:rPr>
      </w:pPr>
      <w:r>
        <w:rPr>
          <w:rFonts w:ascii="Calibri" w:hAnsi="Calibri" w:cs="Calibri"/>
          <w:szCs w:val="22"/>
        </w:rPr>
        <w:t>Yes, a</w:t>
      </w:r>
      <w:r w:rsidR="00A630A5" w:rsidRPr="00B764AE">
        <w:rPr>
          <w:rFonts w:ascii="Calibri" w:hAnsi="Calibri" w:cs="Calibri"/>
          <w:szCs w:val="22"/>
        </w:rPr>
        <w:t>ddi</w:t>
      </w:r>
      <w:r w:rsidR="00391617" w:rsidRPr="00B764AE">
        <w:rPr>
          <w:rFonts w:ascii="Calibri" w:hAnsi="Calibri" w:cs="Calibri"/>
          <w:szCs w:val="22"/>
        </w:rPr>
        <w:t>tional value added m</w:t>
      </w:r>
      <w:r w:rsidR="00B764AE">
        <w:rPr>
          <w:rFonts w:ascii="Calibri" w:hAnsi="Calibri" w:cs="Calibri"/>
          <w:szCs w:val="22"/>
        </w:rPr>
        <w:t>a</w:t>
      </w:r>
      <w:r w:rsidR="00391617" w:rsidRPr="00B764AE">
        <w:rPr>
          <w:rFonts w:ascii="Calibri" w:hAnsi="Calibri" w:cs="Calibri"/>
          <w:szCs w:val="22"/>
        </w:rPr>
        <w:t>y be derived from</w:t>
      </w:r>
      <w:r w:rsidR="00391617">
        <w:rPr>
          <w:rFonts w:ascii="Calibri" w:hAnsi="Calibri" w:cs="Calibri"/>
          <w:b/>
          <w:bCs/>
          <w:szCs w:val="22"/>
        </w:rPr>
        <w:t xml:space="preserve"> </w:t>
      </w:r>
      <w:r w:rsidR="00F6168C" w:rsidRPr="00E36A9D">
        <w:rPr>
          <w:rFonts w:ascii="Calibri" w:hAnsi="Calibri" w:cs="Calibri"/>
          <w:szCs w:val="22"/>
        </w:rPr>
        <w:t>report</w:t>
      </w:r>
      <w:r w:rsidR="00391617">
        <w:rPr>
          <w:rFonts w:ascii="Calibri" w:hAnsi="Calibri" w:cs="Calibri"/>
          <w:szCs w:val="22"/>
        </w:rPr>
        <w:t>ing</w:t>
      </w:r>
      <w:r w:rsidR="00F6168C" w:rsidRPr="00E36A9D">
        <w:rPr>
          <w:rFonts w:ascii="Calibri" w:hAnsi="Calibri" w:cs="Calibri"/>
          <w:szCs w:val="22"/>
        </w:rPr>
        <w:t xml:space="preserve"> the share of e-vehicles and hybrid-vehicles in securitised portfolios. </w:t>
      </w:r>
    </w:p>
    <w:p w14:paraId="62FC40B7" w14:textId="3E042BF6" w:rsidR="00F6168C" w:rsidRPr="00E36A9D" w:rsidRDefault="00F6168C" w:rsidP="00A26766">
      <w:pPr>
        <w:spacing w:after="160" w:line="259" w:lineRule="auto"/>
        <w:rPr>
          <w:rFonts w:ascii="Calibri" w:hAnsi="Calibri" w:cs="Calibri"/>
          <w:szCs w:val="22"/>
        </w:rPr>
      </w:pPr>
      <w:r w:rsidRPr="00E36A9D">
        <w:rPr>
          <w:rFonts w:ascii="Calibri" w:hAnsi="Calibri" w:cs="Calibri"/>
          <w:szCs w:val="22"/>
        </w:rPr>
        <w:t xml:space="preserve">In addition, </w:t>
      </w:r>
      <w:r w:rsidR="00F32EF1">
        <w:rPr>
          <w:rFonts w:ascii="Calibri" w:hAnsi="Calibri" w:cs="Calibri"/>
          <w:szCs w:val="22"/>
        </w:rPr>
        <w:t xml:space="preserve">reporting </w:t>
      </w:r>
      <w:r w:rsidRPr="00E36A9D">
        <w:rPr>
          <w:rFonts w:ascii="Calibri" w:hAnsi="Calibri" w:cs="Calibri"/>
          <w:szCs w:val="22"/>
        </w:rPr>
        <w:t xml:space="preserve">available average C02-emissions of vehicles in g/km C02 </w:t>
      </w:r>
      <w:r w:rsidR="00B764AE">
        <w:rPr>
          <w:rFonts w:ascii="Calibri" w:hAnsi="Calibri" w:cs="Calibri"/>
          <w:szCs w:val="22"/>
        </w:rPr>
        <w:t xml:space="preserve">may also </w:t>
      </w:r>
      <w:r w:rsidRPr="00E36A9D">
        <w:rPr>
          <w:rFonts w:ascii="Calibri" w:hAnsi="Calibri" w:cs="Calibri"/>
          <w:szCs w:val="22"/>
        </w:rPr>
        <w:t xml:space="preserve">give an indication for investors that </w:t>
      </w:r>
      <w:r w:rsidR="00B764AE">
        <w:rPr>
          <w:rFonts w:ascii="Calibri" w:hAnsi="Calibri" w:cs="Calibri"/>
          <w:szCs w:val="22"/>
        </w:rPr>
        <w:t xml:space="preserve">allow for </w:t>
      </w:r>
      <w:r w:rsidRPr="00E36A9D">
        <w:rPr>
          <w:rFonts w:ascii="Calibri" w:hAnsi="Calibri" w:cs="Calibri"/>
          <w:szCs w:val="22"/>
        </w:rPr>
        <w:t>gaug</w:t>
      </w:r>
      <w:r w:rsidR="00B764AE">
        <w:rPr>
          <w:rFonts w:ascii="Calibri" w:hAnsi="Calibri" w:cs="Calibri"/>
          <w:szCs w:val="22"/>
        </w:rPr>
        <w:t>ing</w:t>
      </w:r>
      <w:r w:rsidRPr="00E36A9D">
        <w:rPr>
          <w:rFonts w:ascii="Calibri" w:hAnsi="Calibri" w:cs="Calibri"/>
          <w:szCs w:val="22"/>
        </w:rPr>
        <w:t xml:space="preserve"> the CO2 intensity of their investment.</w:t>
      </w:r>
    </w:p>
    <w:p w14:paraId="59007CD6" w14:textId="7336E746" w:rsidR="00931D41" w:rsidRPr="00E36A9D" w:rsidRDefault="00931D41"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&lt;ESA_QUESTION_STS_SUST_11&gt;</w:t>
      </w:r>
    </w:p>
    <w:p w14:paraId="02C1F69C" w14:textId="77777777" w:rsidR="00931D41" w:rsidRPr="00E36A9D" w:rsidRDefault="00931D41" w:rsidP="00931D41">
      <w:pPr>
        <w:spacing w:after="160" w:line="259" w:lineRule="auto"/>
        <w:rPr>
          <w:rFonts w:ascii="Calibri" w:eastAsia="Calibri" w:hAnsi="Calibri" w:cs="Times New Roman"/>
          <w:szCs w:val="22"/>
        </w:rPr>
      </w:pPr>
    </w:p>
    <w:p w14:paraId="661E827B" w14:textId="77777777" w:rsidR="00931D41" w:rsidRPr="00E36A9D" w:rsidRDefault="00931D41" w:rsidP="00AD617E">
      <w:pPr>
        <w:numPr>
          <w:ilvl w:val="0"/>
          <w:numId w:val="13"/>
        </w:numPr>
        <w:spacing w:after="160" w:line="259" w:lineRule="auto"/>
        <w:contextualSpacing/>
        <w:rPr>
          <w:rFonts w:ascii="Arial" w:eastAsia="Times New Roman" w:hAnsi="Arial" w:cs="Arial"/>
          <w:b/>
          <w:szCs w:val="22"/>
          <w:highlight w:val="lightGray"/>
        </w:rPr>
      </w:pPr>
      <w:r w:rsidRPr="00E36A9D">
        <w:rPr>
          <w:rFonts w:ascii="Arial" w:eastAsia="Times New Roman" w:hAnsi="Arial" w:cs="Arial"/>
          <w:b/>
          <w:szCs w:val="22"/>
          <w:highlight w:val="lightGray"/>
        </w:rPr>
        <w:t>: Would you agree with using the SFDR real estate PAI indicators for commercial real estate securitisation?</w:t>
      </w:r>
    </w:p>
    <w:p w14:paraId="42A7A10E" w14:textId="77777777" w:rsidR="00931D41" w:rsidRPr="00E36A9D" w:rsidRDefault="00931D41" w:rsidP="00931D41">
      <w:pPr>
        <w:spacing w:after="160" w:line="259" w:lineRule="auto"/>
        <w:rPr>
          <w:rFonts w:ascii="Calibri" w:eastAsia="Calibri" w:hAnsi="Calibri" w:cs="Times New Roman"/>
          <w:szCs w:val="22"/>
        </w:rPr>
      </w:pPr>
    </w:p>
    <w:p w14:paraId="3B809149" w14:textId="02424041" w:rsidR="00931D41" w:rsidRPr="00E36A9D" w:rsidRDefault="00931D41" w:rsidP="00931D41">
      <w:pPr>
        <w:spacing w:after="160" w:line="259" w:lineRule="auto"/>
        <w:rPr>
          <w:rFonts w:ascii="Calibri" w:eastAsia="Calibri" w:hAnsi="Calibri" w:cs="Times New Roman"/>
          <w:szCs w:val="22"/>
        </w:rPr>
      </w:pPr>
      <w:r w:rsidRPr="00E36A9D">
        <w:rPr>
          <w:rFonts w:ascii="Calibri" w:eastAsia="Calibri" w:hAnsi="Calibri" w:cs="Times New Roman"/>
          <w:szCs w:val="22"/>
        </w:rPr>
        <w:t>&lt;ESA_QUESTION_STS_SUST_12&gt;</w:t>
      </w:r>
    </w:p>
    <w:p w14:paraId="4E527DE0" w14:textId="6EB3CA3C" w:rsidR="00931D41" w:rsidRPr="003E1249" w:rsidRDefault="003E1249" w:rsidP="00931D41">
      <w:pPr>
        <w:spacing w:after="160" w:line="259" w:lineRule="auto"/>
        <w:rPr>
          <w:rFonts w:ascii="Calibri" w:eastAsia="Calibri" w:hAnsi="Calibri" w:cs="Times New Roman"/>
          <w:szCs w:val="22"/>
          <w:lang w:val="es-ES"/>
        </w:rPr>
      </w:pPr>
      <w:permStart w:id="38931893" w:edGrp="everyone"/>
      <w:r w:rsidRPr="003E1249">
        <w:rPr>
          <w:rFonts w:ascii="Calibri" w:eastAsia="Calibri" w:hAnsi="Calibri" w:cs="Times New Roman"/>
          <w:szCs w:val="22"/>
          <w:lang w:val="es-ES"/>
        </w:rPr>
        <w:t>Ye</w:t>
      </w:r>
      <w:r>
        <w:rPr>
          <w:rFonts w:ascii="Calibri" w:eastAsia="Calibri" w:hAnsi="Calibri" w:cs="Times New Roman"/>
          <w:szCs w:val="22"/>
          <w:lang w:val="es-ES"/>
        </w:rPr>
        <w:t>s</w:t>
      </w:r>
    </w:p>
    <w:permEnd w:id="38931893"/>
    <w:p w14:paraId="4DB3EAD8" w14:textId="4FAB83A7" w:rsidR="00931D41" w:rsidRPr="003E1249" w:rsidRDefault="00931D41" w:rsidP="00931D41">
      <w:pPr>
        <w:spacing w:after="160" w:line="259" w:lineRule="auto"/>
        <w:rPr>
          <w:rFonts w:ascii="Calibri" w:eastAsia="Calibri" w:hAnsi="Calibri" w:cs="Times New Roman"/>
          <w:szCs w:val="22"/>
          <w:lang w:val="es-ES"/>
        </w:rPr>
      </w:pPr>
      <w:r w:rsidRPr="003E1249">
        <w:rPr>
          <w:rFonts w:ascii="Calibri" w:eastAsia="Calibri" w:hAnsi="Calibri" w:cs="Times New Roman"/>
          <w:szCs w:val="22"/>
          <w:lang w:val="es-ES"/>
        </w:rPr>
        <w:t>&lt;ESA_QUESTION_STS_SUST_12&gt;</w:t>
      </w:r>
    </w:p>
    <w:p w14:paraId="0A452C99" w14:textId="77777777" w:rsidR="00931D41" w:rsidRPr="003E1249" w:rsidRDefault="00931D41" w:rsidP="00931D41">
      <w:pPr>
        <w:spacing w:after="160" w:line="259" w:lineRule="auto"/>
        <w:rPr>
          <w:rFonts w:ascii="Calibri" w:eastAsia="Calibri" w:hAnsi="Calibri" w:cs="Times New Roman"/>
          <w:szCs w:val="22"/>
          <w:lang w:val="es-ES"/>
        </w:rPr>
      </w:pPr>
    </w:p>
    <w:p w14:paraId="1ACCB20A" w14:textId="23F2CFF4" w:rsidR="00931D41" w:rsidRPr="00DA2FD3" w:rsidRDefault="00931D41" w:rsidP="00AD617E">
      <w:pPr>
        <w:numPr>
          <w:ilvl w:val="0"/>
          <w:numId w:val="13"/>
        </w:numPr>
        <w:spacing w:after="160" w:line="259" w:lineRule="auto"/>
        <w:contextualSpacing/>
        <w:rPr>
          <w:rFonts w:ascii="Arial" w:eastAsia="Times New Roman" w:hAnsi="Arial" w:cs="Arial"/>
          <w:b/>
          <w:szCs w:val="22"/>
        </w:rPr>
      </w:pPr>
      <w:r w:rsidRPr="00DA2FD3">
        <w:rPr>
          <w:rFonts w:ascii="Arial" w:eastAsia="Times New Roman" w:hAnsi="Arial" w:cs="Arial"/>
          <w:b/>
          <w:szCs w:val="22"/>
        </w:rPr>
        <w:t>: Would you consider it useful to provide originators of securitisations consisting of corporate debt including trade receivables a template to disclose standardised information on principal adverse impacts on sustainability factors?</w:t>
      </w:r>
    </w:p>
    <w:p w14:paraId="5F423383" w14:textId="77777777" w:rsidR="00931D41" w:rsidRPr="00E36A9D" w:rsidRDefault="00931D41" w:rsidP="00931D41">
      <w:pPr>
        <w:spacing w:after="160" w:line="259" w:lineRule="auto"/>
        <w:rPr>
          <w:rFonts w:ascii="Calibri" w:eastAsia="Calibri" w:hAnsi="Calibri" w:cs="Times New Roman"/>
          <w:szCs w:val="22"/>
        </w:rPr>
      </w:pPr>
    </w:p>
    <w:p w14:paraId="5924D745" w14:textId="756363A8" w:rsidR="00A9366B" w:rsidRPr="0023429C" w:rsidRDefault="00931D41" w:rsidP="00931D41">
      <w:pPr>
        <w:spacing w:after="160" w:line="259" w:lineRule="auto"/>
        <w:rPr>
          <w:rFonts w:ascii="Calibri" w:eastAsia="Calibri" w:hAnsi="Calibri" w:cs="Times New Roman"/>
          <w:szCs w:val="22"/>
        </w:rPr>
      </w:pPr>
      <w:r w:rsidRPr="0023429C">
        <w:rPr>
          <w:rFonts w:ascii="Calibri" w:eastAsia="Calibri" w:hAnsi="Calibri" w:cs="Times New Roman"/>
          <w:szCs w:val="22"/>
        </w:rPr>
        <w:t>&lt;ESA_QUESTION_STS_SUST_13</w:t>
      </w:r>
      <w:r w:rsidR="00A9366B" w:rsidRPr="0023429C">
        <w:rPr>
          <w:rFonts w:ascii="Calibri" w:eastAsia="Calibri" w:hAnsi="Calibri" w:cs="Times New Roman"/>
          <w:szCs w:val="22"/>
        </w:rPr>
        <w:t>&gt;</w:t>
      </w:r>
    </w:p>
    <w:p w14:paraId="249298CE" w14:textId="77777777" w:rsidR="00EC7CA9" w:rsidRDefault="00A6767E" w:rsidP="00A9366B">
      <w:pPr>
        <w:spacing w:after="160" w:line="259" w:lineRule="auto"/>
        <w:rPr>
          <w:rFonts w:ascii="Calibri" w:eastAsia="Calibri" w:hAnsi="Calibri" w:cs="Times New Roman"/>
          <w:szCs w:val="22"/>
          <w:lang w:val="en-US"/>
        </w:rPr>
      </w:pPr>
      <w:r>
        <w:rPr>
          <w:rFonts w:ascii="Calibri" w:eastAsia="Calibri" w:hAnsi="Calibri" w:cs="Times New Roman"/>
          <w:szCs w:val="22"/>
          <w:lang w:val="en-US"/>
        </w:rPr>
        <w:lastRenderedPageBreak/>
        <w:t xml:space="preserve">Yes, we welcome the initiative to provide such a template to originators of </w:t>
      </w:r>
      <w:proofErr w:type="spellStart"/>
      <w:r>
        <w:rPr>
          <w:rFonts w:ascii="Calibri" w:eastAsia="Calibri" w:hAnsi="Calibri" w:cs="Times New Roman"/>
          <w:szCs w:val="22"/>
          <w:lang w:val="en-US"/>
        </w:rPr>
        <w:t>securitisations</w:t>
      </w:r>
      <w:proofErr w:type="spellEnd"/>
      <w:r>
        <w:rPr>
          <w:rFonts w:ascii="Calibri" w:eastAsia="Calibri" w:hAnsi="Calibri" w:cs="Times New Roman"/>
          <w:szCs w:val="22"/>
          <w:lang w:val="en-US"/>
        </w:rPr>
        <w:t xml:space="preserve"> </w:t>
      </w:r>
      <w:r w:rsidRPr="00A6767E">
        <w:rPr>
          <w:rFonts w:ascii="Calibri" w:eastAsia="Calibri" w:hAnsi="Calibri" w:cs="Times New Roman"/>
          <w:szCs w:val="22"/>
          <w:lang w:val="en-US"/>
        </w:rPr>
        <w:t>consisting of corporate debt including trade receivables</w:t>
      </w:r>
      <w:r>
        <w:rPr>
          <w:rFonts w:ascii="Calibri" w:eastAsia="Calibri" w:hAnsi="Calibri" w:cs="Times New Roman"/>
          <w:szCs w:val="22"/>
          <w:lang w:val="en-US"/>
        </w:rPr>
        <w:t xml:space="preserve">. </w:t>
      </w:r>
    </w:p>
    <w:p w14:paraId="610D5FD1" w14:textId="133EB96E" w:rsidR="00A6767E" w:rsidRDefault="00A6767E" w:rsidP="00A9366B">
      <w:pPr>
        <w:spacing w:after="160" w:line="259" w:lineRule="auto"/>
        <w:rPr>
          <w:rFonts w:ascii="Calibri" w:eastAsia="Calibri" w:hAnsi="Calibri" w:cs="Times New Roman"/>
          <w:szCs w:val="22"/>
          <w:lang w:val="en-US"/>
        </w:rPr>
      </w:pPr>
      <w:r>
        <w:rPr>
          <w:rFonts w:ascii="Calibri" w:eastAsia="Calibri" w:hAnsi="Calibri" w:cs="Times New Roman"/>
          <w:szCs w:val="22"/>
          <w:lang w:val="en-US"/>
        </w:rPr>
        <w:t xml:space="preserve">However, it is virtually impossible to produce and verify information on a trade receivable level. Therefore, we kindly recommend to </w:t>
      </w:r>
      <w:r w:rsidR="00EC7CA9">
        <w:rPr>
          <w:rFonts w:ascii="Calibri" w:eastAsia="Calibri" w:hAnsi="Calibri" w:cs="Times New Roman"/>
          <w:szCs w:val="22"/>
          <w:lang w:val="en-US"/>
        </w:rPr>
        <w:t>develop practical approaches to the reporting for SME and trade receivable STS</w:t>
      </w:r>
      <w:r>
        <w:rPr>
          <w:rFonts w:ascii="Calibri" w:eastAsia="Calibri" w:hAnsi="Calibri" w:cs="Times New Roman"/>
          <w:szCs w:val="22"/>
          <w:lang w:val="en-US"/>
        </w:rPr>
        <w:t>.</w:t>
      </w:r>
      <w:r w:rsidR="00EC7CA9">
        <w:rPr>
          <w:rFonts w:ascii="Calibri" w:eastAsia="Calibri" w:hAnsi="Calibri" w:cs="Times New Roman"/>
          <w:szCs w:val="22"/>
          <w:lang w:val="en-US"/>
        </w:rPr>
        <w:t xml:space="preserve"> Reporting such information on the originator level is one option. </w:t>
      </w:r>
    </w:p>
    <w:p w14:paraId="685C7CF0" w14:textId="74F1C109" w:rsidR="00EC7CA9" w:rsidRDefault="00EC7CA9" w:rsidP="00A9366B">
      <w:pPr>
        <w:spacing w:after="160" w:line="259" w:lineRule="auto"/>
        <w:rPr>
          <w:rFonts w:ascii="Calibri" w:eastAsia="Calibri" w:hAnsi="Calibri" w:cs="Times New Roman"/>
          <w:szCs w:val="22"/>
          <w:lang w:val="en-US"/>
        </w:rPr>
      </w:pPr>
      <w:r>
        <w:rPr>
          <w:rFonts w:ascii="Calibri" w:eastAsia="Calibri" w:hAnsi="Calibri" w:cs="Times New Roman"/>
          <w:szCs w:val="22"/>
          <w:lang w:val="en-US"/>
        </w:rPr>
        <w:t>We suggest to evaluate whether green asset ratios and PAIs can be estimated based on the characteristics of the underlying portfolio. For example, trade receivables for German retailers will have fairly consistent PAIs and green-asset ratios. Using the characteristics of the portfolio, the green-asset ratio and PAIs could be estimated on this level. Using third party reports, originators could produce reliable information that fairly reflects the characteristics of the underlying pool of assets.</w:t>
      </w:r>
    </w:p>
    <w:p w14:paraId="79B4BDAA" w14:textId="6B9F4B76" w:rsidR="00931D41" w:rsidRPr="00EC7CA9" w:rsidRDefault="00BF6211" w:rsidP="00931D41">
      <w:pPr>
        <w:spacing w:after="160" w:line="259" w:lineRule="auto"/>
        <w:rPr>
          <w:rFonts w:ascii="Calibri" w:eastAsia="Calibri" w:hAnsi="Calibri" w:cs="Times New Roman"/>
          <w:szCs w:val="22"/>
          <w:lang w:val="en-US"/>
        </w:rPr>
      </w:pPr>
      <w:r w:rsidRPr="00EC7CA9">
        <w:rPr>
          <w:rFonts w:ascii="Calibri" w:eastAsia="Calibri" w:hAnsi="Calibri" w:cs="Times New Roman"/>
          <w:szCs w:val="22"/>
          <w:lang w:val="en-US"/>
        </w:rPr>
        <w:t>&lt;</w:t>
      </w:r>
      <w:r w:rsidR="00931D41" w:rsidRPr="00EC7CA9">
        <w:rPr>
          <w:rFonts w:ascii="Calibri" w:eastAsia="Calibri" w:hAnsi="Calibri" w:cs="Times New Roman"/>
          <w:szCs w:val="22"/>
          <w:lang w:val="en-US"/>
        </w:rPr>
        <w:t>ESA_QUESTION_STS_SUST_13&gt;</w:t>
      </w:r>
    </w:p>
    <w:p w14:paraId="25DD2044" w14:textId="77777777" w:rsidR="002F54E6" w:rsidRPr="00EC7CA9" w:rsidRDefault="002F54E6" w:rsidP="00931D41">
      <w:pPr>
        <w:spacing w:after="160" w:line="259" w:lineRule="auto"/>
        <w:rPr>
          <w:rFonts w:ascii="Calibri" w:eastAsia="Calibri" w:hAnsi="Calibri" w:cs="Times New Roman"/>
          <w:szCs w:val="22"/>
          <w:lang w:val="en-US"/>
        </w:rPr>
      </w:pPr>
    </w:p>
    <w:p w14:paraId="2F2B8DC5" w14:textId="3520923E" w:rsidR="00931D41" w:rsidRPr="0096548F" w:rsidRDefault="00931D41" w:rsidP="00AD617E">
      <w:pPr>
        <w:numPr>
          <w:ilvl w:val="0"/>
          <w:numId w:val="13"/>
        </w:numPr>
        <w:spacing w:after="160" w:line="259" w:lineRule="auto"/>
        <w:contextualSpacing/>
        <w:rPr>
          <w:rFonts w:ascii="Arial" w:eastAsia="Times New Roman" w:hAnsi="Arial" w:cs="Arial"/>
          <w:b/>
          <w:szCs w:val="22"/>
        </w:rPr>
      </w:pPr>
      <w:r w:rsidRPr="0096548F">
        <w:rPr>
          <w:rFonts w:ascii="Arial" w:eastAsia="Times New Roman" w:hAnsi="Arial" w:cs="Arial"/>
          <w:b/>
          <w:szCs w:val="22"/>
        </w:rPr>
        <w:t>: Would you agree with applying the draft SFDR RTS PAI indicators to exposures to corporates?</w:t>
      </w:r>
    </w:p>
    <w:p w14:paraId="025C6A27" w14:textId="77777777" w:rsidR="00931D41" w:rsidRPr="00E36A9D" w:rsidRDefault="00931D41" w:rsidP="00931D41">
      <w:pPr>
        <w:spacing w:after="160" w:line="259" w:lineRule="auto"/>
        <w:rPr>
          <w:rFonts w:ascii="Calibri" w:eastAsia="Calibri" w:hAnsi="Calibri" w:cs="Times New Roman"/>
          <w:szCs w:val="22"/>
        </w:rPr>
      </w:pPr>
    </w:p>
    <w:p w14:paraId="34EA99D4" w14:textId="09BF1384" w:rsidR="00931D41" w:rsidRPr="00870C6F" w:rsidRDefault="00931D41" w:rsidP="00931D41">
      <w:pPr>
        <w:spacing w:after="160" w:line="259" w:lineRule="auto"/>
        <w:rPr>
          <w:rFonts w:ascii="Calibri" w:eastAsia="Calibri" w:hAnsi="Calibri" w:cs="Times New Roman"/>
          <w:szCs w:val="22"/>
        </w:rPr>
      </w:pPr>
      <w:r w:rsidRPr="00870C6F">
        <w:rPr>
          <w:rFonts w:ascii="Calibri" w:eastAsia="Calibri" w:hAnsi="Calibri" w:cs="Times New Roman"/>
          <w:szCs w:val="22"/>
        </w:rPr>
        <w:t>&lt;ESA_QUESTION_STS_SUST_14&gt;</w:t>
      </w:r>
    </w:p>
    <w:p w14:paraId="60FA519D" w14:textId="77777777" w:rsidR="003E1249" w:rsidRDefault="003E1249" w:rsidP="00BF6211">
      <w:pPr>
        <w:spacing w:after="160" w:line="259" w:lineRule="auto"/>
        <w:rPr>
          <w:rFonts w:ascii="Calibri" w:hAnsi="Calibri" w:cs="Calibri"/>
        </w:rPr>
      </w:pPr>
      <w:r>
        <w:rPr>
          <w:rFonts w:ascii="Calibri" w:hAnsi="Calibri" w:cs="Calibri"/>
        </w:rPr>
        <w:t>Yes, but in a modified way</w:t>
      </w:r>
      <w:r w:rsidR="0096548F">
        <w:rPr>
          <w:rFonts w:ascii="Calibri" w:hAnsi="Calibri" w:cs="Calibri"/>
        </w:rPr>
        <w:t xml:space="preserve">. </w:t>
      </w:r>
    </w:p>
    <w:p w14:paraId="4143014E" w14:textId="0D71C75F" w:rsidR="00087D8B" w:rsidRDefault="00A6767E" w:rsidP="00BF6211">
      <w:pPr>
        <w:spacing w:after="160" w:line="259" w:lineRule="auto"/>
        <w:rPr>
          <w:rFonts w:ascii="Calibri" w:eastAsia="Calibri" w:hAnsi="Calibri" w:cs="Calibri"/>
          <w:szCs w:val="22"/>
        </w:rPr>
      </w:pPr>
      <w:r>
        <w:rPr>
          <w:rFonts w:ascii="Calibri" w:eastAsia="Calibri" w:hAnsi="Calibri" w:cs="Calibri"/>
          <w:szCs w:val="22"/>
        </w:rPr>
        <w:t xml:space="preserve">STS </w:t>
      </w:r>
      <w:r w:rsidR="00014FEE">
        <w:rPr>
          <w:rFonts w:ascii="Calibri" w:eastAsia="Calibri" w:hAnsi="Calibri" w:cs="Calibri"/>
          <w:szCs w:val="22"/>
        </w:rPr>
        <w:t xml:space="preserve">offers a liquid and effective instrument to enhance SME financing. SMEs usually do not fall into the reporting obligations of the CSRD. Introducing the PAI framework to SME STS essentially expands the application of key parts of the CSRD to SMEs, which does not seem to be in line with the stated goals and limits of the CSRD, i.e. potentially overburdening the SMEs and effectively shutting this route to refinancing. Any new reporting obligation has to be drafted in a way that further strengthens STS securitisation of SME loans and, while making this instrument attractive to buyers of such instruments, limits reporting obligations and potential legal obligations and risks (i.e., does the STS originator have to audit PAI-information provided by SMEs?). </w:t>
      </w:r>
    </w:p>
    <w:p w14:paraId="334C81A4" w14:textId="2C7D64F3" w:rsidR="006B2A5C" w:rsidRDefault="00087D8B" w:rsidP="00BF6211">
      <w:pPr>
        <w:spacing w:after="160" w:line="259" w:lineRule="auto"/>
        <w:rPr>
          <w:rFonts w:ascii="Calibri" w:eastAsia="Calibri" w:hAnsi="Calibri" w:cs="Calibri"/>
          <w:szCs w:val="22"/>
        </w:rPr>
      </w:pPr>
      <w:r>
        <w:rPr>
          <w:rFonts w:ascii="Calibri" w:eastAsia="Calibri" w:hAnsi="Calibri" w:cs="Calibri"/>
          <w:szCs w:val="22"/>
        </w:rPr>
        <w:t>A potential solution would be ESMA defining exclusion criteria on the one hand and on the other defining assumptions on green asset ratios and PAIs for SME portfolios, thus opening a route to an efficient PAI reporting and route to taxonomy alignment for STS SME securitisations.</w:t>
      </w:r>
    </w:p>
    <w:p w14:paraId="61967905" w14:textId="7D70BD34" w:rsidR="00D12845" w:rsidRPr="00D12845" w:rsidRDefault="00D12845" w:rsidP="00BF6211">
      <w:pPr>
        <w:spacing w:after="160" w:line="259" w:lineRule="auto"/>
        <w:rPr>
          <w:rFonts w:ascii="Calibri" w:eastAsia="Calibri" w:hAnsi="Calibri" w:cs="Calibri"/>
          <w:szCs w:val="22"/>
          <w:lang w:val="en-US"/>
        </w:rPr>
      </w:pPr>
      <w:r w:rsidRPr="00D12845">
        <w:rPr>
          <w:rFonts w:ascii="Calibri" w:eastAsia="Calibri" w:hAnsi="Calibri" w:cs="Calibri"/>
          <w:szCs w:val="22"/>
          <w:lang w:val="en-US"/>
        </w:rPr>
        <w:t>Please also see answer t</w:t>
      </w:r>
      <w:r>
        <w:rPr>
          <w:rFonts w:ascii="Calibri" w:eastAsia="Calibri" w:hAnsi="Calibri" w:cs="Calibri"/>
          <w:szCs w:val="22"/>
          <w:lang w:val="en-US"/>
        </w:rPr>
        <w:t>o question 13.</w:t>
      </w:r>
    </w:p>
    <w:p w14:paraId="015CDA75" w14:textId="02A12CAE" w:rsidR="00931D41" w:rsidRPr="00D12845" w:rsidRDefault="00931D41" w:rsidP="00931D41">
      <w:pPr>
        <w:spacing w:after="160" w:line="259" w:lineRule="auto"/>
        <w:rPr>
          <w:rFonts w:ascii="Calibri" w:eastAsia="Calibri" w:hAnsi="Calibri" w:cs="Times New Roman"/>
          <w:szCs w:val="22"/>
          <w:lang w:val="es-ES"/>
        </w:rPr>
      </w:pPr>
      <w:r w:rsidRPr="00D12845">
        <w:rPr>
          <w:rFonts w:ascii="Calibri" w:eastAsia="Calibri" w:hAnsi="Calibri" w:cs="Times New Roman"/>
          <w:szCs w:val="22"/>
          <w:lang w:val="es-ES"/>
        </w:rPr>
        <w:t>&lt;ESA_QUESTION_STS_SUST_14&gt;</w:t>
      </w:r>
    </w:p>
    <w:p w14:paraId="6235697B" w14:textId="77777777" w:rsidR="00931D41" w:rsidRPr="00D12845" w:rsidRDefault="00931D41" w:rsidP="00931D41">
      <w:pPr>
        <w:spacing w:after="160" w:line="259" w:lineRule="auto"/>
        <w:rPr>
          <w:rFonts w:ascii="Calibri" w:eastAsia="Calibri" w:hAnsi="Calibri" w:cs="Times New Roman"/>
          <w:szCs w:val="22"/>
          <w:lang w:val="es-ES"/>
        </w:rPr>
      </w:pPr>
    </w:p>
    <w:p w14:paraId="361C8F9E" w14:textId="77777777" w:rsidR="00931D41" w:rsidRPr="0096548F" w:rsidRDefault="00931D41" w:rsidP="00AD617E">
      <w:pPr>
        <w:numPr>
          <w:ilvl w:val="0"/>
          <w:numId w:val="13"/>
        </w:numPr>
        <w:spacing w:after="160" w:line="259" w:lineRule="auto"/>
        <w:contextualSpacing/>
        <w:rPr>
          <w:rFonts w:ascii="Arial" w:eastAsia="Times New Roman" w:hAnsi="Arial" w:cs="Arial"/>
          <w:b/>
          <w:szCs w:val="22"/>
        </w:rPr>
      </w:pPr>
      <w:r w:rsidRPr="0096548F">
        <w:rPr>
          <w:rFonts w:ascii="Arial" w:eastAsia="Times New Roman" w:hAnsi="Arial" w:cs="Arial"/>
          <w:b/>
          <w:szCs w:val="22"/>
        </w:rPr>
        <w:t xml:space="preserve">: Would you agree with applying the proposed application of the same draft SFDR RTS PAIs focusing on the seller in the case of securitisation consisting of trade receivables? </w:t>
      </w:r>
    </w:p>
    <w:p w14:paraId="1675278D" w14:textId="77777777" w:rsidR="00B076B9" w:rsidRPr="00E36A9D" w:rsidRDefault="00B076B9" w:rsidP="00931D41">
      <w:pPr>
        <w:spacing w:after="160" w:line="259" w:lineRule="auto"/>
        <w:rPr>
          <w:rFonts w:ascii="Calibri" w:eastAsia="Calibri" w:hAnsi="Calibri" w:cs="Times New Roman"/>
          <w:szCs w:val="22"/>
        </w:rPr>
      </w:pPr>
    </w:p>
    <w:p w14:paraId="00BE6FFA" w14:textId="1F1EAC27" w:rsidR="00931D41" w:rsidRPr="00EC60E2" w:rsidRDefault="00931D41" w:rsidP="00931D41">
      <w:pPr>
        <w:spacing w:after="160" w:line="259" w:lineRule="auto"/>
        <w:rPr>
          <w:rFonts w:ascii="Calibri" w:eastAsia="Calibri" w:hAnsi="Calibri" w:cs="Times New Roman"/>
          <w:szCs w:val="22"/>
        </w:rPr>
      </w:pPr>
      <w:r w:rsidRPr="00EC60E2">
        <w:rPr>
          <w:rFonts w:ascii="Calibri" w:eastAsia="Calibri" w:hAnsi="Calibri" w:cs="Times New Roman"/>
          <w:szCs w:val="22"/>
        </w:rPr>
        <w:t>&lt;ESA_QUESTION_STS_SUST_15&gt;</w:t>
      </w:r>
    </w:p>
    <w:p w14:paraId="4C7D3477" w14:textId="755E89D4" w:rsidR="00FC453B" w:rsidRPr="00EC60E2" w:rsidRDefault="00D12845" w:rsidP="00BF6211">
      <w:pPr>
        <w:pStyle w:val="Default"/>
        <w:spacing w:after="160" w:line="259" w:lineRule="auto"/>
        <w:rPr>
          <w:sz w:val="22"/>
          <w:szCs w:val="22"/>
          <w:lang w:val="en-GB"/>
        </w:rPr>
      </w:pPr>
      <w:r>
        <w:rPr>
          <w:sz w:val="22"/>
          <w:szCs w:val="22"/>
          <w:lang w:val="en-GB"/>
        </w:rPr>
        <w:t>Please see above</w:t>
      </w:r>
      <w:r w:rsidR="00FC453B" w:rsidRPr="00EC60E2">
        <w:rPr>
          <w:sz w:val="22"/>
          <w:szCs w:val="22"/>
          <w:lang w:val="en-GB"/>
        </w:rPr>
        <w:t>.</w:t>
      </w:r>
    </w:p>
    <w:p w14:paraId="6C75E4BF" w14:textId="6DF4A846" w:rsidR="00931D41" w:rsidRPr="00874DAB" w:rsidRDefault="00931D41" w:rsidP="00931D41">
      <w:pPr>
        <w:spacing w:after="160" w:line="259" w:lineRule="auto"/>
        <w:rPr>
          <w:rFonts w:ascii="Calibri" w:eastAsia="Calibri" w:hAnsi="Calibri" w:cs="Times New Roman"/>
          <w:szCs w:val="22"/>
          <w:lang w:val="de-DE"/>
        </w:rPr>
      </w:pPr>
      <w:r w:rsidRPr="00874DAB">
        <w:rPr>
          <w:rFonts w:ascii="Calibri" w:eastAsia="Calibri" w:hAnsi="Calibri" w:cs="Times New Roman"/>
          <w:szCs w:val="22"/>
          <w:lang w:val="de-DE"/>
        </w:rPr>
        <w:lastRenderedPageBreak/>
        <w:t>&lt;ESA_QUESTION_STS_SUST_15&gt;</w:t>
      </w:r>
    </w:p>
    <w:p w14:paraId="01D56685" w14:textId="77777777" w:rsidR="00931D41" w:rsidRPr="00874DAB" w:rsidRDefault="00931D41" w:rsidP="00931D41">
      <w:pPr>
        <w:spacing w:after="160" w:line="259" w:lineRule="auto"/>
        <w:rPr>
          <w:rFonts w:ascii="Calibri" w:eastAsia="Calibri" w:hAnsi="Calibri" w:cs="Times New Roman"/>
          <w:szCs w:val="22"/>
          <w:lang w:val="de-DE"/>
        </w:rPr>
      </w:pPr>
    </w:p>
    <w:p w14:paraId="72CAA034"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Would you agree with adopting the proposed proportionate approach to SME loan?</w:t>
      </w:r>
    </w:p>
    <w:p w14:paraId="596FA5FB" w14:textId="77777777" w:rsidR="00931D41" w:rsidRPr="00E2422C" w:rsidRDefault="00931D41" w:rsidP="00931D41">
      <w:pPr>
        <w:spacing w:after="160" w:line="259" w:lineRule="auto"/>
        <w:rPr>
          <w:rFonts w:ascii="Calibri" w:eastAsia="Calibri" w:hAnsi="Calibri" w:cs="Times New Roman"/>
          <w:szCs w:val="22"/>
        </w:rPr>
      </w:pPr>
    </w:p>
    <w:p w14:paraId="6270EB51" w14:textId="2E60FA50"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&lt;ESA_QUESTION_STS_SUST_16&gt;</w:t>
      </w:r>
    </w:p>
    <w:p w14:paraId="21008015" w14:textId="7388C22E" w:rsidR="00931D41" w:rsidRPr="00E2422C" w:rsidRDefault="00931D41" w:rsidP="00931D41">
      <w:pPr>
        <w:spacing w:after="160" w:line="259" w:lineRule="auto"/>
        <w:rPr>
          <w:rFonts w:ascii="Calibri" w:eastAsia="Calibri" w:hAnsi="Calibri" w:cs="Times New Roman"/>
          <w:szCs w:val="22"/>
        </w:rPr>
      </w:pPr>
      <w:permStart w:id="2047155948" w:edGrp="everyone"/>
      <w:r w:rsidRPr="00E2422C">
        <w:rPr>
          <w:rFonts w:ascii="Calibri" w:eastAsia="Calibri" w:hAnsi="Calibri" w:cs="Times New Roman"/>
          <w:szCs w:val="22"/>
        </w:rPr>
        <w:t xml:space="preserve">TYPE </w:t>
      </w:r>
      <w:r w:rsidR="00EA4224" w:rsidRPr="00E2422C">
        <w:rPr>
          <w:rFonts w:ascii="Calibri" w:eastAsia="Calibri" w:hAnsi="Calibri" w:cs="Times New Roman"/>
          <w:szCs w:val="22"/>
        </w:rPr>
        <w:t>YOUR TEXT HERE</w:t>
      </w:r>
    </w:p>
    <w:permEnd w:id="2047155948"/>
    <w:p w14:paraId="2B3E708F" w14:textId="5641D811"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&lt;ESA_QUESTION_STS_SUST_16&gt;</w:t>
      </w:r>
    </w:p>
    <w:p w14:paraId="1570EA01" w14:textId="77777777" w:rsidR="00931D41" w:rsidRPr="00E2422C" w:rsidRDefault="00931D41" w:rsidP="00931D41">
      <w:pPr>
        <w:spacing w:after="160" w:line="259" w:lineRule="auto"/>
        <w:rPr>
          <w:rFonts w:ascii="Calibri" w:eastAsia="Calibri" w:hAnsi="Calibri" w:cs="Times New Roman"/>
          <w:szCs w:val="22"/>
        </w:rPr>
      </w:pPr>
    </w:p>
    <w:p w14:paraId="27CDE9DA"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Would you propose to add any additional specific indicators for these three types of securitisation?</w:t>
      </w:r>
    </w:p>
    <w:p w14:paraId="42854A98" w14:textId="77777777" w:rsidR="00B076B9" w:rsidRPr="00E2422C" w:rsidRDefault="00B076B9" w:rsidP="00931D41">
      <w:pPr>
        <w:spacing w:after="160" w:line="259" w:lineRule="auto"/>
        <w:rPr>
          <w:rFonts w:ascii="Calibri" w:eastAsia="Calibri" w:hAnsi="Calibri" w:cs="Times New Roman"/>
          <w:szCs w:val="22"/>
        </w:rPr>
      </w:pPr>
    </w:p>
    <w:p w14:paraId="21912098" w14:textId="0447689F"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&lt;ESA_QUESTION_STS_SUST_17&gt;</w:t>
      </w:r>
    </w:p>
    <w:p w14:paraId="0290BDA5" w14:textId="46DA9229" w:rsidR="00E2422C" w:rsidRPr="00E2422C" w:rsidRDefault="00E2422C" w:rsidP="00E2422C">
      <w:pPr>
        <w:spacing w:after="160" w:line="259" w:lineRule="auto"/>
        <w:rPr>
          <w:rFonts w:ascii="Calibri" w:eastAsia="Calibri" w:hAnsi="Calibri" w:cs="Calibri"/>
          <w:szCs w:val="22"/>
        </w:rPr>
      </w:pPr>
      <w:r w:rsidRPr="00E2422C">
        <w:rPr>
          <w:rFonts w:ascii="Calibri" w:hAnsi="Calibri" w:cs="Calibri"/>
        </w:rPr>
        <w:t xml:space="preserve">No. </w:t>
      </w:r>
    </w:p>
    <w:p w14:paraId="1FE614B8" w14:textId="738CFB47"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&lt;ESA_QUESTION_STS_SUST_17&gt;</w:t>
      </w:r>
    </w:p>
    <w:p w14:paraId="411C74E1" w14:textId="77777777" w:rsidR="002F54E6" w:rsidRPr="00E2422C" w:rsidRDefault="002F54E6" w:rsidP="00931D41">
      <w:pPr>
        <w:spacing w:after="160" w:line="259" w:lineRule="auto"/>
        <w:rPr>
          <w:rFonts w:ascii="Calibri" w:eastAsia="Calibri" w:hAnsi="Calibri" w:cs="Times New Roman"/>
          <w:szCs w:val="22"/>
        </w:rPr>
      </w:pPr>
    </w:p>
    <w:p w14:paraId="4A373E8D"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xml:space="preserve">: Would you agree that there are no appropriate PAI indicators for securitisations backed by consumer loans or by credit card debt? If not, which PAI indicators would you propose for these loan types? </w:t>
      </w:r>
    </w:p>
    <w:p w14:paraId="38E6AB53" w14:textId="77777777" w:rsidR="00B076B9" w:rsidRPr="00E2422C" w:rsidRDefault="00B076B9" w:rsidP="00931D41">
      <w:pPr>
        <w:spacing w:after="160" w:line="259" w:lineRule="auto"/>
        <w:rPr>
          <w:rFonts w:ascii="Calibri" w:eastAsia="Calibri" w:hAnsi="Calibri" w:cs="Times New Roman"/>
          <w:szCs w:val="22"/>
        </w:rPr>
      </w:pPr>
    </w:p>
    <w:p w14:paraId="44678D20" w14:textId="365368C2"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&lt;ESA_QUESTION_STS_SUST_18&gt;</w:t>
      </w:r>
    </w:p>
    <w:p w14:paraId="539DDFA9" w14:textId="6DF70B49" w:rsidR="00931D41" w:rsidRPr="00E2422C" w:rsidRDefault="00EA4224" w:rsidP="00931D41">
      <w:pPr>
        <w:spacing w:after="160" w:line="259" w:lineRule="auto"/>
        <w:rPr>
          <w:rFonts w:ascii="Calibri" w:eastAsia="Calibri" w:hAnsi="Calibri" w:cs="Times New Roman"/>
          <w:szCs w:val="22"/>
        </w:rPr>
      </w:pPr>
      <w:permStart w:id="461183418" w:edGrp="everyone"/>
      <w:r w:rsidRPr="00E2422C">
        <w:rPr>
          <w:rFonts w:ascii="Calibri" w:eastAsia="Calibri" w:hAnsi="Calibri" w:cs="Times New Roman"/>
          <w:szCs w:val="22"/>
        </w:rPr>
        <w:t>TYPE YOUR TEXT HERE</w:t>
      </w:r>
    </w:p>
    <w:permEnd w:id="461183418"/>
    <w:p w14:paraId="6A9A4AD5" w14:textId="63B12CD1"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&lt;ESA_QUESTION_STS_SUST_18&gt;</w:t>
      </w:r>
    </w:p>
    <w:p w14:paraId="5730B3D6" w14:textId="77777777" w:rsidR="002F54E6" w:rsidRPr="00E2422C" w:rsidRDefault="002F54E6" w:rsidP="00931D41">
      <w:pPr>
        <w:spacing w:after="160" w:line="259" w:lineRule="auto"/>
        <w:rPr>
          <w:rFonts w:ascii="Calibri" w:eastAsia="Calibri" w:hAnsi="Calibri" w:cs="Times New Roman"/>
          <w:szCs w:val="22"/>
        </w:rPr>
      </w:pPr>
    </w:p>
    <w:p w14:paraId="72E98F2A" w14:textId="77777777" w:rsidR="00931D41" w:rsidRPr="00E2422C" w:rsidRDefault="00931D41" w:rsidP="00AD617E">
      <w:pPr>
        <w:numPr>
          <w:ilvl w:val="0"/>
          <w:numId w:val="13"/>
        </w:numPr>
        <w:spacing w:after="160" w:line="259" w:lineRule="auto"/>
        <w:contextualSpacing/>
        <w:rPr>
          <w:rFonts w:ascii="Arial" w:eastAsia="Times New Roman" w:hAnsi="Arial" w:cs="Arial"/>
          <w:b/>
          <w:szCs w:val="22"/>
        </w:rPr>
      </w:pPr>
      <w:r w:rsidRPr="00E2422C">
        <w:rPr>
          <w:rFonts w:ascii="Arial" w:eastAsia="Times New Roman" w:hAnsi="Arial" w:cs="Arial"/>
          <w:b/>
          <w:szCs w:val="22"/>
        </w:rPr>
        <w:t>: Do you consider that it would be useful to develop standardised PAI indicators on sustainability factors for other types of securitisation?</w:t>
      </w:r>
    </w:p>
    <w:p w14:paraId="4EA54BA2" w14:textId="77777777" w:rsidR="00B076B9" w:rsidRPr="00E2422C" w:rsidRDefault="00B076B9" w:rsidP="00931D41">
      <w:pPr>
        <w:spacing w:after="160" w:line="259" w:lineRule="auto"/>
        <w:rPr>
          <w:rFonts w:ascii="Calibri" w:eastAsia="Calibri" w:hAnsi="Calibri" w:cs="Times New Roman"/>
          <w:szCs w:val="22"/>
        </w:rPr>
      </w:pPr>
    </w:p>
    <w:p w14:paraId="052644C2" w14:textId="673A9CFC" w:rsidR="00931D41" w:rsidRPr="00E2422C" w:rsidRDefault="00931D41" w:rsidP="00931D41">
      <w:pPr>
        <w:spacing w:after="160" w:line="259" w:lineRule="auto"/>
        <w:rPr>
          <w:rFonts w:ascii="Calibri" w:eastAsia="Calibri" w:hAnsi="Calibri" w:cs="Times New Roman"/>
          <w:szCs w:val="22"/>
        </w:rPr>
      </w:pPr>
      <w:r w:rsidRPr="00E2422C">
        <w:rPr>
          <w:rFonts w:ascii="Calibri" w:eastAsia="Calibri" w:hAnsi="Calibri" w:cs="Times New Roman"/>
          <w:szCs w:val="22"/>
        </w:rPr>
        <w:t>&lt;ESA_QUESTION_STS_SUST_19&gt;</w:t>
      </w:r>
    </w:p>
    <w:p w14:paraId="28287BC1" w14:textId="4200B714" w:rsidR="00931D41" w:rsidRPr="00E2422C" w:rsidRDefault="00EA4224" w:rsidP="00931D41">
      <w:pPr>
        <w:spacing w:after="160" w:line="259" w:lineRule="auto"/>
        <w:rPr>
          <w:rFonts w:ascii="Calibri" w:eastAsia="Calibri" w:hAnsi="Calibri" w:cs="Times New Roman"/>
          <w:szCs w:val="22"/>
        </w:rPr>
      </w:pPr>
      <w:permStart w:id="1018709264" w:edGrp="everyone"/>
      <w:r w:rsidRPr="00E2422C">
        <w:rPr>
          <w:rFonts w:ascii="Calibri" w:eastAsia="Calibri" w:hAnsi="Calibri" w:cs="Times New Roman"/>
          <w:szCs w:val="22"/>
        </w:rPr>
        <w:t>TYPE YOUR TEXT HERE</w:t>
      </w:r>
    </w:p>
    <w:permEnd w:id="1018709264"/>
    <w:p w14:paraId="433A1C4D" w14:textId="038D852C" w:rsidR="00E10D8E" w:rsidRPr="00E2422C" w:rsidRDefault="00931D41" w:rsidP="00B076B9">
      <w:pPr>
        <w:spacing w:after="160" w:line="259" w:lineRule="auto"/>
      </w:pPr>
      <w:r w:rsidRPr="00E2422C">
        <w:rPr>
          <w:rFonts w:ascii="Calibri" w:eastAsia="Calibri" w:hAnsi="Calibri" w:cs="Times New Roman"/>
          <w:szCs w:val="22"/>
        </w:rPr>
        <w:t>&lt;ESA_QUESTION_STS_SUST_19&gt;</w:t>
      </w:r>
    </w:p>
    <w:sectPr w:rsidR="00E10D8E" w:rsidRPr="00E2422C" w:rsidSect="00E10D8E">
      <w:headerReference w:type="default" r:id="rId21"/>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0E1A" w14:textId="77777777" w:rsidR="002A642B" w:rsidRDefault="002A642B" w:rsidP="007E7997">
      <w:pPr>
        <w:spacing w:line="240" w:lineRule="auto"/>
      </w:pPr>
      <w:r>
        <w:separator/>
      </w:r>
    </w:p>
  </w:endnote>
  <w:endnote w:type="continuationSeparator" w:id="0">
    <w:p w14:paraId="07DECC10" w14:textId="77777777" w:rsidR="002A642B" w:rsidRDefault="002A642B" w:rsidP="007E7997">
      <w:pPr>
        <w:spacing w:line="240" w:lineRule="auto"/>
      </w:pPr>
      <w:r>
        <w:continuationSeparator/>
      </w:r>
    </w:p>
  </w:endnote>
  <w:endnote w:type="continuationNotice" w:id="1">
    <w:p w14:paraId="0B726DF5" w14:textId="77777777" w:rsidR="002A642B" w:rsidRDefault="002A6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2BE1" w14:textId="77777777" w:rsidR="00EC60E2" w:rsidRDefault="00EC60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0F0C" w14:textId="77777777" w:rsidR="00EC60E2" w:rsidRDefault="00EC60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B4A1" w14:textId="3889C157" w:rsidR="006A44DA" w:rsidRDefault="00EA4224" w:rsidP="002F54E6">
    <w:pPr>
      <w:pStyle w:val="Fuzeile"/>
      <w:jc w:val="right"/>
    </w:pPr>
    <w:r>
      <w:rPr>
        <w:rFonts w:asciiTheme="majorHAnsi" w:hAnsiTheme="majorHAnsi"/>
        <w:color w:val="FFFFFF" w:themeColor="background1"/>
      </w:rPr>
      <w:t>6</w:t>
    </w:r>
    <w:r w:rsidR="002F54E6">
      <w:rPr>
        <w:rFonts w:asciiTheme="majorHAnsi" w:hAnsiTheme="majorHAnsi"/>
        <w:color w:val="FFFFFF" w:themeColor="background1"/>
      </w:rPr>
      <w:t xml:space="preserve"> May 2022</w:t>
    </w:r>
    <w:r w:rsidR="006A44DA">
      <w:rPr>
        <w:rFonts w:asciiTheme="majorHAnsi" w:hAnsiTheme="majorHAnsi"/>
        <w:color w:val="FFFFFF" w:themeColor="background1"/>
      </w:rPr>
      <w:t xml:space="preserve"> | ESMA</w:t>
    </w:r>
    <w:r w:rsidR="002F54E6">
      <w:rPr>
        <w:rFonts w:asciiTheme="majorHAnsi" w:hAnsiTheme="majorHAnsi"/>
        <w:color w:val="FFFFFF" w:themeColor="background1"/>
      </w:rPr>
      <w:t>82-402-859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0596038D" w14:textId="0D4469B7" w:rsidR="006A44DA" w:rsidRDefault="006A44DA" w:rsidP="00B73281">
        <w:pPr>
          <w:pStyle w:val="Fuzeile"/>
          <w:jc w:val="right"/>
        </w:pPr>
        <w:r>
          <w:fldChar w:fldCharType="begin"/>
        </w:r>
        <w:r>
          <w:instrText xml:space="preserve"> PAGE   \* MERGEFORMAT </w:instrText>
        </w:r>
        <w:r>
          <w:fldChar w:fldCharType="separate"/>
        </w:r>
        <w:r w:rsidR="00671698">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21AE" w14:textId="77777777" w:rsidR="002A642B" w:rsidRDefault="002A642B" w:rsidP="007E7997">
      <w:pPr>
        <w:spacing w:line="240" w:lineRule="auto"/>
      </w:pPr>
      <w:bookmarkStart w:id="0" w:name="_Hlk102638719"/>
      <w:bookmarkEnd w:id="0"/>
      <w:r>
        <w:separator/>
      </w:r>
    </w:p>
  </w:footnote>
  <w:footnote w:type="continuationSeparator" w:id="0">
    <w:p w14:paraId="6814C233" w14:textId="77777777" w:rsidR="002A642B" w:rsidRDefault="002A642B" w:rsidP="007E7997">
      <w:pPr>
        <w:spacing w:line="240" w:lineRule="auto"/>
      </w:pPr>
      <w:r>
        <w:continuationSeparator/>
      </w:r>
    </w:p>
  </w:footnote>
  <w:footnote w:type="continuationNotice" w:id="1">
    <w:p w14:paraId="46457A21" w14:textId="77777777" w:rsidR="002A642B" w:rsidRDefault="002A642B">
      <w:pPr>
        <w:spacing w:after="0" w:line="240" w:lineRule="auto"/>
      </w:pPr>
    </w:p>
  </w:footnote>
  <w:footnote w:id="2">
    <w:p w14:paraId="328EE99C" w14:textId="77777777" w:rsidR="00E10D8E" w:rsidRDefault="00E10D8E" w:rsidP="00E10D8E">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2AAE" w14:textId="77777777" w:rsidR="00EC60E2" w:rsidRDefault="00EC60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6273" w14:textId="77777777" w:rsidR="00EC60E2" w:rsidRDefault="00EC60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B805" w14:textId="4EA3277D" w:rsidR="006A44DA" w:rsidRDefault="006A44DA">
    <w:pPr>
      <w:pStyle w:val="Kopfzeile"/>
    </w:pPr>
    <w:r>
      <w:rPr>
        <w:noProof/>
        <w:lang w:val="de-DE" w:eastAsia="de-DE"/>
      </w:rPr>
      <w:drawing>
        <wp:anchor distT="0" distB="0" distL="114300" distR="114300" simplePos="0" relativeHeight="251658240" behindDoc="1" locked="0" layoutInCell="1" allowOverlap="1" wp14:anchorId="5349BD1F" wp14:editId="6ABFA181">
          <wp:simplePos x="0" y="0"/>
          <wp:positionH relativeFrom="page">
            <wp:align>right</wp:align>
          </wp:positionH>
          <wp:positionV relativeFrom="page">
            <wp:align>bottom</wp:align>
          </wp:positionV>
          <wp:extent cx="7560310" cy="6800850"/>
          <wp:effectExtent l="0" t="0" r="2540" b="0"/>
          <wp:wrapNone/>
          <wp:docPr id="2" name="Picture 6"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r w:rsidR="0030314E">
      <w:rPr>
        <w:noProof/>
        <w:lang w:val="de-DE" w:eastAsia="de-DE"/>
      </w:rPr>
      <w:drawing>
        <wp:inline distT="0" distB="0" distL="0" distR="0" wp14:anchorId="642ECE72" wp14:editId="2E99E0BB">
          <wp:extent cx="5760720" cy="659130"/>
          <wp:effectExtent l="0" t="0" r="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9F88" w14:textId="605CE515" w:rsidR="006A44DA" w:rsidRPr="00E1522D" w:rsidRDefault="0037407C" w:rsidP="0037407C">
    <w:pPr>
      <w:pStyle w:val="Kopfzeile"/>
      <w:spacing w:after="0"/>
      <w:jc w:val="right"/>
      <w:rPr>
        <w:noProof/>
      </w:rPr>
    </w:pPr>
    <w:r>
      <w:rPr>
        <w:noProof/>
        <w:lang w:val="de-DE" w:eastAsia="de-DE"/>
      </w:rPr>
      <w:drawing>
        <wp:inline distT="0" distB="0" distL="0" distR="0" wp14:anchorId="66CD4811" wp14:editId="6B03F606">
          <wp:extent cx="5760720" cy="659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p w14:paraId="5E8AEFB5" w14:textId="77777777" w:rsidR="006A44DA" w:rsidRPr="00E1522D" w:rsidRDefault="006A44DA" w:rsidP="006C5A3D">
    <w:pPr>
      <w:pStyle w:val="Kopfzeile"/>
      <w:spacing w:after="0"/>
      <w:ind w:left="70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3C21E64"/>
    <w:multiLevelType w:val="hybridMultilevel"/>
    <w:tmpl w:val="97C6224C"/>
    <w:lvl w:ilvl="0" w:tplc="F13C2DE2">
      <w:start w:val="1"/>
      <w:numFmt w:val="decimal"/>
      <w:lvlText w:val="Q%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5792E13"/>
    <w:multiLevelType w:val="hybridMultilevel"/>
    <w:tmpl w:val="8EB66FA2"/>
    <w:lvl w:ilvl="0" w:tplc="11B0EBEE">
      <w:start w:val="1"/>
      <w:numFmt w:val="bullet"/>
      <w:pStyle w:val="Listenabsatz"/>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81F8751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5A6D"/>
    <w:multiLevelType w:val="hybridMultilevel"/>
    <w:tmpl w:val="FFDEAEC2"/>
    <w:lvl w:ilvl="0" w:tplc="08D4216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6BAD1101"/>
    <w:multiLevelType w:val="multilevel"/>
    <w:tmpl w:val="647663A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967200732">
    <w:abstractNumId w:val="4"/>
  </w:num>
  <w:num w:numId="2" w16cid:durableId="870265248">
    <w:abstractNumId w:val="4"/>
  </w:num>
  <w:num w:numId="3" w16cid:durableId="1549760943">
    <w:abstractNumId w:val="12"/>
  </w:num>
  <w:num w:numId="4" w16cid:durableId="2054499698">
    <w:abstractNumId w:val="5"/>
  </w:num>
  <w:num w:numId="5" w16cid:durableId="59865743">
    <w:abstractNumId w:val="11"/>
  </w:num>
  <w:num w:numId="6" w16cid:durableId="242422423">
    <w:abstractNumId w:val="9"/>
  </w:num>
  <w:num w:numId="7" w16cid:durableId="1647198554">
    <w:abstractNumId w:val="0"/>
  </w:num>
  <w:num w:numId="8" w16cid:durableId="2069642244">
    <w:abstractNumId w:val="6"/>
  </w:num>
  <w:num w:numId="9" w16cid:durableId="2138597889">
    <w:abstractNumId w:val="3"/>
  </w:num>
  <w:num w:numId="10" w16cid:durableId="332879610">
    <w:abstractNumId w:val="2"/>
  </w:num>
  <w:num w:numId="11" w16cid:durableId="32509152">
    <w:abstractNumId w:val="7"/>
  </w:num>
  <w:num w:numId="12" w16cid:durableId="230696491">
    <w:abstractNumId w:val="10"/>
  </w:num>
  <w:num w:numId="13" w16cid:durableId="1679843664">
    <w:abstractNumId w:val="8"/>
  </w:num>
  <w:num w:numId="14" w16cid:durableId="17686490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F5"/>
    <w:rsid w:val="000113B5"/>
    <w:rsid w:val="00012D68"/>
    <w:rsid w:val="00014FEE"/>
    <w:rsid w:val="00015167"/>
    <w:rsid w:val="000172BE"/>
    <w:rsid w:val="00020300"/>
    <w:rsid w:val="00025A7F"/>
    <w:rsid w:val="00027572"/>
    <w:rsid w:val="000344E9"/>
    <w:rsid w:val="000372BF"/>
    <w:rsid w:val="0004374E"/>
    <w:rsid w:val="00044C5A"/>
    <w:rsid w:val="00045811"/>
    <w:rsid w:val="000504AC"/>
    <w:rsid w:val="00054C9F"/>
    <w:rsid w:val="00060DA8"/>
    <w:rsid w:val="00066DFC"/>
    <w:rsid w:val="0006742B"/>
    <w:rsid w:val="00072AC7"/>
    <w:rsid w:val="0007369F"/>
    <w:rsid w:val="00087D2D"/>
    <w:rsid w:val="00087D8B"/>
    <w:rsid w:val="000A3C54"/>
    <w:rsid w:val="000A5C0E"/>
    <w:rsid w:val="000B5D3D"/>
    <w:rsid w:val="000C0CE0"/>
    <w:rsid w:val="000C3AD2"/>
    <w:rsid w:val="000C7EDE"/>
    <w:rsid w:val="000D1038"/>
    <w:rsid w:val="000D1E53"/>
    <w:rsid w:val="000E12D1"/>
    <w:rsid w:val="000E7879"/>
    <w:rsid w:val="0010534C"/>
    <w:rsid w:val="00107F3E"/>
    <w:rsid w:val="00110E98"/>
    <w:rsid w:val="00115648"/>
    <w:rsid w:val="00126D06"/>
    <w:rsid w:val="00130EF9"/>
    <w:rsid w:val="00132657"/>
    <w:rsid w:val="001351EF"/>
    <w:rsid w:val="0014084B"/>
    <w:rsid w:val="001449B6"/>
    <w:rsid w:val="00144AAD"/>
    <w:rsid w:val="0015164C"/>
    <w:rsid w:val="0016369E"/>
    <w:rsid w:val="00170D8A"/>
    <w:rsid w:val="00171C56"/>
    <w:rsid w:val="00173A98"/>
    <w:rsid w:val="001752CF"/>
    <w:rsid w:val="00194440"/>
    <w:rsid w:val="00197FF5"/>
    <w:rsid w:val="001B1683"/>
    <w:rsid w:val="001B2151"/>
    <w:rsid w:val="001B4996"/>
    <w:rsid w:val="001B73E7"/>
    <w:rsid w:val="001C69A8"/>
    <w:rsid w:val="001D23F4"/>
    <w:rsid w:val="001D7492"/>
    <w:rsid w:val="001E5761"/>
    <w:rsid w:val="001F6DD6"/>
    <w:rsid w:val="001F7E7D"/>
    <w:rsid w:val="0020439C"/>
    <w:rsid w:val="00205C40"/>
    <w:rsid w:val="0020622B"/>
    <w:rsid w:val="0021101C"/>
    <w:rsid w:val="00230B22"/>
    <w:rsid w:val="0023195F"/>
    <w:rsid w:val="00233DDB"/>
    <w:rsid w:val="0023429C"/>
    <w:rsid w:val="00245056"/>
    <w:rsid w:val="002513B1"/>
    <w:rsid w:val="002574D1"/>
    <w:rsid w:val="00261E50"/>
    <w:rsid w:val="00263AFF"/>
    <w:rsid w:val="00275315"/>
    <w:rsid w:val="002908B9"/>
    <w:rsid w:val="0029273D"/>
    <w:rsid w:val="002A642B"/>
    <w:rsid w:val="002B59F0"/>
    <w:rsid w:val="002D557C"/>
    <w:rsid w:val="002E1C11"/>
    <w:rsid w:val="002E20D6"/>
    <w:rsid w:val="002E4311"/>
    <w:rsid w:val="002E7268"/>
    <w:rsid w:val="002E7D7E"/>
    <w:rsid w:val="002F04CA"/>
    <w:rsid w:val="002F20D1"/>
    <w:rsid w:val="002F54E6"/>
    <w:rsid w:val="003006CF"/>
    <w:rsid w:val="0030314E"/>
    <w:rsid w:val="00306BA5"/>
    <w:rsid w:val="003077E7"/>
    <w:rsid w:val="00310DE9"/>
    <w:rsid w:val="00314117"/>
    <w:rsid w:val="00317DF8"/>
    <w:rsid w:val="00317EDF"/>
    <w:rsid w:val="0032385A"/>
    <w:rsid w:val="003276E5"/>
    <w:rsid w:val="003279E7"/>
    <w:rsid w:val="00332050"/>
    <w:rsid w:val="00332816"/>
    <w:rsid w:val="0033324D"/>
    <w:rsid w:val="003353AC"/>
    <w:rsid w:val="00337A48"/>
    <w:rsid w:val="003454ED"/>
    <w:rsid w:val="00345606"/>
    <w:rsid w:val="003529E9"/>
    <w:rsid w:val="0036068D"/>
    <w:rsid w:val="00366D42"/>
    <w:rsid w:val="0037245E"/>
    <w:rsid w:val="0037407C"/>
    <w:rsid w:val="00381295"/>
    <w:rsid w:val="0038592F"/>
    <w:rsid w:val="00391617"/>
    <w:rsid w:val="003C3E5C"/>
    <w:rsid w:val="003C4EB5"/>
    <w:rsid w:val="003C6717"/>
    <w:rsid w:val="003C79F3"/>
    <w:rsid w:val="003D0BD8"/>
    <w:rsid w:val="003D398E"/>
    <w:rsid w:val="003D61FE"/>
    <w:rsid w:val="003E1249"/>
    <w:rsid w:val="003E29F8"/>
    <w:rsid w:val="003E2D47"/>
    <w:rsid w:val="003F0BBC"/>
    <w:rsid w:val="003F39B1"/>
    <w:rsid w:val="003F4AFE"/>
    <w:rsid w:val="003F7A81"/>
    <w:rsid w:val="00405453"/>
    <w:rsid w:val="004153ED"/>
    <w:rsid w:val="00421F63"/>
    <w:rsid w:val="00424573"/>
    <w:rsid w:val="004302ED"/>
    <w:rsid w:val="00435FE9"/>
    <w:rsid w:val="00445696"/>
    <w:rsid w:val="00445C10"/>
    <w:rsid w:val="00446F7B"/>
    <w:rsid w:val="00451143"/>
    <w:rsid w:val="00454259"/>
    <w:rsid w:val="0046468F"/>
    <w:rsid w:val="0046718A"/>
    <w:rsid w:val="00473981"/>
    <w:rsid w:val="0048000F"/>
    <w:rsid w:val="004A3E32"/>
    <w:rsid w:val="004D1ECD"/>
    <w:rsid w:val="004D77C7"/>
    <w:rsid w:val="004E37CA"/>
    <w:rsid w:val="004E6F1E"/>
    <w:rsid w:val="004F4754"/>
    <w:rsid w:val="00501C1C"/>
    <w:rsid w:val="00504702"/>
    <w:rsid w:val="0050545C"/>
    <w:rsid w:val="00506D3C"/>
    <w:rsid w:val="0052388C"/>
    <w:rsid w:val="005264C5"/>
    <w:rsid w:val="00526E5D"/>
    <w:rsid w:val="0054364C"/>
    <w:rsid w:val="005647ED"/>
    <w:rsid w:val="00565193"/>
    <w:rsid w:val="00572A06"/>
    <w:rsid w:val="00580621"/>
    <w:rsid w:val="00583139"/>
    <w:rsid w:val="005927E6"/>
    <w:rsid w:val="005958C5"/>
    <w:rsid w:val="005A018C"/>
    <w:rsid w:val="005A07B6"/>
    <w:rsid w:val="005B3BA8"/>
    <w:rsid w:val="005B6B12"/>
    <w:rsid w:val="005B6F1F"/>
    <w:rsid w:val="005C03B4"/>
    <w:rsid w:val="005C14F2"/>
    <w:rsid w:val="005D33C8"/>
    <w:rsid w:val="005D391A"/>
    <w:rsid w:val="005E0B00"/>
    <w:rsid w:val="005E7F94"/>
    <w:rsid w:val="005F002F"/>
    <w:rsid w:val="005F1194"/>
    <w:rsid w:val="00600242"/>
    <w:rsid w:val="006014B2"/>
    <w:rsid w:val="00601C34"/>
    <w:rsid w:val="00602590"/>
    <w:rsid w:val="00604186"/>
    <w:rsid w:val="00611D6F"/>
    <w:rsid w:val="00616256"/>
    <w:rsid w:val="0062156D"/>
    <w:rsid w:val="00630BA4"/>
    <w:rsid w:val="00632142"/>
    <w:rsid w:val="006334B4"/>
    <w:rsid w:val="0063565E"/>
    <w:rsid w:val="00636DFF"/>
    <w:rsid w:val="00636E02"/>
    <w:rsid w:val="00637632"/>
    <w:rsid w:val="00642297"/>
    <w:rsid w:val="0064351D"/>
    <w:rsid w:val="00644A34"/>
    <w:rsid w:val="00661A25"/>
    <w:rsid w:val="00662882"/>
    <w:rsid w:val="00665A7C"/>
    <w:rsid w:val="00671363"/>
    <w:rsid w:val="00671698"/>
    <w:rsid w:val="00672409"/>
    <w:rsid w:val="00673CE3"/>
    <w:rsid w:val="006760AD"/>
    <w:rsid w:val="006764DB"/>
    <w:rsid w:val="00677061"/>
    <w:rsid w:val="00685A84"/>
    <w:rsid w:val="006918B0"/>
    <w:rsid w:val="006A30A8"/>
    <w:rsid w:val="006A44DA"/>
    <w:rsid w:val="006A6374"/>
    <w:rsid w:val="006A7A10"/>
    <w:rsid w:val="006B0DA4"/>
    <w:rsid w:val="006B1B6B"/>
    <w:rsid w:val="006B2A5C"/>
    <w:rsid w:val="006B34DC"/>
    <w:rsid w:val="006B6CDB"/>
    <w:rsid w:val="006C0D3A"/>
    <w:rsid w:val="006C5A3D"/>
    <w:rsid w:val="006D6963"/>
    <w:rsid w:val="006E145F"/>
    <w:rsid w:val="006E1AAD"/>
    <w:rsid w:val="006F53E8"/>
    <w:rsid w:val="007023F5"/>
    <w:rsid w:val="00706072"/>
    <w:rsid w:val="00711CE4"/>
    <w:rsid w:val="00712300"/>
    <w:rsid w:val="007151BF"/>
    <w:rsid w:val="0071656D"/>
    <w:rsid w:val="007205F7"/>
    <w:rsid w:val="00740229"/>
    <w:rsid w:val="0074433F"/>
    <w:rsid w:val="007455B1"/>
    <w:rsid w:val="00755BED"/>
    <w:rsid w:val="007627DB"/>
    <w:rsid w:val="0076571A"/>
    <w:rsid w:val="00766D94"/>
    <w:rsid w:val="007675BB"/>
    <w:rsid w:val="0077389C"/>
    <w:rsid w:val="0077421B"/>
    <w:rsid w:val="00777BD1"/>
    <w:rsid w:val="007823A2"/>
    <w:rsid w:val="007827A3"/>
    <w:rsid w:val="00784292"/>
    <w:rsid w:val="00785834"/>
    <w:rsid w:val="00794595"/>
    <w:rsid w:val="00794C71"/>
    <w:rsid w:val="00797E0C"/>
    <w:rsid w:val="007A6B67"/>
    <w:rsid w:val="007B10F5"/>
    <w:rsid w:val="007D104F"/>
    <w:rsid w:val="007D5C4D"/>
    <w:rsid w:val="007E02BC"/>
    <w:rsid w:val="007E7997"/>
    <w:rsid w:val="00804FED"/>
    <w:rsid w:val="00810C3D"/>
    <w:rsid w:val="008335F0"/>
    <w:rsid w:val="00836C05"/>
    <w:rsid w:val="00840EC8"/>
    <w:rsid w:val="00842AC5"/>
    <w:rsid w:val="00843C16"/>
    <w:rsid w:val="00846B78"/>
    <w:rsid w:val="008501E0"/>
    <w:rsid w:val="0085416E"/>
    <w:rsid w:val="0085465E"/>
    <w:rsid w:val="00855C88"/>
    <w:rsid w:val="0085754A"/>
    <w:rsid w:val="00870C6F"/>
    <w:rsid w:val="00874DAB"/>
    <w:rsid w:val="008755EE"/>
    <w:rsid w:val="008843A0"/>
    <w:rsid w:val="0089075A"/>
    <w:rsid w:val="00891391"/>
    <w:rsid w:val="008C0D92"/>
    <w:rsid w:val="008C767A"/>
    <w:rsid w:val="008D5C28"/>
    <w:rsid w:val="008D7023"/>
    <w:rsid w:val="008F7F5A"/>
    <w:rsid w:val="0091048B"/>
    <w:rsid w:val="00911534"/>
    <w:rsid w:val="009171B8"/>
    <w:rsid w:val="00924096"/>
    <w:rsid w:val="0092423D"/>
    <w:rsid w:val="00925E04"/>
    <w:rsid w:val="00931D41"/>
    <w:rsid w:val="00945DD5"/>
    <w:rsid w:val="00946BDA"/>
    <w:rsid w:val="00950990"/>
    <w:rsid w:val="00950A31"/>
    <w:rsid w:val="0096548F"/>
    <w:rsid w:val="00972E4C"/>
    <w:rsid w:val="0097496A"/>
    <w:rsid w:val="0097760F"/>
    <w:rsid w:val="0098532F"/>
    <w:rsid w:val="00993586"/>
    <w:rsid w:val="00994E3F"/>
    <w:rsid w:val="0099526D"/>
    <w:rsid w:val="009A0969"/>
    <w:rsid w:val="009A3DA7"/>
    <w:rsid w:val="009A7F6B"/>
    <w:rsid w:val="009B31E7"/>
    <w:rsid w:val="009B36BE"/>
    <w:rsid w:val="009B4709"/>
    <w:rsid w:val="009C07D7"/>
    <w:rsid w:val="009C7694"/>
    <w:rsid w:val="009D1E74"/>
    <w:rsid w:val="009D3C9A"/>
    <w:rsid w:val="009D7294"/>
    <w:rsid w:val="009F2918"/>
    <w:rsid w:val="009F2FD3"/>
    <w:rsid w:val="00A01456"/>
    <w:rsid w:val="00A0175F"/>
    <w:rsid w:val="00A026A4"/>
    <w:rsid w:val="00A0307C"/>
    <w:rsid w:val="00A0589A"/>
    <w:rsid w:val="00A13E49"/>
    <w:rsid w:val="00A163C1"/>
    <w:rsid w:val="00A16EC3"/>
    <w:rsid w:val="00A24AC3"/>
    <w:rsid w:val="00A26766"/>
    <w:rsid w:val="00A32EF9"/>
    <w:rsid w:val="00A33920"/>
    <w:rsid w:val="00A410CC"/>
    <w:rsid w:val="00A434A2"/>
    <w:rsid w:val="00A43AD1"/>
    <w:rsid w:val="00A43AD7"/>
    <w:rsid w:val="00A455D2"/>
    <w:rsid w:val="00A45F1D"/>
    <w:rsid w:val="00A505FA"/>
    <w:rsid w:val="00A57743"/>
    <w:rsid w:val="00A62801"/>
    <w:rsid w:val="00A630A5"/>
    <w:rsid w:val="00A6767E"/>
    <w:rsid w:val="00A772D0"/>
    <w:rsid w:val="00A85CBE"/>
    <w:rsid w:val="00A91D91"/>
    <w:rsid w:val="00A9366B"/>
    <w:rsid w:val="00A93713"/>
    <w:rsid w:val="00A9611B"/>
    <w:rsid w:val="00A968C2"/>
    <w:rsid w:val="00A96F4D"/>
    <w:rsid w:val="00AA054E"/>
    <w:rsid w:val="00AA4ABA"/>
    <w:rsid w:val="00AB7542"/>
    <w:rsid w:val="00AC01A0"/>
    <w:rsid w:val="00AC1E63"/>
    <w:rsid w:val="00AC22E5"/>
    <w:rsid w:val="00AC7764"/>
    <w:rsid w:val="00AC79E0"/>
    <w:rsid w:val="00AD0E2F"/>
    <w:rsid w:val="00AD150A"/>
    <w:rsid w:val="00AD239F"/>
    <w:rsid w:val="00AD617E"/>
    <w:rsid w:val="00AE4FC7"/>
    <w:rsid w:val="00B00DF5"/>
    <w:rsid w:val="00B02648"/>
    <w:rsid w:val="00B040F3"/>
    <w:rsid w:val="00B04283"/>
    <w:rsid w:val="00B070A9"/>
    <w:rsid w:val="00B074F3"/>
    <w:rsid w:val="00B076B9"/>
    <w:rsid w:val="00B11EFB"/>
    <w:rsid w:val="00B15C0B"/>
    <w:rsid w:val="00B17AF3"/>
    <w:rsid w:val="00B2023E"/>
    <w:rsid w:val="00B202C7"/>
    <w:rsid w:val="00B20E36"/>
    <w:rsid w:val="00B25A7D"/>
    <w:rsid w:val="00B260AC"/>
    <w:rsid w:val="00B267D5"/>
    <w:rsid w:val="00B27499"/>
    <w:rsid w:val="00B32042"/>
    <w:rsid w:val="00B40437"/>
    <w:rsid w:val="00B40D81"/>
    <w:rsid w:val="00B50071"/>
    <w:rsid w:val="00B50534"/>
    <w:rsid w:val="00B52E10"/>
    <w:rsid w:val="00B57D8B"/>
    <w:rsid w:val="00B655D1"/>
    <w:rsid w:val="00B6570C"/>
    <w:rsid w:val="00B6662F"/>
    <w:rsid w:val="00B73281"/>
    <w:rsid w:val="00B764AE"/>
    <w:rsid w:val="00B7765E"/>
    <w:rsid w:val="00B85764"/>
    <w:rsid w:val="00B879A3"/>
    <w:rsid w:val="00B90569"/>
    <w:rsid w:val="00B91B6E"/>
    <w:rsid w:val="00B95C5A"/>
    <w:rsid w:val="00B96305"/>
    <w:rsid w:val="00BA3F69"/>
    <w:rsid w:val="00BA7F87"/>
    <w:rsid w:val="00BB449C"/>
    <w:rsid w:val="00BC2561"/>
    <w:rsid w:val="00BC422A"/>
    <w:rsid w:val="00BE225E"/>
    <w:rsid w:val="00BE2B4F"/>
    <w:rsid w:val="00BE417A"/>
    <w:rsid w:val="00BE6D41"/>
    <w:rsid w:val="00BF25CD"/>
    <w:rsid w:val="00BF277E"/>
    <w:rsid w:val="00BF6015"/>
    <w:rsid w:val="00BF6211"/>
    <w:rsid w:val="00C0696A"/>
    <w:rsid w:val="00C123AA"/>
    <w:rsid w:val="00C138DD"/>
    <w:rsid w:val="00C13A4F"/>
    <w:rsid w:val="00C17BCF"/>
    <w:rsid w:val="00C36B53"/>
    <w:rsid w:val="00C36BA7"/>
    <w:rsid w:val="00C4316E"/>
    <w:rsid w:val="00C56E44"/>
    <w:rsid w:val="00C570F9"/>
    <w:rsid w:val="00C714ED"/>
    <w:rsid w:val="00C7327D"/>
    <w:rsid w:val="00C775F7"/>
    <w:rsid w:val="00C84A0F"/>
    <w:rsid w:val="00C91D1F"/>
    <w:rsid w:val="00CA236F"/>
    <w:rsid w:val="00CB50EF"/>
    <w:rsid w:val="00CB791A"/>
    <w:rsid w:val="00CD47B2"/>
    <w:rsid w:val="00CD6D2E"/>
    <w:rsid w:val="00CE49F8"/>
    <w:rsid w:val="00CE55C4"/>
    <w:rsid w:val="00CF01DC"/>
    <w:rsid w:val="00CF0BAC"/>
    <w:rsid w:val="00D0373D"/>
    <w:rsid w:val="00D12845"/>
    <w:rsid w:val="00D22F2F"/>
    <w:rsid w:val="00D23A01"/>
    <w:rsid w:val="00D244BC"/>
    <w:rsid w:val="00D307AD"/>
    <w:rsid w:val="00D33C31"/>
    <w:rsid w:val="00D46275"/>
    <w:rsid w:val="00D474F3"/>
    <w:rsid w:val="00D502D3"/>
    <w:rsid w:val="00D50609"/>
    <w:rsid w:val="00D604F0"/>
    <w:rsid w:val="00D60C99"/>
    <w:rsid w:val="00D67BC8"/>
    <w:rsid w:val="00D73338"/>
    <w:rsid w:val="00D73444"/>
    <w:rsid w:val="00D740B5"/>
    <w:rsid w:val="00D76242"/>
    <w:rsid w:val="00D80D5B"/>
    <w:rsid w:val="00DA2FD3"/>
    <w:rsid w:val="00DA6474"/>
    <w:rsid w:val="00DA74C1"/>
    <w:rsid w:val="00DB0A9C"/>
    <w:rsid w:val="00DB108B"/>
    <w:rsid w:val="00DD274B"/>
    <w:rsid w:val="00DE18F7"/>
    <w:rsid w:val="00DE3473"/>
    <w:rsid w:val="00DF14DE"/>
    <w:rsid w:val="00DF33B7"/>
    <w:rsid w:val="00DF3785"/>
    <w:rsid w:val="00DF4CF1"/>
    <w:rsid w:val="00E02098"/>
    <w:rsid w:val="00E0467F"/>
    <w:rsid w:val="00E10D8E"/>
    <w:rsid w:val="00E14CBC"/>
    <w:rsid w:val="00E1522D"/>
    <w:rsid w:val="00E21617"/>
    <w:rsid w:val="00E2422C"/>
    <w:rsid w:val="00E25665"/>
    <w:rsid w:val="00E271B2"/>
    <w:rsid w:val="00E27B64"/>
    <w:rsid w:val="00E3456B"/>
    <w:rsid w:val="00E3581B"/>
    <w:rsid w:val="00E366E2"/>
    <w:rsid w:val="00E3676C"/>
    <w:rsid w:val="00E36A9D"/>
    <w:rsid w:val="00E55BB9"/>
    <w:rsid w:val="00E60938"/>
    <w:rsid w:val="00E65F35"/>
    <w:rsid w:val="00E74E8C"/>
    <w:rsid w:val="00E81C78"/>
    <w:rsid w:val="00E83512"/>
    <w:rsid w:val="00E849A6"/>
    <w:rsid w:val="00EA03D7"/>
    <w:rsid w:val="00EA4224"/>
    <w:rsid w:val="00EB2E93"/>
    <w:rsid w:val="00EB501F"/>
    <w:rsid w:val="00EB66F2"/>
    <w:rsid w:val="00EC60E2"/>
    <w:rsid w:val="00EC6BD8"/>
    <w:rsid w:val="00EC6E10"/>
    <w:rsid w:val="00EC7CA9"/>
    <w:rsid w:val="00ED4213"/>
    <w:rsid w:val="00ED5030"/>
    <w:rsid w:val="00ED74D7"/>
    <w:rsid w:val="00EF56C3"/>
    <w:rsid w:val="00EF5B11"/>
    <w:rsid w:val="00EF5CB6"/>
    <w:rsid w:val="00F00950"/>
    <w:rsid w:val="00F01F41"/>
    <w:rsid w:val="00F05596"/>
    <w:rsid w:val="00F06455"/>
    <w:rsid w:val="00F1604B"/>
    <w:rsid w:val="00F1684E"/>
    <w:rsid w:val="00F226E0"/>
    <w:rsid w:val="00F23E35"/>
    <w:rsid w:val="00F24BA4"/>
    <w:rsid w:val="00F303C1"/>
    <w:rsid w:val="00F32EF1"/>
    <w:rsid w:val="00F44161"/>
    <w:rsid w:val="00F53933"/>
    <w:rsid w:val="00F53C7C"/>
    <w:rsid w:val="00F5563E"/>
    <w:rsid w:val="00F6168C"/>
    <w:rsid w:val="00F67EBD"/>
    <w:rsid w:val="00F71462"/>
    <w:rsid w:val="00F76DCA"/>
    <w:rsid w:val="00F80FAB"/>
    <w:rsid w:val="00F83667"/>
    <w:rsid w:val="00F840B0"/>
    <w:rsid w:val="00F87C05"/>
    <w:rsid w:val="00F900C0"/>
    <w:rsid w:val="00F9191B"/>
    <w:rsid w:val="00F94E4D"/>
    <w:rsid w:val="00F97331"/>
    <w:rsid w:val="00FA04F0"/>
    <w:rsid w:val="00FA0D71"/>
    <w:rsid w:val="00FB3B3B"/>
    <w:rsid w:val="00FC453B"/>
    <w:rsid w:val="00FC649A"/>
    <w:rsid w:val="00FD0060"/>
    <w:rsid w:val="00FE5B1B"/>
    <w:rsid w:val="00FF3D3F"/>
    <w:rsid w:val="00FF7B7C"/>
    <w:rsid w:val="00FF7E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922CA"/>
  <w15:docId w15:val="{AD1420BE-C1B1-45F4-ABD2-BE2A34EA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3444"/>
    <w:pPr>
      <w:spacing w:after="250" w:line="276" w:lineRule="auto"/>
      <w:jc w:val="both"/>
    </w:pPr>
    <w:rPr>
      <w:sz w:val="22"/>
      <w:lang w:val="en-GB"/>
    </w:rPr>
  </w:style>
  <w:style w:type="paragraph" w:styleId="berschrift1">
    <w:name w:val="heading 1"/>
    <w:basedOn w:val="Standard"/>
    <w:next w:val="Standard"/>
    <w:link w:val="berschrift1Zchn"/>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E65F35"/>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48000F"/>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E65F35"/>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rFonts w:asciiTheme="majorHAnsi" w:hAnsiTheme="majorHAnsi"/>
      <w:b/>
      <w:sz w:val="28"/>
    </w:rPr>
  </w:style>
  <w:style w:type="character" w:customStyle="1" w:styleId="Title1Char">
    <w:name w:val="Title 1 Char"/>
    <w:basedOn w:val="Absatz-Standardschriftart"/>
    <w:link w:val="Title1"/>
    <w:rsid w:val="003C4EB5"/>
    <w:rPr>
      <w:rFonts w:asciiTheme="majorHAnsi" w:hAnsiTheme="majorHAnsi"/>
      <w:b/>
      <w:sz w:val="28"/>
    </w:rPr>
  </w:style>
  <w:style w:type="paragraph" w:styleId="Listenabsatz">
    <w:name w:val="List Paragraph"/>
    <w:aliases w:val="Paragraphe EI,Paragraphe de liste1,EC"/>
    <w:basedOn w:val="Standard"/>
    <w:link w:val="ListenabsatzZchn"/>
    <w:autoRedefine/>
    <w:uiPriority w:val="34"/>
    <w:qFormat/>
    <w:rsid w:val="00A16EC3"/>
    <w:pPr>
      <w:numPr>
        <w:numId w:val="11"/>
      </w:numPr>
      <w:spacing w:after="240"/>
      <w:ind w:left="567" w:hanging="567"/>
    </w:p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style>
  <w:style w:type="paragraph" w:customStyle="1" w:styleId="Title2">
    <w:name w:val="Title 2"/>
    <w:basedOn w:val="Title1"/>
    <w:link w:val="Title2Char"/>
    <w:autoRedefine/>
    <w:rsid w:val="002574D1"/>
    <w:pPr>
      <w:numPr>
        <w:ilvl w:val="1"/>
        <w:numId w:val="1"/>
      </w:numPr>
      <w:spacing w:after="0"/>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2"/>
      <w:szCs w:val="22"/>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44546A" w:themeColor="text2"/>
      <w:sz w:val="21"/>
      <w:szCs w:val="21"/>
    </w:rPr>
  </w:style>
  <w:style w:type="paragraph" w:styleId="Titel">
    <w:name w:val="Title"/>
    <w:basedOn w:val="Standard"/>
    <w:next w:val="Standard"/>
    <w:link w:val="TitelZchn"/>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44546A" w:themeColor="text2"/>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44546A" w:themeColor="text2"/>
    </w:rPr>
  </w:style>
  <w:style w:type="paragraph" w:styleId="Beschriftung">
    <w:name w:val="caption"/>
    <w:basedOn w:val="Standard"/>
    <w:next w:val="Standard"/>
    <w:uiPriority w:val="35"/>
    <w:semiHidden/>
    <w:unhideWhenUsed/>
    <w:qFormat/>
    <w:rsid w:val="00AA054E"/>
    <w:pPr>
      <w:spacing w:line="240" w:lineRule="auto"/>
    </w:pPr>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Question,Text,Diskret betoning,Emphase pâle"/>
    <w:basedOn w:val="Absatz-Standardschriftart"/>
    <w:uiPriority w:val="19"/>
    <w:qFormat/>
    <w:rsid w:val="00AA054E"/>
    <w:rPr>
      <w:i/>
      <w:iCs/>
      <w:color w:val="404040"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BC422A"/>
    <w:pPr>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B91B6E"/>
    <w:pPr>
      <w:contextualSpacing/>
    </w:pPr>
    <w:rPr>
      <w:b/>
    </w:rPr>
  </w:style>
  <w:style w:type="character" w:customStyle="1" w:styleId="QuestionstyleChar">
    <w:name w:val="Question style Char"/>
    <w:basedOn w:val="Absatz-Standardschriftart"/>
    <w:link w:val="Questionstyle"/>
    <w:rsid w:val="00B91B6E"/>
    <w:rPr>
      <w:b/>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pPr>
      <w:spacing w:after="0" w:line="240" w:lineRule="auto"/>
    </w:pPr>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Standard"/>
    <w:next w:val="Standard"/>
    <w:autoRedefine/>
    <w:uiPriority w:val="39"/>
    <w:unhideWhenUsed/>
    <w:rsid w:val="00CF0BAC"/>
    <w:pPr>
      <w:spacing w:after="100"/>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customStyle="1" w:styleId="ListenabsatzZchn">
    <w:name w:val="Listenabsatz Zchn"/>
    <w:aliases w:val="Paragraphe EI Zchn,Paragraphe de liste1 Zchn,EC Zchn"/>
    <w:link w:val="Listenabsatz"/>
    <w:uiPriority w:val="34"/>
    <w:locked/>
    <w:rsid w:val="00A16EC3"/>
    <w:rPr>
      <w:sz w:val="22"/>
      <w:lang w:val="en-GB"/>
    </w:rPr>
  </w:style>
  <w:style w:type="character" w:styleId="Platzhaltertext">
    <w:name w:val="Placeholder Text"/>
    <w:uiPriority w:val="99"/>
    <w:semiHidden/>
    <w:rsid w:val="00A16EC3"/>
    <w:rPr>
      <w:color w:val="808080"/>
    </w:rPr>
  </w:style>
  <w:style w:type="paragraph" w:customStyle="1" w:styleId="Default">
    <w:name w:val="Default"/>
    <w:rsid w:val="00B32042"/>
    <w:pPr>
      <w:autoSpaceDE w:val="0"/>
      <w:autoSpaceDN w:val="0"/>
      <w:adjustRightInd w:val="0"/>
      <w:spacing w:after="0" w:line="240" w:lineRule="auto"/>
    </w:pPr>
    <w:rPr>
      <w:rFonts w:ascii="Calibri" w:hAnsi="Calibri" w:cs="Calibri"/>
      <w:color w:val="000000"/>
      <w:sz w:val="24"/>
      <w:szCs w:val="24"/>
      <w:lang w:val="de-DE"/>
    </w:rPr>
  </w:style>
  <w:style w:type="paragraph" w:customStyle="1" w:styleId="Flietext">
    <w:name w:val="Fließtext"/>
    <w:basedOn w:val="Standard"/>
    <w:rsid w:val="00994E3F"/>
    <w:pPr>
      <w:spacing w:after="0" w:line="300" w:lineRule="exact"/>
      <w:jc w:val="left"/>
    </w:pPr>
    <w:rPr>
      <w:rFonts w:ascii="Verdana" w:eastAsia="Times New Roman" w:hAnsi="Verdana" w:cs="Times New Roman"/>
      <w:sz w:val="20"/>
      <w:szCs w:val="24"/>
      <w:lang w:val="de-DE" w:eastAsia="de-DE"/>
    </w:rPr>
  </w:style>
  <w:style w:type="paragraph" w:styleId="berarbeitung">
    <w:name w:val="Revision"/>
    <w:hidden/>
    <w:uiPriority w:val="99"/>
    <w:semiHidden/>
    <w:rsid w:val="00A6767E"/>
    <w:pPr>
      <w:spacing w:after="0" w:line="240" w:lineRule="auto"/>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040">
      <w:bodyDiv w:val="1"/>
      <w:marLeft w:val="0"/>
      <w:marRight w:val="0"/>
      <w:marTop w:val="0"/>
      <w:marBottom w:val="0"/>
      <w:divBdr>
        <w:top w:val="none" w:sz="0" w:space="0" w:color="auto"/>
        <w:left w:val="none" w:sz="0" w:space="0" w:color="auto"/>
        <w:bottom w:val="none" w:sz="0" w:space="0" w:color="auto"/>
        <w:right w:val="none" w:sz="0" w:space="0" w:color="auto"/>
      </w:divBdr>
    </w:div>
    <w:div w:id="198595239">
      <w:bodyDiv w:val="1"/>
      <w:marLeft w:val="0"/>
      <w:marRight w:val="0"/>
      <w:marTop w:val="0"/>
      <w:marBottom w:val="0"/>
      <w:divBdr>
        <w:top w:val="none" w:sz="0" w:space="0" w:color="auto"/>
        <w:left w:val="none" w:sz="0" w:space="0" w:color="auto"/>
        <w:bottom w:val="none" w:sz="0" w:space="0" w:color="auto"/>
        <w:right w:val="none" w:sz="0" w:space="0" w:color="auto"/>
      </w:divBdr>
    </w:div>
    <w:div w:id="628436168">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933174680">
      <w:bodyDiv w:val="1"/>
      <w:marLeft w:val="0"/>
      <w:marRight w:val="0"/>
      <w:marTop w:val="0"/>
      <w:marBottom w:val="0"/>
      <w:divBdr>
        <w:top w:val="none" w:sz="0" w:space="0" w:color="auto"/>
        <w:left w:val="none" w:sz="0" w:space="0" w:color="auto"/>
        <w:bottom w:val="none" w:sz="0" w:space="0" w:color="auto"/>
        <w:right w:val="none" w:sz="0" w:space="0" w:color="auto"/>
      </w:divBdr>
    </w:div>
    <w:div w:id="937756284">
      <w:bodyDiv w:val="1"/>
      <w:marLeft w:val="0"/>
      <w:marRight w:val="0"/>
      <w:marTop w:val="0"/>
      <w:marBottom w:val="0"/>
      <w:divBdr>
        <w:top w:val="none" w:sz="0" w:space="0" w:color="auto"/>
        <w:left w:val="none" w:sz="0" w:space="0" w:color="auto"/>
        <w:bottom w:val="none" w:sz="0" w:space="0" w:color="auto"/>
        <w:right w:val="none" w:sz="0" w:space="0" w:color="auto"/>
      </w:divBdr>
    </w:div>
    <w:div w:id="1064329033">
      <w:bodyDiv w:val="1"/>
      <w:marLeft w:val="0"/>
      <w:marRight w:val="0"/>
      <w:marTop w:val="0"/>
      <w:marBottom w:val="0"/>
      <w:divBdr>
        <w:top w:val="none" w:sz="0" w:space="0" w:color="auto"/>
        <w:left w:val="none" w:sz="0" w:space="0" w:color="auto"/>
        <w:bottom w:val="none" w:sz="0" w:space="0" w:color="auto"/>
        <w:right w:val="none" w:sz="0" w:space="0" w:color="auto"/>
      </w:divBdr>
    </w:div>
    <w:div w:id="1069112766">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85637508">
      <w:bodyDiv w:val="1"/>
      <w:marLeft w:val="0"/>
      <w:marRight w:val="0"/>
      <w:marTop w:val="0"/>
      <w:marBottom w:val="0"/>
      <w:divBdr>
        <w:top w:val="none" w:sz="0" w:space="0" w:color="auto"/>
        <w:left w:val="none" w:sz="0" w:space="0" w:color="auto"/>
        <w:bottom w:val="none" w:sz="0" w:space="0" w:color="auto"/>
        <w:right w:val="none" w:sz="0" w:space="0" w:color="auto"/>
      </w:divBdr>
    </w:div>
    <w:div w:id="1499465073">
      <w:bodyDiv w:val="1"/>
      <w:marLeft w:val="0"/>
      <w:marRight w:val="0"/>
      <w:marTop w:val="0"/>
      <w:marBottom w:val="0"/>
      <w:divBdr>
        <w:top w:val="none" w:sz="0" w:space="0" w:color="auto"/>
        <w:left w:val="none" w:sz="0" w:space="0" w:color="auto"/>
        <w:bottom w:val="none" w:sz="0" w:space="0" w:color="auto"/>
        <w:right w:val="none" w:sz="0" w:space="0" w:color="auto"/>
      </w:divBdr>
    </w:div>
    <w:div w:id="1639072113">
      <w:bodyDiv w:val="1"/>
      <w:marLeft w:val="0"/>
      <w:marRight w:val="0"/>
      <w:marTop w:val="0"/>
      <w:marBottom w:val="0"/>
      <w:divBdr>
        <w:top w:val="none" w:sz="0" w:space="0" w:color="auto"/>
        <w:left w:val="none" w:sz="0" w:space="0" w:color="auto"/>
        <w:bottom w:val="none" w:sz="0" w:space="0" w:color="auto"/>
        <w:right w:val="none" w:sz="0" w:space="0" w:color="auto"/>
      </w:divBdr>
    </w:div>
    <w:div w:id="1757244649">
      <w:bodyDiv w:val="1"/>
      <w:marLeft w:val="0"/>
      <w:marRight w:val="0"/>
      <w:marTop w:val="0"/>
      <w:marBottom w:val="0"/>
      <w:divBdr>
        <w:top w:val="none" w:sz="0" w:space="0" w:color="auto"/>
        <w:left w:val="none" w:sz="0" w:space="0" w:color="auto"/>
        <w:bottom w:val="none" w:sz="0" w:space="0" w:color="auto"/>
        <w:right w:val="none" w:sz="0" w:space="0" w:color="auto"/>
      </w:divBdr>
    </w:div>
    <w:div w:id="1826434516">
      <w:bodyDiv w:val="1"/>
      <w:marLeft w:val="0"/>
      <w:marRight w:val="0"/>
      <w:marTop w:val="0"/>
      <w:marBottom w:val="0"/>
      <w:divBdr>
        <w:top w:val="none" w:sz="0" w:space="0" w:color="auto"/>
        <w:left w:val="none" w:sz="0" w:space="0" w:color="auto"/>
        <w:bottom w:val="none" w:sz="0" w:space="0" w:color="auto"/>
        <w:right w:val="none" w:sz="0" w:space="0" w:color="auto"/>
      </w:divBdr>
    </w:div>
    <w:div w:id="1864515473">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1959095892">
      <w:bodyDiv w:val="1"/>
      <w:marLeft w:val="0"/>
      <w:marRight w:val="0"/>
      <w:marTop w:val="0"/>
      <w:marBottom w:val="0"/>
      <w:divBdr>
        <w:top w:val="none" w:sz="0" w:space="0" w:color="auto"/>
        <w:left w:val="none" w:sz="0" w:space="0" w:color="auto"/>
        <w:bottom w:val="none" w:sz="0" w:space="0" w:color="auto"/>
        <w:right w:val="none" w:sz="0" w:space="0" w:color="auto"/>
      </w:divBdr>
    </w:div>
    <w:div w:id="1986428027">
      <w:bodyDiv w:val="1"/>
      <w:marLeft w:val="0"/>
      <w:marRight w:val="0"/>
      <w:marTop w:val="0"/>
      <w:marBottom w:val="0"/>
      <w:divBdr>
        <w:top w:val="none" w:sz="0" w:space="0" w:color="auto"/>
        <w:left w:val="none" w:sz="0" w:space="0" w:color="auto"/>
        <w:bottom w:val="none" w:sz="0" w:space="0" w:color="auto"/>
        <w:right w:val="none" w:sz="0" w:space="0" w:color="auto"/>
      </w:divBdr>
    </w:div>
    <w:div w:id="20237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ba.europa.eu/legal-notic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sma.europa.eu/press-news/consultation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iopa.europa.eu/Pages/Links/Legal-noti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586b61-ba9e-4738-8b98-75004d01f6e2" xsi:nil="true"/>
    <_Version xmlns="http://schemas.microsoft.com/sharepoint/v3/fields" xsi:nil="true"/>
    <lcf76f155ced4ddcb4097134ff3c332f xmlns="4ed63ca0-4b05-471e-849e-50be3a6073a5">
      <Terms xmlns="http://schemas.microsoft.com/office/infopath/2007/PartnerControls"/>
    </lcf76f155ced4ddcb4097134ff3c332f>
    <_Flow_SignoffStatus xmlns="4ed63ca0-4b05-471e-849e-50be3a6073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2F864174C1F674B9559266916A1AC5D" ma:contentTypeVersion="23" ma:contentTypeDescription="Ein neues Dokument erstellen." ma:contentTypeScope="" ma:versionID="8b8624b02153e33c139ecdf1d93926fc">
  <xsd:schema xmlns:xsd="http://www.w3.org/2001/XMLSchema" xmlns:xs="http://www.w3.org/2001/XMLSchema" xmlns:p="http://schemas.microsoft.com/office/2006/metadata/properties" xmlns:ns2="4ed63ca0-4b05-471e-849e-50be3a6073a5" xmlns:ns3="ad586b61-ba9e-4738-8b98-75004d01f6e2" xmlns:ns4="http://schemas.microsoft.com/sharepoint/v3/fields" targetNamespace="http://schemas.microsoft.com/office/2006/metadata/properties" ma:root="true" ma:fieldsID="47c761e05fc4cf6f5df13a944dc458a1" ns2:_="" ns3:_="" ns4:_="">
    <xsd:import namespace="4ed63ca0-4b05-471e-849e-50be3a6073a5"/>
    <xsd:import namespace="ad586b61-ba9e-4738-8b98-75004d01f6e2"/>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4:_Vers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63ca0-4b05-471e-849e-50be3a607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us Unterschrift" ma:internalName="Status_x0020_Unterschrift">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9804edd3-801e-418a-ae94-8f39c9ccaa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586b61-ba9e-4738-8b98-75004d01f6e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0c7f738-c7d2-48e8-9e05-17ee4a2b728b}" ma:internalName="TaxCatchAll" ma:showField="CatchAllData" ma:web="ad586b61-ba9e-4738-8b98-75004d01f6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1" nillable="true" ma:displayName="Version" ma:internalName="_Ver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86F54-3814-4DDC-AA7D-257C5DAB90F6}">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ad586b61-ba9e-4738-8b98-75004d01f6e2"/>
    <ds:schemaRef ds:uri="http://schemas.microsoft.com/sharepoint/v3/fields"/>
    <ds:schemaRef ds:uri="4ed63ca0-4b05-471e-849e-50be3a6073a5"/>
  </ds:schemaRefs>
</ds:datastoreItem>
</file>

<file path=customXml/itemProps4.xml><?xml version="1.0" encoding="utf-8"?>
<ds:datastoreItem xmlns:ds="http://schemas.openxmlformats.org/officeDocument/2006/customXml" ds:itemID="{D65B1C85-C06A-4DF8-9FCF-C12F447A6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63ca0-4b05-471e-849e-50be3a6073a5"/>
    <ds:schemaRef ds:uri="ad586b61-ba9e-4738-8b98-75004d01f6e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2054</Words>
  <Characters>12946</Characters>
  <Application>Microsoft Office Word</Application>
  <DocSecurity>0</DocSecurity>
  <Lines>107</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Peiter</dc:creator>
  <cp:keywords/>
  <cp:lastModifiedBy>Benedict Braus</cp:lastModifiedBy>
  <cp:revision>3</cp:revision>
  <cp:lastPrinted>2022-06-27T10:56:00Z</cp:lastPrinted>
  <dcterms:created xsi:type="dcterms:W3CDTF">2022-07-02T07:54:00Z</dcterms:created>
  <dcterms:modified xsi:type="dcterms:W3CDTF">2022-07-02T08:32:00Z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50acab3f6949599688191e8740e810">
    <vt:lpwstr>Regular|07f1e362-856b-423d-bea6-a14079762141</vt:lpwstr>
  </property>
  <property fmtid="{D5CDD505-2E9C-101B-9397-08002B2CF9AE}" pid="3" name="n84bf37b4eaf4fd99e887816221de8a8">
    <vt:lpwstr>EN|f7e7f686-dfa7-4032-a218-a5881e990598</vt:lpwstr>
  </property>
  <property fmtid="{D5CDD505-2E9C-101B-9397-08002B2CF9AE}" pid="4" name="ESMATemplatesConfidentialityLevel">
    <vt:lpwstr>5;#Regular|07f1e362-856b-423d-bea6-a14079762141</vt:lpwstr>
  </property>
  <property fmtid="{D5CDD505-2E9C-101B-9397-08002B2CF9AE}" pid="5" name="ESMATemplatesTopic">
    <vt:lpwstr>105;#Report|6152310e-8bc8-447a-92f1-7d43d5ef86b8</vt:lpwstr>
  </property>
  <property fmtid="{D5CDD505-2E9C-101B-9397-08002B2CF9AE}" pid="6" name="_dlc_DocIdItemGuid">
    <vt:lpwstr>6700fca0-e24f-4110-aca0-8fef833c174d</vt:lpwstr>
  </property>
  <property fmtid="{D5CDD505-2E9C-101B-9397-08002B2CF9AE}" pid="7" name="EsmaAudience">
    <vt:lpwstr>62;#Public|902c1e7c-3957-48c1-abbe-acf26525b3f2</vt:lpwstr>
  </property>
  <property fmtid="{D5CDD505-2E9C-101B-9397-08002B2CF9AE}" pid="8" name="Topic">
    <vt:lpwstr>45;#Securitisation Network|07192484-6f74-4c4a-9bf3-6b2ee3ad64d5</vt:lpwstr>
  </property>
  <property fmtid="{D5CDD505-2E9C-101B-9397-08002B2CF9AE}" pid="9" name="ConfidentialityLevel">
    <vt:lpwstr>57;#Public|a0c619ff-bd46-48f0-b213-6b7c03fe156d</vt:lpwstr>
  </property>
  <property fmtid="{D5CDD505-2E9C-101B-9397-08002B2CF9AE}" pid="10" name="DocumentType">
    <vt:lpwstr>17;#Report|78753201-1e9e-4a21-a088-6ff602b5c999</vt:lpwstr>
  </property>
  <property fmtid="{D5CDD505-2E9C-101B-9397-08002B2CF9AE}" pid="11" name="SubTopic">
    <vt:lpwstr>233;#SECR 2|88b0798f-52be-4847-90d9-7d4712a840fa</vt:lpwstr>
  </property>
  <property fmtid="{D5CDD505-2E9C-101B-9397-08002B2CF9AE}" pid="12" name="ContentTypeId">
    <vt:lpwstr>0x010100D2F864174C1F674B9559266916A1AC5D</vt:lpwstr>
  </property>
  <property fmtid="{D5CDD505-2E9C-101B-9397-08002B2CF9AE}" pid="13" name="MediaServiceImageTags">
    <vt:lpwstr/>
  </property>
</Properties>
</file>