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sz w:val="28"/>
          <w:szCs w:val="24"/>
          <w:lang w:eastAsia="de-DE"/>
        </w:rPr>
        <w:id w:val="-973058580"/>
        <w:docPartObj>
          <w:docPartGallery w:val="Cover Pages"/>
          <w:docPartUnique/>
        </w:docPartObj>
      </w:sdtPr>
      <w:sdtEndPr>
        <w:rPr>
          <w:rFonts w:ascii="Arial" w:eastAsia="Times New Roman" w:hAnsi="Arial" w:cs="Times New Roman"/>
          <w:b w:val="0"/>
          <w:bCs/>
          <w:iCs/>
          <w:sz w:val="17"/>
        </w:rPr>
      </w:sdtEndPr>
      <w:sdtContent>
        <w:p w14:paraId="60E0DB7B" w14:textId="77777777"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14:paraId="11ED3B68" w14:textId="77777777" w:rsidTr="00E10D8E">
            <w:trPr>
              <w:trHeight w:hRule="exact" w:val="1423"/>
            </w:trPr>
            <w:tc>
              <w:tcPr>
                <w:tcW w:w="9412" w:type="dxa"/>
                <w:vAlign w:val="bottom"/>
              </w:tcPr>
              <w:p w14:paraId="2D50DAF9" w14:textId="6FA25BFB" w:rsidR="007E7997" w:rsidRPr="005B6B12" w:rsidRDefault="00E10D8E" w:rsidP="007E7997">
                <w:pPr>
                  <w:pStyle w:val="Title"/>
                </w:pPr>
                <w:r w:rsidRPr="00E10D8E">
                  <w:rPr>
                    <w:rFonts w:ascii="Arial" w:eastAsia="Times New Roman" w:hAnsi="Arial" w:cs="Arial"/>
                    <w:color w:val="2D4190"/>
                    <w:spacing w:val="0"/>
                    <w:sz w:val="40"/>
                    <w:szCs w:val="24"/>
                    <w:lang w:eastAsia="de-DE"/>
                  </w:rPr>
                  <w:t>Response form for the Joint Consultation Paper concerning</w:t>
                </w:r>
                <w:r>
                  <w:rPr>
                    <w:rFonts w:ascii="Arial" w:eastAsia="Times New Roman" w:hAnsi="Arial" w:cs="Arial"/>
                    <w:color w:val="2D4190"/>
                    <w:spacing w:val="0"/>
                    <w:sz w:val="40"/>
                    <w:szCs w:val="24"/>
                    <w:lang w:eastAsia="de-DE"/>
                  </w:rPr>
                  <w:t xml:space="preserve"> sustainable disclosures for STS securitisations</w:t>
                </w:r>
              </w:p>
            </w:tc>
          </w:tr>
          <w:tr w:rsidR="007E7997" w:rsidRPr="005B6B12" w14:paraId="1AB1E013" w14:textId="77777777" w:rsidTr="007E7997">
            <w:trPr>
              <w:trHeight w:hRule="exact" w:val="454"/>
            </w:trPr>
            <w:tc>
              <w:tcPr>
                <w:tcW w:w="9412" w:type="dxa"/>
                <w:tcMar>
                  <w:top w:w="142" w:type="dxa"/>
                </w:tcMar>
              </w:tcPr>
              <w:p w14:paraId="644A8A8B" w14:textId="77777777" w:rsidR="00B50534" w:rsidRPr="00B50534" w:rsidRDefault="00B50534" w:rsidP="00E10D8E">
                <w:pPr>
                  <w:pStyle w:val="Subtitle"/>
                </w:pPr>
              </w:p>
            </w:tc>
          </w:tr>
        </w:tbl>
        <w:p w14:paraId="34EDE9C2" w14:textId="77777777" w:rsidR="007E7997" w:rsidRPr="005B6B12" w:rsidRDefault="007E7997">
          <w:pPr>
            <w:spacing w:after="120" w:line="264" w:lineRule="auto"/>
          </w:pPr>
          <w:r w:rsidRPr="005B6B12">
            <w:rPr>
              <w:color w:val="FF0000"/>
            </w:rPr>
            <w:br w:type="page"/>
          </w:r>
        </w:p>
        <w:p w14:paraId="50EF4753" w14:textId="77777777" w:rsidR="007E7997" w:rsidRPr="005B6B12" w:rsidRDefault="007E7997">
          <w:pPr>
            <w:spacing w:after="120" w:line="264" w:lineRule="auto"/>
            <w:rPr>
              <w:rFonts w:asciiTheme="majorHAnsi" w:eastAsiaTheme="majorEastAsia" w:hAnsiTheme="majorHAnsi" w:cstheme="majorBidi"/>
              <w:sz w:val="32"/>
              <w:szCs w:val="32"/>
            </w:rPr>
            <w:sectPr w:rsidR="007E7997" w:rsidRPr="005B6B12"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14:paraId="52C1D76B" w14:textId="100A331D" w:rsidR="009F2FD3" w:rsidRPr="009F2FD3" w:rsidRDefault="003D0BD8" w:rsidP="009F2FD3">
          <w:pPr>
            <w:pStyle w:val="02Date"/>
            <w:spacing w:after="0"/>
            <w:jc w:val="right"/>
            <w:rPr>
              <w:rFonts w:ascii="Arial" w:hAnsi="Arial" w:cs="Arial"/>
            </w:rPr>
          </w:pPr>
          <w:r w:rsidRPr="009F2FD3">
            <w:rPr>
              <w:rFonts w:ascii="Arial" w:hAnsi="Arial" w:cs="Arial"/>
            </w:rPr>
            <w:lastRenderedPageBreak/>
            <w:t xml:space="preserve">Date: </w:t>
          </w:r>
          <w:r w:rsidR="00EA4224">
            <w:rPr>
              <w:rFonts w:ascii="Arial" w:hAnsi="Arial" w:cs="Arial"/>
            </w:rPr>
            <w:t>6</w:t>
          </w:r>
          <w:r w:rsidRPr="009F2FD3">
            <w:rPr>
              <w:rFonts w:ascii="Arial" w:hAnsi="Arial" w:cs="Arial"/>
            </w:rPr>
            <w:t xml:space="preserve"> May 2022</w:t>
          </w:r>
        </w:p>
        <w:p w14:paraId="069015E5" w14:textId="443CE277" w:rsidR="007E7997" w:rsidRPr="003D0BD8" w:rsidRDefault="009F2FD3" w:rsidP="009F2FD3">
          <w:pPr>
            <w:pStyle w:val="02Date"/>
            <w:spacing w:after="0"/>
            <w:jc w:val="right"/>
            <w:rPr>
              <w:rFonts w:ascii="Arial" w:hAnsi="Arial"/>
              <w:bCs/>
              <w:iCs/>
            </w:rPr>
          </w:pPr>
          <w:r w:rsidRPr="009F2FD3">
            <w:rPr>
              <w:rFonts w:ascii="Arial" w:hAnsi="Arial" w:cs="Arial"/>
            </w:rPr>
            <w:t>ESMA</w:t>
          </w:r>
          <w:r w:rsidR="002F54E6">
            <w:rPr>
              <w:rFonts w:ascii="Arial" w:hAnsi="Arial" w:cs="Arial"/>
            </w:rPr>
            <w:t>82-402-859</w:t>
          </w:r>
        </w:p>
      </w:sdtContent>
    </w:sdt>
    <w:p w14:paraId="50CD57A6" w14:textId="77777777" w:rsidR="00A16EC3" w:rsidRDefault="00A16EC3" w:rsidP="00A16EC3">
      <w:pPr>
        <w:tabs>
          <w:tab w:val="left" w:pos="2690"/>
        </w:tabs>
        <w:rPr>
          <w:rFonts w:ascii="Arial" w:eastAsia="Times New Roman" w:hAnsi="Arial" w:cs="Arial"/>
          <w:b/>
          <w:sz w:val="24"/>
          <w:szCs w:val="24"/>
          <w:lang w:eastAsia="de-DE"/>
        </w:rPr>
      </w:pPr>
    </w:p>
    <w:p w14:paraId="083B5710" w14:textId="77777777" w:rsidR="00A16EC3" w:rsidRDefault="00A16EC3" w:rsidP="00A16EC3">
      <w:pPr>
        <w:tabs>
          <w:tab w:val="left" w:pos="2690"/>
        </w:tabs>
        <w:rPr>
          <w:rFonts w:ascii="Arial" w:eastAsia="Times New Roman" w:hAnsi="Arial" w:cs="Arial"/>
          <w:b/>
          <w:sz w:val="24"/>
          <w:szCs w:val="24"/>
          <w:lang w:eastAsia="de-DE"/>
        </w:rPr>
      </w:pPr>
    </w:p>
    <w:p w14:paraId="7D4D60BD" w14:textId="70A86BC5" w:rsidR="00E10D8E" w:rsidRPr="00E10D8E" w:rsidRDefault="00E10D8E" w:rsidP="00A16EC3">
      <w:pPr>
        <w:tabs>
          <w:tab w:val="left" w:pos="2690"/>
        </w:tabs>
        <w:rPr>
          <w:rFonts w:ascii="Arial" w:eastAsia="Times New Roman" w:hAnsi="Arial" w:cs="Arial"/>
          <w:b/>
          <w:sz w:val="24"/>
          <w:szCs w:val="24"/>
          <w:lang w:eastAsia="de-DE"/>
        </w:rPr>
      </w:pPr>
      <w:r w:rsidRPr="00E10D8E">
        <w:rPr>
          <w:rFonts w:ascii="Arial" w:eastAsia="Times New Roman" w:hAnsi="Arial" w:cs="Arial"/>
          <w:b/>
          <w:sz w:val="24"/>
          <w:szCs w:val="24"/>
          <w:lang w:eastAsia="de-DE"/>
        </w:rPr>
        <w:t xml:space="preserve">Responding to this paper </w:t>
      </w:r>
    </w:p>
    <w:p w14:paraId="1C852095" w14:textId="250BF7B0" w:rsidR="00E10D8E" w:rsidRPr="009F2FD3" w:rsidRDefault="00E10D8E" w:rsidP="00E10D8E">
      <w:pPr>
        <w:spacing w:after="240" w:line="240" w:lineRule="auto"/>
        <w:rPr>
          <w:rStyle w:val="SubtleEmphasis"/>
          <w:i w:val="0"/>
          <w:color w:val="auto"/>
        </w:rPr>
      </w:pPr>
      <w:r w:rsidRPr="009F2FD3">
        <w:rPr>
          <w:rStyle w:val="SubtleEmphasis"/>
          <w:i w:val="0"/>
          <w:color w:val="auto"/>
        </w:rPr>
        <w:t>The European Supervisory Authorities (ESAs) welcome comments on this consultation paper setting out the proposed Regulatory Technical Standards (hereinafter “RTS”) on the content, methodologies and presentation of information in respect of the sustainability indicators in relation to adverse impacts on the climate and other environmental, social and governance-related adverse impacts pursuant to Articles 22(6) and 26d(6) of the Regulation (EU) 2017/2402 (</w:t>
      </w:r>
      <w:r w:rsidR="00A16EC3">
        <w:rPr>
          <w:rStyle w:val="SubtleEmphasis"/>
          <w:i w:val="0"/>
          <w:color w:val="auto"/>
        </w:rPr>
        <w:t xml:space="preserve">hereafter </w:t>
      </w:r>
      <w:r w:rsidRPr="009F2FD3">
        <w:rPr>
          <w:rStyle w:val="SubtleEmphasis"/>
          <w:i w:val="0"/>
          <w:color w:val="auto"/>
        </w:rPr>
        <w:t>the Securitisation Regulation)</w:t>
      </w:r>
      <w:r w:rsidR="00A16EC3">
        <w:rPr>
          <w:rStyle w:val="SubtleEmphasis"/>
          <w:i w:val="0"/>
          <w:color w:val="auto"/>
        </w:rPr>
        <w:t xml:space="preserve"> </w:t>
      </w:r>
      <w:r w:rsidRPr="009F2FD3">
        <w:rPr>
          <w:rStyle w:val="SubtleEmphasis"/>
          <w:i w:val="0"/>
          <w:color w:val="auto"/>
        </w:rPr>
        <w:t xml:space="preserve">and in particular on the specific questions summarised in Section </w:t>
      </w:r>
      <w:r w:rsidR="009F2FD3">
        <w:rPr>
          <w:rStyle w:val="SubtleEmphasis"/>
          <w:i w:val="0"/>
          <w:color w:val="auto"/>
        </w:rPr>
        <w:t>5</w:t>
      </w:r>
      <w:r w:rsidRPr="009F2FD3">
        <w:rPr>
          <w:rStyle w:val="SubtleEmphasis"/>
          <w:i w:val="0"/>
          <w:color w:val="auto"/>
        </w:rPr>
        <w:t xml:space="preserve"> of the consultation paper under “</w:t>
      </w:r>
      <w:r w:rsidR="009F2FD3">
        <w:rPr>
          <w:rStyle w:val="SubtleEmphasis"/>
          <w:i w:val="0"/>
          <w:color w:val="auto"/>
        </w:rPr>
        <w:t xml:space="preserve">List of </w:t>
      </w:r>
      <w:r w:rsidRPr="009F2FD3">
        <w:rPr>
          <w:rStyle w:val="SubtleEmphasis"/>
          <w:i w:val="0"/>
          <w:color w:val="auto"/>
        </w:rPr>
        <w:t>stakeholder</w:t>
      </w:r>
      <w:r w:rsidR="00A16EC3">
        <w:rPr>
          <w:rStyle w:val="SubtleEmphasis"/>
          <w:i w:val="0"/>
          <w:color w:val="auto"/>
        </w:rPr>
        <w:t xml:space="preserve"> questions</w:t>
      </w:r>
      <w:r w:rsidRPr="009F2FD3">
        <w:rPr>
          <w:rStyle w:val="SubtleEmphasis"/>
          <w:i w:val="0"/>
          <w:color w:val="auto"/>
        </w:rPr>
        <w:t xml:space="preserve">”. </w:t>
      </w:r>
    </w:p>
    <w:p w14:paraId="3A3FB997" w14:textId="77777777" w:rsidR="00E10D8E" w:rsidRPr="00E10D8E" w:rsidRDefault="00E10D8E" w:rsidP="00E10D8E">
      <w:pPr>
        <w:spacing w:after="240" w:line="240" w:lineRule="auto"/>
        <w:rPr>
          <w:rFonts w:ascii="Arial" w:eastAsia="Times New Roman" w:hAnsi="Arial" w:cs="Times New Roman"/>
          <w:bCs/>
          <w:iCs/>
          <w:szCs w:val="24"/>
          <w:lang w:eastAsia="de-DE"/>
        </w:rPr>
      </w:pPr>
      <w:r w:rsidRPr="00E10D8E">
        <w:rPr>
          <w:rFonts w:ascii="Arial" w:eastAsia="Times New Roman" w:hAnsi="Arial" w:cs="Times New Roman"/>
          <w:bCs/>
          <w:iCs/>
          <w:szCs w:val="24"/>
          <w:lang w:eastAsia="de-DE"/>
        </w:rPr>
        <w:t>Comments are most helpful if they:</w:t>
      </w:r>
    </w:p>
    <w:p w14:paraId="39BF97F1" w14:textId="77777777" w:rsidR="00E10D8E" w:rsidRPr="00E10D8E" w:rsidRDefault="00E10D8E" w:rsidP="00E10D8E">
      <w:pPr>
        <w:numPr>
          <w:ilvl w:val="0"/>
          <w:numId w:val="12"/>
        </w:numPr>
        <w:spacing w:after="0" w:line="240" w:lineRule="auto"/>
        <w:contextualSpacing/>
        <w:jc w:val="left"/>
        <w:rPr>
          <w:rFonts w:ascii="Arial" w:eastAsia="Times New Roman" w:hAnsi="Arial" w:cs="Times New Roman"/>
          <w:bCs/>
          <w:iCs/>
          <w:szCs w:val="24"/>
          <w:lang w:eastAsia="de-DE"/>
        </w:rPr>
      </w:pPr>
      <w:r w:rsidRPr="00E10D8E">
        <w:rPr>
          <w:rFonts w:ascii="Arial" w:eastAsia="Times New Roman" w:hAnsi="Arial" w:cs="Times New Roman"/>
          <w:bCs/>
          <w:iCs/>
          <w:szCs w:val="24"/>
          <w:lang w:eastAsia="de-DE"/>
        </w:rPr>
        <w:t>contain a clear rationale; and</w:t>
      </w:r>
    </w:p>
    <w:p w14:paraId="0634DA56" w14:textId="77777777" w:rsidR="00E10D8E" w:rsidRPr="009F2FD3" w:rsidRDefault="00E10D8E" w:rsidP="009F2FD3">
      <w:pPr>
        <w:numPr>
          <w:ilvl w:val="0"/>
          <w:numId w:val="12"/>
        </w:numPr>
        <w:spacing w:after="0" w:line="240" w:lineRule="auto"/>
        <w:contextualSpacing/>
        <w:jc w:val="left"/>
        <w:rPr>
          <w:rStyle w:val="SubtleEmphasis"/>
          <w:iCs w:val="0"/>
          <w:color w:val="auto"/>
        </w:rPr>
      </w:pPr>
      <w:r w:rsidRPr="00E10D8E">
        <w:rPr>
          <w:rFonts w:ascii="Arial" w:eastAsia="Times New Roman" w:hAnsi="Arial" w:cs="Times New Roman"/>
          <w:bCs/>
          <w:iCs/>
          <w:szCs w:val="24"/>
          <w:lang w:eastAsia="de-DE"/>
        </w:rPr>
        <w:t xml:space="preserve">describe any alternatives the ESAs should </w:t>
      </w:r>
      <w:r w:rsidRPr="009F2FD3">
        <w:rPr>
          <w:rStyle w:val="SubtleEmphasis"/>
          <w:iCs w:val="0"/>
          <w:color w:val="auto"/>
        </w:rPr>
        <w:t>consider.</w:t>
      </w:r>
    </w:p>
    <w:p w14:paraId="7CAA1F0A" w14:textId="77777777" w:rsidR="009F2FD3" w:rsidRDefault="009F2FD3" w:rsidP="009F2FD3">
      <w:pPr>
        <w:spacing w:after="240" w:line="240" w:lineRule="auto"/>
        <w:contextualSpacing/>
        <w:rPr>
          <w:rStyle w:val="SubtleEmphasis"/>
          <w:i w:val="0"/>
          <w:color w:val="auto"/>
        </w:rPr>
      </w:pPr>
    </w:p>
    <w:p w14:paraId="4A6569CD" w14:textId="2C84C5EF" w:rsidR="00E10D8E" w:rsidRPr="009F2FD3" w:rsidRDefault="00E10D8E" w:rsidP="009F2FD3">
      <w:pPr>
        <w:spacing w:after="240" w:line="240" w:lineRule="auto"/>
        <w:contextualSpacing/>
        <w:rPr>
          <w:rFonts w:ascii="Arial" w:eastAsia="Times New Roman" w:hAnsi="Arial" w:cs="Times New Roman"/>
          <w:bCs/>
          <w:i/>
          <w:szCs w:val="24"/>
          <w:lang w:eastAsia="de-DE"/>
        </w:rPr>
      </w:pPr>
      <w:r w:rsidRPr="009F2FD3">
        <w:rPr>
          <w:rStyle w:val="SubtleEmphasis"/>
          <w:i w:val="0"/>
          <w:color w:val="auto"/>
        </w:rPr>
        <w:t xml:space="preserve">When describing alternative </w:t>
      </w:r>
      <w:proofErr w:type="gramStart"/>
      <w:r w:rsidRPr="009F2FD3">
        <w:rPr>
          <w:rStyle w:val="SubtleEmphasis"/>
          <w:i w:val="0"/>
          <w:color w:val="auto"/>
        </w:rPr>
        <w:t>approaches</w:t>
      </w:r>
      <w:proofErr w:type="gramEnd"/>
      <w:r w:rsidRPr="009F2FD3">
        <w:rPr>
          <w:rStyle w:val="SubtleEmphasis"/>
          <w:i w:val="0"/>
          <w:color w:val="auto"/>
        </w:rPr>
        <w:t xml:space="preserve"> the ESAs encourage</w:t>
      </w:r>
      <w:r w:rsidRPr="009F2FD3">
        <w:rPr>
          <w:rFonts w:ascii="Arial" w:eastAsia="Times New Roman" w:hAnsi="Arial" w:cs="Times New Roman"/>
          <w:bCs/>
          <w:i/>
          <w:szCs w:val="24"/>
          <w:lang w:eastAsia="de-DE"/>
        </w:rPr>
        <w:t xml:space="preserve"> stakeholders to consider how the approach would achieve the aims of SFDR.</w:t>
      </w:r>
    </w:p>
    <w:p w14:paraId="2F98AD0C" w14:textId="77777777" w:rsidR="00E10D8E" w:rsidRPr="00E10D8E" w:rsidRDefault="00E10D8E" w:rsidP="00E10D8E">
      <w:pPr>
        <w:spacing w:after="0" w:line="240" w:lineRule="auto"/>
        <w:jc w:val="left"/>
        <w:rPr>
          <w:rFonts w:ascii="Arial" w:eastAsia="Times New Roman" w:hAnsi="Arial" w:cs="Times New Roman"/>
          <w:iCs/>
          <w:szCs w:val="24"/>
          <w:lang w:eastAsia="de-DE"/>
        </w:rPr>
      </w:pPr>
    </w:p>
    <w:p w14:paraId="0F337B75" w14:textId="77777777" w:rsidR="00E10D8E" w:rsidRPr="00E10D8E" w:rsidRDefault="00E10D8E" w:rsidP="00E10D8E">
      <w:pPr>
        <w:spacing w:after="120" w:line="240" w:lineRule="auto"/>
        <w:rPr>
          <w:rFonts w:ascii="Arial" w:eastAsia="Times New Roman" w:hAnsi="Arial" w:cs="Times New Roman"/>
          <w:b/>
          <w:iCs/>
          <w:szCs w:val="24"/>
          <w:lang w:eastAsia="de-DE"/>
        </w:rPr>
      </w:pPr>
      <w:r w:rsidRPr="00E10D8E">
        <w:rPr>
          <w:rFonts w:ascii="Arial" w:eastAsia="Times New Roman" w:hAnsi="Arial" w:cs="Times New Roman"/>
          <w:b/>
          <w:iCs/>
          <w:szCs w:val="24"/>
          <w:lang w:eastAsia="de-DE"/>
        </w:rPr>
        <w:t>Instructions</w:t>
      </w:r>
    </w:p>
    <w:p w14:paraId="4513DFAA" w14:textId="77777777" w:rsidR="00E10D8E" w:rsidRPr="00E10D8E" w:rsidRDefault="00E10D8E" w:rsidP="00E10D8E">
      <w:pPr>
        <w:spacing w:after="240"/>
        <w:rPr>
          <w:rFonts w:ascii="Arial" w:eastAsia="Times New Roman" w:hAnsi="Arial" w:cs="Times New Roman"/>
          <w:iCs/>
          <w:szCs w:val="24"/>
          <w:lang w:eastAsia="de-DE"/>
        </w:rPr>
      </w:pPr>
      <w:proofErr w:type="gramStart"/>
      <w:r w:rsidRPr="00E10D8E">
        <w:rPr>
          <w:rFonts w:ascii="Arial" w:eastAsia="Times New Roman" w:hAnsi="Arial" w:cs="Times New Roman"/>
          <w:iCs/>
          <w:szCs w:val="24"/>
          <w:lang w:eastAsia="de-DE"/>
        </w:rPr>
        <w:t>In order to</w:t>
      </w:r>
      <w:proofErr w:type="gramEnd"/>
      <w:r w:rsidRPr="00E10D8E">
        <w:rPr>
          <w:rFonts w:ascii="Arial" w:eastAsia="Times New Roman" w:hAnsi="Arial" w:cs="Times New Roman"/>
          <w:iCs/>
          <w:szCs w:val="24"/>
          <w:lang w:eastAsia="de-DE"/>
        </w:rPr>
        <w:t xml:space="preserve"> facilitate analysis of responses to the Consultation Paper, respondents are requested to follow the below steps when preparing and submitting their response:</w:t>
      </w:r>
    </w:p>
    <w:p w14:paraId="26786463" w14:textId="77777777" w:rsidR="00E10D8E" w:rsidRPr="00A16EC3" w:rsidRDefault="00E10D8E" w:rsidP="0056274B">
      <w:pPr>
        <w:pStyle w:val="ListParagraph"/>
        <w:rPr>
          <w:rStyle w:val="SubtleEmphasis"/>
          <w:i w:val="0"/>
          <w:color w:val="auto"/>
        </w:rPr>
      </w:pPr>
      <w:r w:rsidRPr="00A16EC3">
        <w:rPr>
          <w:rStyle w:val="SubtleEmphasis"/>
          <w:i w:val="0"/>
          <w:color w:val="auto"/>
        </w:rPr>
        <w:t xml:space="preserve">Insert your responses to the questions in the Consultation Paper in the present response form. </w:t>
      </w:r>
    </w:p>
    <w:p w14:paraId="73AFE575" w14:textId="7937C38F" w:rsidR="00E10D8E" w:rsidRPr="00A16EC3" w:rsidRDefault="00E10D8E" w:rsidP="0056274B">
      <w:pPr>
        <w:pStyle w:val="ListParagraph"/>
        <w:rPr>
          <w:rStyle w:val="SubtleEmphasis"/>
          <w:i w:val="0"/>
          <w:color w:val="auto"/>
        </w:rPr>
      </w:pPr>
      <w:r w:rsidRPr="00A16EC3">
        <w:rPr>
          <w:rStyle w:val="SubtleEmphasis"/>
          <w:i w:val="0"/>
          <w:color w:val="auto"/>
        </w:rPr>
        <w:t>Please do not remove tags of the type &lt;ESA_QUESTION_STS</w:t>
      </w:r>
      <w:r w:rsidR="00230B22" w:rsidRPr="00A16EC3">
        <w:rPr>
          <w:rStyle w:val="SubtleEmphasis"/>
          <w:i w:val="0"/>
          <w:color w:val="auto"/>
        </w:rPr>
        <w:t>_SUS</w:t>
      </w:r>
      <w:r w:rsidR="00C4316E" w:rsidRPr="00A16EC3">
        <w:rPr>
          <w:rStyle w:val="SubtleEmphasis"/>
          <w:i w:val="0"/>
          <w:color w:val="auto"/>
        </w:rPr>
        <w:t>T</w:t>
      </w:r>
      <w:r w:rsidRPr="00A16EC3">
        <w:rPr>
          <w:rStyle w:val="SubtleEmphasis"/>
          <w:i w:val="0"/>
          <w:color w:val="auto"/>
        </w:rPr>
        <w:t xml:space="preserve">_1&gt;. Your response to each question </w:t>
      </w:r>
      <w:proofErr w:type="gramStart"/>
      <w:r w:rsidRPr="00A16EC3">
        <w:rPr>
          <w:rStyle w:val="SubtleEmphasis"/>
          <w:i w:val="0"/>
          <w:color w:val="auto"/>
        </w:rPr>
        <w:t>has to</w:t>
      </w:r>
      <w:proofErr w:type="gramEnd"/>
      <w:r w:rsidRPr="00A16EC3">
        <w:rPr>
          <w:rStyle w:val="SubtleEmphasis"/>
          <w:i w:val="0"/>
          <w:color w:val="auto"/>
        </w:rPr>
        <w:t xml:space="preserve"> be framed by the two tags corresponding to the question.</w:t>
      </w:r>
    </w:p>
    <w:p w14:paraId="3E029BE3" w14:textId="77777777" w:rsidR="00E10D8E" w:rsidRPr="00A16EC3" w:rsidRDefault="00E10D8E" w:rsidP="0056274B">
      <w:pPr>
        <w:pStyle w:val="ListParagraph"/>
        <w:rPr>
          <w:rStyle w:val="SubtleEmphasis"/>
          <w:i w:val="0"/>
          <w:color w:val="auto"/>
        </w:rPr>
      </w:pPr>
      <w:r w:rsidRPr="00A16EC3">
        <w:rPr>
          <w:rStyle w:val="SubtleEmphasis"/>
          <w:i w:val="0"/>
          <w:color w:val="auto"/>
        </w:rPr>
        <w:t>If you do not wish to respond to a given question, please do not delete it but simply leave the text “TYPE YOUR TEXT HERE” between the tags.</w:t>
      </w:r>
    </w:p>
    <w:p w14:paraId="052319FA" w14:textId="5CEB3EC0" w:rsidR="00E10D8E" w:rsidRPr="00A16EC3" w:rsidRDefault="00E10D8E" w:rsidP="0056274B">
      <w:pPr>
        <w:pStyle w:val="ListParagraph"/>
        <w:rPr>
          <w:rStyle w:val="SubtleEmphasis"/>
          <w:i w:val="0"/>
          <w:color w:val="auto"/>
        </w:rPr>
      </w:pPr>
      <w:r w:rsidRPr="00A16EC3">
        <w:rPr>
          <w:rStyle w:val="SubtleEmphasis"/>
          <w:i w:val="0"/>
          <w:color w:val="auto"/>
        </w:rPr>
        <w:t xml:space="preserve">When you have drafted your response, name your response form according to the following convention: </w:t>
      </w:r>
      <w:proofErr w:type="spellStart"/>
      <w:r w:rsidRPr="00A16EC3">
        <w:rPr>
          <w:rStyle w:val="SubtleEmphasis"/>
          <w:i w:val="0"/>
          <w:color w:val="auto"/>
        </w:rPr>
        <w:t>ESA_S</w:t>
      </w:r>
      <w:r w:rsidR="003C3E5C" w:rsidRPr="00A16EC3">
        <w:rPr>
          <w:rStyle w:val="SubtleEmphasis"/>
          <w:i w:val="0"/>
          <w:color w:val="auto"/>
        </w:rPr>
        <w:t>TS_SUST</w:t>
      </w:r>
      <w:r w:rsidRPr="00A16EC3">
        <w:rPr>
          <w:rStyle w:val="SubtleEmphasis"/>
          <w:i w:val="0"/>
          <w:color w:val="auto"/>
        </w:rPr>
        <w:t>_nameofrespondent_RESPONSEFORM</w:t>
      </w:r>
      <w:proofErr w:type="spellEnd"/>
      <w:r w:rsidRPr="00A16EC3">
        <w:rPr>
          <w:rStyle w:val="SubtleEmphasis"/>
          <w:i w:val="0"/>
          <w:color w:val="auto"/>
        </w:rPr>
        <w:t>. For example, for a respondent named ABCD, the response form would be entitled ESA_</w:t>
      </w:r>
      <w:r w:rsidR="00C4316E" w:rsidRPr="00A16EC3">
        <w:rPr>
          <w:rStyle w:val="SubtleEmphasis"/>
          <w:i w:val="0"/>
          <w:color w:val="auto"/>
        </w:rPr>
        <w:t>S</w:t>
      </w:r>
      <w:r w:rsidR="003C3E5C" w:rsidRPr="00A16EC3">
        <w:rPr>
          <w:rStyle w:val="SubtleEmphasis"/>
          <w:i w:val="0"/>
          <w:color w:val="auto"/>
        </w:rPr>
        <w:t>T</w:t>
      </w:r>
      <w:r w:rsidR="00C4316E" w:rsidRPr="00A16EC3">
        <w:rPr>
          <w:rStyle w:val="SubtleEmphasis"/>
          <w:i w:val="0"/>
          <w:color w:val="auto"/>
        </w:rPr>
        <w:t>S</w:t>
      </w:r>
      <w:r w:rsidR="003C3E5C" w:rsidRPr="00A16EC3">
        <w:rPr>
          <w:rStyle w:val="SubtleEmphasis"/>
          <w:i w:val="0"/>
          <w:color w:val="auto"/>
        </w:rPr>
        <w:t>_SUST</w:t>
      </w:r>
      <w:r w:rsidRPr="00A16EC3">
        <w:rPr>
          <w:rStyle w:val="SubtleEmphasis"/>
          <w:i w:val="0"/>
          <w:color w:val="auto"/>
        </w:rPr>
        <w:t>_ABCD_RESPONSEFORM.</w:t>
      </w:r>
    </w:p>
    <w:p w14:paraId="2EA83C60" w14:textId="776FE385" w:rsidR="00E10D8E" w:rsidRPr="00A16EC3" w:rsidRDefault="00E10D8E" w:rsidP="0056274B">
      <w:pPr>
        <w:pStyle w:val="ListParagraph"/>
        <w:rPr>
          <w:rFonts w:ascii="Arial" w:eastAsia="Times New Roman" w:hAnsi="Arial" w:cs="Times New Roman"/>
          <w:szCs w:val="24"/>
          <w:lang w:eastAsia="de-DE"/>
        </w:rPr>
      </w:pPr>
      <w:r w:rsidRPr="00A16EC3">
        <w:rPr>
          <w:rStyle w:val="SubtleEmphasis"/>
          <w:i w:val="0"/>
          <w:color w:val="auto"/>
        </w:rPr>
        <w:t>The consultation paper is available on the websites of the three ESAs and the Joint</w:t>
      </w:r>
      <w:r w:rsidRPr="00A16EC3">
        <w:rPr>
          <w:rFonts w:ascii="Arial" w:eastAsia="Times New Roman" w:hAnsi="Arial" w:cs="Times New Roman"/>
          <w:szCs w:val="24"/>
          <w:lang w:eastAsia="de-DE"/>
        </w:rPr>
        <w:t xml:space="preserve"> Committee. Comments on this consultation paper can be sent using the response form, via the </w:t>
      </w:r>
      <w:hyperlink r:id="rId10" w:history="1">
        <w:r w:rsidRPr="00A16EC3">
          <w:rPr>
            <w:rFonts w:ascii="Arial" w:eastAsia="Times New Roman" w:hAnsi="Arial" w:cs="Arial"/>
            <w:color w:val="0000FF"/>
            <w:szCs w:val="24"/>
            <w:u w:val="single"/>
            <w:lang w:eastAsia="de-DE"/>
          </w:rPr>
          <w:t>ESMA website</w:t>
        </w:r>
      </w:hyperlink>
      <w:r w:rsidRPr="00A16EC3">
        <w:rPr>
          <w:rFonts w:ascii="Arial" w:eastAsia="Times New Roman" w:hAnsi="Arial" w:cs="Times New Roman"/>
          <w:sz w:val="24"/>
          <w:szCs w:val="24"/>
          <w:lang w:eastAsia="de-DE"/>
        </w:rPr>
        <w:t xml:space="preserve"> </w:t>
      </w:r>
      <w:r w:rsidRPr="00A16EC3">
        <w:rPr>
          <w:rFonts w:ascii="Arial" w:eastAsia="Times New Roman" w:hAnsi="Arial" w:cs="Times New Roman"/>
          <w:szCs w:val="24"/>
          <w:lang w:eastAsia="de-DE"/>
        </w:rPr>
        <w:t xml:space="preserve">under the heading ‘Your input - Consultations’ by </w:t>
      </w:r>
      <w:r w:rsidR="003C3E5C" w:rsidRPr="00332050">
        <w:rPr>
          <w:rFonts w:ascii="Arial" w:eastAsia="Times New Roman" w:hAnsi="Arial" w:cs="Times New Roman"/>
          <w:b/>
          <w:szCs w:val="24"/>
          <w:lang w:eastAsia="de-DE"/>
        </w:rPr>
        <w:t>2 July</w:t>
      </w:r>
      <w:r w:rsidRPr="00332050">
        <w:rPr>
          <w:rFonts w:ascii="Arial" w:eastAsia="Times New Roman" w:hAnsi="Arial" w:cs="Times New Roman"/>
          <w:b/>
          <w:szCs w:val="24"/>
          <w:lang w:eastAsia="de-DE"/>
        </w:rPr>
        <w:t xml:space="preserve"> 202</w:t>
      </w:r>
      <w:r w:rsidR="003C3E5C" w:rsidRPr="00332050">
        <w:rPr>
          <w:rFonts w:ascii="Arial" w:eastAsia="Times New Roman" w:hAnsi="Arial" w:cs="Times New Roman"/>
          <w:b/>
          <w:szCs w:val="24"/>
          <w:lang w:eastAsia="de-DE"/>
        </w:rPr>
        <w:t>2</w:t>
      </w:r>
      <w:r w:rsidRPr="00A16EC3">
        <w:rPr>
          <w:rFonts w:ascii="Arial" w:eastAsia="Times New Roman" w:hAnsi="Arial" w:cs="Times New Roman"/>
          <w:szCs w:val="24"/>
          <w:lang w:eastAsia="de-DE"/>
        </w:rPr>
        <w:t>.</w:t>
      </w:r>
    </w:p>
    <w:p w14:paraId="0720FD54" w14:textId="77777777" w:rsidR="00E10D8E" w:rsidRPr="00E10D8E" w:rsidRDefault="00E10D8E" w:rsidP="00E10D8E">
      <w:pPr>
        <w:numPr>
          <w:ilvl w:val="0"/>
          <w:numId w:val="11"/>
        </w:numPr>
        <w:spacing w:after="0" w:line="240" w:lineRule="auto"/>
        <w:ind w:left="567" w:hanging="567"/>
        <w:jc w:val="left"/>
        <w:rPr>
          <w:rFonts w:ascii="Arial" w:eastAsia="Times New Roman" w:hAnsi="Arial" w:cs="Times New Roman"/>
          <w:iCs/>
          <w:szCs w:val="24"/>
          <w:lang w:eastAsia="de-DE"/>
        </w:rPr>
      </w:pPr>
      <w:r w:rsidRPr="00E10D8E">
        <w:rPr>
          <w:rFonts w:ascii="Arial" w:eastAsia="Times New Roman" w:hAnsi="Arial" w:cs="Times New Roman"/>
          <w:iCs/>
          <w:szCs w:val="24"/>
          <w:lang w:eastAsia="de-DE"/>
        </w:rPr>
        <w:t>Contributions not provided in the template for comments, or after the deadline will not be processed.</w:t>
      </w:r>
    </w:p>
    <w:p w14:paraId="6BEDA02D" w14:textId="77777777" w:rsidR="00E10D8E" w:rsidRPr="00E10D8E" w:rsidRDefault="00E10D8E" w:rsidP="00E10D8E">
      <w:pPr>
        <w:spacing w:after="240"/>
        <w:rPr>
          <w:rFonts w:ascii="Arial" w:eastAsia="Times New Roman" w:hAnsi="Arial" w:cs="Times New Roman"/>
          <w:iCs/>
          <w:szCs w:val="24"/>
          <w:lang w:eastAsia="de-DE"/>
        </w:rPr>
      </w:pPr>
    </w:p>
    <w:p w14:paraId="1626C05B" w14:textId="77777777" w:rsidR="00E10D8E" w:rsidRPr="00E10D8E" w:rsidRDefault="00E10D8E" w:rsidP="00E10D8E">
      <w:pPr>
        <w:spacing w:after="120" w:line="240" w:lineRule="auto"/>
        <w:rPr>
          <w:rFonts w:ascii="Arial" w:eastAsia="Times New Roman" w:hAnsi="Arial" w:cs="Times New Roman"/>
          <w:b/>
          <w:iCs/>
          <w:szCs w:val="24"/>
          <w:lang w:eastAsia="de-DE"/>
        </w:rPr>
      </w:pPr>
      <w:r w:rsidRPr="00E10D8E">
        <w:rPr>
          <w:rFonts w:ascii="Arial" w:eastAsia="Times New Roman" w:hAnsi="Arial" w:cs="Times New Roman"/>
          <w:b/>
          <w:iCs/>
          <w:szCs w:val="24"/>
          <w:lang w:eastAsia="de-DE"/>
        </w:rPr>
        <w:t>Publication of responses</w:t>
      </w:r>
    </w:p>
    <w:p w14:paraId="67AE2D03" w14:textId="77777777" w:rsidR="00E10D8E" w:rsidRPr="00E10D8E" w:rsidRDefault="00E10D8E" w:rsidP="00E10D8E">
      <w:pPr>
        <w:spacing w:after="0" w:line="240" w:lineRule="auto"/>
        <w:rPr>
          <w:rFonts w:ascii="Arial" w:eastAsia="Times New Roman" w:hAnsi="Arial" w:cs="Times New Roman"/>
          <w:szCs w:val="22"/>
          <w:lang w:eastAsia="de-DE"/>
        </w:rPr>
      </w:pPr>
      <w:r w:rsidRPr="00E10D8E">
        <w:rPr>
          <w:rFonts w:ascii="Arial" w:eastAsia="Times New Roman" w:hAnsi="Arial" w:cs="Times New Roman"/>
          <w:szCs w:val="22"/>
          <w:lang w:eastAsia="de-DE"/>
        </w:rPr>
        <w:lastRenderedPageBreak/>
        <w:t xml:space="preserve">All contributions received will be published following the close of the </w:t>
      </w:r>
      <w:proofErr w:type="gramStart"/>
      <w:r w:rsidRPr="00E10D8E">
        <w:rPr>
          <w:rFonts w:ascii="Arial" w:eastAsia="Times New Roman" w:hAnsi="Arial" w:cs="Times New Roman"/>
          <w:szCs w:val="22"/>
          <w:lang w:eastAsia="de-DE"/>
        </w:rPr>
        <w:t>consultation, unless</w:t>
      </w:r>
      <w:proofErr w:type="gramEnd"/>
      <w:r w:rsidRPr="00E10D8E">
        <w:rPr>
          <w:rFonts w:ascii="Arial" w:eastAsia="Times New Roman" w:hAnsi="Arial" w:cs="Times New Roman"/>
          <w:szCs w:val="22"/>
          <w:lang w:eastAsia="de-DE"/>
        </w:rPr>
        <w:t xml:space="preserve">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2001B0A5" w14:textId="77777777" w:rsidR="00E10D8E" w:rsidRPr="00E10D8E" w:rsidRDefault="00E10D8E" w:rsidP="00E10D8E">
      <w:pPr>
        <w:spacing w:after="0" w:line="240" w:lineRule="auto"/>
        <w:jc w:val="left"/>
        <w:rPr>
          <w:rFonts w:ascii="Arial" w:eastAsia="Times New Roman" w:hAnsi="Arial" w:cs="Times New Roman"/>
          <w:b/>
          <w:iCs/>
          <w:szCs w:val="24"/>
          <w:lang w:eastAsia="en-GB"/>
        </w:rPr>
      </w:pPr>
    </w:p>
    <w:p w14:paraId="7BE27AA3" w14:textId="77777777" w:rsidR="00E10D8E" w:rsidRPr="00E10D8E" w:rsidRDefault="00E10D8E" w:rsidP="00E10D8E">
      <w:pPr>
        <w:spacing w:after="0" w:line="240" w:lineRule="auto"/>
        <w:jc w:val="left"/>
        <w:rPr>
          <w:rFonts w:ascii="Arial" w:eastAsia="Times New Roman" w:hAnsi="Arial" w:cs="Times New Roman"/>
          <w:b/>
          <w:iCs/>
          <w:szCs w:val="24"/>
          <w:lang w:eastAsia="en-GB"/>
        </w:rPr>
      </w:pPr>
    </w:p>
    <w:p w14:paraId="3A87B11B" w14:textId="77777777" w:rsidR="00E10D8E" w:rsidRPr="00E10D8E" w:rsidRDefault="00E10D8E" w:rsidP="00E10D8E">
      <w:pPr>
        <w:spacing w:after="0" w:line="240" w:lineRule="auto"/>
        <w:jc w:val="left"/>
        <w:rPr>
          <w:rFonts w:ascii="Arial" w:eastAsia="Times New Roman" w:hAnsi="Arial" w:cs="Times New Roman"/>
          <w:b/>
          <w:iCs/>
          <w:szCs w:val="24"/>
          <w:lang w:eastAsia="en-GB"/>
        </w:rPr>
      </w:pPr>
      <w:r w:rsidRPr="00E10D8E">
        <w:rPr>
          <w:rFonts w:ascii="Arial" w:eastAsia="Times New Roman" w:hAnsi="Arial" w:cs="Times New Roman"/>
          <w:b/>
          <w:iCs/>
          <w:szCs w:val="24"/>
          <w:lang w:eastAsia="en-GB"/>
        </w:rPr>
        <w:t>Data protection</w:t>
      </w:r>
    </w:p>
    <w:p w14:paraId="02A23640" w14:textId="77777777" w:rsidR="00E10D8E" w:rsidRPr="00E10D8E" w:rsidRDefault="00E10D8E" w:rsidP="00E10D8E">
      <w:pPr>
        <w:spacing w:after="0" w:line="240" w:lineRule="auto"/>
        <w:jc w:val="left"/>
        <w:rPr>
          <w:rFonts w:ascii="Arial" w:eastAsia="Times New Roman" w:hAnsi="Arial" w:cs="Times New Roman"/>
          <w:szCs w:val="24"/>
          <w:lang w:eastAsia="de-DE"/>
        </w:rPr>
      </w:pPr>
    </w:p>
    <w:p w14:paraId="2407D5C5" w14:textId="77777777" w:rsidR="00E10D8E" w:rsidRPr="00E10D8E" w:rsidRDefault="00E10D8E" w:rsidP="00E10D8E">
      <w:pPr>
        <w:spacing w:after="0" w:line="240" w:lineRule="auto"/>
        <w:rPr>
          <w:rFonts w:ascii="Arial" w:eastAsia="Times New Roman" w:hAnsi="Arial" w:cs="Arial"/>
          <w:sz w:val="24"/>
          <w:szCs w:val="24"/>
          <w:lang w:eastAsia="de-DE"/>
        </w:rPr>
      </w:pPr>
      <w:r w:rsidRPr="00E10D8E">
        <w:rPr>
          <w:rFonts w:ascii="Arial" w:eastAsia="Times New Roman" w:hAnsi="Arial" w:cs="Arial"/>
          <w:szCs w:val="24"/>
          <w:lang w:eastAsia="de-DE"/>
        </w:rPr>
        <w:t xml:space="preserve">The protection of individuals </w:t>
      </w:r>
      <w:proofErr w:type="gramStart"/>
      <w:r w:rsidRPr="00E10D8E">
        <w:rPr>
          <w:rFonts w:ascii="Arial" w:eastAsia="Times New Roman" w:hAnsi="Arial" w:cs="Arial"/>
          <w:szCs w:val="24"/>
          <w:lang w:eastAsia="de-DE"/>
        </w:rPr>
        <w:t>with regard to</w:t>
      </w:r>
      <w:proofErr w:type="gramEnd"/>
      <w:r w:rsidRPr="00E10D8E">
        <w:rPr>
          <w:rFonts w:ascii="Arial" w:eastAsia="Times New Roman" w:hAnsi="Arial" w:cs="Arial"/>
          <w:szCs w:val="24"/>
          <w:lang w:eastAsia="de-DE"/>
        </w:rPr>
        <w:t xml:space="preserve"> the processing of personal data by the ESAs is based on Regulation (EU) 2018/1725</w:t>
      </w:r>
      <w:r w:rsidRPr="00E10D8E">
        <w:rPr>
          <w:rFonts w:ascii="Arial" w:eastAsia="Times New Roman" w:hAnsi="Arial" w:cs="Arial"/>
          <w:szCs w:val="24"/>
          <w:vertAlign w:val="superscript"/>
          <w:lang w:eastAsia="de-DE"/>
        </w:rPr>
        <w:footnoteReference w:id="2"/>
      </w:r>
      <w:r w:rsidRPr="00E10D8E">
        <w:rPr>
          <w:rFonts w:ascii="Arial" w:eastAsia="Times New Roman" w:hAnsi="Arial" w:cs="Arial"/>
          <w:szCs w:val="24"/>
          <w:lang w:eastAsia="de-DE"/>
        </w:rPr>
        <w:t xml:space="preserve">. Further information on data protection can be found under the </w:t>
      </w:r>
      <w:hyperlink r:id="rId11" w:history="1">
        <w:r w:rsidRPr="00E10D8E">
          <w:rPr>
            <w:rFonts w:ascii="Arial" w:eastAsia="Times New Roman" w:hAnsi="Arial" w:cs="Arial"/>
            <w:color w:val="0000FF"/>
            <w:szCs w:val="24"/>
            <w:u w:val="single"/>
            <w:lang w:eastAsia="de-DE"/>
          </w:rPr>
          <w:t>Legal notice</w:t>
        </w:r>
      </w:hyperlink>
      <w:r w:rsidRPr="00E10D8E">
        <w:rPr>
          <w:rFonts w:ascii="Arial" w:eastAsia="Times New Roman" w:hAnsi="Arial" w:cs="Arial"/>
          <w:szCs w:val="24"/>
          <w:lang w:eastAsia="de-DE"/>
        </w:rPr>
        <w:t xml:space="preserve"> section of the EBA website and under the </w:t>
      </w:r>
      <w:hyperlink r:id="rId12" w:history="1">
        <w:r w:rsidRPr="00E10D8E">
          <w:rPr>
            <w:rFonts w:ascii="Arial" w:eastAsia="Times New Roman" w:hAnsi="Arial" w:cs="Arial"/>
            <w:color w:val="0000FF"/>
            <w:szCs w:val="24"/>
            <w:u w:val="single"/>
            <w:lang w:eastAsia="de-DE"/>
          </w:rPr>
          <w:t>Legal notice</w:t>
        </w:r>
      </w:hyperlink>
      <w:r w:rsidRPr="00E10D8E">
        <w:rPr>
          <w:rFonts w:ascii="Arial" w:eastAsia="Times New Roman" w:hAnsi="Arial" w:cs="Arial"/>
          <w:szCs w:val="24"/>
          <w:lang w:eastAsia="de-DE"/>
        </w:rPr>
        <w:t xml:space="preserve"> section of the EIOPA website and under the </w:t>
      </w:r>
      <w:hyperlink r:id="rId13" w:history="1">
        <w:r w:rsidRPr="00E10D8E">
          <w:rPr>
            <w:rFonts w:ascii="Arial" w:eastAsia="Times New Roman" w:hAnsi="Arial" w:cs="Arial"/>
            <w:color w:val="0000FF"/>
            <w:szCs w:val="24"/>
            <w:u w:val="single"/>
            <w:lang w:eastAsia="de-DE"/>
          </w:rPr>
          <w:t>Legal notice</w:t>
        </w:r>
      </w:hyperlink>
      <w:r w:rsidRPr="00E10D8E">
        <w:rPr>
          <w:rFonts w:ascii="Arial" w:eastAsia="Times New Roman" w:hAnsi="Arial" w:cs="Arial"/>
          <w:szCs w:val="24"/>
          <w:lang w:eastAsia="de-DE"/>
        </w:rPr>
        <w:t xml:space="preserve"> section of the ESMA website.</w:t>
      </w:r>
    </w:p>
    <w:p w14:paraId="5BA0B9F6" w14:textId="77777777" w:rsidR="00E10D8E" w:rsidRPr="00E10D8E" w:rsidRDefault="00E10D8E" w:rsidP="00E10D8E">
      <w:pPr>
        <w:spacing w:after="120" w:line="240" w:lineRule="auto"/>
        <w:rPr>
          <w:rFonts w:ascii="Arial" w:eastAsia="Times New Roman" w:hAnsi="Arial" w:cs="Times New Roman"/>
          <w:b/>
          <w:iCs/>
          <w:szCs w:val="24"/>
          <w:lang w:eastAsia="en-GB"/>
        </w:rPr>
      </w:pPr>
    </w:p>
    <w:p w14:paraId="400B0994" w14:textId="77777777" w:rsidR="00E10D8E" w:rsidRPr="00E10D8E" w:rsidRDefault="00E10D8E" w:rsidP="00E10D8E">
      <w:pPr>
        <w:spacing w:after="0" w:line="240" w:lineRule="auto"/>
        <w:jc w:val="left"/>
        <w:rPr>
          <w:rFonts w:ascii="Arial" w:eastAsia="Times New Roman" w:hAnsi="Arial" w:cs="Times New Roman"/>
          <w:szCs w:val="24"/>
          <w:lang w:eastAsia="de-DE"/>
        </w:rPr>
      </w:pPr>
    </w:p>
    <w:p w14:paraId="027B4C3C" w14:textId="77777777" w:rsidR="00E10D8E" w:rsidRPr="00E10D8E" w:rsidRDefault="00E10D8E" w:rsidP="00E10D8E">
      <w:pPr>
        <w:spacing w:after="0" w:line="240" w:lineRule="auto"/>
        <w:jc w:val="left"/>
        <w:rPr>
          <w:rFonts w:ascii="Arial" w:eastAsia="Times New Roman" w:hAnsi="Arial" w:cs="Arial"/>
          <w:b/>
          <w:bCs/>
          <w:kern w:val="32"/>
          <w:sz w:val="24"/>
          <w:szCs w:val="32"/>
          <w:lang w:eastAsia="de-DE"/>
        </w:rPr>
      </w:pPr>
      <w:r w:rsidRPr="00E10D8E">
        <w:rPr>
          <w:rFonts w:ascii="Arial" w:eastAsia="Times New Roman" w:hAnsi="Arial" w:cs="Times New Roman"/>
          <w:sz w:val="20"/>
          <w:szCs w:val="24"/>
          <w:lang w:eastAsia="de-DE"/>
        </w:rPr>
        <w:br w:type="page"/>
      </w:r>
    </w:p>
    <w:p w14:paraId="4F2848A0" w14:textId="77777777" w:rsidR="00E10D8E" w:rsidRPr="00E10D8E" w:rsidRDefault="00E10D8E" w:rsidP="00332050">
      <w:pPr>
        <w:keepNext/>
        <w:shd w:val="clear" w:color="auto" w:fill="FFFFFF" w:themeFill="background1"/>
        <w:spacing w:before="240" w:after="60" w:line="240" w:lineRule="auto"/>
        <w:jc w:val="left"/>
        <w:outlineLvl w:val="0"/>
        <w:rPr>
          <w:rFonts w:ascii="Arial" w:eastAsia="Times New Roman" w:hAnsi="Arial" w:cs="Arial"/>
          <w:b/>
          <w:bCs/>
          <w:kern w:val="32"/>
          <w:sz w:val="24"/>
          <w:szCs w:val="32"/>
          <w:lang w:eastAsia="de-DE"/>
        </w:rPr>
      </w:pPr>
      <w:r w:rsidRPr="00E10D8E">
        <w:rPr>
          <w:rFonts w:ascii="Arial" w:eastAsia="Times New Roman" w:hAnsi="Arial" w:cs="Arial"/>
          <w:b/>
          <w:bCs/>
          <w:kern w:val="32"/>
          <w:sz w:val="24"/>
          <w:szCs w:val="32"/>
          <w:lang w:eastAsia="de-DE"/>
        </w:rPr>
        <w:lastRenderedPageBreak/>
        <w:t>General information about respondent</w:t>
      </w:r>
    </w:p>
    <w:p w14:paraId="5777101F" w14:textId="77777777" w:rsidR="00E10D8E" w:rsidRPr="00E10D8E" w:rsidRDefault="00E10D8E" w:rsidP="00E10D8E">
      <w:pPr>
        <w:spacing w:after="120" w:line="264" w:lineRule="auto"/>
        <w:jc w:val="left"/>
        <w:rPr>
          <w:rFonts w:ascii="Arial" w:eastAsia="Times New Roman" w:hAnsi="Arial" w:cs="Times New Roman"/>
          <w:sz w:val="20"/>
          <w:szCs w:val="24"/>
          <w:lang w:eastAsia="de-DE"/>
        </w:rPr>
      </w:pPr>
    </w:p>
    <w:p w14:paraId="528B7F7C" w14:textId="77777777" w:rsidR="00E10D8E" w:rsidRDefault="00E10D8E" w:rsidP="00E10D8E">
      <w:pPr>
        <w:spacing w:after="120" w:line="264" w:lineRule="auto"/>
        <w:jc w:val="left"/>
        <w:rPr>
          <w:rFonts w:ascii="Arial" w:eastAsia="Times New Roman" w:hAnsi="Arial" w:cs="Times New Roman"/>
          <w:sz w:val="20"/>
          <w:szCs w:val="24"/>
          <w:lang w:eastAsia="de-DE"/>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A3C54" w:rsidRPr="00AB6D88" w14:paraId="06D934C1" w14:textId="77777777" w:rsidTr="000A3C54">
        <w:trPr>
          <w:trHeight w:val="234"/>
        </w:trPr>
        <w:tc>
          <w:tcPr>
            <w:tcW w:w="3929" w:type="dxa"/>
            <w:shd w:val="clear" w:color="auto" w:fill="auto"/>
          </w:tcPr>
          <w:p w14:paraId="6DE101F7" w14:textId="77777777" w:rsidR="000A3C54" w:rsidRPr="00AB6D88" w:rsidRDefault="000A3C54" w:rsidP="0012564C">
            <w:pPr>
              <w:rPr>
                <w:rFonts w:cs="Arial"/>
              </w:rPr>
            </w:pPr>
            <w:bookmarkStart w:id="1" w:name="_Hlk102650496"/>
            <w:permStart w:id="1352283658" w:edGrp="everyone" w:colFirst="1" w:colLast="1"/>
            <w:r w:rsidRPr="00AB6D88">
              <w:rPr>
                <w:rFonts w:cs="Arial"/>
              </w:rPr>
              <w:t>Name of the company / organisation</w:t>
            </w:r>
          </w:p>
        </w:tc>
        <w:sdt>
          <w:sdtPr>
            <w:rPr>
              <w:rStyle w:val="PlaceholderText"/>
              <w:rFonts w:cs="Arial"/>
            </w:rPr>
            <w:id w:val="-785184427"/>
            <w:text/>
          </w:sdtPr>
          <w:sdtEndPr>
            <w:rPr>
              <w:rStyle w:val="PlaceholderText"/>
            </w:rPr>
          </w:sdtEndPr>
          <w:sdtContent>
            <w:tc>
              <w:tcPr>
                <w:tcW w:w="5595" w:type="dxa"/>
                <w:shd w:val="clear" w:color="auto" w:fill="auto"/>
              </w:tcPr>
              <w:p w14:paraId="6C1543DC" w14:textId="24A2C9C3" w:rsidR="000A3C54" w:rsidRPr="00AB6D88" w:rsidRDefault="001E7C6E" w:rsidP="0012564C">
                <w:pPr>
                  <w:rPr>
                    <w:rStyle w:val="PlaceholderText"/>
                    <w:rFonts w:cs="Arial"/>
                  </w:rPr>
                </w:pPr>
                <w:r>
                  <w:rPr>
                    <w:rStyle w:val="PlaceholderText"/>
                    <w:rFonts w:cs="Arial"/>
                  </w:rPr>
                  <w:t>European Banking Federation</w:t>
                </w:r>
              </w:p>
            </w:tc>
          </w:sdtContent>
        </w:sdt>
      </w:tr>
      <w:tr w:rsidR="000A3C54" w:rsidRPr="00AB6D88" w14:paraId="5AF4E9BE" w14:textId="77777777" w:rsidTr="0012564C">
        <w:tc>
          <w:tcPr>
            <w:tcW w:w="3929" w:type="dxa"/>
            <w:shd w:val="clear" w:color="auto" w:fill="auto"/>
          </w:tcPr>
          <w:p w14:paraId="55C97DE5" w14:textId="77777777" w:rsidR="000A3C54" w:rsidRPr="00AB6D88" w:rsidRDefault="000A3C54" w:rsidP="0012564C">
            <w:pPr>
              <w:rPr>
                <w:rFonts w:cs="Arial"/>
              </w:rPr>
            </w:pPr>
            <w:permStart w:id="14246144" w:edGrp="everyone" w:colFirst="1" w:colLast="1"/>
            <w:permEnd w:id="1352283658"/>
            <w:r w:rsidRPr="00AB6D88">
              <w:rPr>
                <w:rFonts w:cs="Arial"/>
              </w:rPr>
              <w:t>Activity</w:t>
            </w:r>
          </w:p>
        </w:tc>
        <w:tc>
          <w:tcPr>
            <w:tcW w:w="5595" w:type="dxa"/>
            <w:shd w:val="clear" w:color="auto" w:fill="auto"/>
          </w:tcPr>
          <w:p w14:paraId="2DEF935C" w14:textId="059461FD" w:rsidR="000A3C54" w:rsidRPr="00AB6D88" w:rsidRDefault="002A01FF" w:rsidP="0012564C">
            <w:pPr>
              <w:rPr>
                <w:rFonts w:cs="Arial"/>
              </w:rPr>
            </w:pPr>
            <w:sdt>
              <w:sdtPr>
                <w:rPr>
                  <w:rFonts w:cs="Arial"/>
                </w:rPr>
                <w:alias w:val="Activity"/>
                <w:tag w:val="Activity"/>
                <w:id w:val="1593126692"/>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E7C6E">
                  <w:rPr>
                    <w:rFonts w:cs="Arial"/>
                  </w:rPr>
                  <w:t>Banking sector</w:t>
                </w:r>
              </w:sdtContent>
            </w:sdt>
          </w:p>
        </w:tc>
      </w:tr>
      <w:tr w:rsidR="000A3C54" w:rsidRPr="00AB6D88" w14:paraId="0ED3CEEA" w14:textId="77777777" w:rsidTr="0012564C">
        <w:tc>
          <w:tcPr>
            <w:tcW w:w="3929" w:type="dxa"/>
            <w:shd w:val="clear" w:color="auto" w:fill="auto"/>
          </w:tcPr>
          <w:p w14:paraId="00B7F625" w14:textId="77777777" w:rsidR="000A3C54" w:rsidRPr="00AB6D88" w:rsidRDefault="000A3C54" w:rsidP="0012564C">
            <w:pPr>
              <w:rPr>
                <w:rFonts w:cs="Arial"/>
              </w:rPr>
            </w:pPr>
            <w:permStart w:id="1689993469" w:edGrp="everyone" w:colFirst="1" w:colLast="1"/>
            <w:permEnd w:id="14246144"/>
            <w:r w:rsidRPr="00AB6D88">
              <w:rPr>
                <w:rFonts w:cs="Arial"/>
              </w:rPr>
              <w:t>Are you representing an association?</w:t>
            </w:r>
          </w:p>
        </w:tc>
        <w:sdt>
          <w:sdtPr>
            <w:rPr>
              <w:rFonts w:cs="Arial"/>
            </w:rPr>
            <w:id w:val="-900975373"/>
            <w14:checkbox>
              <w14:checked w14:val="1"/>
              <w14:checkedState w14:val="2612" w14:font="MS Gothic"/>
              <w14:uncheckedState w14:val="2610" w14:font="MS Gothic"/>
            </w14:checkbox>
          </w:sdtPr>
          <w:sdtEndPr/>
          <w:sdtContent>
            <w:tc>
              <w:tcPr>
                <w:tcW w:w="5595" w:type="dxa"/>
                <w:shd w:val="clear" w:color="auto" w:fill="auto"/>
              </w:tcPr>
              <w:p w14:paraId="2C6A8DEF" w14:textId="2A5E8B3F" w:rsidR="000A3C54" w:rsidRPr="00AB6D88" w:rsidRDefault="001E7C6E" w:rsidP="0012564C">
                <w:pPr>
                  <w:rPr>
                    <w:rFonts w:cs="Arial"/>
                  </w:rPr>
                </w:pPr>
                <w:r>
                  <w:rPr>
                    <w:rFonts w:ascii="MS Gothic" w:eastAsia="MS Gothic" w:hAnsi="MS Gothic" w:cs="Arial" w:hint="eastAsia"/>
                  </w:rPr>
                  <w:t>☒</w:t>
                </w:r>
              </w:p>
            </w:tc>
          </w:sdtContent>
        </w:sdt>
      </w:tr>
      <w:tr w:rsidR="000A3C54" w:rsidRPr="00AB6D88" w14:paraId="54F13402" w14:textId="77777777" w:rsidTr="000A3C54">
        <w:trPr>
          <w:trHeight w:val="356"/>
        </w:trPr>
        <w:tc>
          <w:tcPr>
            <w:tcW w:w="3929" w:type="dxa"/>
            <w:shd w:val="clear" w:color="auto" w:fill="auto"/>
          </w:tcPr>
          <w:p w14:paraId="6EB591C0" w14:textId="77777777" w:rsidR="000A3C54" w:rsidRPr="00AB6D88" w:rsidRDefault="000A3C54" w:rsidP="0012564C">
            <w:pPr>
              <w:rPr>
                <w:rFonts w:cs="Arial"/>
              </w:rPr>
            </w:pPr>
            <w:permStart w:id="1842289477" w:edGrp="everyone" w:colFirst="1" w:colLast="1"/>
            <w:permEnd w:id="1689993469"/>
            <w:r w:rsidRPr="00AB6D88">
              <w:rPr>
                <w:rFonts w:cs="Arial"/>
              </w:rPr>
              <w:t>Country/Region</w:t>
            </w:r>
          </w:p>
        </w:tc>
        <w:sdt>
          <w:sdtPr>
            <w:rPr>
              <w:rFonts w:cs="Arial"/>
            </w:rPr>
            <w:alias w:val="Country"/>
            <w:tag w:val="Country"/>
            <w:id w:val="-1310698365"/>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6A577C9" w14:textId="76871BA6" w:rsidR="000A3C54" w:rsidRPr="00AB6D88" w:rsidRDefault="001E7C6E" w:rsidP="0012564C">
                <w:pPr>
                  <w:rPr>
                    <w:rFonts w:cs="Arial"/>
                  </w:rPr>
                </w:pPr>
                <w:r>
                  <w:rPr>
                    <w:rFonts w:cs="Arial"/>
                  </w:rPr>
                  <w:t>Belgium</w:t>
                </w:r>
              </w:p>
            </w:tc>
          </w:sdtContent>
        </w:sdt>
      </w:tr>
      <w:bookmarkEnd w:id="1"/>
      <w:permEnd w:id="1842289477"/>
    </w:tbl>
    <w:p w14:paraId="6FE595BC" w14:textId="55AE3F1D" w:rsidR="000A3C54" w:rsidRDefault="000A3C54" w:rsidP="00E10D8E">
      <w:pPr>
        <w:spacing w:after="120" w:line="264" w:lineRule="auto"/>
        <w:jc w:val="left"/>
        <w:rPr>
          <w:rFonts w:ascii="Arial" w:eastAsia="Times New Roman" w:hAnsi="Arial" w:cs="Times New Roman"/>
          <w:sz w:val="20"/>
          <w:szCs w:val="24"/>
          <w:lang w:eastAsia="de-DE"/>
        </w:rPr>
      </w:pPr>
    </w:p>
    <w:p w14:paraId="18B81214" w14:textId="77777777" w:rsidR="000A3C54" w:rsidRPr="00E10D8E" w:rsidRDefault="000A3C54" w:rsidP="00E10D8E">
      <w:pPr>
        <w:spacing w:after="120" w:line="264" w:lineRule="auto"/>
        <w:jc w:val="left"/>
        <w:rPr>
          <w:rFonts w:ascii="Arial" w:eastAsia="Times New Roman" w:hAnsi="Arial" w:cs="Times New Roman"/>
          <w:sz w:val="20"/>
          <w:szCs w:val="24"/>
          <w:lang w:eastAsia="de-DE"/>
        </w:rPr>
      </w:pPr>
    </w:p>
    <w:p w14:paraId="4CA698DB" w14:textId="77777777" w:rsidR="00E10D8E" w:rsidRPr="00E10D8E" w:rsidRDefault="00E10D8E" w:rsidP="00E10D8E">
      <w:pPr>
        <w:keepNext/>
        <w:spacing w:before="240" w:after="60" w:line="240" w:lineRule="auto"/>
        <w:ind w:left="431" w:hanging="431"/>
        <w:jc w:val="left"/>
        <w:outlineLvl w:val="0"/>
        <w:rPr>
          <w:rFonts w:ascii="Arial" w:eastAsia="Times New Roman" w:hAnsi="Arial" w:cs="Arial"/>
          <w:b/>
          <w:bCs/>
          <w:kern w:val="32"/>
          <w:sz w:val="24"/>
          <w:szCs w:val="32"/>
          <w:lang w:eastAsia="de-DE"/>
        </w:rPr>
      </w:pPr>
      <w:r w:rsidRPr="00E10D8E">
        <w:rPr>
          <w:rFonts w:ascii="Arial" w:eastAsia="Times New Roman" w:hAnsi="Arial" w:cs="Arial"/>
          <w:b/>
          <w:bCs/>
          <w:kern w:val="32"/>
          <w:sz w:val="24"/>
          <w:szCs w:val="32"/>
          <w:lang w:eastAsia="de-DE"/>
        </w:rPr>
        <w:t>Introduction</w:t>
      </w:r>
      <w:permStart w:id="304814154" w:edGrp="everyone"/>
      <w:permEnd w:id="304814154"/>
    </w:p>
    <w:p w14:paraId="2E42D71C" w14:textId="77777777" w:rsidR="00E10D8E" w:rsidRPr="00E10D8E" w:rsidRDefault="00E10D8E" w:rsidP="00E10D8E">
      <w:pPr>
        <w:spacing w:after="0" w:line="240" w:lineRule="auto"/>
        <w:jc w:val="left"/>
        <w:rPr>
          <w:rFonts w:ascii="Arial" w:eastAsia="Times New Roman" w:hAnsi="Arial" w:cs="Times New Roman"/>
          <w:b/>
          <w:bCs/>
          <w:i/>
          <w:iCs/>
          <w:szCs w:val="24"/>
          <w:lang w:eastAsia="de-DE"/>
        </w:rPr>
      </w:pPr>
      <w:r w:rsidRPr="00E10D8E">
        <w:rPr>
          <w:rFonts w:ascii="Arial" w:eastAsia="Times New Roman" w:hAnsi="Arial" w:cs="Times New Roman"/>
          <w:b/>
          <w:bCs/>
          <w:i/>
          <w:iCs/>
          <w:szCs w:val="24"/>
          <w:lang w:eastAsia="de-DE"/>
        </w:rPr>
        <w:t>Please make your introductory comments below, if any:</w:t>
      </w:r>
    </w:p>
    <w:p w14:paraId="554326EF" w14:textId="77777777" w:rsidR="00E10D8E" w:rsidRPr="00E10D8E" w:rsidRDefault="00E10D8E" w:rsidP="00E10D8E">
      <w:pPr>
        <w:spacing w:after="0" w:line="240" w:lineRule="auto"/>
        <w:jc w:val="left"/>
        <w:rPr>
          <w:rFonts w:ascii="Arial" w:eastAsia="Times New Roman" w:hAnsi="Arial" w:cs="Times New Roman"/>
          <w:sz w:val="20"/>
          <w:szCs w:val="24"/>
          <w:lang w:eastAsia="de-DE"/>
        </w:rPr>
      </w:pPr>
    </w:p>
    <w:p w14:paraId="0C398FE5" w14:textId="22367F83" w:rsidR="00E10D8E" w:rsidRPr="00332050" w:rsidRDefault="00E10D8E" w:rsidP="00E10D8E">
      <w:pPr>
        <w:spacing w:after="0" w:line="240" w:lineRule="auto"/>
        <w:jc w:val="left"/>
        <w:rPr>
          <w:rFonts w:ascii="Arial" w:eastAsia="Times New Roman" w:hAnsi="Arial" w:cs="Times New Roman"/>
          <w:szCs w:val="22"/>
          <w:lang w:eastAsia="de-DE"/>
        </w:rPr>
      </w:pPr>
      <w:r w:rsidRPr="00332050">
        <w:rPr>
          <w:rFonts w:ascii="Arial" w:eastAsia="Times New Roman" w:hAnsi="Arial" w:cs="Times New Roman"/>
          <w:szCs w:val="22"/>
          <w:lang w:eastAsia="de-DE"/>
        </w:rPr>
        <w:t>&lt;ESA_COMMENT_</w:t>
      </w:r>
      <w:r w:rsidR="00A16EC3" w:rsidRPr="00332050">
        <w:rPr>
          <w:rFonts w:ascii="Arial" w:eastAsia="Times New Roman" w:hAnsi="Arial" w:cs="Times New Roman"/>
          <w:szCs w:val="22"/>
          <w:lang w:eastAsia="de-DE"/>
        </w:rPr>
        <w:t>STS_</w:t>
      </w:r>
      <w:r w:rsidRPr="00E10D8E">
        <w:rPr>
          <w:rFonts w:ascii="Arial" w:eastAsia="Times New Roman" w:hAnsi="Arial" w:cs="Times New Roman"/>
          <w:iCs/>
          <w:szCs w:val="24"/>
          <w:lang w:eastAsia="de-DE"/>
        </w:rPr>
        <w:t>SUST</w:t>
      </w:r>
      <w:r w:rsidRPr="00332050">
        <w:rPr>
          <w:rFonts w:ascii="Arial" w:eastAsia="Times New Roman" w:hAnsi="Arial" w:cs="Times New Roman"/>
          <w:szCs w:val="22"/>
          <w:lang w:eastAsia="de-DE"/>
        </w:rPr>
        <w:t>_1&gt;</w:t>
      </w:r>
    </w:p>
    <w:p w14:paraId="18AD57BE" w14:textId="77777777" w:rsidR="002F54E6" w:rsidRPr="00E10D8E" w:rsidRDefault="002F54E6" w:rsidP="00E10D8E">
      <w:pPr>
        <w:spacing w:after="0" w:line="240" w:lineRule="auto"/>
        <w:jc w:val="left"/>
        <w:rPr>
          <w:rFonts w:ascii="Arial" w:eastAsia="Times New Roman" w:hAnsi="Arial" w:cs="Times New Roman"/>
          <w:sz w:val="20"/>
          <w:szCs w:val="24"/>
          <w:lang w:eastAsia="de-DE"/>
        </w:rPr>
      </w:pPr>
    </w:p>
    <w:p w14:paraId="37AD449D" w14:textId="4C2B57A9" w:rsidR="00AE2B05" w:rsidRPr="00AE2B05" w:rsidRDefault="00AE2B05" w:rsidP="00AE2B05">
      <w:pPr>
        <w:spacing w:after="0" w:line="240" w:lineRule="auto"/>
        <w:jc w:val="left"/>
        <w:rPr>
          <w:rFonts w:ascii="Calibri" w:eastAsia="Calibri" w:hAnsi="Calibri" w:cs="Times New Roman"/>
          <w:szCs w:val="22"/>
        </w:rPr>
      </w:pPr>
      <w:r w:rsidRPr="00AE2B05">
        <w:rPr>
          <w:rFonts w:ascii="Calibri" w:eastAsia="Calibri" w:hAnsi="Calibri" w:cs="Times New Roman"/>
          <w:szCs w:val="22"/>
        </w:rPr>
        <w:t xml:space="preserve">As a general matter, </w:t>
      </w:r>
      <w:r>
        <w:rPr>
          <w:rFonts w:ascii="Calibri" w:eastAsia="Calibri" w:hAnsi="Calibri" w:cs="Times New Roman"/>
          <w:szCs w:val="22"/>
        </w:rPr>
        <w:t>EBF members</w:t>
      </w:r>
      <w:r w:rsidRPr="00AE2B05">
        <w:rPr>
          <w:rFonts w:ascii="Calibri" w:eastAsia="Calibri" w:hAnsi="Calibri" w:cs="Times New Roman"/>
          <w:szCs w:val="22"/>
        </w:rPr>
        <w:t xml:space="preserve"> believe that ESG disclosures should be standardised, as simple as possible (</w:t>
      </w:r>
      <w:proofErr w:type="gramStart"/>
      <w:r w:rsidRPr="00AE2B05">
        <w:rPr>
          <w:rFonts w:ascii="Calibri" w:eastAsia="Calibri" w:hAnsi="Calibri" w:cs="Times New Roman"/>
          <w:szCs w:val="22"/>
        </w:rPr>
        <w:t>i.e.</w:t>
      </w:r>
      <w:proofErr w:type="gramEnd"/>
      <w:r w:rsidRPr="00AE2B05">
        <w:rPr>
          <w:rFonts w:ascii="Calibri" w:eastAsia="Calibri" w:hAnsi="Calibri" w:cs="Times New Roman"/>
          <w:szCs w:val="22"/>
        </w:rPr>
        <w:t xml:space="preserve"> focused on key, relevant PAI indicators) and harmonized at the origination level or when the assets are being securitized; bearing in mind that the ESG data shall be the one available at the origination date and should not need to be updated when the assets are securitised. They also need to be adapted to the </w:t>
      </w:r>
      <w:r w:rsidR="00AF4638">
        <w:rPr>
          <w:rFonts w:ascii="Calibri" w:eastAsia="Calibri" w:hAnsi="Calibri" w:cs="Times New Roman"/>
          <w:szCs w:val="22"/>
        </w:rPr>
        <w:t>different asset classes</w:t>
      </w:r>
      <w:r w:rsidRPr="00AE2B05">
        <w:rPr>
          <w:rFonts w:ascii="Calibri" w:eastAsia="Calibri" w:hAnsi="Calibri" w:cs="Times New Roman"/>
          <w:szCs w:val="22"/>
        </w:rPr>
        <w:t xml:space="preserve">. It will be key in their implementation and for the success of this initiative. </w:t>
      </w:r>
    </w:p>
    <w:p w14:paraId="0D2E05BE" w14:textId="77777777" w:rsidR="00AE2B05" w:rsidRPr="00AE2B05" w:rsidRDefault="00AE2B05" w:rsidP="00AE2B05">
      <w:pPr>
        <w:spacing w:after="0" w:line="240" w:lineRule="auto"/>
        <w:jc w:val="left"/>
        <w:rPr>
          <w:rFonts w:ascii="Calibri" w:eastAsia="Calibri" w:hAnsi="Calibri" w:cs="Times New Roman"/>
          <w:szCs w:val="22"/>
        </w:rPr>
      </w:pPr>
      <w:r w:rsidRPr="00AE2B05">
        <w:rPr>
          <w:rFonts w:ascii="Calibri" w:eastAsia="Calibri" w:hAnsi="Calibri" w:cs="Times New Roman"/>
          <w:szCs w:val="22"/>
        </w:rPr>
        <w:t>Also, the right balance must be found between, on the one hand, the need to provide investors with meaningful information on principal adverse impacts (PAIs) on sustainability factors, as required by the Securitisation Regulation, and, on the other hand: (</w:t>
      </w:r>
      <w:proofErr w:type="spellStart"/>
      <w:r w:rsidRPr="00AE2B05">
        <w:rPr>
          <w:rFonts w:ascii="Calibri" w:eastAsia="Calibri" w:hAnsi="Calibri" w:cs="Times New Roman"/>
          <w:szCs w:val="22"/>
        </w:rPr>
        <w:t>i</w:t>
      </w:r>
      <w:proofErr w:type="spellEnd"/>
      <w:r w:rsidRPr="00AE2B05">
        <w:rPr>
          <w:rFonts w:ascii="Calibri" w:eastAsia="Calibri" w:hAnsi="Calibri" w:cs="Times New Roman"/>
          <w:szCs w:val="22"/>
        </w:rPr>
        <w:t>) the necessity to keep reporting costs reasonable, especially with regards to financing tools and techniques other than securitisation, and (ii) the objective not to create an additional and specific reporting framework for securitisation, as recognized by ESAs and highlighted in the consultation document.</w:t>
      </w:r>
    </w:p>
    <w:p w14:paraId="03F407E4" w14:textId="328592E5" w:rsidR="00EB49E3" w:rsidRPr="00AE2B05" w:rsidRDefault="00AE2B05" w:rsidP="00EB49E3">
      <w:pPr>
        <w:spacing w:after="0" w:line="240" w:lineRule="auto"/>
        <w:jc w:val="left"/>
        <w:rPr>
          <w:rFonts w:ascii="Calibri" w:eastAsia="Calibri" w:hAnsi="Calibri" w:cs="Times New Roman"/>
          <w:szCs w:val="22"/>
        </w:rPr>
      </w:pPr>
      <w:r w:rsidRPr="00AE2B05">
        <w:rPr>
          <w:rFonts w:ascii="Calibri" w:eastAsia="Calibri" w:hAnsi="Calibri" w:cs="Times New Roman"/>
          <w:szCs w:val="22"/>
        </w:rPr>
        <w:t xml:space="preserve">In the specific context of securitization and ESG disclosures in STS transactions pursuant to the Articles 22(6) and 26d(6) of the Securitisation Regulation, we would like to highlight that a grand-fathering provision would be strongly recommended in order to provide enough flexibility for the impacted originators to collect the required information for live transactions, a significant number of them having been concluded years ago or with assets originated well ahead of the transactions closing date. </w:t>
      </w:r>
      <w:r w:rsidR="00EB49E3">
        <w:rPr>
          <w:rFonts w:ascii="Calibri" w:eastAsia="Calibri" w:hAnsi="Calibri" w:cs="Times New Roman"/>
          <w:szCs w:val="22"/>
        </w:rPr>
        <w:t xml:space="preserve">Grandfathering is </w:t>
      </w:r>
      <w:r w:rsidR="00242C73">
        <w:rPr>
          <w:rFonts w:ascii="Calibri" w:eastAsia="Calibri" w:hAnsi="Calibri" w:cs="Times New Roman"/>
          <w:szCs w:val="22"/>
        </w:rPr>
        <w:t>especially</w:t>
      </w:r>
      <w:r w:rsidR="00EB49E3">
        <w:rPr>
          <w:rFonts w:ascii="Calibri" w:eastAsia="Calibri" w:hAnsi="Calibri" w:cs="Times New Roman"/>
          <w:szCs w:val="22"/>
        </w:rPr>
        <w:t xml:space="preserve"> relevant for the (old) transactions in the pool; for the use of proceeds sustainability data should be available subject to our reservations about the timing of implementation (see top of next page).</w:t>
      </w:r>
    </w:p>
    <w:p w14:paraId="23FCC2D6" w14:textId="2E2B88E3" w:rsidR="00AE2B05" w:rsidRPr="00AE2B05" w:rsidRDefault="00FB0330" w:rsidP="00AE2B05">
      <w:pPr>
        <w:spacing w:after="0" w:line="240" w:lineRule="auto"/>
        <w:jc w:val="left"/>
        <w:rPr>
          <w:rFonts w:ascii="Calibri" w:eastAsia="Calibri" w:hAnsi="Calibri" w:cs="Times New Roman"/>
          <w:szCs w:val="22"/>
        </w:rPr>
      </w:pPr>
      <w:r>
        <w:rPr>
          <w:rFonts w:ascii="Calibri" w:eastAsia="Calibri" w:hAnsi="Calibri" w:cs="Times New Roman"/>
          <w:szCs w:val="22"/>
        </w:rPr>
        <w:t>Furthermore,</w:t>
      </w:r>
      <w:r w:rsidR="00AE2B05" w:rsidRPr="00AE2B05">
        <w:rPr>
          <w:rFonts w:ascii="Calibri" w:eastAsia="Calibri" w:hAnsi="Calibri" w:cs="Times New Roman"/>
          <w:szCs w:val="22"/>
        </w:rPr>
        <w:t xml:space="preserve"> we do not recommend maintaining the requirement to provide "details of the best efforts used to obtain the information from the obligors, external experts or by making reasonable assumptions" in Article 2(3)(d) of the Draft RTS. Rather than simply requiring originators to describe their processes, the proposed Article 2(3)(d) seems to be imposing an obligation to make "best efforts" to obtain information. The reference to the “best efforts” may incur additional liability since the originators would need to prove that they were not in position to gather this information and would need to develop procedures and dedicate resources for this purpose.</w:t>
      </w:r>
    </w:p>
    <w:p w14:paraId="32CB5B04" w14:textId="77777777" w:rsidR="00AE2B05" w:rsidRPr="00AE2B05" w:rsidRDefault="00AE2B05" w:rsidP="00AE2B05">
      <w:pPr>
        <w:spacing w:after="0" w:line="240" w:lineRule="auto"/>
        <w:jc w:val="left"/>
        <w:rPr>
          <w:rFonts w:ascii="Calibri" w:eastAsia="Calibri" w:hAnsi="Calibri" w:cs="Times New Roman"/>
          <w:szCs w:val="22"/>
        </w:rPr>
      </w:pPr>
      <w:r w:rsidRPr="00AE2B05">
        <w:rPr>
          <w:rFonts w:ascii="Calibri" w:eastAsia="Calibri" w:hAnsi="Calibri" w:cs="Times New Roman"/>
          <w:szCs w:val="22"/>
        </w:rPr>
        <w:lastRenderedPageBreak/>
        <w:t>Timing wise, an implementation on the 1st of January 2023 seems unrealistic given the workload, notably the required IT and operational developments in relation to the securitised transactions (specifically but not limited to data extraction in the systems).</w:t>
      </w:r>
    </w:p>
    <w:p w14:paraId="77FA9D0B" w14:textId="682222E3" w:rsidR="00AE2B05" w:rsidRDefault="00AE2B05" w:rsidP="00AE2B05">
      <w:pPr>
        <w:spacing w:after="0" w:line="240" w:lineRule="auto"/>
        <w:jc w:val="left"/>
        <w:rPr>
          <w:rFonts w:ascii="Calibri" w:eastAsia="Calibri" w:hAnsi="Calibri" w:cs="Times New Roman"/>
          <w:szCs w:val="22"/>
        </w:rPr>
      </w:pPr>
      <w:r w:rsidRPr="00AE2B05">
        <w:rPr>
          <w:rFonts w:ascii="Calibri" w:eastAsia="Calibri" w:hAnsi="Calibri" w:cs="Times New Roman"/>
          <w:szCs w:val="22"/>
        </w:rPr>
        <w:t>In addition, upon the decision from the originators to proceed with ESG disclosure, it could be appropriate to allow for reporting on a portion of the assets pool, once the information systems are ready and the information is available.</w:t>
      </w:r>
    </w:p>
    <w:p w14:paraId="00A154A2" w14:textId="57169145" w:rsidR="007F6DA2" w:rsidRDefault="007F6DA2" w:rsidP="00AE2B05">
      <w:pPr>
        <w:spacing w:after="0" w:line="240" w:lineRule="auto"/>
        <w:jc w:val="left"/>
        <w:rPr>
          <w:rFonts w:ascii="Calibri" w:eastAsia="Calibri" w:hAnsi="Calibri" w:cs="Times New Roman"/>
          <w:szCs w:val="22"/>
        </w:rPr>
      </w:pPr>
    </w:p>
    <w:p w14:paraId="17CFEA32" w14:textId="6438C2F5" w:rsidR="007F6DA2" w:rsidRDefault="00B91947" w:rsidP="00AE2B05">
      <w:pPr>
        <w:spacing w:after="0" w:line="240" w:lineRule="auto"/>
        <w:jc w:val="left"/>
        <w:rPr>
          <w:rFonts w:ascii="Calibri" w:eastAsia="Calibri" w:hAnsi="Calibri" w:cs="Times New Roman"/>
          <w:szCs w:val="22"/>
        </w:rPr>
      </w:pPr>
      <w:r>
        <w:rPr>
          <w:rFonts w:ascii="Calibri" w:eastAsia="Calibri" w:hAnsi="Calibri" w:cs="Times New Roman"/>
          <w:szCs w:val="22"/>
        </w:rPr>
        <w:t>Finally,</w:t>
      </w:r>
      <w:r w:rsidR="00746D41">
        <w:rPr>
          <w:rFonts w:ascii="Calibri" w:eastAsia="Calibri" w:hAnsi="Calibri" w:cs="Times New Roman"/>
          <w:szCs w:val="22"/>
        </w:rPr>
        <w:t xml:space="preserve"> it is our understanding that the environmental disclosures </w:t>
      </w:r>
      <w:r w:rsidR="000E5EF9">
        <w:rPr>
          <w:rFonts w:ascii="Calibri" w:eastAsia="Calibri" w:hAnsi="Calibri" w:cs="Times New Roman"/>
          <w:szCs w:val="22"/>
        </w:rPr>
        <w:t xml:space="preserve">will </w:t>
      </w:r>
      <w:r w:rsidR="00210FA5">
        <w:rPr>
          <w:rFonts w:ascii="Calibri" w:eastAsia="Calibri" w:hAnsi="Calibri" w:cs="Times New Roman"/>
          <w:szCs w:val="22"/>
        </w:rPr>
        <w:t>not be part of the STS criteria requirements of a</w:t>
      </w:r>
      <w:r w:rsidR="000E5EF9">
        <w:rPr>
          <w:rFonts w:ascii="Calibri" w:eastAsia="Calibri" w:hAnsi="Calibri" w:cs="Times New Roman"/>
          <w:szCs w:val="22"/>
        </w:rPr>
        <w:t xml:space="preserve"> securitisation transaction. It could be useful to clarify this in the final </w:t>
      </w:r>
      <w:r w:rsidR="00D44654">
        <w:rPr>
          <w:rFonts w:ascii="Calibri" w:eastAsia="Calibri" w:hAnsi="Calibri" w:cs="Times New Roman"/>
          <w:szCs w:val="22"/>
        </w:rPr>
        <w:t>R</w:t>
      </w:r>
      <w:r w:rsidR="000E5EF9">
        <w:rPr>
          <w:rFonts w:ascii="Calibri" w:eastAsia="Calibri" w:hAnsi="Calibri" w:cs="Times New Roman"/>
          <w:szCs w:val="22"/>
        </w:rPr>
        <w:t>TS</w:t>
      </w:r>
      <w:r w:rsidR="006C707B">
        <w:rPr>
          <w:rFonts w:ascii="Calibri" w:eastAsia="Calibri" w:hAnsi="Calibri" w:cs="Times New Roman"/>
          <w:szCs w:val="22"/>
        </w:rPr>
        <w:t>, because</w:t>
      </w:r>
      <w:r w:rsidR="00456B0C">
        <w:rPr>
          <w:rFonts w:ascii="Calibri" w:eastAsia="Calibri" w:hAnsi="Calibri" w:cs="Times New Roman"/>
          <w:szCs w:val="22"/>
        </w:rPr>
        <w:t xml:space="preserve"> </w:t>
      </w:r>
      <w:r w:rsidR="006C707B">
        <w:rPr>
          <w:rFonts w:ascii="Calibri" w:eastAsia="Calibri" w:hAnsi="Calibri" w:cs="Times New Roman"/>
          <w:szCs w:val="22"/>
        </w:rPr>
        <w:t>w</w:t>
      </w:r>
      <w:r w:rsidR="00456B0C" w:rsidRPr="00456B0C">
        <w:rPr>
          <w:rFonts w:ascii="Calibri" w:eastAsia="Calibri" w:hAnsi="Calibri" w:cs="Times New Roman"/>
          <w:szCs w:val="22"/>
        </w:rPr>
        <w:t>e assume that the requirements are not mandatory. This should be clarified in the</w:t>
      </w:r>
      <w:r w:rsidR="006C707B">
        <w:rPr>
          <w:rFonts w:ascii="Calibri" w:eastAsia="Calibri" w:hAnsi="Calibri" w:cs="Times New Roman"/>
          <w:szCs w:val="22"/>
        </w:rPr>
        <w:t xml:space="preserve"> RTS</w:t>
      </w:r>
      <w:r w:rsidR="00456B0C" w:rsidRPr="00456B0C">
        <w:rPr>
          <w:rFonts w:ascii="Calibri" w:eastAsia="Calibri" w:hAnsi="Calibri" w:cs="Times New Roman"/>
          <w:szCs w:val="22"/>
        </w:rPr>
        <w:t xml:space="preserve"> consulted here. In any case, they must not go beyond the disclosure obligation of the underlying Art. 22 (4) of the Securitisation Regulation</w:t>
      </w:r>
      <w:r w:rsidR="006C707B">
        <w:rPr>
          <w:rFonts w:ascii="Calibri" w:eastAsia="Calibri" w:hAnsi="Calibri" w:cs="Times New Roman"/>
          <w:szCs w:val="22"/>
        </w:rPr>
        <w:t xml:space="preserve">. Moreover, it would be very helpful to avoid </w:t>
      </w:r>
      <w:r w:rsidR="00731A63">
        <w:rPr>
          <w:rFonts w:ascii="Calibri" w:eastAsia="Calibri" w:hAnsi="Calibri" w:cs="Times New Roman"/>
          <w:szCs w:val="22"/>
        </w:rPr>
        <w:t xml:space="preserve">that those articles fall under article 7 (1) (a), because otherwise </w:t>
      </w:r>
      <w:r w:rsidR="00303357">
        <w:rPr>
          <w:rFonts w:ascii="Calibri" w:eastAsia="Calibri" w:hAnsi="Calibri" w:cs="Times New Roman"/>
          <w:szCs w:val="22"/>
        </w:rPr>
        <w:t>the disclosures will become part of the STS criteria.</w:t>
      </w:r>
    </w:p>
    <w:p w14:paraId="4096D0CE" w14:textId="77777777" w:rsidR="00D44654" w:rsidRDefault="00D44654" w:rsidP="00AE2B05">
      <w:pPr>
        <w:spacing w:after="0" w:line="240" w:lineRule="auto"/>
        <w:jc w:val="left"/>
        <w:rPr>
          <w:rFonts w:ascii="Calibri" w:eastAsia="Calibri" w:hAnsi="Calibri" w:cs="Times New Roman"/>
          <w:szCs w:val="22"/>
        </w:rPr>
      </w:pPr>
    </w:p>
    <w:p w14:paraId="3F240675" w14:textId="7A0DA186" w:rsidR="00E10D8E" w:rsidRDefault="00E10D8E" w:rsidP="00AE2B05">
      <w:pPr>
        <w:spacing w:after="0" w:line="240" w:lineRule="auto"/>
        <w:jc w:val="left"/>
        <w:rPr>
          <w:rFonts w:ascii="Arial" w:eastAsia="Times New Roman" w:hAnsi="Arial" w:cs="Times New Roman"/>
          <w:sz w:val="20"/>
          <w:szCs w:val="24"/>
          <w:lang w:eastAsia="de-DE"/>
        </w:rPr>
      </w:pPr>
      <w:r w:rsidRPr="00E10D8E">
        <w:rPr>
          <w:rFonts w:ascii="Arial" w:eastAsia="Times New Roman" w:hAnsi="Arial" w:cs="Times New Roman"/>
          <w:sz w:val="20"/>
          <w:szCs w:val="24"/>
          <w:lang w:eastAsia="de-DE"/>
        </w:rPr>
        <w:t>&lt;ESA_COMMENT_</w:t>
      </w:r>
      <w:r w:rsidRPr="00E10D8E">
        <w:rPr>
          <w:rFonts w:ascii="Arial" w:eastAsia="Times New Roman" w:hAnsi="Arial" w:cs="Times New Roman"/>
          <w:iCs/>
          <w:szCs w:val="24"/>
          <w:lang w:eastAsia="de-DE"/>
        </w:rPr>
        <w:t>S</w:t>
      </w:r>
      <w:r w:rsidR="00A16EC3">
        <w:rPr>
          <w:rFonts w:ascii="Arial" w:eastAsia="Times New Roman" w:hAnsi="Arial" w:cs="Times New Roman"/>
          <w:iCs/>
          <w:szCs w:val="24"/>
          <w:lang w:eastAsia="de-DE"/>
        </w:rPr>
        <w:t>TS_SUST</w:t>
      </w:r>
      <w:r w:rsidRPr="00E10D8E">
        <w:rPr>
          <w:rFonts w:ascii="Arial" w:eastAsia="Times New Roman" w:hAnsi="Arial" w:cs="Times New Roman"/>
          <w:sz w:val="20"/>
          <w:szCs w:val="24"/>
          <w:lang w:eastAsia="de-DE"/>
        </w:rPr>
        <w:t>_1&gt;</w:t>
      </w:r>
    </w:p>
    <w:p w14:paraId="03613541" w14:textId="4344BC5B" w:rsidR="00A16EC3" w:rsidRDefault="00A16EC3" w:rsidP="00E10D8E">
      <w:pPr>
        <w:spacing w:after="0" w:line="240" w:lineRule="auto"/>
        <w:jc w:val="left"/>
        <w:rPr>
          <w:rFonts w:ascii="Arial" w:eastAsia="Times New Roman" w:hAnsi="Arial" w:cs="Times New Roman"/>
          <w:sz w:val="20"/>
          <w:szCs w:val="24"/>
          <w:lang w:eastAsia="de-DE"/>
        </w:rPr>
      </w:pPr>
    </w:p>
    <w:p w14:paraId="3EFABC4F" w14:textId="77777777" w:rsidR="00A16EC3" w:rsidRPr="00E10D8E" w:rsidRDefault="00A16EC3" w:rsidP="00E10D8E">
      <w:pPr>
        <w:spacing w:after="0" w:line="240" w:lineRule="auto"/>
        <w:jc w:val="left"/>
        <w:rPr>
          <w:rFonts w:ascii="Arial" w:eastAsia="Times New Roman" w:hAnsi="Arial" w:cs="Times New Roman"/>
          <w:sz w:val="20"/>
          <w:szCs w:val="24"/>
          <w:lang w:eastAsia="de-DE"/>
        </w:rPr>
      </w:pPr>
    </w:p>
    <w:p w14:paraId="4592FA08" w14:textId="7D4A988F" w:rsidR="00E10D8E" w:rsidRPr="00E10D8E" w:rsidRDefault="00E10D8E" w:rsidP="003D0BD8">
      <w:pPr>
        <w:spacing w:after="160" w:line="259" w:lineRule="auto"/>
        <w:ind w:left="709"/>
        <w:rPr>
          <w:rFonts w:ascii="Arial" w:eastAsia="Times New Roman" w:hAnsi="Arial" w:cs="Arial"/>
          <w:sz w:val="20"/>
          <w:lang w:eastAsia="en-GB"/>
        </w:rPr>
      </w:pPr>
      <w:r w:rsidRPr="00E10D8E">
        <w:rPr>
          <w:rFonts w:ascii="Arial" w:eastAsia="Times New Roman" w:hAnsi="Arial" w:cs="Arial"/>
          <w:sz w:val="20"/>
          <w:lang w:eastAsia="en-GB"/>
        </w:rPr>
        <w:br w:type="page"/>
      </w:r>
      <w:r w:rsidRPr="00E10D8E">
        <w:rPr>
          <w:rFonts w:ascii="Arial" w:eastAsia="Times New Roman" w:hAnsi="Arial" w:cs="Arial"/>
          <w:b/>
          <w:bCs/>
          <w:sz w:val="20"/>
          <w:lang w:eastAsia="en-GB"/>
        </w:rPr>
        <w:lastRenderedPageBreak/>
        <w:t xml:space="preserve"> </w:t>
      </w:r>
    </w:p>
    <w:p w14:paraId="0D5E179B"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that it is preferable to make disclosures available in a stand-alone document based on the SFDR template and consider any potential related adjustments to ESMA’s disclosure RTS at a later stage?</w:t>
      </w:r>
    </w:p>
    <w:p w14:paraId="76D5B7D2" w14:textId="77777777" w:rsidR="00931D41" w:rsidRDefault="00931D41" w:rsidP="00931D41">
      <w:pPr>
        <w:spacing w:after="160" w:line="259" w:lineRule="auto"/>
        <w:rPr>
          <w:rFonts w:ascii="Calibri" w:eastAsia="Calibri" w:hAnsi="Calibri" w:cs="Times New Roman"/>
          <w:szCs w:val="22"/>
        </w:rPr>
      </w:pPr>
    </w:p>
    <w:p w14:paraId="6DBC3DFE" w14:textId="6B74B1CB"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&lt;ESA_QUESTION_STS_SUST_1&gt;</w:t>
      </w:r>
    </w:p>
    <w:p w14:paraId="44BA6870" w14:textId="40EE13D6" w:rsidR="00A77766" w:rsidRDefault="00824E4E" w:rsidP="00A77766">
      <w:pPr>
        <w:spacing w:after="160" w:line="259" w:lineRule="auto"/>
        <w:rPr>
          <w:rFonts w:ascii="Calibri" w:eastAsia="Calibri" w:hAnsi="Calibri" w:cs="Times New Roman"/>
          <w:szCs w:val="22"/>
        </w:rPr>
      </w:pPr>
      <w:r w:rsidRPr="00824E4E">
        <w:rPr>
          <w:rFonts w:ascii="Calibri" w:eastAsia="Calibri" w:hAnsi="Calibri" w:cs="Times New Roman"/>
          <w:szCs w:val="22"/>
        </w:rPr>
        <w:t>Yes, separating out the ESG disclosures from the existing loan-level data disclosures required under Article 7(1)(a) of the Securitisation Regulation</w:t>
      </w:r>
      <w:r w:rsidR="000156AE">
        <w:rPr>
          <w:rFonts w:ascii="Calibri" w:eastAsia="Calibri" w:hAnsi="Calibri" w:cs="Times New Roman"/>
          <w:szCs w:val="22"/>
        </w:rPr>
        <w:t xml:space="preserve"> is the preferred approach. </w:t>
      </w:r>
      <w:r w:rsidR="00A77766" w:rsidRPr="00A77766">
        <w:rPr>
          <w:rFonts w:ascii="Calibri" w:eastAsia="Calibri" w:hAnsi="Calibri" w:cs="Times New Roman"/>
          <w:szCs w:val="22"/>
        </w:rPr>
        <w:t>We are not certain about the extent of the update of the loan level disclosure for the reasons mentioned in paragraph 11 of the consultation (e.g., qualitative nature of certain elements and absence of proportionality vis-à-vis to other financial products)</w:t>
      </w:r>
      <w:r w:rsidR="0081447B">
        <w:rPr>
          <w:rFonts w:ascii="Calibri" w:eastAsia="Calibri" w:hAnsi="Calibri" w:cs="Times New Roman"/>
          <w:szCs w:val="22"/>
        </w:rPr>
        <w:t xml:space="preserve">. </w:t>
      </w:r>
      <w:r w:rsidR="00A77766" w:rsidRPr="00A77766">
        <w:rPr>
          <w:rFonts w:ascii="Calibri" w:eastAsia="Calibri" w:hAnsi="Calibri" w:cs="Times New Roman"/>
          <w:szCs w:val="22"/>
        </w:rPr>
        <w:t>In addition, existing ESMA templates are already very detailed and need to be streamlined, as highlighted, by numerous securitisation originators and investors and therefore, cannot be used in this context.</w:t>
      </w:r>
      <w:r w:rsidR="0081447B">
        <w:rPr>
          <w:rFonts w:ascii="Calibri" w:eastAsia="Calibri" w:hAnsi="Calibri" w:cs="Times New Roman"/>
          <w:szCs w:val="22"/>
        </w:rPr>
        <w:t xml:space="preserve"> </w:t>
      </w:r>
      <w:r w:rsidR="00A77766" w:rsidRPr="00A77766">
        <w:rPr>
          <w:rFonts w:ascii="Calibri" w:eastAsia="Calibri" w:hAnsi="Calibri" w:cs="Times New Roman"/>
          <w:szCs w:val="22"/>
        </w:rPr>
        <w:t xml:space="preserve">Thus, we think that a separate document </w:t>
      </w:r>
      <w:r w:rsidR="00C8662B">
        <w:rPr>
          <w:rFonts w:ascii="Calibri" w:eastAsia="Calibri" w:hAnsi="Calibri" w:cs="Times New Roman"/>
          <w:szCs w:val="22"/>
        </w:rPr>
        <w:t>is</w:t>
      </w:r>
      <w:r w:rsidR="00A77766" w:rsidRPr="00A77766">
        <w:rPr>
          <w:rFonts w:ascii="Calibri" w:eastAsia="Calibri" w:hAnsi="Calibri" w:cs="Times New Roman"/>
          <w:szCs w:val="22"/>
        </w:rPr>
        <w:t xml:space="preserve"> necessary and </w:t>
      </w:r>
      <w:r w:rsidR="00E22754">
        <w:rPr>
          <w:rFonts w:ascii="Calibri" w:eastAsia="Calibri" w:hAnsi="Calibri" w:cs="Times New Roman"/>
          <w:szCs w:val="22"/>
        </w:rPr>
        <w:t xml:space="preserve">would be </w:t>
      </w:r>
      <w:r w:rsidR="00A77766" w:rsidRPr="00A77766">
        <w:rPr>
          <w:rFonts w:ascii="Calibri" w:eastAsia="Calibri" w:hAnsi="Calibri" w:cs="Times New Roman"/>
          <w:szCs w:val="22"/>
        </w:rPr>
        <w:t xml:space="preserve">more appropriate, as some of the PAI information cannot be standardised and summarised in abstract code. The “ND” classification of such information to be included in the loan level data reporting will also be </w:t>
      </w:r>
      <w:r w:rsidR="003C1927">
        <w:rPr>
          <w:rFonts w:ascii="Calibri" w:eastAsia="Calibri" w:hAnsi="Calibri" w:cs="Times New Roman"/>
          <w:szCs w:val="22"/>
        </w:rPr>
        <w:t>essential</w:t>
      </w:r>
      <w:r w:rsidR="00A77766" w:rsidRPr="00A77766">
        <w:rPr>
          <w:rFonts w:ascii="Calibri" w:eastAsia="Calibri" w:hAnsi="Calibri" w:cs="Times New Roman"/>
          <w:szCs w:val="22"/>
        </w:rPr>
        <w:t>, since the information is either not necessarily available at all or in the form required by the reporting template.</w:t>
      </w:r>
      <w:r w:rsidR="0055151A">
        <w:rPr>
          <w:rFonts w:ascii="Calibri" w:eastAsia="Calibri" w:hAnsi="Calibri" w:cs="Times New Roman"/>
          <w:szCs w:val="22"/>
        </w:rPr>
        <w:t xml:space="preserve"> </w:t>
      </w:r>
      <w:r w:rsidR="00517C49">
        <w:rPr>
          <w:rFonts w:ascii="Calibri" w:eastAsia="Calibri" w:hAnsi="Calibri" w:cs="Times New Roman"/>
          <w:szCs w:val="22"/>
        </w:rPr>
        <w:t>A potential integration of the SFDR information in the ESMA templates</w:t>
      </w:r>
      <w:r w:rsidR="00C32022">
        <w:rPr>
          <w:rFonts w:ascii="Calibri" w:eastAsia="Calibri" w:hAnsi="Calibri" w:cs="Times New Roman"/>
          <w:szCs w:val="22"/>
        </w:rPr>
        <w:t xml:space="preserve"> is now </w:t>
      </w:r>
      <w:proofErr w:type="gramStart"/>
      <w:r w:rsidR="00C32022">
        <w:rPr>
          <w:rFonts w:ascii="Calibri" w:eastAsia="Calibri" w:hAnsi="Calibri" w:cs="Times New Roman"/>
          <w:szCs w:val="22"/>
        </w:rPr>
        <w:t>absolutely premature</w:t>
      </w:r>
      <w:proofErr w:type="gramEnd"/>
      <w:r w:rsidR="00855E97">
        <w:rPr>
          <w:rFonts w:ascii="Calibri" w:eastAsia="Calibri" w:hAnsi="Calibri" w:cs="Times New Roman"/>
          <w:szCs w:val="22"/>
        </w:rPr>
        <w:t xml:space="preserve"> and</w:t>
      </w:r>
      <w:r w:rsidR="00517C49">
        <w:rPr>
          <w:rFonts w:ascii="Calibri" w:eastAsia="Calibri" w:hAnsi="Calibri" w:cs="Times New Roman"/>
          <w:szCs w:val="22"/>
        </w:rPr>
        <w:t xml:space="preserve"> should be further discussed once </w:t>
      </w:r>
      <w:r w:rsidR="00DF5DEF">
        <w:rPr>
          <w:rFonts w:ascii="Calibri" w:eastAsia="Calibri" w:hAnsi="Calibri" w:cs="Times New Roman"/>
          <w:szCs w:val="22"/>
        </w:rPr>
        <w:t xml:space="preserve">the level of sustainable collateral has reached a critical mass. </w:t>
      </w:r>
      <w:r w:rsidR="005A2B14">
        <w:rPr>
          <w:rFonts w:ascii="Calibri" w:eastAsia="Calibri" w:hAnsi="Calibri" w:cs="Times New Roman"/>
          <w:szCs w:val="22"/>
        </w:rPr>
        <w:t>T</w:t>
      </w:r>
      <w:r w:rsidR="00782527">
        <w:rPr>
          <w:rFonts w:ascii="Calibri" w:eastAsia="Calibri" w:hAnsi="Calibri" w:cs="Times New Roman"/>
          <w:szCs w:val="22"/>
        </w:rPr>
        <w:t xml:space="preserve">his also aligns with an eventual future shift from use of proceeds based to </w:t>
      </w:r>
      <w:proofErr w:type="gramStart"/>
      <w:r w:rsidR="00782527">
        <w:rPr>
          <w:rFonts w:ascii="Calibri" w:eastAsia="Calibri" w:hAnsi="Calibri" w:cs="Times New Roman"/>
          <w:szCs w:val="22"/>
        </w:rPr>
        <w:t>collateral based</w:t>
      </w:r>
      <w:proofErr w:type="gramEnd"/>
      <w:r w:rsidR="00782527">
        <w:rPr>
          <w:rFonts w:ascii="Calibri" w:eastAsia="Calibri" w:hAnsi="Calibri" w:cs="Times New Roman"/>
          <w:szCs w:val="22"/>
        </w:rPr>
        <w:t xml:space="preserve"> securitisations under the EU GBS.</w:t>
      </w:r>
    </w:p>
    <w:p w14:paraId="5158A3AA" w14:textId="07AAF660" w:rsidR="00824E4E" w:rsidRPr="00824E4E" w:rsidRDefault="00A77766" w:rsidP="00824E4E">
      <w:pPr>
        <w:spacing w:after="160" w:line="259" w:lineRule="auto"/>
        <w:rPr>
          <w:rFonts w:ascii="Calibri" w:eastAsia="Calibri" w:hAnsi="Calibri" w:cs="Times New Roman"/>
          <w:szCs w:val="22"/>
        </w:rPr>
      </w:pPr>
      <w:r>
        <w:rPr>
          <w:rFonts w:ascii="Calibri" w:eastAsia="Calibri" w:hAnsi="Calibri" w:cs="Times New Roman"/>
          <w:szCs w:val="22"/>
        </w:rPr>
        <w:t>A</w:t>
      </w:r>
      <w:r w:rsidR="00824E4E" w:rsidRPr="00824E4E">
        <w:rPr>
          <w:rFonts w:ascii="Calibri" w:eastAsia="Calibri" w:hAnsi="Calibri" w:cs="Times New Roman"/>
          <w:szCs w:val="22"/>
        </w:rPr>
        <w:t xml:space="preserve">s a general remark, information requirements should be aligned with other ESG reporting requirements and take the nature of </w:t>
      </w:r>
      <w:r w:rsidR="00A712BE" w:rsidRPr="00824E4E">
        <w:rPr>
          <w:rFonts w:ascii="Calibri" w:eastAsia="Calibri" w:hAnsi="Calibri" w:cs="Times New Roman"/>
          <w:szCs w:val="22"/>
        </w:rPr>
        <w:t>securitisation</w:t>
      </w:r>
      <w:r w:rsidR="00824E4E" w:rsidRPr="00824E4E">
        <w:rPr>
          <w:rFonts w:ascii="Calibri" w:eastAsia="Calibri" w:hAnsi="Calibri" w:cs="Times New Roman"/>
          <w:szCs w:val="22"/>
        </w:rPr>
        <w:t xml:space="preserve"> and underlying assets into consideration as to detail level and </w:t>
      </w:r>
      <w:r w:rsidR="00A712BE" w:rsidRPr="00824E4E">
        <w:rPr>
          <w:rFonts w:ascii="Calibri" w:eastAsia="Calibri" w:hAnsi="Calibri" w:cs="Times New Roman"/>
          <w:szCs w:val="22"/>
        </w:rPr>
        <w:t>frequency</w:t>
      </w:r>
      <w:r w:rsidR="00824E4E" w:rsidRPr="00824E4E">
        <w:rPr>
          <w:rFonts w:ascii="Calibri" w:eastAsia="Calibri" w:hAnsi="Calibri" w:cs="Times New Roman"/>
          <w:szCs w:val="22"/>
        </w:rPr>
        <w:t>.</w:t>
      </w:r>
    </w:p>
    <w:p w14:paraId="26F8C277" w14:textId="087BCC11" w:rsidR="00A712BE" w:rsidRDefault="00824E4E" w:rsidP="00824E4E">
      <w:pPr>
        <w:spacing w:after="160" w:line="259" w:lineRule="auto"/>
        <w:rPr>
          <w:rFonts w:ascii="Calibri" w:eastAsia="Calibri" w:hAnsi="Calibri" w:cs="Times New Roman"/>
          <w:szCs w:val="22"/>
        </w:rPr>
      </w:pPr>
      <w:r w:rsidRPr="00824E4E">
        <w:rPr>
          <w:rFonts w:ascii="Calibri" w:eastAsia="Calibri" w:hAnsi="Calibri" w:cs="Times New Roman"/>
          <w:szCs w:val="22"/>
        </w:rPr>
        <w:t>Overall, the direction for ESG disclosures should be relevant for in</w:t>
      </w:r>
      <w:r w:rsidR="00A712BE" w:rsidRPr="00824E4E">
        <w:rPr>
          <w:rFonts w:ascii="Calibri" w:eastAsia="Calibri" w:hAnsi="Calibri" w:cs="Times New Roman"/>
          <w:szCs w:val="22"/>
        </w:rPr>
        <w:t>ve</w:t>
      </w:r>
      <w:r w:rsidR="00E44F00">
        <w:rPr>
          <w:rFonts w:ascii="Calibri" w:eastAsia="Calibri" w:hAnsi="Calibri" w:cs="Times New Roman"/>
          <w:szCs w:val="22"/>
        </w:rPr>
        <w:t>s</w:t>
      </w:r>
      <w:r w:rsidR="00A712BE" w:rsidRPr="00824E4E">
        <w:rPr>
          <w:rFonts w:ascii="Calibri" w:eastAsia="Calibri" w:hAnsi="Calibri" w:cs="Times New Roman"/>
          <w:szCs w:val="22"/>
        </w:rPr>
        <w:t>tors</w:t>
      </w:r>
      <w:r w:rsidRPr="00824E4E">
        <w:rPr>
          <w:rFonts w:ascii="Calibri" w:eastAsia="Calibri" w:hAnsi="Calibri" w:cs="Times New Roman"/>
          <w:szCs w:val="22"/>
        </w:rPr>
        <w:t xml:space="preserve"> and less burdensome for originators.</w:t>
      </w:r>
    </w:p>
    <w:p w14:paraId="33C18796" w14:textId="32C7684B" w:rsidR="00931D41" w:rsidRPr="00931D41" w:rsidRDefault="00931D41" w:rsidP="00824E4E">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&lt;ESA_QUESTION_STS_SUST_1&gt;</w:t>
      </w:r>
    </w:p>
    <w:p w14:paraId="227B5212" w14:textId="77777777" w:rsidR="00931D41" w:rsidRPr="00931D41" w:rsidRDefault="00931D41" w:rsidP="00931D41">
      <w:pPr>
        <w:spacing w:after="160" w:line="259" w:lineRule="auto"/>
        <w:rPr>
          <w:rFonts w:ascii="Calibri" w:eastAsia="Calibri" w:hAnsi="Calibri" w:cs="Times New Roman"/>
          <w:szCs w:val="22"/>
        </w:rPr>
      </w:pPr>
    </w:p>
    <w:p w14:paraId="70084870"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Do you agree that originators should disclose information in the principal adverse sustainability impacts statement, about whether and, if so, how principal adverse impacts on sustainability factors are </w:t>
      </w:r>
      <w:proofErr w:type="gramStart"/>
      <w:r w:rsidRPr="00931D41">
        <w:rPr>
          <w:rFonts w:ascii="Arial" w:eastAsia="Times New Roman" w:hAnsi="Arial" w:cs="Arial"/>
          <w:b/>
          <w:szCs w:val="22"/>
          <w:lang w:val="en-US"/>
        </w:rPr>
        <w:t>taken into account</w:t>
      </w:r>
      <w:proofErr w:type="gramEnd"/>
      <w:r w:rsidRPr="00931D41">
        <w:rPr>
          <w:rFonts w:ascii="Arial" w:eastAsia="Times New Roman" w:hAnsi="Arial" w:cs="Arial"/>
          <w:b/>
          <w:szCs w:val="22"/>
          <w:lang w:val="en-US"/>
        </w:rPr>
        <w:t xml:space="preserve"> in the originator’s credit granting criteria? Do you agree that the disclosed information should rely on and cross-reference existing disclosures?</w:t>
      </w:r>
    </w:p>
    <w:p w14:paraId="335AF662" w14:textId="77777777" w:rsidR="00931D41" w:rsidRDefault="00931D41" w:rsidP="00931D41">
      <w:pPr>
        <w:spacing w:after="160" w:line="259" w:lineRule="auto"/>
        <w:rPr>
          <w:rFonts w:ascii="Calibri" w:eastAsia="Calibri" w:hAnsi="Calibri" w:cs="Times New Roman"/>
          <w:szCs w:val="22"/>
        </w:rPr>
      </w:pPr>
    </w:p>
    <w:p w14:paraId="08CFF0F8" w14:textId="7FF9F5E3"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&lt;ESA_QUESTION_STS_SUST_2&gt;</w:t>
      </w:r>
    </w:p>
    <w:p w14:paraId="6F2E5F01" w14:textId="608BEA13" w:rsidR="008D67F4" w:rsidRDefault="002936E9" w:rsidP="00931D41">
      <w:pPr>
        <w:spacing w:after="160" w:line="259" w:lineRule="auto"/>
        <w:rPr>
          <w:rFonts w:ascii="Calibri" w:eastAsia="Calibri" w:hAnsi="Calibri" w:cs="Times New Roman"/>
          <w:szCs w:val="22"/>
        </w:rPr>
      </w:pPr>
      <w:r w:rsidRPr="002936E9">
        <w:rPr>
          <w:rFonts w:ascii="Calibri" w:eastAsia="Calibri" w:hAnsi="Calibri" w:cs="Times New Roman"/>
          <w:szCs w:val="22"/>
        </w:rPr>
        <w:t xml:space="preserve">Yes, to the extent originators are financial market participants under SFDR – then they should disclose that information in respect of securitisations they originate. </w:t>
      </w:r>
      <w:r w:rsidR="008D67F4">
        <w:rPr>
          <w:rFonts w:ascii="Calibri" w:eastAsia="Calibri" w:hAnsi="Calibri" w:cs="Times New Roman"/>
          <w:szCs w:val="22"/>
        </w:rPr>
        <w:t xml:space="preserve">For example, subject to data availability, </w:t>
      </w:r>
      <w:r w:rsidR="00DE6731" w:rsidRPr="00DE6731">
        <w:rPr>
          <w:rFonts w:ascii="Calibri" w:eastAsia="Calibri" w:hAnsi="Calibri" w:cs="Times New Roman"/>
          <w:szCs w:val="22"/>
        </w:rPr>
        <w:t xml:space="preserve">the originator </w:t>
      </w:r>
      <w:r w:rsidR="00DE6731">
        <w:rPr>
          <w:rFonts w:ascii="Calibri" w:eastAsia="Calibri" w:hAnsi="Calibri" w:cs="Times New Roman"/>
          <w:szCs w:val="22"/>
        </w:rPr>
        <w:t>c</w:t>
      </w:r>
      <w:r w:rsidR="00DE6731" w:rsidRPr="00DE6731">
        <w:rPr>
          <w:rFonts w:ascii="Calibri" w:eastAsia="Calibri" w:hAnsi="Calibri" w:cs="Times New Roman"/>
          <w:szCs w:val="22"/>
        </w:rPr>
        <w:t xml:space="preserve">ould briefly describe its ESG policy, its span, its </w:t>
      </w:r>
      <w:proofErr w:type="gramStart"/>
      <w:r w:rsidR="00DE6731" w:rsidRPr="00DE6731">
        <w:rPr>
          <w:rFonts w:ascii="Calibri" w:eastAsia="Calibri" w:hAnsi="Calibri" w:cs="Times New Roman"/>
          <w:szCs w:val="22"/>
        </w:rPr>
        <w:t>goals</w:t>
      </w:r>
      <w:proofErr w:type="gramEnd"/>
      <w:r w:rsidR="00DE6731" w:rsidRPr="00DE6731">
        <w:rPr>
          <w:rFonts w:ascii="Calibri" w:eastAsia="Calibri" w:hAnsi="Calibri" w:cs="Times New Roman"/>
          <w:szCs w:val="22"/>
        </w:rPr>
        <w:t xml:space="preserve"> and its </w:t>
      </w:r>
      <w:r w:rsidR="00E873B6">
        <w:rPr>
          <w:rFonts w:ascii="Calibri" w:eastAsia="Calibri" w:hAnsi="Calibri" w:cs="Times New Roman"/>
          <w:szCs w:val="22"/>
        </w:rPr>
        <w:t>challenges</w:t>
      </w:r>
      <w:r w:rsidR="00DE6731" w:rsidRPr="00DE6731">
        <w:rPr>
          <w:rFonts w:ascii="Calibri" w:eastAsia="Calibri" w:hAnsi="Calibri" w:cs="Times New Roman"/>
          <w:szCs w:val="22"/>
        </w:rPr>
        <w:t xml:space="preserve"> but also the impact on the current status of credit granting criteria. As such, it should be important to align the credit granting criteria with such factors and try to develop measures, </w:t>
      </w:r>
      <w:proofErr w:type="gramStart"/>
      <w:r w:rsidR="00DE6731" w:rsidRPr="00DE6731">
        <w:rPr>
          <w:rFonts w:ascii="Calibri" w:eastAsia="Calibri" w:hAnsi="Calibri" w:cs="Times New Roman"/>
          <w:szCs w:val="22"/>
        </w:rPr>
        <w:t>thresholds</w:t>
      </w:r>
      <w:proofErr w:type="gramEnd"/>
      <w:r w:rsidR="00DE6731" w:rsidRPr="00DE6731">
        <w:rPr>
          <w:rFonts w:ascii="Calibri" w:eastAsia="Calibri" w:hAnsi="Calibri" w:cs="Times New Roman"/>
          <w:szCs w:val="22"/>
        </w:rPr>
        <w:t xml:space="preserve"> and strategies to tackle risk connected to principal adverse sustainability impacts. </w:t>
      </w:r>
      <w:proofErr w:type="gramStart"/>
      <w:r w:rsidR="00DE6731" w:rsidRPr="00DE6731">
        <w:rPr>
          <w:rFonts w:ascii="Calibri" w:eastAsia="Calibri" w:hAnsi="Calibri" w:cs="Times New Roman"/>
          <w:szCs w:val="22"/>
        </w:rPr>
        <w:t>In order to</w:t>
      </w:r>
      <w:proofErr w:type="gramEnd"/>
      <w:r w:rsidR="00DE6731" w:rsidRPr="00DE6731">
        <w:rPr>
          <w:rFonts w:ascii="Calibri" w:eastAsia="Calibri" w:hAnsi="Calibri" w:cs="Times New Roman"/>
          <w:szCs w:val="22"/>
        </w:rPr>
        <w:t xml:space="preserve"> attain such goals</w:t>
      </w:r>
      <w:r w:rsidR="004C7D5C">
        <w:rPr>
          <w:rFonts w:ascii="Calibri" w:eastAsia="Calibri" w:hAnsi="Calibri" w:cs="Times New Roman"/>
          <w:szCs w:val="22"/>
        </w:rPr>
        <w:t>,</w:t>
      </w:r>
      <w:r w:rsidR="00DE6731" w:rsidRPr="00DE6731">
        <w:rPr>
          <w:rFonts w:ascii="Calibri" w:eastAsia="Calibri" w:hAnsi="Calibri" w:cs="Times New Roman"/>
          <w:szCs w:val="22"/>
        </w:rPr>
        <w:t xml:space="preserve"> one should cross-reference the current disclosure information.</w:t>
      </w:r>
    </w:p>
    <w:p w14:paraId="6223EC88" w14:textId="10505B0E" w:rsidR="00495195" w:rsidRDefault="00334CFA" w:rsidP="00931D41">
      <w:pPr>
        <w:spacing w:after="160" w:line="259" w:lineRule="auto"/>
        <w:rPr>
          <w:rFonts w:ascii="Calibri" w:eastAsia="Calibri" w:hAnsi="Calibri" w:cs="Times New Roman"/>
          <w:szCs w:val="22"/>
        </w:rPr>
      </w:pPr>
      <w:r>
        <w:rPr>
          <w:rFonts w:ascii="Calibri" w:eastAsia="Calibri" w:hAnsi="Calibri" w:cs="Times New Roman"/>
          <w:szCs w:val="22"/>
        </w:rPr>
        <w:lastRenderedPageBreak/>
        <w:t xml:space="preserve">Nevertheless, </w:t>
      </w:r>
      <w:r w:rsidR="00124F4A">
        <w:rPr>
          <w:rFonts w:ascii="Calibri" w:eastAsia="Calibri" w:hAnsi="Calibri" w:cs="Times New Roman"/>
          <w:szCs w:val="22"/>
        </w:rPr>
        <w:t xml:space="preserve">significant operational challenges are going to be </w:t>
      </w:r>
      <w:r w:rsidR="000E6D22">
        <w:rPr>
          <w:rFonts w:ascii="Calibri" w:eastAsia="Calibri" w:hAnsi="Calibri" w:cs="Times New Roman"/>
          <w:szCs w:val="22"/>
        </w:rPr>
        <w:t>expected as</w:t>
      </w:r>
      <w:r w:rsidR="00D01D20">
        <w:rPr>
          <w:rFonts w:ascii="Calibri" w:eastAsia="Calibri" w:hAnsi="Calibri" w:cs="Times New Roman"/>
          <w:szCs w:val="22"/>
        </w:rPr>
        <w:t xml:space="preserve"> part of the implementation of th</w:t>
      </w:r>
      <w:r w:rsidR="00AF4153">
        <w:rPr>
          <w:rFonts w:ascii="Calibri" w:eastAsia="Calibri" w:hAnsi="Calibri" w:cs="Times New Roman"/>
          <w:szCs w:val="22"/>
        </w:rPr>
        <w:t>ose</w:t>
      </w:r>
      <w:r w:rsidR="00D01D20">
        <w:rPr>
          <w:rFonts w:ascii="Calibri" w:eastAsia="Calibri" w:hAnsi="Calibri" w:cs="Times New Roman"/>
          <w:szCs w:val="22"/>
        </w:rPr>
        <w:t xml:space="preserve"> requirements. </w:t>
      </w:r>
      <w:r w:rsidR="000E6D22">
        <w:rPr>
          <w:rFonts w:ascii="Calibri" w:eastAsia="Calibri" w:hAnsi="Calibri" w:cs="Times New Roman"/>
          <w:szCs w:val="22"/>
        </w:rPr>
        <w:t xml:space="preserve">Therefore, we would also highlight the following considerations to be </w:t>
      </w:r>
      <w:proofErr w:type="gramStart"/>
      <w:r w:rsidR="000E6D22">
        <w:rPr>
          <w:rFonts w:ascii="Calibri" w:eastAsia="Calibri" w:hAnsi="Calibri" w:cs="Times New Roman"/>
          <w:szCs w:val="22"/>
        </w:rPr>
        <w:t>taken into account</w:t>
      </w:r>
      <w:proofErr w:type="gramEnd"/>
      <w:r w:rsidR="000E6D22">
        <w:rPr>
          <w:rFonts w:ascii="Calibri" w:eastAsia="Calibri" w:hAnsi="Calibri" w:cs="Times New Roman"/>
          <w:szCs w:val="22"/>
        </w:rPr>
        <w:t>:</w:t>
      </w:r>
    </w:p>
    <w:p w14:paraId="23DA9F8C" w14:textId="2A994E2D" w:rsidR="000E6D22" w:rsidRPr="00390ACC" w:rsidRDefault="00021CB8" w:rsidP="0056274B">
      <w:pPr>
        <w:pStyle w:val="ListParagraph"/>
        <w:rPr>
          <w:rFonts w:ascii="Calibri" w:eastAsia="Calibri" w:hAnsi="Calibri" w:cs="Times New Roman"/>
          <w:szCs w:val="22"/>
        </w:rPr>
      </w:pPr>
      <w:r w:rsidRPr="00390ACC">
        <w:rPr>
          <w:rFonts w:ascii="Calibri" w:eastAsia="Calibri" w:hAnsi="Calibri" w:cs="Times New Roman"/>
          <w:szCs w:val="22"/>
        </w:rPr>
        <w:t>There should not be any specific requirements for securitisation</w:t>
      </w:r>
    </w:p>
    <w:p w14:paraId="5658D8AE" w14:textId="76770110" w:rsidR="00AE5045" w:rsidRPr="00390ACC" w:rsidRDefault="003675A9" w:rsidP="0056274B">
      <w:pPr>
        <w:pStyle w:val="ListParagraph"/>
        <w:rPr>
          <w:rFonts w:ascii="Calibri" w:eastAsia="Calibri" w:hAnsi="Calibri" w:cs="Times New Roman"/>
          <w:szCs w:val="22"/>
        </w:rPr>
      </w:pPr>
      <w:r w:rsidRPr="00390ACC">
        <w:rPr>
          <w:rFonts w:ascii="Calibri" w:eastAsia="Calibri" w:hAnsi="Calibri" w:cs="Times New Roman"/>
          <w:szCs w:val="22"/>
        </w:rPr>
        <w:t xml:space="preserve">Such principal adverse impacts approach, and more generally relying on existing disclosures, should be </w:t>
      </w:r>
      <w:r w:rsidR="004C6552" w:rsidRPr="00390ACC">
        <w:rPr>
          <w:rFonts w:ascii="Calibri" w:eastAsia="Calibri" w:hAnsi="Calibri" w:cs="Times New Roman"/>
          <w:szCs w:val="22"/>
        </w:rPr>
        <w:t xml:space="preserve">adapted </w:t>
      </w:r>
      <w:r w:rsidRPr="00390ACC">
        <w:rPr>
          <w:rFonts w:ascii="Calibri" w:eastAsia="Calibri" w:hAnsi="Calibri" w:cs="Times New Roman"/>
          <w:szCs w:val="22"/>
        </w:rPr>
        <w:t>to the scope of securitisation transactions.</w:t>
      </w:r>
      <w:r w:rsidR="001B3F14" w:rsidRPr="00390ACC">
        <w:rPr>
          <w:rFonts w:ascii="Calibri" w:eastAsia="Calibri" w:hAnsi="Calibri" w:cs="Times New Roman"/>
          <w:szCs w:val="22"/>
        </w:rPr>
        <w:t xml:space="preserve"> For example, PAIs under SFDR are not all relevant in the context of a securitization, knowing that such PAIs, and reporting related thereto, are made at the entity’s level under SFDR (while securitization implies a disclosure at the transaction’s level)</w:t>
      </w:r>
    </w:p>
    <w:p w14:paraId="62536DC7" w14:textId="5B0BCFC3"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&lt;ESA_QUESTION_STS_SUST_2&gt;</w:t>
      </w:r>
    </w:p>
    <w:p w14:paraId="35A76042" w14:textId="77777777" w:rsidR="00931D41" w:rsidRPr="00931D41" w:rsidRDefault="00931D41" w:rsidP="00931D41">
      <w:pPr>
        <w:spacing w:after="160" w:line="259" w:lineRule="auto"/>
        <w:rPr>
          <w:rFonts w:ascii="Calibri" w:eastAsia="Calibri" w:hAnsi="Calibri" w:cs="Times New Roman"/>
          <w:szCs w:val="22"/>
        </w:rPr>
      </w:pPr>
    </w:p>
    <w:p w14:paraId="71248C34"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that originators should disclose information about whether, and if so how, PAI indicators on sustainability factors are considered in the selection of underlying exposures to be added/repurchased to/from the pool at the time of marketing or during the lifetime of the securitisation? Do you agree with the level of information required?</w:t>
      </w:r>
    </w:p>
    <w:p w14:paraId="0CF6BD50" w14:textId="77777777" w:rsidR="00931D41" w:rsidRDefault="00931D41" w:rsidP="00931D41">
      <w:pPr>
        <w:spacing w:after="160" w:line="259" w:lineRule="auto"/>
        <w:rPr>
          <w:rFonts w:ascii="Calibri" w:eastAsia="Calibri" w:hAnsi="Calibri" w:cs="Times New Roman"/>
          <w:szCs w:val="22"/>
        </w:rPr>
      </w:pPr>
    </w:p>
    <w:p w14:paraId="2223AAFE" w14:textId="70C9707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&lt;ESA_QUESTION_STS_SUST_3&gt;</w:t>
      </w:r>
    </w:p>
    <w:p w14:paraId="094063E2" w14:textId="6BCC15DD" w:rsidR="00837A76" w:rsidRDefault="009C1B2D" w:rsidP="00931D41">
      <w:pPr>
        <w:spacing w:after="160" w:line="259" w:lineRule="auto"/>
        <w:rPr>
          <w:rFonts w:ascii="Calibri" w:eastAsia="Calibri" w:hAnsi="Calibri" w:cs="Times New Roman"/>
          <w:szCs w:val="22"/>
        </w:rPr>
      </w:pPr>
      <w:r w:rsidRPr="009C1B2D">
        <w:rPr>
          <w:rFonts w:ascii="Calibri" w:eastAsia="Calibri" w:hAnsi="Calibri" w:cs="Times New Roman"/>
          <w:szCs w:val="22"/>
        </w:rPr>
        <w:t>Yes – to some extent: If originators are financial market participants under SFDR, they should disclose that information in respect of securitisations by disclosing the PAI indicators on sustainability factors considered in selection of assets for addition to or removal from the pool.</w:t>
      </w:r>
      <w:r w:rsidR="00837A76">
        <w:rPr>
          <w:rFonts w:ascii="Calibri" w:eastAsia="Calibri" w:hAnsi="Calibri" w:cs="Times New Roman"/>
          <w:szCs w:val="22"/>
        </w:rPr>
        <w:t xml:space="preserve"> However, we are not in favour of t</w:t>
      </w:r>
      <w:r w:rsidRPr="009C1B2D">
        <w:rPr>
          <w:rFonts w:ascii="Calibri" w:eastAsia="Calibri" w:hAnsi="Calibri" w:cs="Times New Roman"/>
          <w:szCs w:val="22"/>
        </w:rPr>
        <w:t>he requirement to provide "details of the best efforts used to obtain the information from the obligors, external experts or by making reasonable assumptions" in Article 2(3)(d).</w:t>
      </w:r>
    </w:p>
    <w:p w14:paraId="1EF93BD8" w14:textId="339BFC51" w:rsidR="00DC44A0" w:rsidRDefault="00DC44A0" w:rsidP="00931D41">
      <w:pPr>
        <w:spacing w:after="160" w:line="259" w:lineRule="auto"/>
        <w:rPr>
          <w:rFonts w:ascii="Calibri" w:eastAsia="Calibri" w:hAnsi="Calibri" w:cs="Times New Roman"/>
          <w:szCs w:val="22"/>
        </w:rPr>
      </w:pPr>
      <w:r>
        <w:rPr>
          <w:rFonts w:ascii="Calibri" w:eastAsia="Calibri" w:hAnsi="Calibri" w:cs="Times New Roman"/>
          <w:szCs w:val="22"/>
        </w:rPr>
        <w:t xml:space="preserve">In any case, part of this data may </w:t>
      </w:r>
      <w:r w:rsidR="00B126A8">
        <w:rPr>
          <w:rFonts w:ascii="Calibri" w:eastAsia="Calibri" w:hAnsi="Calibri" w:cs="Times New Roman"/>
          <w:szCs w:val="22"/>
        </w:rPr>
        <w:t xml:space="preserve">already be available as part of the </w:t>
      </w:r>
      <w:r w:rsidR="009F6C9E" w:rsidRPr="009F6C9E">
        <w:rPr>
          <w:rFonts w:ascii="Calibri" w:eastAsia="Calibri" w:hAnsi="Calibri" w:cs="Times New Roman"/>
          <w:szCs w:val="22"/>
        </w:rPr>
        <w:t xml:space="preserve">screening, </w:t>
      </w:r>
      <w:proofErr w:type="gramStart"/>
      <w:r w:rsidR="009F6C9E" w:rsidRPr="009F6C9E">
        <w:rPr>
          <w:rFonts w:ascii="Calibri" w:eastAsia="Calibri" w:hAnsi="Calibri" w:cs="Times New Roman"/>
          <w:szCs w:val="22"/>
        </w:rPr>
        <w:t>selection</w:t>
      </w:r>
      <w:proofErr w:type="gramEnd"/>
      <w:r w:rsidR="009F6C9E" w:rsidRPr="009F6C9E">
        <w:rPr>
          <w:rFonts w:ascii="Calibri" w:eastAsia="Calibri" w:hAnsi="Calibri" w:cs="Times New Roman"/>
          <w:szCs w:val="22"/>
        </w:rPr>
        <w:t xml:space="preserve"> and posterior due diligence processes prior the issuance, carried out by auditors and arrangers, but also </w:t>
      </w:r>
      <w:r w:rsidR="009F6C9E">
        <w:rPr>
          <w:rFonts w:ascii="Calibri" w:eastAsia="Calibri" w:hAnsi="Calibri" w:cs="Times New Roman"/>
          <w:szCs w:val="22"/>
        </w:rPr>
        <w:t>taking into account</w:t>
      </w:r>
      <w:r w:rsidR="009F6C9E" w:rsidRPr="009F6C9E">
        <w:rPr>
          <w:rFonts w:ascii="Calibri" w:eastAsia="Calibri" w:hAnsi="Calibri" w:cs="Times New Roman"/>
          <w:szCs w:val="22"/>
        </w:rPr>
        <w:t xml:space="preserve"> the </w:t>
      </w:r>
      <w:r w:rsidR="00936C3B" w:rsidRPr="009F6C9E">
        <w:rPr>
          <w:rFonts w:ascii="Calibri" w:eastAsia="Calibri" w:hAnsi="Calibri" w:cs="Times New Roman"/>
          <w:szCs w:val="22"/>
        </w:rPr>
        <w:t>first level</w:t>
      </w:r>
      <w:r w:rsidR="009F6C9E" w:rsidRPr="009F6C9E">
        <w:rPr>
          <w:rFonts w:ascii="Calibri" w:eastAsia="Calibri" w:hAnsi="Calibri" w:cs="Times New Roman"/>
          <w:szCs w:val="22"/>
        </w:rPr>
        <w:t xml:space="preserve"> granting criteria</w:t>
      </w:r>
      <w:r w:rsidR="009F6C9E">
        <w:rPr>
          <w:rFonts w:ascii="Calibri" w:eastAsia="Calibri" w:hAnsi="Calibri" w:cs="Times New Roman"/>
          <w:szCs w:val="22"/>
        </w:rPr>
        <w:t>.</w:t>
      </w:r>
      <w:r w:rsidR="00CD00B2">
        <w:rPr>
          <w:rFonts w:ascii="Calibri" w:eastAsia="Calibri" w:hAnsi="Calibri" w:cs="Times New Roman"/>
          <w:szCs w:val="22"/>
        </w:rPr>
        <w:t xml:space="preserve"> Lastly, the</w:t>
      </w:r>
      <w:r w:rsidR="00B27206" w:rsidRPr="00B27206">
        <w:rPr>
          <w:rFonts w:ascii="Calibri" w:eastAsia="Calibri" w:hAnsi="Calibri" w:cs="Times New Roman"/>
          <w:szCs w:val="22"/>
        </w:rPr>
        <w:t xml:space="preserve"> way such information is disclosed should be </w:t>
      </w:r>
      <w:r w:rsidR="00BF433B">
        <w:rPr>
          <w:rFonts w:ascii="Calibri" w:eastAsia="Calibri" w:hAnsi="Calibri" w:cs="Times New Roman"/>
          <w:szCs w:val="22"/>
        </w:rPr>
        <w:t xml:space="preserve">subject to </w:t>
      </w:r>
      <w:r w:rsidR="00B27206" w:rsidRPr="00B27206">
        <w:rPr>
          <w:rFonts w:ascii="Calibri" w:eastAsia="Calibri" w:hAnsi="Calibri" w:cs="Times New Roman"/>
          <w:szCs w:val="22"/>
        </w:rPr>
        <w:t>discretion by the originator, as the explanation could take various forms depending on how the selection is performed.</w:t>
      </w:r>
    </w:p>
    <w:p w14:paraId="7F67D8E6" w14:textId="19CDDA67"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&lt;ESA_QUESTION_STS_SUST_3&gt;</w:t>
      </w:r>
    </w:p>
    <w:p w14:paraId="4DF8F381" w14:textId="77777777" w:rsidR="00931D41" w:rsidRPr="00931D41" w:rsidRDefault="00931D41" w:rsidP="00931D41">
      <w:pPr>
        <w:spacing w:after="160" w:line="259" w:lineRule="auto"/>
        <w:rPr>
          <w:rFonts w:ascii="Calibri" w:eastAsia="Calibri" w:hAnsi="Calibri" w:cs="Times New Roman"/>
          <w:szCs w:val="22"/>
        </w:rPr>
      </w:pPr>
    </w:p>
    <w:p w14:paraId="62A270C1"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Do you agree with the approach taken in the draft RTS which aims for full consistency with the draft SFDR RTS? </w:t>
      </w:r>
    </w:p>
    <w:p w14:paraId="3BD58326" w14:textId="77777777" w:rsidR="00931D41" w:rsidRDefault="00931D41" w:rsidP="00931D41">
      <w:pPr>
        <w:spacing w:after="160" w:line="259" w:lineRule="auto"/>
        <w:rPr>
          <w:rFonts w:ascii="Calibri" w:eastAsia="Calibri" w:hAnsi="Calibri" w:cs="Times New Roman"/>
          <w:szCs w:val="22"/>
        </w:rPr>
      </w:pPr>
    </w:p>
    <w:p w14:paraId="70A02564" w14:textId="77777777" w:rsidR="00A353D7"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&lt;ESA_QUESTION_STS_SUST_4&gt;</w:t>
      </w:r>
    </w:p>
    <w:p w14:paraId="4EDB017E" w14:textId="77777777" w:rsidR="00843147" w:rsidRPr="00843147" w:rsidRDefault="00843147" w:rsidP="00843147">
      <w:pPr>
        <w:spacing w:after="160" w:line="259" w:lineRule="auto"/>
        <w:rPr>
          <w:rFonts w:ascii="Calibri" w:eastAsia="Calibri" w:hAnsi="Calibri" w:cs="Times New Roman"/>
          <w:szCs w:val="22"/>
        </w:rPr>
      </w:pPr>
      <w:r w:rsidRPr="00843147">
        <w:rPr>
          <w:rFonts w:ascii="Calibri" w:eastAsia="Calibri" w:hAnsi="Calibri" w:cs="Times New Roman"/>
          <w:szCs w:val="22"/>
        </w:rPr>
        <w:t>Yes – noting that these RTS would apply to market participants governed by the SFDR (not all types of originators).</w:t>
      </w:r>
    </w:p>
    <w:p w14:paraId="42D518EA" w14:textId="77777777" w:rsidR="00843147" w:rsidRPr="00843147" w:rsidRDefault="00843147" w:rsidP="00843147">
      <w:pPr>
        <w:spacing w:after="160" w:line="259" w:lineRule="auto"/>
        <w:rPr>
          <w:rFonts w:ascii="Calibri" w:eastAsia="Calibri" w:hAnsi="Calibri" w:cs="Times New Roman"/>
          <w:szCs w:val="22"/>
        </w:rPr>
      </w:pPr>
      <w:r w:rsidRPr="00843147">
        <w:rPr>
          <w:rFonts w:ascii="Calibri" w:eastAsia="Calibri" w:hAnsi="Calibri" w:cs="Times New Roman"/>
          <w:szCs w:val="22"/>
        </w:rPr>
        <w:t xml:space="preserve">We agree with the approach aiming at adopting the SFDR RTS as a foundation of the reporting since we consider that ESG disclosures should be standardised, as simple as possible and harmonized at the origination level or also when the assets are being securitized, bearing in mind that the ESG data shall </w:t>
      </w:r>
      <w:r w:rsidRPr="00843147">
        <w:rPr>
          <w:rFonts w:ascii="Calibri" w:eastAsia="Calibri" w:hAnsi="Calibri" w:cs="Times New Roman"/>
          <w:szCs w:val="22"/>
        </w:rPr>
        <w:lastRenderedPageBreak/>
        <w:t>be the one available at the origination date and should not need to be updated when the assets are securitised.</w:t>
      </w:r>
    </w:p>
    <w:p w14:paraId="04299032" w14:textId="77777777" w:rsidR="00843147" w:rsidRPr="00843147" w:rsidRDefault="00843147" w:rsidP="00843147">
      <w:pPr>
        <w:spacing w:after="160" w:line="259" w:lineRule="auto"/>
        <w:rPr>
          <w:rFonts w:ascii="Calibri" w:eastAsia="Calibri" w:hAnsi="Calibri" w:cs="Times New Roman"/>
          <w:szCs w:val="22"/>
        </w:rPr>
      </w:pPr>
      <w:r w:rsidRPr="00843147">
        <w:rPr>
          <w:rFonts w:ascii="Calibri" w:eastAsia="Calibri" w:hAnsi="Calibri" w:cs="Times New Roman"/>
          <w:szCs w:val="22"/>
        </w:rPr>
        <w:t xml:space="preserve">However, we do not believe that the approach taken in this draft RTS should be aiming towards “full consistency” with the draft SFDR RTS, but rather to draw from it to the extent that is relevant to achieve the ultimate expected objective, </w:t>
      </w:r>
      <w:proofErr w:type="gramStart"/>
      <w:r w:rsidRPr="00843147">
        <w:rPr>
          <w:rFonts w:ascii="Calibri" w:eastAsia="Calibri" w:hAnsi="Calibri" w:cs="Times New Roman"/>
          <w:szCs w:val="22"/>
        </w:rPr>
        <w:t>i.e.</w:t>
      </w:r>
      <w:proofErr w:type="gramEnd"/>
      <w:r w:rsidRPr="00843147">
        <w:rPr>
          <w:rFonts w:ascii="Calibri" w:eastAsia="Calibri" w:hAnsi="Calibri" w:cs="Times New Roman"/>
          <w:szCs w:val="22"/>
        </w:rPr>
        <w:t xml:space="preserve"> informing investors about the sustainable impact of securitized assets. </w:t>
      </w:r>
    </w:p>
    <w:p w14:paraId="498D70B5" w14:textId="77777777" w:rsidR="00843147" w:rsidRPr="00843147" w:rsidRDefault="00843147" w:rsidP="00843147">
      <w:pPr>
        <w:spacing w:after="160" w:line="259" w:lineRule="auto"/>
        <w:rPr>
          <w:rFonts w:ascii="Calibri" w:eastAsia="Calibri" w:hAnsi="Calibri" w:cs="Times New Roman"/>
          <w:szCs w:val="22"/>
        </w:rPr>
      </w:pPr>
      <w:r w:rsidRPr="00843147">
        <w:rPr>
          <w:rFonts w:ascii="Calibri" w:eastAsia="Calibri" w:hAnsi="Calibri" w:cs="Times New Roman"/>
          <w:szCs w:val="22"/>
        </w:rPr>
        <w:t xml:space="preserve">We also recall that the right balance must be found between the need to provide investors with meaningful information and the necessity to keep reporting costs reasonable, especially with regards to financing tools &amp; techniques other than securitisation. </w:t>
      </w:r>
    </w:p>
    <w:p w14:paraId="740615FA" w14:textId="685544A2" w:rsidR="00843147" w:rsidRDefault="00843147" w:rsidP="00843147">
      <w:pPr>
        <w:spacing w:after="160" w:line="259" w:lineRule="auto"/>
        <w:rPr>
          <w:rFonts w:ascii="Calibri" w:eastAsia="Calibri" w:hAnsi="Calibri" w:cs="Times New Roman"/>
          <w:szCs w:val="22"/>
        </w:rPr>
      </w:pPr>
      <w:r w:rsidRPr="00843147">
        <w:rPr>
          <w:rFonts w:ascii="Calibri" w:eastAsia="Calibri" w:hAnsi="Calibri" w:cs="Times New Roman"/>
          <w:szCs w:val="22"/>
        </w:rPr>
        <w:t>Thus</w:t>
      </w:r>
      <w:r w:rsidR="00AF4153">
        <w:rPr>
          <w:rFonts w:ascii="Calibri" w:eastAsia="Calibri" w:hAnsi="Calibri" w:cs="Times New Roman"/>
          <w:szCs w:val="22"/>
        </w:rPr>
        <w:t>,</w:t>
      </w:r>
      <w:r w:rsidRPr="00843147">
        <w:rPr>
          <w:rFonts w:ascii="Calibri" w:eastAsia="Calibri" w:hAnsi="Calibri" w:cs="Times New Roman"/>
          <w:szCs w:val="22"/>
        </w:rPr>
        <w:t xml:space="preserve"> we believe that only SFDR PAIs that are relevant for credits and for securitization should be selected. “Forcing” irrelevant SFDR indicators into the considered draft RTS would (</w:t>
      </w:r>
      <w:proofErr w:type="spellStart"/>
      <w:r w:rsidRPr="00843147">
        <w:rPr>
          <w:rFonts w:ascii="Calibri" w:eastAsia="Calibri" w:hAnsi="Calibri" w:cs="Times New Roman"/>
          <w:szCs w:val="22"/>
        </w:rPr>
        <w:t>i</w:t>
      </w:r>
      <w:proofErr w:type="spellEnd"/>
      <w:r w:rsidRPr="00843147">
        <w:rPr>
          <w:rFonts w:ascii="Calibri" w:eastAsia="Calibri" w:hAnsi="Calibri" w:cs="Times New Roman"/>
          <w:szCs w:val="22"/>
        </w:rPr>
        <w:t>) not be useful to investors, (ii) difficult or impossible to produce and ultimately (iii) could have a negative impact on the use of the STS label</w:t>
      </w:r>
      <w:r>
        <w:rPr>
          <w:rFonts w:ascii="Calibri" w:eastAsia="Calibri" w:hAnsi="Calibri" w:cs="Times New Roman"/>
          <w:szCs w:val="22"/>
        </w:rPr>
        <w:t>.</w:t>
      </w:r>
    </w:p>
    <w:p w14:paraId="48FD7ABC" w14:textId="21D7EF5A" w:rsidR="00931D41" w:rsidRPr="00931D41" w:rsidRDefault="00931D41" w:rsidP="00843147">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&lt;ESA_QUESTION_STS_SUST_4&gt;</w:t>
      </w:r>
    </w:p>
    <w:p w14:paraId="3F5A4C4C" w14:textId="77777777" w:rsidR="00931D41" w:rsidRPr="00931D41" w:rsidRDefault="00931D41" w:rsidP="00931D41">
      <w:pPr>
        <w:spacing w:after="160" w:line="259" w:lineRule="auto"/>
        <w:rPr>
          <w:rFonts w:ascii="Calibri" w:eastAsia="Calibri" w:hAnsi="Calibri" w:cs="Times New Roman"/>
          <w:szCs w:val="22"/>
        </w:rPr>
      </w:pPr>
    </w:p>
    <w:p w14:paraId="062DDCD3"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the inclusion of the new mandatory non-green asset ratio indicator for all asset classes covered by the RTS?</w:t>
      </w:r>
    </w:p>
    <w:p w14:paraId="3537619F" w14:textId="77777777" w:rsidR="00B076B9" w:rsidRDefault="00B076B9" w:rsidP="00931D41">
      <w:pPr>
        <w:spacing w:after="160" w:line="259" w:lineRule="auto"/>
        <w:rPr>
          <w:rFonts w:ascii="Calibri" w:eastAsia="Calibri" w:hAnsi="Calibri" w:cs="Times New Roman"/>
          <w:szCs w:val="22"/>
        </w:rPr>
      </w:pPr>
    </w:p>
    <w:p w14:paraId="287D3CA2" w14:textId="277B0339"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&lt;ESA_QUESTION_STS_SUST_5&gt;</w:t>
      </w:r>
    </w:p>
    <w:p w14:paraId="68CEF9BB" w14:textId="15F1643D" w:rsidR="002D729D" w:rsidRPr="002D729D" w:rsidRDefault="002D729D" w:rsidP="002D729D">
      <w:pPr>
        <w:spacing w:after="160" w:line="259" w:lineRule="auto"/>
        <w:rPr>
          <w:rFonts w:ascii="Calibri" w:eastAsia="Calibri" w:hAnsi="Calibri" w:cs="Times New Roman"/>
          <w:szCs w:val="22"/>
        </w:rPr>
      </w:pPr>
      <w:r w:rsidRPr="002D729D">
        <w:rPr>
          <w:rFonts w:ascii="Calibri" w:eastAsia="Calibri" w:hAnsi="Calibri" w:cs="Times New Roman"/>
          <w:szCs w:val="22"/>
        </w:rPr>
        <w:t xml:space="preserve">We </w:t>
      </w:r>
      <w:r w:rsidR="00267E0E">
        <w:rPr>
          <w:rFonts w:ascii="Calibri" w:eastAsia="Calibri" w:hAnsi="Calibri" w:cs="Times New Roman"/>
          <w:szCs w:val="22"/>
        </w:rPr>
        <w:t>do not agree with the inclusion of the</w:t>
      </w:r>
      <w:r w:rsidRPr="002D729D">
        <w:rPr>
          <w:rFonts w:ascii="Calibri" w:eastAsia="Calibri" w:hAnsi="Calibri" w:cs="Times New Roman"/>
          <w:szCs w:val="22"/>
        </w:rPr>
        <w:t xml:space="preserve"> ratio described in 4.3.1 of the consultation </w:t>
      </w:r>
      <w:proofErr w:type="gramStart"/>
      <w:r w:rsidRPr="002D729D">
        <w:rPr>
          <w:rFonts w:ascii="Calibri" w:eastAsia="Calibri" w:hAnsi="Calibri" w:cs="Times New Roman"/>
          <w:szCs w:val="22"/>
        </w:rPr>
        <w:t>document</w:t>
      </w:r>
      <w:proofErr w:type="gramEnd"/>
      <w:r w:rsidRPr="002D729D">
        <w:rPr>
          <w:rFonts w:ascii="Calibri" w:eastAsia="Calibri" w:hAnsi="Calibri" w:cs="Times New Roman"/>
          <w:szCs w:val="22"/>
        </w:rPr>
        <w:t xml:space="preserve">. </w:t>
      </w:r>
    </w:p>
    <w:p w14:paraId="674F5E5D" w14:textId="77777777" w:rsidR="002D729D" w:rsidRPr="002D729D" w:rsidRDefault="002D729D" w:rsidP="002D729D">
      <w:pPr>
        <w:spacing w:after="160" w:line="259" w:lineRule="auto"/>
        <w:rPr>
          <w:rFonts w:ascii="Calibri" w:eastAsia="Calibri" w:hAnsi="Calibri" w:cs="Times New Roman"/>
          <w:szCs w:val="22"/>
        </w:rPr>
      </w:pPr>
      <w:r w:rsidRPr="002D729D">
        <w:rPr>
          <w:rFonts w:ascii="Calibri" w:eastAsia="Calibri" w:hAnsi="Calibri" w:cs="Times New Roman"/>
          <w:szCs w:val="22"/>
        </w:rPr>
        <w:t>Firstly, this ratio is not referred to in SFDR, which runs against the objective of standardized and harmonized ESG disclosure.</w:t>
      </w:r>
    </w:p>
    <w:p w14:paraId="6AE3FC82" w14:textId="022B77F6" w:rsidR="002D729D" w:rsidRPr="002D729D" w:rsidRDefault="002D729D" w:rsidP="002D729D">
      <w:pPr>
        <w:spacing w:after="160" w:line="259" w:lineRule="auto"/>
        <w:rPr>
          <w:rFonts w:ascii="Calibri" w:eastAsia="Calibri" w:hAnsi="Calibri" w:cs="Times New Roman"/>
          <w:szCs w:val="22"/>
        </w:rPr>
      </w:pPr>
      <w:r w:rsidRPr="002D729D">
        <w:rPr>
          <w:rFonts w:ascii="Calibri" w:eastAsia="Calibri" w:hAnsi="Calibri" w:cs="Times New Roman"/>
          <w:szCs w:val="22"/>
        </w:rPr>
        <w:t xml:space="preserve">Secondly, this approach is not fully aligned with SFDR since, at product level, the GAR ratio may, in some instances, not be required. </w:t>
      </w:r>
      <w:r w:rsidR="0028490F" w:rsidRPr="002D729D">
        <w:rPr>
          <w:rFonts w:ascii="Calibri" w:eastAsia="Calibri" w:hAnsi="Calibri" w:cs="Times New Roman"/>
          <w:szCs w:val="22"/>
        </w:rPr>
        <w:t>Thus,</w:t>
      </w:r>
      <w:r w:rsidRPr="002D729D">
        <w:rPr>
          <w:rFonts w:ascii="Calibri" w:eastAsia="Calibri" w:hAnsi="Calibri" w:cs="Times New Roman"/>
          <w:szCs w:val="22"/>
        </w:rPr>
        <w:t xml:space="preserve"> </w:t>
      </w:r>
      <w:r w:rsidR="00D77043">
        <w:rPr>
          <w:rFonts w:ascii="Calibri" w:eastAsia="Calibri" w:hAnsi="Calibri" w:cs="Times New Roman"/>
          <w:szCs w:val="22"/>
        </w:rPr>
        <w:t>banks</w:t>
      </w:r>
      <w:r w:rsidR="00D77043" w:rsidRPr="002D729D">
        <w:rPr>
          <w:rFonts w:ascii="Calibri" w:eastAsia="Calibri" w:hAnsi="Calibri" w:cs="Times New Roman"/>
          <w:szCs w:val="22"/>
        </w:rPr>
        <w:t xml:space="preserve"> </w:t>
      </w:r>
      <w:r w:rsidRPr="002D729D">
        <w:rPr>
          <w:rFonts w:ascii="Calibri" w:eastAsia="Calibri" w:hAnsi="Calibri" w:cs="Times New Roman"/>
          <w:szCs w:val="22"/>
        </w:rPr>
        <w:t xml:space="preserve">will not be </w:t>
      </w:r>
      <w:proofErr w:type="gramStart"/>
      <w:r w:rsidRPr="002D729D">
        <w:rPr>
          <w:rFonts w:ascii="Calibri" w:eastAsia="Calibri" w:hAnsi="Calibri" w:cs="Times New Roman"/>
          <w:szCs w:val="22"/>
        </w:rPr>
        <w:t xml:space="preserve">in </w:t>
      </w:r>
      <w:r w:rsidR="00D77043">
        <w:rPr>
          <w:rFonts w:ascii="Calibri" w:eastAsia="Calibri" w:hAnsi="Calibri" w:cs="Times New Roman"/>
          <w:szCs w:val="22"/>
        </w:rPr>
        <w:t xml:space="preserve">a </w:t>
      </w:r>
      <w:r w:rsidRPr="002D729D">
        <w:rPr>
          <w:rFonts w:ascii="Calibri" w:eastAsia="Calibri" w:hAnsi="Calibri" w:cs="Times New Roman"/>
          <w:szCs w:val="22"/>
        </w:rPr>
        <w:t>position</w:t>
      </w:r>
      <w:proofErr w:type="gramEnd"/>
      <w:r w:rsidRPr="002D729D">
        <w:rPr>
          <w:rFonts w:ascii="Calibri" w:eastAsia="Calibri" w:hAnsi="Calibri" w:cs="Times New Roman"/>
          <w:szCs w:val="22"/>
        </w:rPr>
        <w:t xml:space="preserve"> to calculate it. We recall, in this regard, the necessity to keep ESG disclosures simple and reporting costs reasonable to avoid negative impact on the use of the STS label.</w:t>
      </w:r>
    </w:p>
    <w:p w14:paraId="475B088D" w14:textId="6A8CFA85" w:rsidR="002D729D" w:rsidRPr="002D729D" w:rsidRDefault="002D729D" w:rsidP="002D729D">
      <w:pPr>
        <w:spacing w:after="160" w:line="259" w:lineRule="auto"/>
        <w:rPr>
          <w:rFonts w:ascii="Calibri" w:eastAsia="Calibri" w:hAnsi="Calibri" w:cs="Times New Roman"/>
          <w:szCs w:val="22"/>
        </w:rPr>
      </w:pPr>
      <w:r w:rsidRPr="002D729D">
        <w:rPr>
          <w:rFonts w:ascii="Calibri" w:eastAsia="Calibri" w:hAnsi="Calibri" w:cs="Times New Roman"/>
          <w:szCs w:val="22"/>
        </w:rPr>
        <w:t xml:space="preserve">In addition, we are not sure that this indicator is a PAI measure – even if consistent with existing information, and we think that it would have no relevance for the purpose of measuring adverse impacts on the climate. Indeed, this indicator is not aligned with the Securitisation Regulation mandate to provide investors with information on the “principal adverse impacts”, </w:t>
      </w:r>
      <w:proofErr w:type="gramStart"/>
      <w:r w:rsidRPr="002D729D">
        <w:rPr>
          <w:rFonts w:ascii="Calibri" w:eastAsia="Calibri" w:hAnsi="Calibri" w:cs="Times New Roman"/>
          <w:szCs w:val="22"/>
        </w:rPr>
        <w:t>i.e.</w:t>
      </w:r>
      <w:proofErr w:type="gramEnd"/>
      <w:r w:rsidRPr="002D729D">
        <w:rPr>
          <w:rFonts w:ascii="Calibri" w:eastAsia="Calibri" w:hAnsi="Calibri" w:cs="Times New Roman"/>
          <w:szCs w:val="22"/>
        </w:rPr>
        <w:t xml:space="preserve"> “those impacts of investment decisions and advice that result in negative effects on sustainability factors”. Indeed, “non-green assets” (with “green” defined as complying with all Taxonomy requirements) is not equivalent to “assets that negative effects on sustainability factors”</w:t>
      </w:r>
      <w:r w:rsidR="002827E0">
        <w:rPr>
          <w:rFonts w:ascii="Calibri" w:eastAsia="Calibri" w:hAnsi="Calibri" w:cs="Times New Roman"/>
          <w:szCs w:val="22"/>
        </w:rPr>
        <w:t>.</w:t>
      </w:r>
      <w:r w:rsidRPr="002D729D">
        <w:rPr>
          <w:rFonts w:ascii="Calibri" w:eastAsia="Calibri" w:hAnsi="Calibri" w:cs="Times New Roman"/>
          <w:szCs w:val="22"/>
        </w:rPr>
        <w:t xml:space="preserve"> </w:t>
      </w:r>
      <w:r w:rsidR="002827E0">
        <w:rPr>
          <w:rFonts w:ascii="Calibri" w:eastAsia="Calibri" w:hAnsi="Calibri" w:cs="Times New Roman"/>
          <w:szCs w:val="22"/>
        </w:rPr>
        <w:t>As</w:t>
      </w:r>
      <w:r w:rsidRPr="002D729D">
        <w:rPr>
          <w:rFonts w:ascii="Calibri" w:eastAsia="Calibri" w:hAnsi="Calibri" w:cs="Times New Roman"/>
          <w:szCs w:val="22"/>
        </w:rPr>
        <w:t xml:space="preserve"> recognized in the consultation document itself: “It is an imperfect indicator, which indicates the number of assets which fails to meet high sustainability criteria rather than those with a negative impact.” While the consultation document justifies the use of NGAR by the fact that SFDR RTS includes an indicator that is similar in nature (“Share of bonds not certified as green under a future EU act setting up a European Green Bond Standard”), we recall that such indicator is part of “Indicators applicable to investments in sovereigns and supranational” and is an “opt-in” indicator (see table 2 - Additional climate and other environment-</w:t>
      </w:r>
      <w:r w:rsidRPr="002D729D">
        <w:rPr>
          <w:rFonts w:ascii="Calibri" w:eastAsia="Calibri" w:hAnsi="Calibri" w:cs="Times New Roman"/>
          <w:szCs w:val="22"/>
        </w:rPr>
        <w:lastRenderedPageBreak/>
        <w:t xml:space="preserve">related indicators). Thus, the comparison is not </w:t>
      </w:r>
      <w:proofErr w:type="gramStart"/>
      <w:r w:rsidRPr="002D729D">
        <w:rPr>
          <w:rFonts w:ascii="Calibri" w:eastAsia="Calibri" w:hAnsi="Calibri" w:cs="Times New Roman"/>
          <w:szCs w:val="22"/>
        </w:rPr>
        <w:t>relevant</w:t>
      </w:r>
      <w:proofErr w:type="gramEnd"/>
      <w:r w:rsidRPr="002D729D">
        <w:rPr>
          <w:rFonts w:ascii="Calibri" w:eastAsia="Calibri" w:hAnsi="Calibri" w:cs="Times New Roman"/>
          <w:szCs w:val="22"/>
        </w:rPr>
        <w:t xml:space="preserve"> and we believe the inclusion of NGAR is the contemplated reporting framework contradicts the legal mandate given to ESAs.</w:t>
      </w:r>
    </w:p>
    <w:p w14:paraId="0A63F6D9" w14:textId="3D73C218" w:rsidR="002D729D" w:rsidRPr="002D729D" w:rsidRDefault="002D729D" w:rsidP="002D729D">
      <w:pPr>
        <w:spacing w:after="160" w:line="259" w:lineRule="auto"/>
        <w:rPr>
          <w:rFonts w:ascii="Calibri" w:eastAsia="Calibri" w:hAnsi="Calibri" w:cs="Times New Roman"/>
          <w:szCs w:val="22"/>
        </w:rPr>
      </w:pPr>
      <w:r w:rsidRPr="002D729D">
        <w:rPr>
          <w:rFonts w:ascii="Calibri" w:eastAsia="Calibri" w:hAnsi="Calibri" w:cs="Times New Roman"/>
          <w:szCs w:val="22"/>
        </w:rPr>
        <w:t xml:space="preserve">In addition, we tend to think that such approach may have a negative impact and bring confusion </w:t>
      </w:r>
      <w:r w:rsidR="00BE3C14">
        <w:rPr>
          <w:rFonts w:ascii="Calibri" w:eastAsia="Calibri" w:hAnsi="Calibri" w:cs="Times New Roman"/>
          <w:szCs w:val="22"/>
        </w:rPr>
        <w:t>to</w:t>
      </w:r>
      <w:r w:rsidR="00BE3C14" w:rsidRPr="002D729D">
        <w:rPr>
          <w:rFonts w:ascii="Calibri" w:eastAsia="Calibri" w:hAnsi="Calibri" w:cs="Times New Roman"/>
          <w:szCs w:val="22"/>
        </w:rPr>
        <w:t xml:space="preserve"> </w:t>
      </w:r>
      <w:r w:rsidRPr="002D729D">
        <w:rPr>
          <w:rFonts w:ascii="Calibri" w:eastAsia="Calibri" w:hAnsi="Calibri" w:cs="Times New Roman"/>
          <w:szCs w:val="22"/>
        </w:rPr>
        <w:t xml:space="preserve">the STS labelled securitization market in general if this non-green asset ratio indicator is too much highlighted towards investors who may become reluctant at a certain stage to invest in securitization which are clearly not green (while being STS) </w:t>
      </w:r>
      <w:r w:rsidR="004E3A24">
        <w:rPr>
          <w:rFonts w:ascii="Calibri" w:eastAsia="Calibri" w:hAnsi="Calibri" w:cs="Times New Roman"/>
          <w:szCs w:val="22"/>
        </w:rPr>
        <w:t xml:space="preserve">at the pool level but are </w:t>
      </w:r>
      <w:proofErr w:type="gramStart"/>
      <w:r w:rsidR="004E3A24">
        <w:rPr>
          <w:rFonts w:ascii="Calibri" w:eastAsia="Calibri" w:hAnsi="Calibri" w:cs="Times New Roman"/>
          <w:szCs w:val="22"/>
        </w:rPr>
        <w:t>definitely green</w:t>
      </w:r>
      <w:proofErr w:type="gramEnd"/>
      <w:r w:rsidR="004E3A24">
        <w:rPr>
          <w:rFonts w:ascii="Calibri" w:eastAsia="Calibri" w:hAnsi="Calibri" w:cs="Times New Roman"/>
          <w:szCs w:val="22"/>
        </w:rPr>
        <w:t xml:space="preserve"> in their use of proceeds.</w:t>
      </w:r>
    </w:p>
    <w:p w14:paraId="2BD97857" w14:textId="77777777" w:rsidR="0028490F" w:rsidRDefault="002D729D" w:rsidP="002D729D">
      <w:pPr>
        <w:spacing w:after="160" w:line="259" w:lineRule="auto"/>
        <w:rPr>
          <w:rFonts w:ascii="Calibri" w:eastAsia="Calibri" w:hAnsi="Calibri" w:cs="Times New Roman"/>
          <w:szCs w:val="22"/>
        </w:rPr>
      </w:pPr>
      <w:r w:rsidRPr="002D729D">
        <w:rPr>
          <w:rFonts w:ascii="Calibri" w:eastAsia="Calibri" w:hAnsi="Calibri" w:cs="Times New Roman"/>
          <w:szCs w:val="22"/>
        </w:rPr>
        <w:t>Finally, the originators do not necessarily have all the information to produce it, for instance in the context of loans granted to finance the purchase of second-hand vehicles</w:t>
      </w:r>
      <w:r w:rsidR="0028490F">
        <w:rPr>
          <w:rFonts w:ascii="Calibri" w:eastAsia="Calibri" w:hAnsi="Calibri" w:cs="Times New Roman"/>
          <w:szCs w:val="22"/>
        </w:rPr>
        <w:t>.</w:t>
      </w:r>
    </w:p>
    <w:p w14:paraId="439E6CF8" w14:textId="68D701EA" w:rsidR="0028490F" w:rsidRDefault="0028490F" w:rsidP="002D729D">
      <w:pPr>
        <w:spacing w:after="160" w:line="259" w:lineRule="auto"/>
        <w:rPr>
          <w:rFonts w:ascii="Calibri" w:eastAsia="Calibri" w:hAnsi="Calibri" w:cs="Times New Roman"/>
          <w:szCs w:val="22"/>
        </w:rPr>
      </w:pPr>
      <w:r>
        <w:rPr>
          <w:rFonts w:ascii="Calibri" w:eastAsia="Calibri" w:hAnsi="Calibri" w:cs="Times New Roman"/>
          <w:szCs w:val="22"/>
        </w:rPr>
        <w:t xml:space="preserve">Lastly, we would like to </w:t>
      </w:r>
      <w:r w:rsidR="00D71DA0">
        <w:rPr>
          <w:rFonts w:ascii="Calibri" w:eastAsia="Calibri" w:hAnsi="Calibri" w:cs="Times New Roman"/>
          <w:szCs w:val="22"/>
        </w:rPr>
        <w:t>draw attention to</w:t>
      </w:r>
      <w:r>
        <w:rPr>
          <w:rFonts w:ascii="Calibri" w:eastAsia="Calibri" w:hAnsi="Calibri" w:cs="Times New Roman"/>
          <w:szCs w:val="22"/>
        </w:rPr>
        <w:t xml:space="preserve"> the clarification provided by the European Commission</w:t>
      </w:r>
      <w:r w:rsidR="003B6135">
        <w:rPr>
          <w:rFonts w:ascii="Calibri" w:eastAsia="Calibri" w:hAnsi="Calibri" w:cs="Times New Roman"/>
          <w:szCs w:val="22"/>
        </w:rPr>
        <w:t xml:space="preserve"> that information on the proportion of the </w:t>
      </w:r>
      <w:r w:rsidR="00E3610C">
        <w:rPr>
          <w:rFonts w:ascii="Calibri" w:eastAsia="Calibri" w:hAnsi="Calibri" w:cs="Times New Roman"/>
          <w:szCs w:val="22"/>
        </w:rPr>
        <w:t xml:space="preserve">taxonomy-aligned activities or other sustainable finance related performance </w:t>
      </w:r>
      <w:r w:rsidR="00D71DA0">
        <w:rPr>
          <w:rFonts w:ascii="Calibri" w:eastAsia="Calibri" w:hAnsi="Calibri" w:cs="Times New Roman"/>
          <w:szCs w:val="22"/>
        </w:rPr>
        <w:t>is not a prerequisite for the application of the SFDR</w:t>
      </w:r>
      <w:r w:rsidR="00775587">
        <w:rPr>
          <w:rFonts w:ascii="Calibri" w:eastAsia="Calibri" w:hAnsi="Calibri" w:cs="Times New Roman"/>
          <w:szCs w:val="22"/>
        </w:rPr>
        <w:t>. Therefore, we would advise not to implement the proposal</w:t>
      </w:r>
      <w:r w:rsidR="00A3261F">
        <w:rPr>
          <w:rFonts w:ascii="Calibri" w:eastAsia="Calibri" w:hAnsi="Calibri" w:cs="Times New Roman"/>
          <w:szCs w:val="22"/>
        </w:rPr>
        <w:t xml:space="preserve"> for the non-green asset ratio.</w:t>
      </w:r>
    </w:p>
    <w:p w14:paraId="79276BF8" w14:textId="3AA76A1B" w:rsidR="00931D41" w:rsidRPr="00931D41" w:rsidRDefault="00931D41" w:rsidP="002D729D">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_QUESTION_STS_SUST_5&gt;</w:t>
      </w:r>
    </w:p>
    <w:p w14:paraId="7865F630" w14:textId="77777777" w:rsidR="00931D41" w:rsidRPr="00931D41" w:rsidRDefault="00931D41" w:rsidP="00931D41">
      <w:pPr>
        <w:spacing w:after="160" w:line="259" w:lineRule="auto"/>
        <w:rPr>
          <w:rFonts w:ascii="Calibri" w:eastAsia="Calibri" w:hAnsi="Calibri" w:cs="Times New Roman"/>
          <w:szCs w:val="22"/>
        </w:rPr>
      </w:pPr>
    </w:p>
    <w:p w14:paraId="7AA27B42"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the proposed PAI indicators for residential real estate?</w:t>
      </w:r>
    </w:p>
    <w:p w14:paraId="3C440BCE" w14:textId="77777777" w:rsidR="00931D41" w:rsidRDefault="00931D41" w:rsidP="00931D41">
      <w:pPr>
        <w:spacing w:after="160" w:line="259" w:lineRule="auto"/>
        <w:rPr>
          <w:rFonts w:ascii="Calibri" w:eastAsia="Calibri" w:hAnsi="Calibri" w:cs="Times New Roman"/>
          <w:szCs w:val="22"/>
        </w:rPr>
      </w:pPr>
    </w:p>
    <w:p w14:paraId="465F7B80" w14:textId="2B3F73A3"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_QUESTION_STS_SUST_6&gt;</w:t>
      </w:r>
    </w:p>
    <w:p w14:paraId="5BD4B3E8" w14:textId="1CE9DD46" w:rsidR="00DA5F8A" w:rsidRPr="00DA5F8A" w:rsidRDefault="00DA5F8A" w:rsidP="00DA5F8A">
      <w:pPr>
        <w:spacing w:after="160" w:line="259" w:lineRule="auto"/>
        <w:rPr>
          <w:rFonts w:ascii="Calibri" w:eastAsia="Calibri" w:hAnsi="Calibri" w:cs="Times New Roman"/>
          <w:szCs w:val="22"/>
        </w:rPr>
      </w:pPr>
      <w:proofErr w:type="gramStart"/>
      <w:r w:rsidRPr="00DA5F8A">
        <w:rPr>
          <w:rFonts w:ascii="Calibri" w:eastAsia="Calibri" w:hAnsi="Calibri" w:cs="Times New Roman"/>
          <w:szCs w:val="22"/>
        </w:rPr>
        <w:t>As long as</w:t>
      </w:r>
      <w:proofErr w:type="gramEnd"/>
      <w:r w:rsidRPr="00DA5F8A">
        <w:rPr>
          <w:rFonts w:ascii="Calibri" w:eastAsia="Calibri" w:hAnsi="Calibri" w:cs="Times New Roman"/>
          <w:szCs w:val="22"/>
        </w:rPr>
        <w:t xml:space="preserve"> this information is generally available (under SFDR), it should also be available for securitisation. However, can this apply only to newly originated loans? </w:t>
      </w:r>
      <w:r w:rsidR="00BE3C14">
        <w:rPr>
          <w:rFonts w:ascii="Calibri" w:eastAsia="Calibri" w:hAnsi="Calibri" w:cs="Times New Roman"/>
          <w:szCs w:val="22"/>
        </w:rPr>
        <w:t>Because</w:t>
      </w:r>
      <w:r w:rsidR="00BE3C14" w:rsidRPr="00DA5F8A">
        <w:rPr>
          <w:rFonts w:ascii="Calibri" w:eastAsia="Calibri" w:hAnsi="Calibri" w:cs="Times New Roman"/>
          <w:szCs w:val="22"/>
        </w:rPr>
        <w:t xml:space="preserve"> </w:t>
      </w:r>
      <w:r w:rsidRPr="00DA5F8A">
        <w:rPr>
          <w:rFonts w:ascii="Calibri" w:eastAsia="Calibri" w:hAnsi="Calibri" w:cs="Times New Roman"/>
          <w:szCs w:val="22"/>
        </w:rPr>
        <w:t>the information that is required will not necessarily have been collected in the past (this question is not securitisation specific).</w:t>
      </w:r>
    </w:p>
    <w:p w14:paraId="38F432FA" w14:textId="26B97A75" w:rsidR="00DA5F8A" w:rsidRDefault="00DA5F8A" w:rsidP="00DA5F8A">
      <w:pPr>
        <w:spacing w:after="160" w:line="259" w:lineRule="auto"/>
        <w:rPr>
          <w:rFonts w:ascii="Calibri" w:eastAsia="Calibri" w:hAnsi="Calibri" w:cs="Times New Roman"/>
          <w:szCs w:val="22"/>
        </w:rPr>
      </w:pPr>
      <w:r w:rsidRPr="00DA5F8A">
        <w:rPr>
          <w:rFonts w:ascii="Calibri" w:eastAsia="Calibri" w:hAnsi="Calibri" w:cs="Times New Roman"/>
          <w:szCs w:val="22"/>
        </w:rPr>
        <w:t>Credit Institutions originating residential loans collect only part of the data included in the proposed PAI indicators. Illustratively, they will collect the energy performance of the building, as stated by the Energy Performance Certificate (EPC), as per EBA instructions guidelines (Jan 22 draft ITS on Pillar 3). We remind the importance (</w:t>
      </w:r>
      <w:proofErr w:type="spellStart"/>
      <w:r w:rsidRPr="00DA5F8A">
        <w:rPr>
          <w:rFonts w:ascii="Calibri" w:eastAsia="Calibri" w:hAnsi="Calibri" w:cs="Times New Roman"/>
          <w:szCs w:val="22"/>
        </w:rPr>
        <w:t>i</w:t>
      </w:r>
      <w:proofErr w:type="spellEnd"/>
      <w:r w:rsidRPr="00DA5F8A">
        <w:rPr>
          <w:rFonts w:ascii="Calibri" w:eastAsia="Calibri" w:hAnsi="Calibri" w:cs="Times New Roman"/>
          <w:szCs w:val="22"/>
        </w:rPr>
        <w:t>) to select not all PAI indicators as listed in SFDR, but the most relevant ones that are indeed collected by Credit Institutions and (ii) to provide only meaningful information to investors</w:t>
      </w:r>
      <w:r>
        <w:rPr>
          <w:rFonts w:ascii="Calibri" w:eastAsia="Calibri" w:hAnsi="Calibri" w:cs="Times New Roman"/>
          <w:szCs w:val="22"/>
        </w:rPr>
        <w:t>.</w:t>
      </w:r>
    </w:p>
    <w:p w14:paraId="206B99F6" w14:textId="77777777" w:rsidR="00CA43FD" w:rsidRDefault="00CA43FD" w:rsidP="00CA43FD">
      <w:pPr>
        <w:spacing w:after="160" w:line="259" w:lineRule="auto"/>
        <w:rPr>
          <w:rFonts w:ascii="Calibri" w:eastAsia="Calibri" w:hAnsi="Calibri" w:cs="Times New Roman"/>
          <w:szCs w:val="22"/>
        </w:rPr>
      </w:pPr>
      <w:r>
        <w:rPr>
          <w:rFonts w:ascii="Calibri" w:eastAsia="Calibri" w:hAnsi="Calibri" w:cs="Times New Roman"/>
          <w:szCs w:val="22"/>
        </w:rPr>
        <w:t xml:space="preserve">The PAI indicators are clearly designed (under the SFDR) for larger (commercial) real estate projects and not for the retail residential market. </w:t>
      </w:r>
      <w:proofErr w:type="gramStart"/>
      <w:r>
        <w:rPr>
          <w:rFonts w:ascii="Calibri" w:eastAsia="Calibri" w:hAnsi="Calibri" w:cs="Times New Roman"/>
          <w:szCs w:val="22"/>
        </w:rPr>
        <w:t>So</w:t>
      </w:r>
      <w:proofErr w:type="gramEnd"/>
      <w:r>
        <w:rPr>
          <w:rFonts w:ascii="Calibri" w:eastAsia="Calibri" w:hAnsi="Calibri" w:cs="Times New Roman"/>
          <w:szCs w:val="22"/>
        </w:rPr>
        <w:t xml:space="preserve"> they should be reviewed against this background.</w:t>
      </w:r>
    </w:p>
    <w:p w14:paraId="497913FD" w14:textId="77777777" w:rsidR="00CA43FD" w:rsidRDefault="00CA43FD" w:rsidP="00DA5F8A">
      <w:pPr>
        <w:spacing w:after="160" w:line="259" w:lineRule="auto"/>
        <w:rPr>
          <w:rFonts w:ascii="Calibri" w:eastAsia="Calibri" w:hAnsi="Calibri" w:cs="Times New Roman"/>
          <w:szCs w:val="22"/>
        </w:rPr>
      </w:pPr>
    </w:p>
    <w:p w14:paraId="3CF23C6A" w14:textId="206E0CF7" w:rsidR="00931D41" w:rsidRPr="00931D41" w:rsidRDefault="00931D41" w:rsidP="00DA5F8A">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_QUESTION_STS_SUST_6&gt;</w:t>
      </w:r>
    </w:p>
    <w:p w14:paraId="2A1570DB" w14:textId="77777777" w:rsidR="00931D41" w:rsidRPr="00931D41" w:rsidRDefault="00931D41" w:rsidP="00931D41">
      <w:pPr>
        <w:spacing w:after="160" w:line="259" w:lineRule="auto"/>
        <w:rPr>
          <w:rFonts w:ascii="Calibri" w:eastAsia="Calibri" w:hAnsi="Calibri" w:cs="Times New Roman"/>
          <w:szCs w:val="22"/>
        </w:rPr>
      </w:pPr>
    </w:p>
    <w:p w14:paraId="13973F87"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Do you propose to add any additional specific indicators for this asset class? </w:t>
      </w:r>
    </w:p>
    <w:p w14:paraId="28419C13" w14:textId="77777777" w:rsidR="00B076B9" w:rsidRDefault="00B076B9" w:rsidP="00931D41">
      <w:pPr>
        <w:spacing w:after="160" w:line="259" w:lineRule="auto"/>
        <w:rPr>
          <w:rFonts w:ascii="Calibri" w:eastAsia="Calibri" w:hAnsi="Calibri" w:cs="Times New Roman"/>
          <w:szCs w:val="22"/>
        </w:rPr>
      </w:pPr>
    </w:p>
    <w:p w14:paraId="2C6CD9D6" w14:textId="780D4FC1" w:rsidR="00931D41" w:rsidRPr="00931D41" w:rsidRDefault="00B076B9" w:rsidP="00931D41">
      <w:pPr>
        <w:spacing w:after="160" w:line="259" w:lineRule="auto"/>
        <w:rPr>
          <w:rFonts w:ascii="Calibri" w:eastAsia="Calibri" w:hAnsi="Calibri" w:cs="Times New Roman"/>
          <w:szCs w:val="22"/>
        </w:rPr>
      </w:pPr>
      <w:r>
        <w:rPr>
          <w:rFonts w:ascii="Calibri" w:eastAsia="Calibri" w:hAnsi="Calibri" w:cs="Times New Roman"/>
          <w:szCs w:val="22"/>
        </w:rPr>
        <w:t>&lt;</w:t>
      </w:r>
      <w:r w:rsidR="00931D41">
        <w:rPr>
          <w:rFonts w:ascii="Calibri" w:eastAsia="Calibri" w:hAnsi="Calibri" w:cs="Times New Roman"/>
          <w:szCs w:val="22"/>
        </w:rPr>
        <w:t>ESA</w:t>
      </w:r>
      <w:r w:rsidR="00931D41" w:rsidRPr="00931D41">
        <w:rPr>
          <w:rFonts w:ascii="Calibri" w:eastAsia="Calibri" w:hAnsi="Calibri" w:cs="Times New Roman"/>
          <w:szCs w:val="22"/>
        </w:rPr>
        <w:t>_QUESTION_STS_SUST_7&gt;</w:t>
      </w:r>
    </w:p>
    <w:p w14:paraId="1A865B2C" w14:textId="2F6467B9" w:rsidR="002F7943" w:rsidRDefault="002F7943" w:rsidP="00931D41">
      <w:pPr>
        <w:spacing w:after="160" w:line="259" w:lineRule="auto"/>
        <w:rPr>
          <w:rFonts w:ascii="Calibri" w:eastAsia="Calibri" w:hAnsi="Calibri" w:cs="Times New Roman"/>
          <w:szCs w:val="22"/>
        </w:rPr>
      </w:pPr>
      <w:r w:rsidRPr="002F7943">
        <w:rPr>
          <w:rFonts w:ascii="Calibri" w:eastAsia="Calibri" w:hAnsi="Calibri" w:cs="Times New Roman"/>
          <w:szCs w:val="22"/>
        </w:rPr>
        <w:lastRenderedPageBreak/>
        <w:t xml:space="preserve">No. Further indicators could be included at a later </w:t>
      </w:r>
      <w:proofErr w:type="gramStart"/>
      <w:r w:rsidRPr="002F7943">
        <w:rPr>
          <w:rFonts w:ascii="Calibri" w:eastAsia="Calibri" w:hAnsi="Calibri" w:cs="Times New Roman"/>
          <w:szCs w:val="22"/>
        </w:rPr>
        <w:t>stage, but</w:t>
      </w:r>
      <w:proofErr w:type="gramEnd"/>
      <w:r w:rsidRPr="002F7943">
        <w:rPr>
          <w:rFonts w:ascii="Calibri" w:eastAsia="Calibri" w:hAnsi="Calibri" w:cs="Times New Roman"/>
          <w:szCs w:val="22"/>
        </w:rPr>
        <w:t xml:space="preserve"> should be aligned with the SFDR for Green Bonds. Please also see comments to question 1.</w:t>
      </w:r>
    </w:p>
    <w:p w14:paraId="49B7292A" w14:textId="139D746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_QUESTION_STS_SUST_7&gt;</w:t>
      </w:r>
    </w:p>
    <w:p w14:paraId="7855413C" w14:textId="77777777" w:rsidR="00931D41" w:rsidRPr="00931D41" w:rsidRDefault="00931D41" w:rsidP="00931D41">
      <w:pPr>
        <w:spacing w:after="160" w:line="259" w:lineRule="auto"/>
        <w:rPr>
          <w:rFonts w:ascii="Calibri" w:eastAsia="Calibri" w:hAnsi="Calibri" w:cs="Times New Roman"/>
          <w:szCs w:val="22"/>
        </w:rPr>
      </w:pPr>
    </w:p>
    <w:p w14:paraId="79B49BBF"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aligning the PAI indicators for motor vehicles with the screening criteria for motor vehicles established in the Taxonomy Regulation?</w:t>
      </w:r>
    </w:p>
    <w:p w14:paraId="07722D10" w14:textId="77777777" w:rsidR="00931D41" w:rsidRDefault="00931D41" w:rsidP="00931D41">
      <w:pPr>
        <w:spacing w:after="160" w:line="259" w:lineRule="auto"/>
        <w:rPr>
          <w:rFonts w:ascii="Calibri" w:eastAsia="Calibri" w:hAnsi="Calibri" w:cs="Times New Roman"/>
          <w:szCs w:val="22"/>
        </w:rPr>
      </w:pPr>
    </w:p>
    <w:p w14:paraId="41EE4858" w14:textId="77777777" w:rsidR="002F7943"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_QUESTION_STS_SUST_8&gt;</w:t>
      </w:r>
    </w:p>
    <w:p w14:paraId="7FD776FE" w14:textId="77777777" w:rsidR="00B6330C" w:rsidRPr="00B6330C" w:rsidRDefault="00B6330C" w:rsidP="00B6330C">
      <w:pPr>
        <w:spacing w:after="160" w:line="259" w:lineRule="auto"/>
        <w:rPr>
          <w:rFonts w:ascii="Calibri" w:eastAsia="Calibri" w:hAnsi="Calibri" w:cs="Times New Roman"/>
          <w:szCs w:val="22"/>
        </w:rPr>
      </w:pPr>
      <w:r w:rsidRPr="00B6330C">
        <w:rPr>
          <w:rFonts w:ascii="Calibri" w:eastAsia="Calibri" w:hAnsi="Calibri" w:cs="Times New Roman"/>
          <w:szCs w:val="22"/>
        </w:rPr>
        <w:t>Same comment as for question 5 (reference with the Taxonomy is too binary).</w:t>
      </w:r>
    </w:p>
    <w:p w14:paraId="07FCE09E" w14:textId="349BA908" w:rsidR="00B6330C" w:rsidRPr="00B6330C" w:rsidRDefault="00B6330C" w:rsidP="00B6330C">
      <w:pPr>
        <w:spacing w:after="160" w:line="259" w:lineRule="auto"/>
        <w:rPr>
          <w:rFonts w:ascii="Calibri" w:eastAsia="Calibri" w:hAnsi="Calibri" w:cs="Times New Roman"/>
          <w:szCs w:val="22"/>
        </w:rPr>
      </w:pPr>
      <w:r w:rsidRPr="00B6330C">
        <w:rPr>
          <w:rFonts w:ascii="Calibri" w:eastAsia="Calibri" w:hAnsi="Calibri" w:cs="Times New Roman"/>
          <w:szCs w:val="22"/>
        </w:rPr>
        <w:t>We do not</w:t>
      </w:r>
      <w:r>
        <w:rPr>
          <w:rFonts w:ascii="Calibri" w:eastAsia="Calibri" w:hAnsi="Calibri" w:cs="Times New Roman"/>
          <w:szCs w:val="22"/>
        </w:rPr>
        <w:t xml:space="preserve"> agree with </w:t>
      </w:r>
      <w:r w:rsidR="001F40BD">
        <w:rPr>
          <w:rFonts w:ascii="Calibri" w:eastAsia="Calibri" w:hAnsi="Calibri" w:cs="Times New Roman"/>
          <w:szCs w:val="22"/>
        </w:rPr>
        <w:t>this approach</w:t>
      </w:r>
      <w:r w:rsidRPr="00B6330C">
        <w:rPr>
          <w:rFonts w:ascii="Calibri" w:eastAsia="Calibri" w:hAnsi="Calibri" w:cs="Times New Roman"/>
          <w:szCs w:val="22"/>
        </w:rPr>
        <w:t xml:space="preserve"> for the same reasons highlighted in response to question 5</w:t>
      </w:r>
      <w:r w:rsidR="007C1012">
        <w:rPr>
          <w:rFonts w:ascii="Calibri" w:eastAsia="Calibri" w:hAnsi="Calibri" w:cs="Times New Roman"/>
          <w:szCs w:val="22"/>
        </w:rPr>
        <w:t xml:space="preserve">, and we would like to </w:t>
      </w:r>
      <w:r w:rsidR="00112542">
        <w:rPr>
          <w:rFonts w:ascii="Calibri" w:eastAsia="Calibri" w:hAnsi="Calibri" w:cs="Times New Roman"/>
          <w:szCs w:val="22"/>
        </w:rPr>
        <w:t>emphasize</w:t>
      </w:r>
      <w:r w:rsidRPr="00B6330C">
        <w:rPr>
          <w:rFonts w:ascii="Calibri" w:eastAsia="Calibri" w:hAnsi="Calibri" w:cs="Times New Roman"/>
          <w:szCs w:val="22"/>
        </w:rPr>
        <w:t xml:space="preserve"> what is stated in the consultation document itself: assets which fail to meet high sustainability criteria are not the same </w:t>
      </w:r>
      <w:r w:rsidR="00423A2F">
        <w:rPr>
          <w:rFonts w:ascii="Calibri" w:eastAsia="Calibri" w:hAnsi="Calibri" w:cs="Times New Roman"/>
          <w:szCs w:val="22"/>
        </w:rPr>
        <w:t>as</w:t>
      </w:r>
      <w:r w:rsidR="00423A2F" w:rsidRPr="00B6330C">
        <w:rPr>
          <w:rFonts w:ascii="Calibri" w:eastAsia="Calibri" w:hAnsi="Calibri" w:cs="Times New Roman"/>
          <w:szCs w:val="22"/>
        </w:rPr>
        <w:t xml:space="preserve"> </w:t>
      </w:r>
      <w:r w:rsidRPr="00B6330C">
        <w:rPr>
          <w:rFonts w:ascii="Calibri" w:eastAsia="Calibri" w:hAnsi="Calibri" w:cs="Times New Roman"/>
          <w:szCs w:val="22"/>
        </w:rPr>
        <w:t>those with a negative impact.</w:t>
      </w:r>
    </w:p>
    <w:p w14:paraId="0B41C812" w14:textId="77777777" w:rsidR="00B6330C" w:rsidRPr="00B6330C" w:rsidRDefault="00B6330C" w:rsidP="00B6330C">
      <w:pPr>
        <w:spacing w:after="160" w:line="259" w:lineRule="auto"/>
        <w:rPr>
          <w:rFonts w:ascii="Calibri" w:eastAsia="Calibri" w:hAnsi="Calibri" w:cs="Times New Roman"/>
          <w:szCs w:val="22"/>
        </w:rPr>
      </w:pPr>
      <w:r w:rsidRPr="00B6330C">
        <w:rPr>
          <w:rFonts w:ascii="Calibri" w:eastAsia="Calibri" w:hAnsi="Calibri" w:cs="Times New Roman"/>
          <w:szCs w:val="22"/>
        </w:rPr>
        <w:t>The social and employee matters are not covered for residential loans – this should be the same for auto loans and leases to be consistent. Some indicators seem redundant as well (e.g., on greenhouse gas).</w:t>
      </w:r>
    </w:p>
    <w:p w14:paraId="22631385" w14:textId="5259A87A" w:rsidR="00B6330C" w:rsidRDefault="00B6330C" w:rsidP="00B6330C">
      <w:pPr>
        <w:spacing w:after="160" w:line="259" w:lineRule="auto"/>
        <w:rPr>
          <w:rFonts w:ascii="Calibri" w:eastAsia="Calibri" w:hAnsi="Calibri" w:cs="Times New Roman"/>
          <w:szCs w:val="22"/>
        </w:rPr>
      </w:pPr>
      <w:r w:rsidRPr="00B6330C">
        <w:rPr>
          <w:rFonts w:ascii="Calibri" w:eastAsia="Calibri" w:hAnsi="Calibri" w:cs="Times New Roman"/>
          <w:szCs w:val="22"/>
        </w:rPr>
        <w:t>Finally, we note that many “auto captives” entities may not fall under the SFDR. In that case, this information will probably not be readily available to them. It could also be difficult to provide the required information for second hand cars (</w:t>
      </w:r>
      <w:proofErr w:type="gramStart"/>
      <w:r w:rsidRPr="00B6330C">
        <w:rPr>
          <w:rFonts w:ascii="Calibri" w:eastAsia="Calibri" w:hAnsi="Calibri" w:cs="Times New Roman"/>
          <w:szCs w:val="22"/>
        </w:rPr>
        <w:t>i.e.</w:t>
      </w:r>
      <w:proofErr w:type="gramEnd"/>
      <w:r w:rsidRPr="00B6330C">
        <w:rPr>
          <w:rFonts w:ascii="Calibri" w:eastAsia="Calibri" w:hAnsi="Calibri" w:cs="Times New Roman"/>
          <w:szCs w:val="22"/>
        </w:rPr>
        <w:t xml:space="preserve"> before the indicators were developed or for “external” vehicle brands).</w:t>
      </w:r>
    </w:p>
    <w:p w14:paraId="739F0E5D" w14:textId="0704CEA7" w:rsidR="00EC4D7D" w:rsidRDefault="00EC4D7D" w:rsidP="00B6330C">
      <w:pPr>
        <w:spacing w:after="160" w:line="259" w:lineRule="auto"/>
        <w:rPr>
          <w:rFonts w:ascii="Calibri" w:eastAsia="Calibri" w:hAnsi="Calibri" w:cs="Times New Roman"/>
          <w:szCs w:val="22"/>
        </w:rPr>
      </w:pPr>
      <w:proofErr w:type="gramStart"/>
      <w:r w:rsidRPr="00EC4D7D">
        <w:rPr>
          <w:rFonts w:ascii="Calibri" w:eastAsia="Calibri" w:hAnsi="Calibri" w:cs="Times New Roman"/>
          <w:szCs w:val="22"/>
        </w:rPr>
        <w:t>In order to</w:t>
      </w:r>
      <w:proofErr w:type="gramEnd"/>
      <w:r w:rsidRPr="00EC4D7D">
        <w:rPr>
          <w:rFonts w:ascii="Calibri" w:eastAsia="Calibri" w:hAnsi="Calibri" w:cs="Times New Roman"/>
          <w:szCs w:val="22"/>
        </w:rPr>
        <w:t xml:space="preserve"> ensure a credible classification as environmentally sustainable, the DNSH-criteria (Do-No-Significant-Harm) were deliberately formulated very strictly. In principle, the DNSH-criteria are suitable for classifying economic activities and assets as environmentally sustainable, but not for describing the principal adverse impact on the environment. This holds true </w:t>
      </w:r>
      <w:proofErr w:type="gramStart"/>
      <w:r w:rsidRPr="00EC4D7D">
        <w:rPr>
          <w:rFonts w:ascii="Calibri" w:eastAsia="Calibri" w:hAnsi="Calibri" w:cs="Times New Roman"/>
          <w:szCs w:val="22"/>
        </w:rPr>
        <w:t>in particular for</w:t>
      </w:r>
      <w:proofErr w:type="gramEnd"/>
      <w:r w:rsidRPr="00EC4D7D">
        <w:rPr>
          <w:rFonts w:ascii="Calibri" w:eastAsia="Calibri" w:hAnsi="Calibri" w:cs="Times New Roman"/>
          <w:szCs w:val="22"/>
        </w:rPr>
        <w:t xml:space="preserve"> vehicles. It would be more reasonable to tie in with current legal requirements for vehicles, which are getting steadily stricter. Older used cars </w:t>
      </w:r>
      <w:proofErr w:type="gramStart"/>
      <w:r w:rsidRPr="00EC4D7D">
        <w:rPr>
          <w:rFonts w:ascii="Calibri" w:eastAsia="Calibri" w:hAnsi="Calibri" w:cs="Times New Roman"/>
          <w:szCs w:val="22"/>
        </w:rPr>
        <w:t>in particular often</w:t>
      </w:r>
      <w:proofErr w:type="gramEnd"/>
      <w:r w:rsidRPr="00EC4D7D">
        <w:rPr>
          <w:rFonts w:ascii="Calibri" w:eastAsia="Calibri" w:hAnsi="Calibri" w:cs="Times New Roman"/>
          <w:szCs w:val="22"/>
        </w:rPr>
        <w:t xml:space="preserve"> have a significantly worse environmental performance than new cars or young used cars, because the technology and legal requirements are constantly developing and the registration of a vehicle is based on the limit values for C02 emissions and air pollutants applicable at the time of registration, even if stricter limit values now apply to new vehicles. It would therefore be right to use current legal limit values for all vehicles, </w:t>
      </w:r>
      <w:proofErr w:type="gramStart"/>
      <w:r w:rsidRPr="00EC4D7D">
        <w:rPr>
          <w:rFonts w:ascii="Calibri" w:eastAsia="Calibri" w:hAnsi="Calibri" w:cs="Times New Roman"/>
          <w:szCs w:val="22"/>
        </w:rPr>
        <w:t>i.e.</w:t>
      </w:r>
      <w:proofErr w:type="gramEnd"/>
      <w:r w:rsidRPr="00EC4D7D">
        <w:rPr>
          <w:rFonts w:ascii="Calibri" w:eastAsia="Calibri" w:hAnsi="Calibri" w:cs="Times New Roman"/>
          <w:szCs w:val="22"/>
        </w:rPr>
        <w:t xml:space="preserve"> for new and used cars regardless of their age and registration, in order to describe adverse environmental effects in a transparent manner.</w:t>
      </w:r>
    </w:p>
    <w:p w14:paraId="786E34F6" w14:textId="77777777" w:rsidR="00EC4D7D" w:rsidRPr="00EC4D7D" w:rsidRDefault="00EC4D7D" w:rsidP="00EC4D7D">
      <w:pPr>
        <w:spacing w:after="160" w:line="259" w:lineRule="auto"/>
        <w:rPr>
          <w:rFonts w:ascii="Calibri" w:eastAsia="Calibri" w:hAnsi="Calibri" w:cs="Times New Roman"/>
          <w:szCs w:val="22"/>
        </w:rPr>
      </w:pPr>
      <w:r w:rsidRPr="00EC4D7D">
        <w:rPr>
          <w:rFonts w:ascii="Calibri" w:eastAsia="Calibri" w:hAnsi="Calibri" w:cs="Times New Roman"/>
          <w:szCs w:val="22"/>
        </w:rPr>
        <w:t xml:space="preserve">Details: </w:t>
      </w:r>
    </w:p>
    <w:p w14:paraId="36F2C77D" w14:textId="77777777" w:rsidR="00EC4D7D" w:rsidRPr="00EC4D7D" w:rsidRDefault="00EC4D7D" w:rsidP="00EC4D7D">
      <w:pPr>
        <w:spacing w:after="160" w:line="259" w:lineRule="auto"/>
        <w:rPr>
          <w:rFonts w:ascii="Calibri" w:eastAsia="Calibri" w:hAnsi="Calibri" w:cs="Times New Roman"/>
          <w:szCs w:val="22"/>
        </w:rPr>
      </w:pPr>
      <w:r w:rsidRPr="00EC4D7D">
        <w:rPr>
          <w:rFonts w:ascii="Calibri" w:eastAsia="Calibri" w:hAnsi="Calibri" w:cs="Times New Roman"/>
          <w:szCs w:val="22"/>
        </w:rPr>
        <w:t>Indicators applicable to the assets financed by auto loans and leases</w:t>
      </w:r>
    </w:p>
    <w:p w14:paraId="1ADBE5A6" w14:textId="77777777" w:rsidR="00EC4D7D" w:rsidRPr="00EC4D7D" w:rsidRDefault="00EC4D7D" w:rsidP="00EC4D7D">
      <w:pPr>
        <w:spacing w:after="160" w:line="259" w:lineRule="auto"/>
        <w:rPr>
          <w:rFonts w:ascii="Calibri" w:eastAsia="Calibri" w:hAnsi="Calibri" w:cs="Times New Roman"/>
          <w:szCs w:val="22"/>
        </w:rPr>
      </w:pPr>
      <w:r w:rsidRPr="00EC4D7D">
        <w:rPr>
          <w:rFonts w:ascii="Calibri" w:eastAsia="Calibri" w:hAnsi="Calibri" w:cs="Times New Roman"/>
          <w:szCs w:val="22"/>
        </w:rPr>
        <w:t xml:space="preserve">Emissions: </w:t>
      </w:r>
    </w:p>
    <w:p w14:paraId="0105BF9D" w14:textId="54A132B3" w:rsidR="00EC4D7D" w:rsidRPr="00EC4D7D" w:rsidRDefault="00EC4D7D" w:rsidP="00EC4D7D">
      <w:pPr>
        <w:spacing w:after="160" w:line="259" w:lineRule="auto"/>
        <w:rPr>
          <w:rFonts w:ascii="Calibri" w:eastAsia="Calibri" w:hAnsi="Calibri" w:cs="Times New Roman"/>
          <w:szCs w:val="22"/>
        </w:rPr>
      </w:pPr>
      <w:r w:rsidRPr="00EC4D7D">
        <w:rPr>
          <w:rFonts w:ascii="Calibri" w:eastAsia="Calibri" w:hAnsi="Calibri" w:cs="Times New Roman"/>
          <w:szCs w:val="22"/>
        </w:rPr>
        <w:t xml:space="preserve">The emission values of 50g C02/km by 31 December 2025 can only be met by hybrid vehicles and 0g C02/km by pure electric vehicles. This would implicitly reflect the share of e-vehicles and hybrid vehicles until 31 December 2025 and the share of pure e-vehicles from 1 January 2026. However, this would only be a conditionally meaningful figure. It would make more sense for the vehicles for which the C02 emissions are available to indicate the average C02 emissions of the vehicles </w:t>
      </w:r>
      <w:proofErr w:type="gramStart"/>
      <w:r w:rsidRPr="00EC4D7D">
        <w:rPr>
          <w:rFonts w:ascii="Calibri" w:eastAsia="Calibri" w:hAnsi="Calibri" w:cs="Times New Roman"/>
          <w:szCs w:val="22"/>
        </w:rPr>
        <w:t>in order to</w:t>
      </w:r>
      <w:proofErr w:type="gramEnd"/>
      <w:r w:rsidRPr="00EC4D7D">
        <w:rPr>
          <w:rFonts w:ascii="Calibri" w:eastAsia="Calibri" w:hAnsi="Calibri" w:cs="Times New Roman"/>
          <w:szCs w:val="22"/>
        </w:rPr>
        <w:t xml:space="preserve"> enable </w:t>
      </w:r>
      <w:r w:rsidRPr="00EC4D7D">
        <w:rPr>
          <w:rFonts w:ascii="Calibri" w:eastAsia="Calibri" w:hAnsi="Calibri" w:cs="Times New Roman"/>
          <w:szCs w:val="22"/>
        </w:rPr>
        <w:lastRenderedPageBreak/>
        <w:t>investors to determine the CO2 intensity of their investment. This would also enable to reflect continuous improvement in the C02 intensity of financing and leasing of vehicles.</w:t>
      </w:r>
    </w:p>
    <w:p w14:paraId="5494A740" w14:textId="77777777" w:rsidR="00EC4D7D" w:rsidRPr="00EC4D7D" w:rsidRDefault="00EC4D7D" w:rsidP="00EC4D7D">
      <w:pPr>
        <w:spacing w:after="160" w:line="259" w:lineRule="auto"/>
        <w:rPr>
          <w:rFonts w:ascii="Calibri" w:eastAsia="Calibri" w:hAnsi="Calibri" w:cs="Times New Roman"/>
          <w:szCs w:val="22"/>
        </w:rPr>
      </w:pPr>
    </w:p>
    <w:p w14:paraId="65E12B73" w14:textId="4C18E07D" w:rsidR="00EC4D7D" w:rsidRPr="00EC4D7D" w:rsidRDefault="00EC4D7D" w:rsidP="00EC4D7D">
      <w:pPr>
        <w:spacing w:after="160" w:line="259" w:lineRule="auto"/>
        <w:rPr>
          <w:rFonts w:ascii="Calibri" w:eastAsia="Calibri" w:hAnsi="Calibri" w:cs="Times New Roman"/>
          <w:szCs w:val="22"/>
        </w:rPr>
      </w:pPr>
      <w:r w:rsidRPr="00EC4D7D">
        <w:rPr>
          <w:rFonts w:ascii="Calibri" w:eastAsia="Calibri" w:hAnsi="Calibri" w:cs="Times New Roman"/>
          <w:szCs w:val="22"/>
        </w:rPr>
        <w:t>Pollution</w:t>
      </w:r>
      <w:r w:rsidR="0017072C">
        <w:rPr>
          <w:rFonts w:ascii="Calibri" w:eastAsia="Calibri" w:hAnsi="Calibri" w:cs="Times New Roman"/>
          <w:szCs w:val="22"/>
        </w:rPr>
        <w:t>:</w:t>
      </w:r>
    </w:p>
    <w:p w14:paraId="0A4CC0FC" w14:textId="77777777" w:rsidR="00EC4D7D" w:rsidRPr="00EC4D7D" w:rsidRDefault="00EC4D7D" w:rsidP="00EC4D7D">
      <w:pPr>
        <w:spacing w:after="160" w:line="259" w:lineRule="auto"/>
        <w:rPr>
          <w:rFonts w:ascii="Calibri" w:eastAsia="Calibri" w:hAnsi="Calibri" w:cs="Times New Roman"/>
          <w:szCs w:val="22"/>
        </w:rPr>
      </w:pPr>
      <w:r w:rsidRPr="00EC4D7D">
        <w:rPr>
          <w:rFonts w:ascii="Calibri" w:eastAsia="Calibri" w:hAnsi="Calibri" w:cs="Times New Roman"/>
          <w:szCs w:val="22"/>
        </w:rPr>
        <w:t xml:space="preserve">It makes sense to link to EURO standard 6 according to Regulation (EU) No. 715/2007 </w:t>
      </w:r>
      <w:proofErr w:type="gramStart"/>
      <w:r w:rsidRPr="00EC4D7D">
        <w:rPr>
          <w:rFonts w:ascii="Calibri" w:eastAsia="Calibri" w:hAnsi="Calibri" w:cs="Times New Roman"/>
          <w:szCs w:val="22"/>
        </w:rPr>
        <w:t>in order to</w:t>
      </w:r>
      <w:proofErr w:type="gramEnd"/>
      <w:r w:rsidRPr="00EC4D7D">
        <w:rPr>
          <w:rFonts w:ascii="Calibri" w:eastAsia="Calibri" w:hAnsi="Calibri" w:cs="Times New Roman"/>
          <w:szCs w:val="22"/>
        </w:rPr>
        <w:t xml:space="preserve"> describe principal adverse environmental effects with regard to air pollutants, as Euro standard 6 provides for a drastic tightening of the limit values compared to EURO standard 5 and before. For example, the </w:t>
      </w:r>
      <w:proofErr w:type="spellStart"/>
      <w:r w:rsidRPr="00EC4D7D">
        <w:rPr>
          <w:rFonts w:ascii="Calibri" w:eastAsia="Calibri" w:hAnsi="Calibri" w:cs="Times New Roman"/>
          <w:szCs w:val="22"/>
        </w:rPr>
        <w:t>Nox</w:t>
      </w:r>
      <w:proofErr w:type="spellEnd"/>
      <w:r w:rsidRPr="00EC4D7D">
        <w:rPr>
          <w:rFonts w:ascii="Calibri" w:eastAsia="Calibri" w:hAnsi="Calibri" w:cs="Times New Roman"/>
          <w:szCs w:val="22"/>
        </w:rPr>
        <w:t xml:space="preserve"> limits for diesel-fuelled passenger cars, which fall into category M, have been lowered by about 56% from 180mg/km (EURO Norm 5) to 80mg/km (EURO Norm 6). For older EURO Standard 4 vehicles, the </w:t>
      </w:r>
      <w:proofErr w:type="spellStart"/>
      <w:r w:rsidRPr="00EC4D7D">
        <w:rPr>
          <w:rFonts w:ascii="Calibri" w:eastAsia="Calibri" w:hAnsi="Calibri" w:cs="Times New Roman"/>
          <w:szCs w:val="22"/>
        </w:rPr>
        <w:t>Nox</w:t>
      </w:r>
      <w:proofErr w:type="spellEnd"/>
      <w:r w:rsidRPr="00EC4D7D">
        <w:rPr>
          <w:rFonts w:ascii="Calibri" w:eastAsia="Calibri" w:hAnsi="Calibri" w:cs="Times New Roman"/>
          <w:szCs w:val="22"/>
        </w:rPr>
        <w:t xml:space="preserve"> limit for diesel-fuelled passenger cars is still 250 mg/km and for EURO Standard vehicles 500mg/km. Compared to EURO standard 4, the reduction of the limit value is thus 68% and compared to EURO standard 3 even 84%. This shows significant improvements that the introduction of EURO standard 6 has brought in terms of reducing air pollutants. </w:t>
      </w:r>
    </w:p>
    <w:p w14:paraId="3D942DBB" w14:textId="77777777" w:rsidR="00EC4D7D" w:rsidRPr="00EC4D7D" w:rsidRDefault="00EC4D7D" w:rsidP="00EC4D7D">
      <w:pPr>
        <w:spacing w:after="160" w:line="259" w:lineRule="auto"/>
        <w:rPr>
          <w:rFonts w:ascii="Calibri" w:eastAsia="Calibri" w:hAnsi="Calibri" w:cs="Times New Roman"/>
          <w:szCs w:val="22"/>
        </w:rPr>
      </w:pPr>
      <w:r w:rsidRPr="00EC4D7D">
        <w:rPr>
          <w:rFonts w:ascii="Calibri" w:eastAsia="Calibri" w:hAnsi="Calibri" w:cs="Times New Roman"/>
          <w:szCs w:val="22"/>
        </w:rPr>
        <w:t xml:space="preserve">We do not agree that EURO standard 6 vehicles which do not comply with the last stage should also be classified as vehicles with a principal adverse impact in terms of pollution, like vehicles registered under EURO 5 or 4. In any case, a </w:t>
      </w:r>
      <w:proofErr w:type="spellStart"/>
      <w:r w:rsidRPr="00EC4D7D">
        <w:rPr>
          <w:rFonts w:ascii="Calibri" w:eastAsia="Calibri" w:hAnsi="Calibri" w:cs="Times New Roman"/>
          <w:szCs w:val="22"/>
        </w:rPr>
        <w:t>dynamisation</w:t>
      </w:r>
      <w:proofErr w:type="spellEnd"/>
      <w:r w:rsidRPr="00EC4D7D">
        <w:rPr>
          <w:rFonts w:ascii="Calibri" w:eastAsia="Calibri" w:hAnsi="Calibri" w:cs="Times New Roman"/>
          <w:szCs w:val="22"/>
        </w:rPr>
        <w:t xml:space="preserve"> like the last applicable stage of EURO standard 6 should be refrained from. It is certainly desirable that the limit values for vehicles with internal combustion engines should be adjusted and tightened in line with current technological progress </w:t>
      </w:r>
      <w:proofErr w:type="gramStart"/>
      <w:r w:rsidRPr="00EC4D7D">
        <w:rPr>
          <w:rFonts w:ascii="Calibri" w:eastAsia="Calibri" w:hAnsi="Calibri" w:cs="Times New Roman"/>
          <w:szCs w:val="22"/>
        </w:rPr>
        <w:t>in order to</w:t>
      </w:r>
      <w:proofErr w:type="gramEnd"/>
      <w:r w:rsidRPr="00EC4D7D">
        <w:rPr>
          <w:rFonts w:ascii="Calibri" w:eastAsia="Calibri" w:hAnsi="Calibri" w:cs="Times New Roman"/>
          <w:szCs w:val="22"/>
        </w:rPr>
        <w:t xml:space="preserve"> achieve a further reduction of air pollutants from vehicles. However, this does not mean that vehicles that currently are not classified with a principal adverse impact in terms of pollution will automatically have an adverse impact on pollution in the future due to the tightening of limits as the tightening of limits does not change the emissions of a registered vehicle with air pollutants and thus the principal adverse impact.  </w:t>
      </w:r>
    </w:p>
    <w:p w14:paraId="16945BF0" w14:textId="78AB42E3" w:rsidR="00EC4D7D" w:rsidRDefault="00EC4D7D" w:rsidP="00EC4D7D">
      <w:pPr>
        <w:spacing w:after="160" w:line="259" w:lineRule="auto"/>
        <w:rPr>
          <w:rFonts w:ascii="Calibri" w:eastAsia="Calibri" w:hAnsi="Calibri" w:cs="Times New Roman"/>
          <w:szCs w:val="22"/>
        </w:rPr>
      </w:pPr>
      <w:r w:rsidRPr="00EC4D7D">
        <w:rPr>
          <w:rFonts w:ascii="Calibri" w:eastAsia="Calibri" w:hAnsi="Calibri" w:cs="Times New Roman"/>
          <w:szCs w:val="22"/>
        </w:rPr>
        <w:t xml:space="preserve">Moreover, we do not agree that vehicles should additionally meet the requirements for the promotion of clean and energy-efficient vehicles according to Directive 2009/33/EU, so that they do not cause significant adverse environmental effects. This directive was introduced to provide incentives in the public procurement process for the procurement of cleaner, smarter, safer and more energy-efficient vehicles. It is in its current version also a kind of taxonomy regulation to identify particularly environmentally friendly vehicles. Most recently, the requirements were formulated by amending regulation to the effect that vehicles may only achieve a maximum of 80% of the approved limit values for air pollutants by 31 December 2025. From 1 </w:t>
      </w:r>
      <w:proofErr w:type="gramStart"/>
      <w:r w:rsidRPr="00EC4D7D">
        <w:rPr>
          <w:rFonts w:ascii="Calibri" w:eastAsia="Calibri" w:hAnsi="Calibri" w:cs="Times New Roman"/>
          <w:szCs w:val="22"/>
        </w:rPr>
        <w:t>January  2026</w:t>
      </w:r>
      <w:proofErr w:type="gramEnd"/>
      <w:r w:rsidRPr="00EC4D7D">
        <w:rPr>
          <w:rFonts w:ascii="Calibri" w:eastAsia="Calibri" w:hAnsi="Calibri" w:cs="Times New Roman"/>
          <w:szCs w:val="22"/>
        </w:rPr>
        <w:t xml:space="preserve"> the limit will be virtually 0% of the approved limit values for air pollutants.  This would mean a further tightening and have the consequence that virtually only hybrid vehicles and e-vehicles would reach the 80% limit values of Directive 2009/33/EU in its current version </w:t>
      </w:r>
      <w:proofErr w:type="gramStart"/>
      <w:r w:rsidRPr="00EC4D7D">
        <w:rPr>
          <w:rFonts w:ascii="Calibri" w:eastAsia="Calibri" w:hAnsi="Calibri" w:cs="Times New Roman"/>
          <w:szCs w:val="22"/>
        </w:rPr>
        <w:t>with regard to</w:t>
      </w:r>
      <w:proofErr w:type="gramEnd"/>
      <w:r w:rsidRPr="00EC4D7D">
        <w:rPr>
          <w:rFonts w:ascii="Calibri" w:eastAsia="Calibri" w:hAnsi="Calibri" w:cs="Times New Roman"/>
          <w:szCs w:val="22"/>
        </w:rPr>
        <w:t xml:space="preserve"> air pollutants until 31 December 2025. From 1 January 2026 only pure e-vehicles could comply with these limits.  We do not see this as reasonable, because then, in fact, no differentiation would be made for vehicles with combustion engines according to the different pollutant emissions. Older vehicles with a poor environmental performance in terms of air pollutants should be identified transparently for investors. We therefore advocate that only the share of vehicles that do not comply with at least EURO standard 6 should be reported.</w:t>
      </w:r>
    </w:p>
    <w:p w14:paraId="2010AE64" w14:textId="59621240" w:rsidR="00931D41" w:rsidRPr="00931D41" w:rsidRDefault="002F7943" w:rsidP="00B6330C">
      <w:pPr>
        <w:spacing w:after="160" w:line="259" w:lineRule="auto"/>
        <w:rPr>
          <w:rFonts w:ascii="Calibri" w:eastAsia="Calibri" w:hAnsi="Calibri" w:cs="Times New Roman"/>
          <w:szCs w:val="22"/>
        </w:rPr>
      </w:pPr>
      <w:r>
        <w:rPr>
          <w:rFonts w:ascii="Calibri" w:eastAsia="Calibri" w:hAnsi="Calibri" w:cs="Times New Roman"/>
          <w:szCs w:val="22"/>
        </w:rPr>
        <w:t>&lt;</w:t>
      </w:r>
      <w:r w:rsidR="00931D41">
        <w:rPr>
          <w:rFonts w:ascii="Calibri" w:eastAsia="Calibri" w:hAnsi="Calibri" w:cs="Times New Roman"/>
          <w:szCs w:val="22"/>
        </w:rPr>
        <w:t>ESA</w:t>
      </w:r>
      <w:r w:rsidR="00931D41" w:rsidRPr="00931D41">
        <w:rPr>
          <w:rFonts w:ascii="Calibri" w:eastAsia="Calibri" w:hAnsi="Calibri" w:cs="Times New Roman"/>
          <w:szCs w:val="22"/>
        </w:rPr>
        <w:t>_QUESTION_STS_SUST_8&gt;</w:t>
      </w:r>
    </w:p>
    <w:p w14:paraId="634F38A4" w14:textId="77777777" w:rsidR="00931D41" w:rsidRPr="00931D41" w:rsidRDefault="00931D41" w:rsidP="00931D41">
      <w:pPr>
        <w:spacing w:after="160" w:line="259" w:lineRule="auto"/>
        <w:rPr>
          <w:rFonts w:ascii="Calibri" w:eastAsia="Calibri" w:hAnsi="Calibri" w:cs="Times New Roman"/>
          <w:szCs w:val="22"/>
        </w:rPr>
      </w:pPr>
    </w:p>
    <w:p w14:paraId="713CC710"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lastRenderedPageBreak/>
        <w:t>: Do you agree with expanding the indicators to potentially cover these additional aspects at a later stage?</w:t>
      </w:r>
    </w:p>
    <w:p w14:paraId="6B67C1B8" w14:textId="77777777" w:rsidR="00B076B9" w:rsidRDefault="00B076B9" w:rsidP="00931D41">
      <w:pPr>
        <w:spacing w:after="160" w:line="259" w:lineRule="auto"/>
        <w:rPr>
          <w:rFonts w:ascii="Calibri" w:eastAsia="Calibri" w:hAnsi="Calibri" w:cs="Times New Roman"/>
          <w:szCs w:val="22"/>
          <w:lang w:val="en-US"/>
        </w:rPr>
      </w:pPr>
    </w:p>
    <w:p w14:paraId="43ADA8B3" w14:textId="16CDACB8"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_QUESTION_STS_SUST_9&gt;</w:t>
      </w:r>
    </w:p>
    <w:p w14:paraId="4362E8EB" w14:textId="4722E9D3" w:rsidR="00355A2D" w:rsidRPr="00355A2D" w:rsidRDefault="00355A2D" w:rsidP="00355A2D">
      <w:pPr>
        <w:spacing w:after="160" w:line="259" w:lineRule="auto"/>
        <w:rPr>
          <w:rFonts w:ascii="Calibri" w:eastAsia="Calibri" w:hAnsi="Calibri" w:cs="Times New Roman"/>
          <w:szCs w:val="22"/>
        </w:rPr>
      </w:pPr>
      <w:r w:rsidRPr="00355A2D">
        <w:rPr>
          <w:rFonts w:ascii="Calibri" w:eastAsia="Calibri" w:hAnsi="Calibri" w:cs="Times New Roman"/>
          <w:szCs w:val="22"/>
        </w:rPr>
        <w:t>We believe that it is too early to precisely define the additional aspects to be covered by new indicators at this stage: technology is evolving, reliable emissions and air pollution measures are not available. In addition, these indicators should be workable for non-auto captive lenders (finance companies that are not subsidiaries of an OEM)</w:t>
      </w:r>
      <w:r w:rsidR="0017072C">
        <w:rPr>
          <w:rFonts w:ascii="Calibri" w:eastAsia="Calibri" w:hAnsi="Calibri" w:cs="Times New Roman"/>
          <w:szCs w:val="22"/>
        </w:rPr>
        <w:t>.</w:t>
      </w:r>
    </w:p>
    <w:p w14:paraId="43261486" w14:textId="2A3BDEA0" w:rsidR="00355A2D" w:rsidRDefault="00355A2D" w:rsidP="00355A2D">
      <w:pPr>
        <w:spacing w:after="160" w:line="259" w:lineRule="auto"/>
        <w:rPr>
          <w:rFonts w:ascii="Calibri" w:eastAsia="Calibri" w:hAnsi="Calibri" w:cs="Times New Roman"/>
          <w:szCs w:val="22"/>
        </w:rPr>
      </w:pPr>
      <w:r w:rsidRPr="00355A2D">
        <w:rPr>
          <w:rFonts w:ascii="Calibri" w:eastAsia="Calibri" w:hAnsi="Calibri" w:cs="Times New Roman"/>
          <w:szCs w:val="22"/>
        </w:rPr>
        <w:t xml:space="preserve">This needs to be assessed at a later stage. We find it preferable to design a simple, targeted disclosure framework, as mandated by the Securitisation Regulation, rather than multiplying indicators that will further </w:t>
      </w:r>
      <w:r w:rsidR="00A2125B">
        <w:rPr>
          <w:rFonts w:ascii="Calibri" w:eastAsia="Calibri" w:hAnsi="Calibri" w:cs="Times New Roman"/>
          <w:szCs w:val="22"/>
        </w:rPr>
        <w:t>complicate</w:t>
      </w:r>
      <w:r w:rsidRPr="00355A2D">
        <w:rPr>
          <w:rFonts w:ascii="Calibri" w:eastAsia="Calibri" w:hAnsi="Calibri" w:cs="Times New Roman"/>
          <w:szCs w:val="22"/>
        </w:rPr>
        <w:t xml:space="preserve"> ESG disclosures.</w:t>
      </w:r>
    </w:p>
    <w:p w14:paraId="4F9397C5" w14:textId="55D87624" w:rsidR="00662D52" w:rsidRDefault="00355A2D" w:rsidP="00355A2D">
      <w:pPr>
        <w:spacing w:after="160" w:line="259" w:lineRule="auto"/>
        <w:rPr>
          <w:rFonts w:ascii="Calibri" w:eastAsia="Calibri" w:hAnsi="Calibri" w:cs="Times New Roman"/>
          <w:szCs w:val="22"/>
        </w:rPr>
      </w:pPr>
      <w:r>
        <w:rPr>
          <w:rFonts w:ascii="Calibri" w:eastAsia="Calibri" w:hAnsi="Calibri" w:cs="Times New Roman"/>
          <w:szCs w:val="22"/>
        </w:rPr>
        <w:t>Any</w:t>
      </w:r>
      <w:r w:rsidR="00662D52" w:rsidRPr="00662D52">
        <w:rPr>
          <w:rFonts w:ascii="Calibri" w:eastAsia="Calibri" w:hAnsi="Calibri" w:cs="Times New Roman"/>
          <w:szCs w:val="22"/>
        </w:rPr>
        <w:t xml:space="preserve"> future expansion on what concerns additional aspects to be considered,</w:t>
      </w:r>
      <w:r>
        <w:rPr>
          <w:rFonts w:ascii="Calibri" w:eastAsia="Calibri" w:hAnsi="Calibri" w:cs="Times New Roman"/>
          <w:szCs w:val="22"/>
        </w:rPr>
        <w:t xml:space="preserve"> should be done subject to the condition</w:t>
      </w:r>
      <w:r w:rsidR="00662D52" w:rsidRPr="00662D52">
        <w:rPr>
          <w:rFonts w:ascii="Calibri" w:eastAsia="Calibri" w:hAnsi="Calibri" w:cs="Times New Roman"/>
          <w:szCs w:val="22"/>
        </w:rPr>
        <w:t xml:space="preserve"> </w:t>
      </w:r>
      <w:r w:rsidR="00CB5321">
        <w:rPr>
          <w:rFonts w:ascii="Calibri" w:eastAsia="Calibri" w:hAnsi="Calibri" w:cs="Times New Roman"/>
          <w:szCs w:val="22"/>
        </w:rPr>
        <w:t xml:space="preserve">of the availability of </w:t>
      </w:r>
      <w:r w:rsidR="00662D52" w:rsidRPr="00662D52">
        <w:rPr>
          <w:rFonts w:ascii="Calibri" w:eastAsia="Calibri" w:hAnsi="Calibri" w:cs="Times New Roman"/>
          <w:szCs w:val="22"/>
        </w:rPr>
        <w:t>sufficient and reliable data.</w:t>
      </w:r>
    </w:p>
    <w:p w14:paraId="0A589328" w14:textId="3751937B"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_QUESTION_STS_SUST_9&gt;</w:t>
      </w:r>
    </w:p>
    <w:p w14:paraId="03120A53" w14:textId="77777777" w:rsidR="00931D41" w:rsidRPr="00931D41" w:rsidRDefault="00931D41" w:rsidP="00931D41">
      <w:pPr>
        <w:spacing w:after="160" w:line="259" w:lineRule="auto"/>
        <w:rPr>
          <w:rFonts w:ascii="Calibri" w:eastAsia="Calibri" w:hAnsi="Calibri" w:cs="Times New Roman"/>
          <w:szCs w:val="22"/>
        </w:rPr>
      </w:pPr>
    </w:p>
    <w:p w14:paraId="6622CCBF"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agree with applying the mandatory indicators for social and employee, respect for human rights, anti-corruption and anti-bribery matters to the manufacturer of the vehicle?</w:t>
      </w:r>
    </w:p>
    <w:p w14:paraId="3A01ABCC" w14:textId="77777777" w:rsidR="00B076B9" w:rsidRDefault="00B076B9" w:rsidP="00931D41">
      <w:pPr>
        <w:spacing w:after="160" w:line="259" w:lineRule="auto"/>
        <w:rPr>
          <w:rFonts w:ascii="Calibri" w:eastAsia="Calibri" w:hAnsi="Calibri" w:cs="Times New Roman"/>
          <w:szCs w:val="22"/>
        </w:rPr>
      </w:pPr>
    </w:p>
    <w:p w14:paraId="601596E0" w14:textId="0B759C8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_QUESTION_STS_SUST_10&gt;</w:t>
      </w:r>
    </w:p>
    <w:p w14:paraId="3795BE4C" w14:textId="60074226" w:rsidR="003D3019" w:rsidRPr="003D3019" w:rsidRDefault="003D3019" w:rsidP="003D3019">
      <w:pPr>
        <w:spacing w:after="160" w:line="259" w:lineRule="auto"/>
        <w:rPr>
          <w:rFonts w:ascii="Calibri" w:eastAsia="Calibri" w:hAnsi="Calibri" w:cs="Times New Roman"/>
          <w:szCs w:val="22"/>
        </w:rPr>
      </w:pPr>
      <w:r w:rsidRPr="003D3019">
        <w:rPr>
          <w:rFonts w:ascii="Calibri" w:eastAsia="Calibri" w:hAnsi="Calibri" w:cs="Times New Roman"/>
          <w:szCs w:val="22"/>
        </w:rPr>
        <w:t>Yes, we do agree to apply these indicators to the manufacturers</w:t>
      </w:r>
      <w:r w:rsidR="008A45E4">
        <w:rPr>
          <w:rFonts w:ascii="Calibri" w:eastAsia="Calibri" w:hAnsi="Calibri" w:cs="Times New Roman"/>
          <w:szCs w:val="22"/>
        </w:rPr>
        <w:t>, see also</w:t>
      </w:r>
      <w:r w:rsidRPr="003D3019">
        <w:rPr>
          <w:rFonts w:ascii="Calibri" w:eastAsia="Calibri" w:hAnsi="Calibri" w:cs="Times New Roman"/>
          <w:szCs w:val="22"/>
        </w:rPr>
        <w:t xml:space="preserve"> above our comment for non-auto captive lenders.</w:t>
      </w:r>
    </w:p>
    <w:p w14:paraId="06B245ED" w14:textId="77777777" w:rsidR="003D3019" w:rsidRPr="003D3019" w:rsidRDefault="003D3019" w:rsidP="003D3019">
      <w:pPr>
        <w:spacing w:after="160" w:line="259" w:lineRule="auto"/>
        <w:rPr>
          <w:rFonts w:ascii="Calibri" w:eastAsia="Calibri" w:hAnsi="Calibri" w:cs="Times New Roman"/>
          <w:szCs w:val="22"/>
        </w:rPr>
      </w:pPr>
      <w:r w:rsidRPr="003D3019">
        <w:rPr>
          <w:rFonts w:ascii="Calibri" w:eastAsia="Calibri" w:hAnsi="Calibri" w:cs="Times New Roman"/>
          <w:szCs w:val="22"/>
        </w:rPr>
        <w:t xml:space="preserve">We would agree with this indicator should it apply generally to the manufacturer of the vehicle (for new vehicles) (i.e., no additional disclosure specific to securitisation). </w:t>
      </w:r>
    </w:p>
    <w:p w14:paraId="00314030" w14:textId="6C3930FF" w:rsidR="003D3019" w:rsidRPr="003D3019" w:rsidRDefault="003D3019" w:rsidP="003D3019">
      <w:pPr>
        <w:spacing w:after="160" w:line="259" w:lineRule="auto"/>
        <w:rPr>
          <w:rFonts w:ascii="Calibri" w:eastAsia="Calibri" w:hAnsi="Calibri" w:cs="Times New Roman"/>
          <w:szCs w:val="22"/>
        </w:rPr>
      </w:pPr>
      <w:r w:rsidRPr="003D3019">
        <w:rPr>
          <w:rFonts w:ascii="Calibri" w:eastAsia="Calibri" w:hAnsi="Calibri" w:cs="Times New Roman"/>
          <w:szCs w:val="22"/>
        </w:rPr>
        <w:t xml:space="preserve">However, it could be very complicated for originators to collect such kind of information, essentially because originators do not necessarily have the information. </w:t>
      </w:r>
      <w:r w:rsidR="00EC4D7D" w:rsidRPr="00EC4D7D">
        <w:rPr>
          <w:rFonts w:ascii="Calibri" w:eastAsia="Calibri" w:hAnsi="Calibri" w:cs="Times New Roman"/>
          <w:szCs w:val="22"/>
        </w:rPr>
        <w:t xml:space="preserve">In this respect, a statement can only be made to the best of the originator's knowledge. In the case of vehicles produced by a manufacturer belonging to the same group as the originator, confirmation can be obtained directly from the manufacturer that the UN Global Compact principles of the OECD and the Guidelines for Multinationals have been complied with. In the case of third-party manufacturers, this confirmation may not be provided. The information should therefore be provided </w:t>
      </w:r>
      <w:proofErr w:type="gramStart"/>
      <w:r w:rsidR="00EC4D7D" w:rsidRPr="00EC4D7D">
        <w:rPr>
          <w:rFonts w:ascii="Calibri" w:eastAsia="Calibri" w:hAnsi="Calibri" w:cs="Times New Roman"/>
          <w:szCs w:val="22"/>
        </w:rPr>
        <w:t>on the basis of</w:t>
      </w:r>
      <w:proofErr w:type="gramEnd"/>
      <w:r w:rsidR="00EC4D7D" w:rsidRPr="00EC4D7D">
        <w:rPr>
          <w:rFonts w:ascii="Calibri" w:eastAsia="Calibri" w:hAnsi="Calibri" w:cs="Times New Roman"/>
          <w:szCs w:val="22"/>
        </w:rPr>
        <w:t xml:space="preserve"> the manufacturer's feedback, evaluating the sustainability report and press reports available in the originator's realm to the best of the originator's knowledge.</w:t>
      </w:r>
    </w:p>
    <w:p w14:paraId="5C70416C" w14:textId="15119B3C" w:rsidR="003D3019" w:rsidRDefault="003D3019" w:rsidP="003D3019">
      <w:pPr>
        <w:spacing w:after="160" w:line="259" w:lineRule="auto"/>
        <w:rPr>
          <w:rFonts w:ascii="Calibri" w:eastAsia="Calibri" w:hAnsi="Calibri" w:cs="Times New Roman"/>
          <w:szCs w:val="22"/>
        </w:rPr>
      </w:pPr>
      <w:r w:rsidRPr="003D3019">
        <w:rPr>
          <w:rFonts w:ascii="Calibri" w:eastAsia="Calibri" w:hAnsi="Calibri" w:cs="Times New Roman"/>
          <w:szCs w:val="22"/>
        </w:rPr>
        <w:t>For example, in the context of loans granted to finance the purchase of vehicles, notably second-hand vehicles</w:t>
      </w:r>
      <w:r w:rsidR="00D320CF">
        <w:rPr>
          <w:rFonts w:ascii="Calibri" w:eastAsia="Calibri" w:hAnsi="Calibri" w:cs="Times New Roman"/>
          <w:szCs w:val="22"/>
        </w:rPr>
        <w:t>, i</w:t>
      </w:r>
      <w:r w:rsidRPr="003D3019">
        <w:rPr>
          <w:rFonts w:ascii="Calibri" w:eastAsia="Calibri" w:hAnsi="Calibri" w:cs="Times New Roman"/>
          <w:szCs w:val="22"/>
        </w:rPr>
        <w:t xml:space="preserve">t is also possible that the manufacturers are not </w:t>
      </w:r>
      <w:proofErr w:type="gramStart"/>
      <w:r w:rsidRPr="003D3019">
        <w:rPr>
          <w:rFonts w:ascii="Calibri" w:eastAsia="Calibri" w:hAnsi="Calibri" w:cs="Times New Roman"/>
          <w:szCs w:val="22"/>
        </w:rPr>
        <w:t>in a position</w:t>
      </w:r>
      <w:proofErr w:type="gramEnd"/>
      <w:r w:rsidRPr="003D3019">
        <w:rPr>
          <w:rFonts w:ascii="Calibri" w:eastAsia="Calibri" w:hAnsi="Calibri" w:cs="Times New Roman"/>
          <w:szCs w:val="22"/>
        </w:rPr>
        <w:t xml:space="preserve"> to provide such information. Numerous manufacturers are not subject to the jurisdiction of EU Member States and thus are not bound by this regulation, while we would be clearly relying on them to comply with such criteria. In that occurrence, it would be difficult to force them to comply with and provide the required information. It would be very likely detrimental both for the originators (not in a position to provide the information) and for the clients (if we were giving-up the financing of the purchase of the vehicles</w:t>
      </w:r>
      <w:r>
        <w:rPr>
          <w:rFonts w:ascii="Calibri" w:eastAsia="Calibri" w:hAnsi="Calibri" w:cs="Times New Roman"/>
          <w:szCs w:val="22"/>
        </w:rPr>
        <w:t>.</w:t>
      </w:r>
    </w:p>
    <w:p w14:paraId="1F94D06B" w14:textId="7B1356AC" w:rsidR="00EC4D7D" w:rsidRDefault="00EC4D7D" w:rsidP="003D3019">
      <w:pPr>
        <w:spacing w:after="160" w:line="259" w:lineRule="auto"/>
        <w:rPr>
          <w:rFonts w:ascii="Calibri" w:eastAsia="Calibri" w:hAnsi="Calibri" w:cs="Times New Roman"/>
          <w:szCs w:val="22"/>
        </w:rPr>
      </w:pPr>
      <w:r w:rsidRPr="00EC4D7D">
        <w:rPr>
          <w:rFonts w:ascii="Calibri" w:eastAsia="Calibri" w:hAnsi="Calibri" w:cs="Times New Roman"/>
          <w:szCs w:val="22"/>
        </w:rPr>
        <w:lastRenderedPageBreak/>
        <w:t xml:space="preserve">In addition, violations of the above principles and guidelines may only relate to certain operating sites of a brand manufacturer in a particular country, so that only some of the vehicles produced are affected by the violations.  In this respect, the violations should then also only relate to vehicles in the production of which the principles and guidelines have not been complied </w:t>
      </w:r>
      <w:proofErr w:type="gramStart"/>
      <w:r w:rsidRPr="00EC4D7D">
        <w:rPr>
          <w:rFonts w:ascii="Calibri" w:eastAsia="Calibri" w:hAnsi="Calibri" w:cs="Times New Roman"/>
          <w:szCs w:val="22"/>
        </w:rPr>
        <w:t>with, if</w:t>
      </w:r>
      <w:proofErr w:type="gramEnd"/>
      <w:r w:rsidRPr="00EC4D7D">
        <w:rPr>
          <w:rFonts w:ascii="Calibri" w:eastAsia="Calibri" w:hAnsi="Calibri" w:cs="Times New Roman"/>
          <w:szCs w:val="22"/>
        </w:rPr>
        <w:t xml:space="preserve"> it is possible to separate the affected cars.</w:t>
      </w:r>
    </w:p>
    <w:p w14:paraId="2BB81B4E" w14:textId="1B9C763A" w:rsidR="00931D41" w:rsidRPr="00931D41" w:rsidRDefault="00931D41" w:rsidP="003D3019">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_QUESTION_STS_SUST_10&gt;</w:t>
      </w:r>
    </w:p>
    <w:p w14:paraId="50FC56A0" w14:textId="77777777" w:rsidR="00931D41" w:rsidRPr="00931D41" w:rsidRDefault="00931D41" w:rsidP="00931D41">
      <w:pPr>
        <w:spacing w:after="160" w:line="259" w:lineRule="auto"/>
        <w:rPr>
          <w:rFonts w:ascii="Calibri" w:eastAsia="Calibri" w:hAnsi="Calibri" w:cs="Times New Roman"/>
          <w:szCs w:val="22"/>
        </w:rPr>
      </w:pPr>
    </w:p>
    <w:p w14:paraId="7B94296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Do you propose to add any additional specific indicators for this asset class?</w:t>
      </w:r>
    </w:p>
    <w:p w14:paraId="47DD38A6" w14:textId="77777777" w:rsidR="00B076B9" w:rsidRDefault="00B076B9" w:rsidP="00931D41">
      <w:pPr>
        <w:spacing w:after="160" w:line="259" w:lineRule="auto"/>
        <w:rPr>
          <w:rFonts w:ascii="Calibri" w:eastAsia="Calibri" w:hAnsi="Calibri" w:cs="Times New Roman"/>
          <w:szCs w:val="22"/>
        </w:rPr>
      </w:pPr>
    </w:p>
    <w:p w14:paraId="7E05B9EB" w14:textId="6D288E05"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_QUESTION_STS_SUST_11&gt;</w:t>
      </w:r>
    </w:p>
    <w:p w14:paraId="7FCE7A56" w14:textId="77777777" w:rsidR="00EC4D7D" w:rsidRPr="00EC4D7D" w:rsidRDefault="00EC4D7D" w:rsidP="00EC4D7D">
      <w:pPr>
        <w:spacing w:after="160" w:line="259" w:lineRule="auto"/>
        <w:rPr>
          <w:rFonts w:ascii="Calibri" w:eastAsia="Calibri" w:hAnsi="Calibri" w:cs="Times New Roman"/>
          <w:szCs w:val="22"/>
        </w:rPr>
      </w:pPr>
      <w:r w:rsidRPr="00EC4D7D">
        <w:rPr>
          <w:rFonts w:ascii="Calibri" w:eastAsia="Calibri" w:hAnsi="Calibri" w:cs="Times New Roman"/>
          <w:szCs w:val="22"/>
        </w:rPr>
        <w:t xml:space="preserve">Yes, we propose to report the share of e-vehicles and hybrid-vehicles in the securitised portfolios. This is more meaningful than to report about targets and limit for C02 and air pollutants that virtually only e-vehicles and hybrid vehicles can fulfil. </w:t>
      </w:r>
    </w:p>
    <w:p w14:paraId="59007CD6" w14:textId="55F7A354" w:rsidR="00931D41" w:rsidRPr="00931D41" w:rsidRDefault="00EC4D7D" w:rsidP="00931D41">
      <w:pPr>
        <w:spacing w:after="160" w:line="259" w:lineRule="auto"/>
        <w:rPr>
          <w:rFonts w:ascii="Calibri" w:eastAsia="Calibri" w:hAnsi="Calibri" w:cs="Times New Roman"/>
          <w:szCs w:val="22"/>
        </w:rPr>
      </w:pPr>
      <w:r w:rsidRPr="00EC4D7D">
        <w:rPr>
          <w:rFonts w:ascii="Calibri" w:eastAsia="Calibri" w:hAnsi="Calibri" w:cs="Times New Roman"/>
          <w:szCs w:val="22"/>
        </w:rPr>
        <w:t xml:space="preserve">In addition, we propose to report available average C02-emissions of vehicles in g/km C02 to give an indication for investors that enable them to gauge and determine the CO2 intensity of their investment.   </w:t>
      </w:r>
      <w:r w:rsidR="00931D41" w:rsidRPr="00931D41">
        <w:rPr>
          <w:rFonts w:ascii="Calibri" w:eastAsia="Calibri" w:hAnsi="Calibri" w:cs="Times New Roman"/>
          <w:szCs w:val="22"/>
        </w:rPr>
        <w:t>&lt;</w:t>
      </w:r>
      <w:r w:rsidR="00931D41">
        <w:rPr>
          <w:rFonts w:ascii="Calibri" w:eastAsia="Calibri" w:hAnsi="Calibri" w:cs="Times New Roman"/>
          <w:szCs w:val="22"/>
        </w:rPr>
        <w:t>ESA</w:t>
      </w:r>
      <w:r w:rsidR="00931D41" w:rsidRPr="00931D41">
        <w:rPr>
          <w:rFonts w:ascii="Calibri" w:eastAsia="Calibri" w:hAnsi="Calibri" w:cs="Times New Roman"/>
          <w:szCs w:val="22"/>
        </w:rPr>
        <w:t>_QUESTION_STS_SUST_11&gt;</w:t>
      </w:r>
    </w:p>
    <w:p w14:paraId="02C1F69C" w14:textId="77777777" w:rsidR="00931D41" w:rsidRPr="00931D41" w:rsidRDefault="00931D41" w:rsidP="00931D41">
      <w:pPr>
        <w:spacing w:after="160" w:line="259" w:lineRule="auto"/>
        <w:rPr>
          <w:rFonts w:ascii="Calibri" w:eastAsia="Calibri" w:hAnsi="Calibri" w:cs="Times New Roman"/>
          <w:szCs w:val="22"/>
        </w:rPr>
      </w:pPr>
    </w:p>
    <w:p w14:paraId="661E827B"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agree with using the SFDR real estate PAI indicators for commercial real estate securitisation?</w:t>
      </w:r>
    </w:p>
    <w:p w14:paraId="42A7A10E" w14:textId="77777777" w:rsidR="00931D41" w:rsidRDefault="00931D41" w:rsidP="00931D41">
      <w:pPr>
        <w:spacing w:after="160" w:line="259" w:lineRule="auto"/>
        <w:rPr>
          <w:rFonts w:ascii="Calibri" w:eastAsia="Calibri" w:hAnsi="Calibri" w:cs="Times New Roman"/>
          <w:szCs w:val="22"/>
        </w:rPr>
      </w:pPr>
    </w:p>
    <w:p w14:paraId="3B809149" w14:textId="02424041"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_QUESTION_STS_SUST_12&gt;</w:t>
      </w:r>
    </w:p>
    <w:p w14:paraId="77002377" w14:textId="6ED87563" w:rsidR="004865F9" w:rsidRDefault="004865F9" w:rsidP="00931D41">
      <w:pPr>
        <w:spacing w:after="160" w:line="259" w:lineRule="auto"/>
        <w:rPr>
          <w:rFonts w:ascii="Calibri" w:eastAsia="Calibri" w:hAnsi="Calibri" w:cs="Times New Roman"/>
          <w:szCs w:val="22"/>
        </w:rPr>
      </w:pPr>
      <w:r w:rsidRPr="004865F9">
        <w:rPr>
          <w:rFonts w:ascii="Calibri" w:eastAsia="Calibri" w:hAnsi="Calibri" w:cs="Times New Roman"/>
          <w:szCs w:val="22"/>
        </w:rPr>
        <w:t>Yes, to the extent originators are financial market participants under SFDR they should disclose that information in respect of securitisations they originate</w:t>
      </w:r>
      <w:r w:rsidR="00B8284C">
        <w:rPr>
          <w:rFonts w:ascii="Calibri" w:eastAsia="Calibri" w:hAnsi="Calibri" w:cs="Times New Roman"/>
          <w:szCs w:val="22"/>
        </w:rPr>
        <w:t>, also under the condition that this information is available</w:t>
      </w:r>
      <w:r w:rsidR="0091038B">
        <w:rPr>
          <w:rFonts w:ascii="Calibri" w:eastAsia="Calibri" w:hAnsi="Calibri" w:cs="Times New Roman"/>
          <w:szCs w:val="22"/>
        </w:rPr>
        <w:t xml:space="preserve"> (which may not be the case for all originators)</w:t>
      </w:r>
      <w:r w:rsidRPr="004865F9">
        <w:rPr>
          <w:rFonts w:ascii="Calibri" w:eastAsia="Calibri" w:hAnsi="Calibri" w:cs="Times New Roman"/>
          <w:szCs w:val="22"/>
        </w:rPr>
        <w:t>.</w:t>
      </w:r>
    </w:p>
    <w:p w14:paraId="4DB3EAD8" w14:textId="37ACB09C"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_QUESTION_STS_SUST_12&gt;</w:t>
      </w:r>
    </w:p>
    <w:p w14:paraId="0A452C99" w14:textId="77777777" w:rsidR="00931D41" w:rsidRPr="00931D41" w:rsidRDefault="00931D41" w:rsidP="00931D41">
      <w:pPr>
        <w:spacing w:after="160" w:line="259" w:lineRule="auto"/>
        <w:rPr>
          <w:rFonts w:ascii="Calibri" w:eastAsia="Calibri" w:hAnsi="Calibri" w:cs="Times New Roman"/>
          <w:szCs w:val="22"/>
        </w:rPr>
      </w:pPr>
    </w:p>
    <w:p w14:paraId="1ACCB20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Would you consider it useful to provide originators of </w:t>
      </w:r>
      <w:proofErr w:type="spellStart"/>
      <w:r w:rsidRPr="00931D41">
        <w:rPr>
          <w:rFonts w:ascii="Arial" w:eastAsia="Times New Roman" w:hAnsi="Arial" w:cs="Arial"/>
          <w:b/>
          <w:szCs w:val="22"/>
          <w:lang w:val="en-US"/>
        </w:rPr>
        <w:t>securitisations</w:t>
      </w:r>
      <w:proofErr w:type="spellEnd"/>
      <w:r w:rsidRPr="00931D41">
        <w:rPr>
          <w:rFonts w:ascii="Arial" w:eastAsia="Times New Roman" w:hAnsi="Arial" w:cs="Arial"/>
          <w:b/>
          <w:szCs w:val="22"/>
          <w:lang w:val="en-US"/>
        </w:rPr>
        <w:t xml:space="preserve"> consisting of corporate debt including trade receivables a template to disclose </w:t>
      </w:r>
      <w:proofErr w:type="spellStart"/>
      <w:r w:rsidRPr="00931D41">
        <w:rPr>
          <w:rFonts w:ascii="Arial" w:eastAsia="Times New Roman" w:hAnsi="Arial" w:cs="Arial"/>
          <w:b/>
          <w:szCs w:val="22"/>
          <w:lang w:val="en-US"/>
        </w:rPr>
        <w:t>standardised</w:t>
      </w:r>
      <w:proofErr w:type="spellEnd"/>
      <w:r w:rsidRPr="00931D41">
        <w:rPr>
          <w:rFonts w:ascii="Arial" w:eastAsia="Times New Roman" w:hAnsi="Arial" w:cs="Arial"/>
          <w:b/>
          <w:szCs w:val="22"/>
          <w:lang w:val="en-US"/>
        </w:rPr>
        <w:t xml:space="preserve"> information on principal adverse impacts on sustainability factors?</w:t>
      </w:r>
    </w:p>
    <w:p w14:paraId="5F423383" w14:textId="77777777" w:rsidR="00931D41" w:rsidRDefault="00931D41" w:rsidP="00931D41">
      <w:pPr>
        <w:spacing w:after="160" w:line="259" w:lineRule="auto"/>
        <w:rPr>
          <w:rFonts w:ascii="Calibri" w:eastAsia="Calibri" w:hAnsi="Calibri" w:cs="Times New Roman"/>
          <w:szCs w:val="22"/>
        </w:rPr>
      </w:pPr>
    </w:p>
    <w:p w14:paraId="39D6F5E9" w14:textId="33DA7834"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_QUESTION_STS_SUST_13&gt;</w:t>
      </w:r>
    </w:p>
    <w:p w14:paraId="6B8A231C" w14:textId="351E213D" w:rsidR="00EB79D7" w:rsidRPr="00EB79D7" w:rsidRDefault="00EB79D7" w:rsidP="00EB79D7">
      <w:pPr>
        <w:spacing w:after="160" w:line="259" w:lineRule="auto"/>
        <w:rPr>
          <w:rFonts w:ascii="Calibri" w:eastAsia="Calibri" w:hAnsi="Calibri" w:cs="Times New Roman"/>
          <w:szCs w:val="22"/>
        </w:rPr>
      </w:pPr>
      <w:r w:rsidRPr="00EB79D7">
        <w:rPr>
          <w:rFonts w:ascii="Calibri" w:eastAsia="Calibri" w:hAnsi="Calibri" w:cs="Times New Roman"/>
          <w:szCs w:val="22"/>
        </w:rPr>
        <w:t>It would be too early at this stage.</w:t>
      </w:r>
      <w:r w:rsidR="00665B75">
        <w:rPr>
          <w:rFonts w:ascii="Calibri" w:eastAsia="Calibri" w:hAnsi="Calibri" w:cs="Times New Roman"/>
          <w:szCs w:val="22"/>
        </w:rPr>
        <w:t xml:space="preserve"> </w:t>
      </w:r>
      <w:r w:rsidRPr="00EB79D7">
        <w:rPr>
          <w:rFonts w:ascii="Calibri" w:eastAsia="Calibri" w:hAnsi="Calibri" w:cs="Times New Roman"/>
          <w:szCs w:val="22"/>
        </w:rPr>
        <w:t>It would also be overly prescriptive and burdensome.</w:t>
      </w:r>
    </w:p>
    <w:p w14:paraId="1D934CA8" w14:textId="072B5D81" w:rsidR="00EB79D7" w:rsidRDefault="00277787" w:rsidP="00EB79D7">
      <w:pPr>
        <w:spacing w:after="160" w:line="259" w:lineRule="auto"/>
        <w:rPr>
          <w:rFonts w:ascii="Calibri" w:eastAsia="Calibri" w:hAnsi="Calibri" w:cs="Times New Roman"/>
          <w:szCs w:val="22"/>
        </w:rPr>
      </w:pPr>
      <w:r>
        <w:rPr>
          <w:rFonts w:ascii="Calibri" w:eastAsia="Calibri" w:hAnsi="Calibri" w:cs="Times New Roman"/>
          <w:szCs w:val="22"/>
        </w:rPr>
        <w:t>The t</w:t>
      </w:r>
      <w:r w:rsidR="00EB79D7" w:rsidRPr="00EB79D7">
        <w:rPr>
          <w:rFonts w:ascii="Calibri" w:eastAsia="Calibri" w:hAnsi="Calibri" w:cs="Times New Roman"/>
          <w:szCs w:val="22"/>
        </w:rPr>
        <w:t>rade receivables market is very large and include</w:t>
      </w:r>
      <w:r w:rsidR="001978C7">
        <w:rPr>
          <w:rFonts w:ascii="Calibri" w:eastAsia="Calibri" w:hAnsi="Calibri" w:cs="Times New Roman"/>
          <w:szCs w:val="22"/>
        </w:rPr>
        <w:t>s many</w:t>
      </w:r>
      <w:r w:rsidR="00EB79D7" w:rsidRPr="00EB79D7">
        <w:rPr>
          <w:rFonts w:ascii="Calibri" w:eastAsia="Calibri" w:hAnsi="Calibri" w:cs="Times New Roman"/>
          <w:szCs w:val="22"/>
        </w:rPr>
        <w:t xml:space="preserve"> economic stakeholders (with originators </w:t>
      </w:r>
      <w:r w:rsidR="002307D9">
        <w:rPr>
          <w:rFonts w:ascii="Calibri" w:eastAsia="Calibri" w:hAnsi="Calibri" w:cs="Times New Roman"/>
          <w:szCs w:val="22"/>
        </w:rPr>
        <w:t xml:space="preserve">ranging </w:t>
      </w:r>
      <w:r w:rsidR="00EB79D7" w:rsidRPr="00EB79D7">
        <w:rPr>
          <w:rFonts w:ascii="Calibri" w:eastAsia="Calibri" w:hAnsi="Calibri" w:cs="Times New Roman"/>
          <w:szCs w:val="22"/>
        </w:rPr>
        <w:t xml:space="preserve">from SMEs up to the big multinational corporates). This decision will have to be taken in close cooperation with </w:t>
      </w:r>
      <w:r w:rsidR="00EA158B">
        <w:rPr>
          <w:rFonts w:ascii="Calibri" w:eastAsia="Calibri" w:hAnsi="Calibri" w:cs="Times New Roman"/>
          <w:szCs w:val="22"/>
        </w:rPr>
        <w:t>the originators</w:t>
      </w:r>
      <w:r w:rsidR="00EB79D7" w:rsidRPr="00EB79D7">
        <w:rPr>
          <w:rFonts w:ascii="Calibri" w:eastAsia="Calibri" w:hAnsi="Calibri" w:cs="Times New Roman"/>
          <w:szCs w:val="22"/>
        </w:rPr>
        <w:t xml:space="preserve"> as they will have to provide this information. Therefore, this issue must be dealt separately and at a later stage.  </w:t>
      </w:r>
    </w:p>
    <w:p w14:paraId="79B4BDAA" w14:textId="09BFC91E" w:rsidR="00931D41" w:rsidRDefault="00931D41" w:rsidP="00EB79D7">
      <w:pPr>
        <w:spacing w:after="160" w:line="259" w:lineRule="auto"/>
        <w:rPr>
          <w:rFonts w:ascii="Calibri" w:eastAsia="Calibri" w:hAnsi="Calibri" w:cs="Times New Roman"/>
          <w:szCs w:val="22"/>
        </w:rPr>
      </w:pPr>
      <w:r w:rsidRPr="00931D41">
        <w:rPr>
          <w:rFonts w:ascii="Calibri" w:eastAsia="Calibri" w:hAnsi="Calibri" w:cs="Times New Roman"/>
          <w:szCs w:val="22"/>
        </w:rPr>
        <w:lastRenderedPageBreak/>
        <w:t>&lt;</w:t>
      </w:r>
      <w:r>
        <w:rPr>
          <w:rFonts w:ascii="Calibri" w:eastAsia="Calibri" w:hAnsi="Calibri" w:cs="Times New Roman"/>
          <w:szCs w:val="22"/>
        </w:rPr>
        <w:t>ESA</w:t>
      </w:r>
      <w:r w:rsidRPr="00931D41">
        <w:rPr>
          <w:rFonts w:ascii="Calibri" w:eastAsia="Calibri" w:hAnsi="Calibri" w:cs="Times New Roman"/>
          <w:szCs w:val="22"/>
        </w:rPr>
        <w:t>_QUESTION_STS_SUST_13&gt;</w:t>
      </w:r>
    </w:p>
    <w:p w14:paraId="25DD2044" w14:textId="77777777" w:rsidR="002F54E6" w:rsidRPr="00931D41" w:rsidRDefault="002F54E6" w:rsidP="00931D41">
      <w:pPr>
        <w:spacing w:after="160" w:line="259" w:lineRule="auto"/>
        <w:rPr>
          <w:rFonts w:ascii="Calibri" w:eastAsia="Calibri" w:hAnsi="Calibri" w:cs="Times New Roman"/>
          <w:szCs w:val="22"/>
        </w:rPr>
      </w:pPr>
    </w:p>
    <w:p w14:paraId="2F2B8DC5"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agree with applying the draft SFDR RTS PAI indicators to exposures to corporates?</w:t>
      </w:r>
    </w:p>
    <w:p w14:paraId="025C6A27" w14:textId="77777777" w:rsidR="00931D41" w:rsidRDefault="00931D41" w:rsidP="00931D41">
      <w:pPr>
        <w:spacing w:after="160" w:line="259" w:lineRule="auto"/>
        <w:rPr>
          <w:rFonts w:ascii="Calibri" w:eastAsia="Calibri" w:hAnsi="Calibri" w:cs="Times New Roman"/>
          <w:szCs w:val="22"/>
        </w:rPr>
      </w:pPr>
    </w:p>
    <w:p w14:paraId="34EA99D4" w14:textId="09BF1384"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_QUESTION_STS_SUST_14&gt;</w:t>
      </w:r>
    </w:p>
    <w:p w14:paraId="63259B37" w14:textId="0B704463" w:rsidR="00E52A78" w:rsidRDefault="002212C8" w:rsidP="007D021D">
      <w:pPr>
        <w:spacing w:after="160" w:line="259" w:lineRule="auto"/>
        <w:rPr>
          <w:rFonts w:ascii="Calibri" w:eastAsia="Calibri" w:hAnsi="Calibri" w:cs="Times New Roman"/>
          <w:szCs w:val="22"/>
        </w:rPr>
      </w:pPr>
      <w:r w:rsidRPr="002212C8">
        <w:rPr>
          <w:rFonts w:ascii="Calibri" w:eastAsia="Calibri" w:hAnsi="Calibri" w:cs="Times New Roman"/>
          <w:szCs w:val="22"/>
        </w:rPr>
        <w:t xml:space="preserve">Yes - provided the originator is a financial market participant in scope of the relevant SFDR RTS disclosure obligations. </w:t>
      </w:r>
      <w:r w:rsidR="007D021D">
        <w:rPr>
          <w:rFonts w:ascii="Calibri" w:eastAsia="Calibri" w:hAnsi="Calibri" w:cs="Times New Roman"/>
          <w:szCs w:val="22"/>
        </w:rPr>
        <w:t>However, the</w:t>
      </w:r>
      <w:r w:rsidR="007D021D" w:rsidRPr="007D021D">
        <w:rPr>
          <w:rFonts w:ascii="Calibri" w:eastAsia="Calibri" w:hAnsi="Calibri" w:cs="Times New Roman"/>
          <w:szCs w:val="22"/>
        </w:rPr>
        <w:t xml:space="preserve"> requirement </w:t>
      </w:r>
      <w:r w:rsidR="007D021D">
        <w:rPr>
          <w:rFonts w:ascii="Calibri" w:eastAsia="Calibri" w:hAnsi="Calibri" w:cs="Times New Roman"/>
          <w:szCs w:val="22"/>
        </w:rPr>
        <w:t>sh</w:t>
      </w:r>
      <w:r w:rsidR="007D021D" w:rsidRPr="007D021D">
        <w:rPr>
          <w:rFonts w:ascii="Calibri" w:eastAsia="Calibri" w:hAnsi="Calibri" w:cs="Times New Roman"/>
          <w:szCs w:val="22"/>
        </w:rPr>
        <w:t>ould not be on top of what would already be provided under the SFDR.</w:t>
      </w:r>
      <w:r w:rsidR="00E52A78">
        <w:rPr>
          <w:rFonts w:ascii="Calibri" w:eastAsia="Calibri" w:hAnsi="Calibri" w:cs="Times New Roman"/>
          <w:szCs w:val="22"/>
        </w:rPr>
        <w:t xml:space="preserve"> </w:t>
      </w:r>
      <w:r w:rsidR="007D021D" w:rsidRPr="007D021D">
        <w:rPr>
          <w:rFonts w:ascii="Calibri" w:eastAsia="Calibri" w:hAnsi="Calibri" w:cs="Times New Roman"/>
          <w:szCs w:val="22"/>
        </w:rPr>
        <w:t>However, we consider that the scope is not fixed at this stage since CSRD will not be fully applicable before 2024/2025 and is still in under negotiation. Besides, ESG disclosures should be standardised, as simple as possible and harmonised.</w:t>
      </w:r>
      <w:r w:rsidR="00B012AC">
        <w:rPr>
          <w:rFonts w:ascii="Calibri" w:eastAsia="Calibri" w:hAnsi="Calibri" w:cs="Times New Roman"/>
          <w:szCs w:val="22"/>
        </w:rPr>
        <w:t xml:space="preserve"> </w:t>
      </w:r>
      <w:r w:rsidR="007D021D" w:rsidRPr="007D021D">
        <w:rPr>
          <w:rFonts w:ascii="Calibri" w:eastAsia="Calibri" w:hAnsi="Calibri" w:cs="Times New Roman"/>
          <w:szCs w:val="22"/>
        </w:rPr>
        <w:t>Therefore, we should avoid having discrepancy between SFDR and the future CSRD</w:t>
      </w:r>
      <w:r w:rsidR="00E52A78">
        <w:rPr>
          <w:rFonts w:ascii="Calibri" w:eastAsia="Calibri" w:hAnsi="Calibri" w:cs="Times New Roman"/>
          <w:szCs w:val="22"/>
        </w:rPr>
        <w:t>.</w:t>
      </w:r>
    </w:p>
    <w:p w14:paraId="015CDA75" w14:textId="1F643A84" w:rsidR="00931D41" w:rsidRPr="00931D41" w:rsidRDefault="00931D41" w:rsidP="007D021D">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_QUESTION_STS_SUST_14&gt;</w:t>
      </w:r>
    </w:p>
    <w:p w14:paraId="6235697B" w14:textId="77777777" w:rsidR="00931D41" w:rsidRPr="00931D41" w:rsidRDefault="00931D41" w:rsidP="00931D41">
      <w:pPr>
        <w:spacing w:after="160" w:line="259" w:lineRule="auto"/>
        <w:rPr>
          <w:rFonts w:ascii="Calibri" w:eastAsia="Calibri" w:hAnsi="Calibri" w:cs="Times New Roman"/>
          <w:szCs w:val="22"/>
        </w:rPr>
      </w:pPr>
    </w:p>
    <w:p w14:paraId="361C8F9E"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Would you agree with applying the proposed application of the same draft SFDR RTS PAIs focusing on the seller in the case of securitisation consisting of trade receivables? </w:t>
      </w:r>
    </w:p>
    <w:p w14:paraId="1675278D" w14:textId="77777777" w:rsidR="00B076B9" w:rsidRDefault="00B076B9" w:rsidP="00931D41">
      <w:pPr>
        <w:spacing w:after="160" w:line="259" w:lineRule="auto"/>
        <w:rPr>
          <w:rFonts w:ascii="Calibri" w:eastAsia="Calibri" w:hAnsi="Calibri" w:cs="Times New Roman"/>
          <w:szCs w:val="22"/>
        </w:rPr>
      </w:pPr>
    </w:p>
    <w:p w14:paraId="00BE6FFA" w14:textId="0E8B70DB"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_QUESTION_STS_SUST_15&gt;</w:t>
      </w:r>
    </w:p>
    <w:p w14:paraId="083F0E38" w14:textId="3ECA0678" w:rsidR="00C9496C" w:rsidRDefault="00A3424C" w:rsidP="00931D41">
      <w:pPr>
        <w:spacing w:after="160" w:line="259" w:lineRule="auto"/>
        <w:rPr>
          <w:rFonts w:ascii="Calibri" w:eastAsia="Calibri" w:hAnsi="Calibri" w:cs="Times New Roman"/>
          <w:szCs w:val="22"/>
        </w:rPr>
      </w:pPr>
      <w:r>
        <w:rPr>
          <w:rFonts w:ascii="Calibri" w:eastAsia="Calibri" w:hAnsi="Calibri" w:cs="Times New Roman"/>
          <w:szCs w:val="22"/>
        </w:rPr>
        <w:t>We do not agree.</w:t>
      </w:r>
    </w:p>
    <w:p w14:paraId="6C75E4BF" w14:textId="590AA3E9"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_QUESTION_STS_SUST_15&gt;</w:t>
      </w:r>
    </w:p>
    <w:p w14:paraId="01D56685" w14:textId="77777777" w:rsidR="00931D41" w:rsidRPr="00931D41" w:rsidRDefault="00931D41" w:rsidP="00931D41">
      <w:pPr>
        <w:spacing w:after="160" w:line="259" w:lineRule="auto"/>
        <w:rPr>
          <w:rFonts w:ascii="Calibri" w:eastAsia="Calibri" w:hAnsi="Calibri" w:cs="Times New Roman"/>
          <w:szCs w:val="22"/>
        </w:rPr>
      </w:pPr>
    </w:p>
    <w:p w14:paraId="72CAA034"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Would you agree with adopting the proposed proportionate approach to SME loan?</w:t>
      </w:r>
    </w:p>
    <w:p w14:paraId="596FA5FB" w14:textId="77777777" w:rsidR="00931D41" w:rsidRDefault="00931D41" w:rsidP="00931D41">
      <w:pPr>
        <w:spacing w:after="160" w:line="259" w:lineRule="auto"/>
        <w:rPr>
          <w:rFonts w:ascii="Calibri" w:eastAsia="Calibri" w:hAnsi="Calibri" w:cs="Times New Roman"/>
          <w:szCs w:val="22"/>
        </w:rPr>
      </w:pPr>
    </w:p>
    <w:p w14:paraId="6270EB51" w14:textId="2E60FA50"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_QUESTION_STS_SUST_16&gt;</w:t>
      </w:r>
    </w:p>
    <w:p w14:paraId="0CD75468" w14:textId="77777777" w:rsidR="006C5900" w:rsidRPr="006C5900" w:rsidRDefault="006C5900" w:rsidP="006C5900">
      <w:pPr>
        <w:spacing w:after="160" w:line="259" w:lineRule="auto"/>
        <w:rPr>
          <w:rFonts w:ascii="Calibri" w:eastAsia="Calibri" w:hAnsi="Calibri" w:cs="Times New Roman"/>
          <w:szCs w:val="22"/>
        </w:rPr>
      </w:pPr>
      <w:r w:rsidRPr="006C5900">
        <w:rPr>
          <w:rFonts w:ascii="Calibri" w:eastAsia="Calibri" w:hAnsi="Calibri" w:cs="Times New Roman"/>
          <w:szCs w:val="22"/>
        </w:rPr>
        <w:t xml:space="preserve">We believe that this proportionate approach is relevant with regards to SME loans (subject to the information being available - which might be practically difficult for SMEs). </w:t>
      </w:r>
    </w:p>
    <w:p w14:paraId="252C5ACA" w14:textId="77777777" w:rsidR="007F1DEC" w:rsidRDefault="006C5900" w:rsidP="006C5900">
      <w:pPr>
        <w:spacing w:after="160" w:line="259" w:lineRule="auto"/>
        <w:rPr>
          <w:rFonts w:ascii="Calibri" w:eastAsia="Calibri" w:hAnsi="Calibri" w:cs="Times New Roman"/>
          <w:szCs w:val="22"/>
        </w:rPr>
      </w:pPr>
      <w:r w:rsidRPr="006C5900">
        <w:rPr>
          <w:rFonts w:ascii="Calibri" w:eastAsia="Calibri" w:hAnsi="Calibri" w:cs="Times New Roman"/>
          <w:szCs w:val="22"/>
        </w:rPr>
        <w:t>In any case, this should be aligned with the required information in Pillar 3, also in terms of calendar, including phase-in period to allow the SME to also adapt to the new requirements and reporting.</w:t>
      </w:r>
    </w:p>
    <w:p w14:paraId="2B3E708F" w14:textId="30DCE43A" w:rsidR="00931D41" w:rsidRPr="00931D41" w:rsidRDefault="00931D41" w:rsidP="006C5900">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_QUESTION_STS_SUST_16&gt;</w:t>
      </w:r>
    </w:p>
    <w:p w14:paraId="1570EA01" w14:textId="77777777" w:rsidR="00931D41" w:rsidRPr="00931D41" w:rsidRDefault="00931D41" w:rsidP="00931D41">
      <w:pPr>
        <w:spacing w:after="160" w:line="259" w:lineRule="auto"/>
        <w:rPr>
          <w:rFonts w:ascii="Calibri" w:eastAsia="Calibri" w:hAnsi="Calibri" w:cs="Times New Roman"/>
          <w:szCs w:val="22"/>
        </w:rPr>
      </w:pPr>
    </w:p>
    <w:p w14:paraId="27CDE9D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Would you propose to add any additional specific indicators for these three types of </w:t>
      </w:r>
      <w:proofErr w:type="gramStart"/>
      <w:r w:rsidRPr="00931D41">
        <w:rPr>
          <w:rFonts w:ascii="Arial" w:eastAsia="Times New Roman" w:hAnsi="Arial" w:cs="Arial"/>
          <w:b/>
          <w:szCs w:val="22"/>
          <w:lang w:val="en-US"/>
        </w:rPr>
        <w:t>securitisation</w:t>
      </w:r>
      <w:proofErr w:type="gramEnd"/>
      <w:r w:rsidRPr="00931D41">
        <w:rPr>
          <w:rFonts w:ascii="Arial" w:eastAsia="Times New Roman" w:hAnsi="Arial" w:cs="Arial"/>
          <w:b/>
          <w:szCs w:val="22"/>
          <w:lang w:val="en-US"/>
        </w:rPr>
        <w:t>?</w:t>
      </w:r>
    </w:p>
    <w:p w14:paraId="42854A98" w14:textId="77777777" w:rsidR="00B076B9" w:rsidRDefault="00B076B9" w:rsidP="00931D41">
      <w:pPr>
        <w:spacing w:after="160" w:line="259" w:lineRule="auto"/>
        <w:rPr>
          <w:rFonts w:ascii="Calibri" w:eastAsia="Calibri" w:hAnsi="Calibri" w:cs="Times New Roman"/>
          <w:szCs w:val="22"/>
        </w:rPr>
      </w:pPr>
    </w:p>
    <w:p w14:paraId="21912098" w14:textId="0447689F"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_QUESTION_STS_SUST_17&gt;</w:t>
      </w:r>
    </w:p>
    <w:p w14:paraId="08409B9F" w14:textId="77777777" w:rsidR="007214E7" w:rsidRDefault="007214E7" w:rsidP="00931D41">
      <w:pPr>
        <w:spacing w:after="160" w:line="259" w:lineRule="auto"/>
        <w:rPr>
          <w:rFonts w:ascii="Calibri" w:eastAsia="Calibri" w:hAnsi="Calibri" w:cs="Times New Roman"/>
          <w:szCs w:val="22"/>
        </w:rPr>
      </w:pPr>
      <w:r w:rsidRPr="007214E7">
        <w:rPr>
          <w:rFonts w:ascii="Calibri" w:eastAsia="Calibri" w:hAnsi="Calibri" w:cs="Times New Roman"/>
          <w:szCs w:val="22"/>
        </w:rPr>
        <w:lastRenderedPageBreak/>
        <w:t>Not at this stage. Should follow the evolution of the taxonomy.</w:t>
      </w:r>
    </w:p>
    <w:p w14:paraId="1FE614B8" w14:textId="383FF256"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_QUESTION_STS_SUST_17&gt;</w:t>
      </w:r>
    </w:p>
    <w:p w14:paraId="411C74E1" w14:textId="17D6E2EE" w:rsidR="002F54E6" w:rsidRDefault="002F54E6" w:rsidP="00931D41">
      <w:pPr>
        <w:spacing w:after="160" w:line="259" w:lineRule="auto"/>
        <w:rPr>
          <w:rFonts w:ascii="Calibri" w:eastAsia="Calibri" w:hAnsi="Calibri" w:cs="Times New Roman"/>
          <w:szCs w:val="22"/>
        </w:rPr>
      </w:pPr>
    </w:p>
    <w:p w14:paraId="29CC7876" w14:textId="4F7EFFC3" w:rsidR="00A96819" w:rsidRDefault="00A96819" w:rsidP="00931D41">
      <w:pPr>
        <w:spacing w:after="160" w:line="259" w:lineRule="auto"/>
        <w:rPr>
          <w:rFonts w:ascii="Calibri" w:eastAsia="Calibri" w:hAnsi="Calibri" w:cs="Times New Roman"/>
          <w:szCs w:val="22"/>
        </w:rPr>
      </w:pPr>
    </w:p>
    <w:p w14:paraId="5626CE8E" w14:textId="58CB52E9" w:rsidR="00A96819" w:rsidRDefault="00A96819" w:rsidP="00931D41">
      <w:pPr>
        <w:spacing w:after="160" w:line="259" w:lineRule="auto"/>
        <w:rPr>
          <w:rFonts w:ascii="Calibri" w:eastAsia="Calibri" w:hAnsi="Calibri" w:cs="Times New Roman"/>
          <w:szCs w:val="22"/>
        </w:rPr>
      </w:pPr>
    </w:p>
    <w:p w14:paraId="0B3895D4" w14:textId="77777777" w:rsidR="00A96819" w:rsidRPr="00931D41" w:rsidRDefault="00A96819" w:rsidP="00931D41">
      <w:pPr>
        <w:spacing w:after="160" w:line="259" w:lineRule="auto"/>
        <w:rPr>
          <w:rFonts w:ascii="Calibri" w:eastAsia="Calibri" w:hAnsi="Calibri" w:cs="Times New Roman"/>
          <w:szCs w:val="22"/>
        </w:rPr>
      </w:pPr>
    </w:p>
    <w:p w14:paraId="4A373E8D"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Would you agree that there are no appropriate PAI indicators for </w:t>
      </w:r>
      <w:proofErr w:type="spellStart"/>
      <w:r w:rsidRPr="00931D41">
        <w:rPr>
          <w:rFonts w:ascii="Arial" w:eastAsia="Times New Roman" w:hAnsi="Arial" w:cs="Arial"/>
          <w:b/>
          <w:szCs w:val="22"/>
          <w:lang w:val="en-US"/>
        </w:rPr>
        <w:t>securitisations</w:t>
      </w:r>
      <w:proofErr w:type="spellEnd"/>
      <w:r w:rsidRPr="00931D41">
        <w:rPr>
          <w:rFonts w:ascii="Arial" w:eastAsia="Times New Roman" w:hAnsi="Arial" w:cs="Arial"/>
          <w:b/>
          <w:szCs w:val="22"/>
          <w:lang w:val="en-US"/>
        </w:rPr>
        <w:t xml:space="preserve"> backed by consumer loans or by credit card debt? If not, which PAI indicators would you propose for these loan types? </w:t>
      </w:r>
    </w:p>
    <w:p w14:paraId="38E6AB53" w14:textId="77777777" w:rsidR="00B076B9" w:rsidRDefault="00B076B9" w:rsidP="00931D41">
      <w:pPr>
        <w:spacing w:after="160" w:line="259" w:lineRule="auto"/>
        <w:rPr>
          <w:rFonts w:ascii="Calibri" w:eastAsia="Calibri" w:hAnsi="Calibri" w:cs="Times New Roman"/>
          <w:szCs w:val="22"/>
        </w:rPr>
      </w:pPr>
    </w:p>
    <w:p w14:paraId="44678D20" w14:textId="365368C2"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_QUESTION_STS_SUST_18&gt;</w:t>
      </w:r>
    </w:p>
    <w:p w14:paraId="61B7161D" w14:textId="49CCD850" w:rsidR="00344F81" w:rsidRDefault="00344F81" w:rsidP="00FD03AE">
      <w:pPr>
        <w:spacing w:after="160" w:line="259" w:lineRule="auto"/>
        <w:rPr>
          <w:rFonts w:ascii="Calibri" w:eastAsia="Calibri" w:hAnsi="Calibri" w:cs="Times New Roman"/>
          <w:szCs w:val="22"/>
        </w:rPr>
      </w:pPr>
      <w:r w:rsidRPr="00344F81">
        <w:rPr>
          <w:rFonts w:ascii="Calibri" w:eastAsia="Calibri" w:hAnsi="Calibri" w:cs="Times New Roman"/>
          <w:szCs w:val="22"/>
        </w:rPr>
        <w:t xml:space="preserve">For Credit Cards, it is almost impossible to track down suitable PAI indicators. We see no obvious way to approach the definition of an appropriate PAI indicator. </w:t>
      </w:r>
      <w:r w:rsidR="00FD03AE">
        <w:rPr>
          <w:rFonts w:ascii="Calibri" w:eastAsia="Calibri" w:hAnsi="Calibri" w:cs="Times New Roman"/>
          <w:szCs w:val="22"/>
        </w:rPr>
        <w:t>The same is true for consumer loans.</w:t>
      </w:r>
    </w:p>
    <w:p w14:paraId="6A9A4AD5" w14:textId="24D3858C" w:rsidR="00931D41" w:rsidRPr="00931D41" w:rsidRDefault="00931D41" w:rsidP="00344F8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_QUESTION_STS_SUST_18&gt;</w:t>
      </w:r>
    </w:p>
    <w:p w14:paraId="3C35B18F" w14:textId="77777777" w:rsidR="00931D41" w:rsidRDefault="00931D41" w:rsidP="00931D41">
      <w:pPr>
        <w:spacing w:after="160" w:line="259" w:lineRule="auto"/>
        <w:rPr>
          <w:rFonts w:ascii="Calibri" w:eastAsia="Calibri" w:hAnsi="Calibri" w:cs="Times New Roman"/>
          <w:szCs w:val="22"/>
        </w:rPr>
      </w:pPr>
    </w:p>
    <w:p w14:paraId="5730B3D6" w14:textId="77777777" w:rsidR="002F54E6" w:rsidRPr="00931D41" w:rsidRDefault="002F54E6" w:rsidP="00931D41">
      <w:pPr>
        <w:spacing w:after="160" w:line="259" w:lineRule="auto"/>
        <w:rPr>
          <w:rFonts w:ascii="Calibri" w:eastAsia="Calibri" w:hAnsi="Calibri" w:cs="Times New Roman"/>
          <w:szCs w:val="22"/>
        </w:rPr>
      </w:pPr>
    </w:p>
    <w:p w14:paraId="72E98F2A" w14:textId="77777777" w:rsidR="00931D41" w:rsidRPr="00931D41" w:rsidRDefault="00931D41" w:rsidP="00931D41">
      <w:pPr>
        <w:numPr>
          <w:ilvl w:val="0"/>
          <w:numId w:val="13"/>
        </w:numPr>
        <w:spacing w:after="160" w:line="259" w:lineRule="auto"/>
        <w:contextualSpacing/>
        <w:rPr>
          <w:rFonts w:ascii="Arial" w:eastAsia="Times New Roman" w:hAnsi="Arial" w:cs="Arial"/>
          <w:b/>
          <w:szCs w:val="22"/>
          <w:lang w:val="en-US"/>
        </w:rPr>
      </w:pPr>
      <w:r w:rsidRPr="00931D41">
        <w:rPr>
          <w:rFonts w:ascii="Arial" w:eastAsia="Times New Roman" w:hAnsi="Arial" w:cs="Arial"/>
          <w:b/>
          <w:szCs w:val="22"/>
          <w:lang w:val="en-US"/>
        </w:rPr>
        <w:t xml:space="preserve">: Do you consider that it would be useful to develop </w:t>
      </w:r>
      <w:proofErr w:type="spellStart"/>
      <w:r w:rsidRPr="00931D41">
        <w:rPr>
          <w:rFonts w:ascii="Arial" w:eastAsia="Times New Roman" w:hAnsi="Arial" w:cs="Arial"/>
          <w:b/>
          <w:szCs w:val="22"/>
          <w:lang w:val="en-US"/>
        </w:rPr>
        <w:t>standardised</w:t>
      </w:r>
      <w:proofErr w:type="spellEnd"/>
      <w:r w:rsidRPr="00931D41">
        <w:rPr>
          <w:rFonts w:ascii="Arial" w:eastAsia="Times New Roman" w:hAnsi="Arial" w:cs="Arial"/>
          <w:b/>
          <w:szCs w:val="22"/>
          <w:lang w:val="en-US"/>
        </w:rPr>
        <w:t xml:space="preserve"> PAI indicators on sustainability factors for other types of </w:t>
      </w:r>
      <w:proofErr w:type="gramStart"/>
      <w:r w:rsidRPr="00931D41">
        <w:rPr>
          <w:rFonts w:ascii="Arial" w:eastAsia="Times New Roman" w:hAnsi="Arial" w:cs="Arial"/>
          <w:b/>
          <w:szCs w:val="22"/>
          <w:lang w:val="en-US"/>
        </w:rPr>
        <w:t>securitisation</w:t>
      </w:r>
      <w:proofErr w:type="gramEnd"/>
      <w:r w:rsidRPr="00931D41">
        <w:rPr>
          <w:rFonts w:ascii="Arial" w:eastAsia="Times New Roman" w:hAnsi="Arial" w:cs="Arial"/>
          <w:b/>
          <w:szCs w:val="22"/>
          <w:lang w:val="en-US"/>
        </w:rPr>
        <w:t>?</w:t>
      </w:r>
    </w:p>
    <w:p w14:paraId="4EA54BA2" w14:textId="77777777" w:rsidR="00B076B9" w:rsidRDefault="00B076B9" w:rsidP="00931D41">
      <w:pPr>
        <w:spacing w:after="160" w:line="259" w:lineRule="auto"/>
        <w:rPr>
          <w:rFonts w:ascii="Calibri" w:eastAsia="Calibri" w:hAnsi="Calibri" w:cs="Times New Roman"/>
          <w:szCs w:val="22"/>
        </w:rPr>
      </w:pPr>
    </w:p>
    <w:p w14:paraId="052644C2" w14:textId="673A9CFC" w:rsidR="00931D41" w:rsidRPr="00931D41" w:rsidRDefault="00931D41" w:rsidP="00931D41">
      <w:pPr>
        <w:spacing w:after="160" w:line="259" w:lineRule="auto"/>
        <w:rPr>
          <w:rFonts w:ascii="Calibri" w:eastAsia="Calibri" w:hAnsi="Calibri" w:cs="Times New Roman"/>
          <w:szCs w:val="22"/>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_QUESTION_STS_SUST_19&gt;</w:t>
      </w:r>
    </w:p>
    <w:p w14:paraId="527861DB" w14:textId="52935532" w:rsidR="00B24B44" w:rsidRDefault="00A3261F" w:rsidP="00B076B9">
      <w:pPr>
        <w:spacing w:after="160" w:line="259" w:lineRule="auto"/>
        <w:rPr>
          <w:rFonts w:ascii="Calibri" w:eastAsia="Calibri" w:hAnsi="Calibri" w:cs="Times New Roman"/>
          <w:szCs w:val="22"/>
        </w:rPr>
      </w:pPr>
      <w:r w:rsidRPr="00A3261F">
        <w:rPr>
          <w:rFonts w:ascii="Calibri" w:eastAsia="Calibri" w:hAnsi="Calibri" w:cs="Times New Roman"/>
          <w:szCs w:val="22"/>
        </w:rPr>
        <w:t xml:space="preserve">We do not. </w:t>
      </w:r>
      <w:proofErr w:type="gramStart"/>
      <w:r w:rsidRPr="00A3261F">
        <w:rPr>
          <w:rFonts w:ascii="Calibri" w:eastAsia="Calibri" w:hAnsi="Calibri" w:cs="Times New Roman"/>
          <w:szCs w:val="22"/>
        </w:rPr>
        <w:t>The vast majority of</w:t>
      </w:r>
      <w:proofErr w:type="gramEnd"/>
      <w:r w:rsidRPr="00A3261F">
        <w:rPr>
          <w:rFonts w:ascii="Calibri" w:eastAsia="Calibri" w:hAnsi="Calibri" w:cs="Times New Roman"/>
          <w:szCs w:val="22"/>
        </w:rPr>
        <w:t xml:space="preserve"> STS securitisation transactions will be covered by the RTS</w:t>
      </w:r>
      <w:r>
        <w:rPr>
          <w:rFonts w:ascii="Calibri" w:eastAsia="Calibri" w:hAnsi="Calibri" w:cs="Times New Roman"/>
          <w:szCs w:val="22"/>
        </w:rPr>
        <w:t>.</w:t>
      </w:r>
    </w:p>
    <w:p w14:paraId="433A1C4D" w14:textId="1535F804" w:rsidR="00E10D8E" w:rsidRPr="00E10D8E" w:rsidRDefault="00931D41" w:rsidP="00B076B9">
      <w:pPr>
        <w:spacing w:after="160" w:line="259" w:lineRule="auto"/>
        <w:rPr>
          <w:highlight w:val="yellow"/>
        </w:rPr>
      </w:pPr>
      <w:r w:rsidRPr="00931D41">
        <w:rPr>
          <w:rFonts w:ascii="Calibri" w:eastAsia="Calibri" w:hAnsi="Calibri" w:cs="Times New Roman"/>
          <w:szCs w:val="22"/>
        </w:rPr>
        <w:t>&lt;</w:t>
      </w:r>
      <w:r>
        <w:rPr>
          <w:rFonts w:ascii="Calibri" w:eastAsia="Calibri" w:hAnsi="Calibri" w:cs="Times New Roman"/>
          <w:szCs w:val="22"/>
        </w:rPr>
        <w:t>ESA</w:t>
      </w:r>
      <w:r w:rsidRPr="00931D41">
        <w:rPr>
          <w:rFonts w:ascii="Calibri" w:eastAsia="Calibri" w:hAnsi="Calibri" w:cs="Times New Roman"/>
          <w:szCs w:val="22"/>
        </w:rPr>
        <w:t>_QUESTION_STS_SUST_19&gt;</w:t>
      </w:r>
    </w:p>
    <w:sectPr w:rsidR="00E10D8E" w:rsidRPr="00E10D8E" w:rsidSect="00E10D8E">
      <w:headerReference w:type="default" r:id="rId14"/>
      <w:footerReference w:type="default" r:id="rId1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7543" w14:textId="77777777" w:rsidR="002A01FF" w:rsidRDefault="002A01FF" w:rsidP="007E7997">
      <w:pPr>
        <w:spacing w:line="240" w:lineRule="auto"/>
      </w:pPr>
      <w:r>
        <w:separator/>
      </w:r>
    </w:p>
  </w:endnote>
  <w:endnote w:type="continuationSeparator" w:id="0">
    <w:p w14:paraId="13755CFC" w14:textId="77777777" w:rsidR="002A01FF" w:rsidRDefault="002A01FF" w:rsidP="007E7997">
      <w:pPr>
        <w:spacing w:line="240" w:lineRule="auto"/>
      </w:pPr>
      <w:r>
        <w:continuationSeparator/>
      </w:r>
    </w:p>
  </w:endnote>
  <w:endnote w:type="continuationNotice" w:id="1">
    <w:p w14:paraId="09B3D3A4" w14:textId="77777777" w:rsidR="002A01FF" w:rsidRDefault="002A0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B4A1" w14:textId="3889C157" w:rsidR="006A44DA" w:rsidRDefault="00EA4224" w:rsidP="002F54E6">
    <w:pPr>
      <w:pStyle w:val="Footer"/>
      <w:jc w:val="right"/>
    </w:pPr>
    <w:r>
      <w:rPr>
        <w:rFonts w:asciiTheme="majorHAnsi" w:hAnsiTheme="majorHAnsi"/>
        <w:color w:val="FFFFFF" w:themeColor="background1"/>
      </w:rPr>
      <w:t>6</w:t>
    </w:r>
    <w:r w:rsidR="002F54E6">
      <w:rPr>
        <w:rFonts w:asciiTheme="majorHAnsi" w:hAnsiTheme="majorHAnsi"/>
        <w:color w:val="FFFFFF" w:themeColor="background1"/>
      </w:rPr>
      <w:t xml:space="preserve"> May 2022</w:t>
    </w:r>
    <w:r w:rsidR="006A44DA">
      <w:rPr>
        <w:rFonts w:asciiTheme="majorHAnsi" w:hAnsiTheme="majorHAnsi"/>
        <w:color w:val="FFFFFF" w:themeColor="background1"/>
      </w:rPr>
      <w:t xml:space="preserve"> | ESMA</w:t>
    </w:r>
    <w:r w:rsidR="002F54E6">
      <w:rPr>
        <w:rFonts w:asciiTheme="majorHAnsi" w:hAnsiTheme="majorHAnsi"/>
        <w:color w:val="FFFFFF" w:themeColor="background1"/>
      </w:rPr>
      <w:t>82-402-859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0596038D" w14:textId="26C0BB69"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DCC6" w14:textId="77777777" w:rsidR="002A01FF" w:rsidRDefault="002A01FF" w:rsidP="007E7997">
      <w:pPr>
        <w:spacing w:line="240" w:lineRule="auto"/>
      </w:pPr>
      <w:bookmarkStart w:id="0" w:name="_Hlk102638719"/>
      <w:bookmarkEnd w:id="0"/>
      <w:r>
        <w:separator/>
      </w:r>
    </w:p>
  </w:footnote>
  <w:footnote w:type="continuationSeparator" w:id="0">
    <w:p w14:paraId="1E9C0F6B" w14:textId="77777777" w:rsidR="002A01FF" w:rsidRDefault="002A01FF" w:rsidP="007E7997">
      <w:pPr>
        <w:spacing w:line="240" w:lineRule="auto"/>
      </w:pPr>
      <w:r>
        <w:continuationSeparator/>
      </w:r>
    </w:p>
  </w:footnote>
  <w:footnote w:type="continuationNotice" w:id="1">
    <w:p w14:paraId="2BFB7940" w14:textId="77777777" w:rsidR="002A01FF" w:rsidRDefault="002A01FF">
      <w:pPr>
        <w:spacing w:after="0" w:line="240" w:lineRule="auto"/>
      </w:pPr>
    </w:p>
  </w:footnote>
  <w:footnote w:id="2">
    <w:p w14:paraId="328EE99C" w14:textId="77777777" w:rsidR="00E10D8E" w:rsidRDefault="00E10D8E" w:rsidP="00E10D8E">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B805" w14:textId="4EA3277D" w:rsidR="006A44DA" w:rsidRDefault="006A44DA">
    <w:pPr>
      <w:pStyle w:val="Header"/>
    </w:pPr>
    <w:r>
      <w:rPr>
        <w:noProof/>
        <w:lang w:val="en-US"/>
      </w:rPr>
      <w:drawing>
        <wp:anchor distT="0" distB="0" distL="114300" distR="114300" simplePos="0" relativeHeight="251658240" behindDoc="1" locked="0" layoutInCell="1" allowOverlap="1" wp14:anchorId="5349BD1F" wp14:editId="6ABFA181">
          <wp:simplePos x="0" y="0"/>
          <wp:positionH relativeFrom="page">
            <wp:align>right</wp:align>
          </wp:positionH>
          <wp:positionV relativeFrom="page">
            <wp:align>bottom</wp:align>
          </wp:positionV>
          <wp:extent cx="7560310" cy="6800850"/>
          <wp:effectExtent l="0" t="0" r="2540" b="0"/>
          <wp:wrapNone/>
          <wp:docPr id="5" name="Picture 5"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30314E">
      <w:rPr>
        <w:noProof/>
      </w:rPr>
      <w:drawing>
        <wp:inline distT="0" distB="0" distL="0" distR="0" wp14:anchorId="642ECE72" wp14:editId="2E99E0BB">
          <wp:extent cx="5760720" cy="6591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9F88" w14:textId="605CE515" w:rsidR="006A44DA" w:rsidRPr="00E1522D" w:rsidRDefault="0037407C" w:rsidP="0037407C">
    <w:pPr>
      <w:pStyle w:val="Header"/>
      <w:spacing w:after="0"/>
      <w:jc w:val="right"/>
      <w:rPr>
        <w:noProof/>
      </w:rPr>
    </w:pPr>
    <w:r>
      <w:rPr>
        <w:noProof/>
      </w:rPr>
      <w:drawing>
        <wp:inline distT="0" distB="0" distL="0" distR="0" wp14:anchorId="66CD4811" wp14:editId="6B03F606">
          <wp:extent cx="5760720" cy="659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60720" cy="659130"/>
                  </a:xfrm>
                  <a:prstGeom prst="rect">
                    <a:avLst/>
                  </a:prstGeom>
                </pic:spPr>
              </pic:pic>
            </a:graphicData>
          </a:graphic>
        </wp:inline>
      </w:drawing>
    </w:r>
  </w:p>
  <w:p w14:paraId="5E8AEFB5" w14:textId="77777777" w:rsidR="006A44DA" w:rsidRPr="00E1522D" w:rsidRDefault="006A44DA" w:rsidP="006C5A3D">
    <w:pPr>
      <w:pStyle w:val="Header"/>
      <w:spacing w:after="0"/>
      <w:ind w:left="7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5792E13"/>
    <w:multiLevelType w:val="hybridMultilevel"/>
    <w:tmpl w:val="8EB66FA2"/>
    <w:lvl w:ilvl="0" w:tplc="11B0EB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80C31"/>
    <w:multiLevelType w:val="hybridMultilevel"/>
    <w:tmpl w:val="66322C56"/>
    <w:lvl w:ilvl="0" w:tplc="48788000">
      <w:numFmt w:val="bullet"/>
      <w:pStyle w:val="ListParagraph"/>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11895210">
    <w:abstractNumId w:val="3"/>
  </w:num>
  <w:num w:numId="2" w16cid:durableId="1970621253">
    <w:abstractNumId w:val="3"/>
  </w:num>
  <w:num w:numId="3" w16cid:durableId="65997619">
    <w:abstractNumId w:val="12"/>
  </w:num>
  <w:num w:numId="4" w16cid:durableId="59905475">
    <w:abstractNumId w:val="4"/>
  </w:num>
  <w:num w:numId="5" w16cid:durableId="1569653939">
    <w:abstractNumId w:val="11"/>
  </w:num>
  <w:num w:numId="6" w16cid:durableId="1164511591">
    <w:abstractNumId w:val="8"/>
  </w:num>
  <w:num w:numId="7" w16cid:durableId="1173758102">
    <w:abstractNumId w:val="0"/>
  </w:num>
  <w:num w:numId="8" w16cid:durableId="997612818">
    <w:abstractNumId w:val="5"/>
  </w:num>
  <w:num w:numId="9" w16cid:durableId="1266577506">
    <w:abstractNumId w:val="2"/>
  </w:num>
  <w:num w:numId="10" w16cid:durableId="81611408">
    <w:abstractNumId w:val="1"/>
  </w:num>
  <w:num w:numId="11" w16cid:durableId="1983347590">
    <w:abstractNumId w:val="6"/>
  </w:num>
  <w:num w:numId="12" w16cid:durableId="210114823">
    <w:abstractNumId w:val="9"/>
  </w:num>
  <w:num w:numId="13" w16cid:durableId="1246374518">
    <w:abstractNumId w:val="7"/>
  </w:num>
  <w:num w:numId="14" w16cid:durableId="15716963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F5"/>
    <w:rsid w:val="00012D68"/>
    <w:rsid w:val="00015167"/>
    <w:rsid w:val="000156AE"/>
    <w:rsid w:val="00020300"/>
    <w:rsid w:val="00021CB8"/>
    <w:rsid w:val="00025A7F"/>
    <w:rsid w:val="000344E9"/>
    <w:rsid w:val="000372BF"/>
    <w:rsid w:val="0004374E"/>
    <w:rsid w:val="00044C5A"/>
    <w:rsid w:val="000504AC"/>
    <w:rsid w:val="00054C9F"/>
    <w:rsid w:val="00087D2D"/>
    <w:rsid w:val="000A3C54"/>
    <w:rsid w:val="000A5C0E"/>
    <w:rsid w:val="000B5D3D"/>
    <w:rsid w:val="000C0CE0"/>
    <w:rsid w:val="000C7EDE"/>
    <w:rsid w:val="000D1038"/>
    <w:rsid w:val="000D1526"/>
    <w:rsid w:val="000D1E53"/>
    <w:rsid w:val="000D2513"/>
    <w:rsid w:val="000E5EF9"/>
    <w:rsid w:val="000E6D22"/>
    <w:rsid w:val="000E7879"/>
    <w:rsid w:val="00107F3E"/>
    <w:rsid w:val="00110E98"/>
    <w:rsid w:val="00112542"/>
    <w:rsid w:val="001132A7"/>
    <w:rsid w:val="00115648"/>
    <w:rsid w:val="00124F4A"/>
    <w:rsid w:val="00130EF9"/>
    <w:rsid w:val="00132657"/>
    <w:rsid w:val="0014084B"/>
    <w:rsid w:val="001449B6"/>
    <w:rsid w:val="00144AAD"/>
    <w:rsid w:val="0016369E"/>
    <w:rsid w:val="0017072C"/>
    <w:rsid w:val="00170D8A"/>
    <w:rsid w:val="00173A98"/>
    <w:rsid w:val="001752CF"/>
    <w:rsid w:val="00194440"/>
    <w:rsid w:val="001978C7"/>
    <w:rsid w:val="00197FF5"/>
    <w:rsid w:val="001B2151"/>
    <w:rsid w:val="001B3F14"/>
    <w:rsid w:val="001B4996"/>
    <w:rsid w:val="001B73E7"/>
    <w:rsid w:val="001C69A8"/>
    <w:rsid w:val="001C7A45"/>
    <w:rsid w:val="001D7492"/>
    <w:rsid w:val="001E7C6E"/>
    <w:rsid w:val="001F40BD"/>
    <w:rsid w:val="001F6DD6"/>
    <w:rsid w:val="001F7E7D"/>
    <w:rsid w:val="002048BE"/>
    <w:rsid w:val="00205C40"/>
    <w:rsid w:val="0020622B"/>
    <w:rsid w:val="00210FA5"/>
    <w:rsid w:val="0021101C"/>
    <w:rsid w:val="002212C8"/>
    <w:rsid w:val="002307D9"/>
    <w:rsid w:val="00230B22"/>
    <w:rsid w:val="00233DDB"/>
    <w:rsid w:val="00242C73"/>
    <w:rsid w:val="00245056"/>
    <w:rsid w:val="002574D1"/>
    <w:rsid w:val="00263AFF"/>
    <w:rsid w:val="00267E0E"/>
    <w:rsid w:val="002751DD"/>
    <w:rsid w:val="00277787"/>
    <w:rsid w:val="002827E0"/>
    <w:rsid w:val="0028490F"/>
    <w:rsid w:val="002936E9"/>
    <w:rsid w:val="002A01FF"/>
    <w:rsid w:val="002B59F0"/>
    <w:rsid w:val="002D557C"/>
    <w:rsid w:val="002D729D"/>
    <w:rsid w:val="002E1C11"/>
    <w:rsid w:val="002E4311"/>
    <w:rsid w:val="002E7268"/>
    <w:rsid w:val="002F54E6"/>
    <w:rsid w:val="002F71C4"/>
    <w:rsid w:val="002F7943"/>
    <w:rsid w:val="0030314E"/>
    <w:rsid w:val="00303357"/>
    <w:rsid w:val="003077E7"/>
    <w:rsid w:val="00310DE9"/>
    <w:rsid w:val="00314117"/>
    <w:rsid w:val="00317DF8"/>
    <w:rsid w:val="00317EDF"/>
    <w:rsid w:val="0032385A"/>
    <w:rsid w:val="003279E7"/>
    <w:rsid w:val="00332050"/>
    <w:rsid w:val="00332816"/>
    <w:rsid w:val="0033324D"/>
    <w:rsid w:val="00334CFA"/>
    <w:rsid w:val="00337A48"/>
    <w:rsid w:val="00344F81"/>
    <w:rsid w:val="003454ED"/>
    <w:rsid w:val="00347DFA"/>
    <w:rsid w:val="00355A2D"/>
    <w:rsid w:val="00356DE6"/>
    <w:rsid w:val="003642B2"/>
    <w:rsid w:val="00366D42"/>
    <w:rsid w:val="003675A9"/>
    <w:rsid w:val="0037245E"/>
    <w:rsid w:val="0037407C"/>
    <w:rsid w:val="00381EF7"/>
    <w:rsid w:val="003835D1"/>
    <w:rsid w:val="00390ACC"/>
    <w:rsid w:val="003B6135"/>
    <w:rsid w:val="003C1927"/>
    <w:rsid w:val="003C3E5C"/>
    <w:rsid w:val="003C4EB5"/>
    <w:rsid w:val="003D000D"/>
    <w:rsid w:val="003D0BD8"/>
    <w:rsid w:val="003D2AB3"/>
    <w:rsid w:val="003D3019"/>
    <w:rsid w:val="003D61FE"/>
    <w:rsid w:val="003F0BBC"/>
    <w:rsid w:val="003F39B1"/>
    <w:rsid w:val="003F4AFE"/>
    <w:rsid w:val="00405453"/>
    <w:rsid w:val="004115A5"/>
    <w:rsid w:val="004115EC"/>
    <w:rsid w:val="00423A2F"/>
    <w:rsid w:val="00424573"/>
    <w:rsid w:val="004302ED"/>
    <w:rsid w:val="00435FE9"/>
    <w:rsid w:val="00445696"/>
    <w:rsid w:val="00445C10"/>
    <w:rsid w:val="00454259"/>
    <w:rsid w:val="00456B0C"/>
    <w:rsid w:val="00467F6F"/>
    <w:rsid w:val="0048000F"/>
    <w:rsid w:val="004865F9"/>
    <w:rsid w:val="00495195"/>
    <w:rsid w:val="004C6552"/>
    <w:rsid w:val="004C7D5C"/>
    <w:rsid w:val="004E3A24"/>
    <w:rsid w:val="004E6F1E"/>
    <w:rsid w:val="005014A3"/>
    <w:rsid w:val="00501C1C"/>
    <w:rsid w:val="0050545C"/>
    <w:rsid w:val="00517C49"/>
    <w:rsid w:val="0052388C"/>
    <w:rsid w:val="005238F1"/>
    <w:rsid w:val="005264C5"/>
    <w:rsid w:val="00526E5D"/>
    <w:rsid w:val="00536CE8"/>
    <w:rsid w:val="0055151A"/>
    <w:rsid w:val="0056274B"/>
    <w:rsid w:val="005647ED"/>
    <w:rsid w:val="00565193"/>
    <w:rsid w:val="00572A06"/>
    <w:rsid w:val="005A07B6"/>
    <w:rsid w:val="005A2B14"/>
    <w:rsid w:val="005B3BA8"/>
    <w:rsid w:val="005B6B12"/>
    <w:rsid w:val="005C03B4"/>
    <w:rsid w:val="005E0B00"/>
    <w:rsid w:val="005F002F"/>
    <w:rsid w:val="005F1194"/>
    <w:rsid w:val="006014B2"/>
    <w:rsid w:val="00601C34"/>
    <w:rsid w:val="00602590"/>
    <w:rsid w:val="00604186"/>
    <w:rsid w:val="006334B4"/>
    <w:rsid w:val="0063565E"/>
    <w:rsid w:val="00636E02"/>
    <w:rsid w:val="00642297"/>
    <w:rsid w:val="0064351D"/>
    <w:rsid w:val="00644A34"/>
    <w:rsid w:val="00646308"/>
    <w:rsid w:val="00646E95"/>
    <w:rsid w:val="00662882"/>
    <w:rsid w:val="00662D52"/>
    <w:rsid w:val="00665A7C"/>
    <w:rsid w:val="00665B75"/>
    <w:rsid w:val="00671363"/>
    <w:rsid w:val="00672409"/>
    <w:rsid w:val="006760AD"/>
    <w:rsid w:val="00685A84"/>
    <w:rsid w:val="00691FEE"/>
    <w:rsid w:val="006A30A8"/>
    <w:rsid w:val="006A44DA"/>
    <w:rsid w:val="006A6374"/>
    <w:rsid w:val="006A7A10"/>
    <w:rsid w:val="006B0DA4"/>
    <w:rsid w:val="006B1B6B"/>
    <w:rsid w:val="006B34DC"/>
    <w:rsid w:val="006B6CDB"/>
    <w:rsid w:val="006C0D3A"/>
    <w:rsid w:val="006C5900"/>
    <w:rsid w:val="006C5A3D"/>
    <w:rsid w:val="006C707B"/>
    <w:rsid w:val="006E1AAD"/>
    <w:rsid w:val="006F53E8"/>
    <w:rsid w:val="007023F5"/>
    <w:rsid w:val="00706072"/>
    <w:rsid w:val="00712300"/>
    <w:rsid w:val="007151BF"/>
    <w:rsid w:val="007205F7"/>
    <w:rsid w:val="007214E7"/>
    <w:rsid w:val="00727C32"/>
    <w:rsid w:val="00731A63"/>
    <w:rsid w:val="00740229"/>
    <w:rsid w:val="00746D41"/>
    <w:rsid w:val="0076571A"/>
    <w:rsid w:val="00766D94"/>
    <w:rsid w:val="007675BB"/>
    <w:rsid w:val="00775587"/>
    <w:rsid w:val="007770A5"/>
    <w:rsid w:val="007823A2"/>
    <w:rsid w:val="00782527"/>
    <w:rsid w:val="007827A3"/>
    <w:rsid w:val="00784292"/>
    <w:rsid w:val="00792FDA"/>
    <w:rsid w:val="00794595"/>
    <w:rsid w:val="00794C71"/>
    <w:rsid w:val="00797E0C"/>
    <w:rsid w:val="007B10F5"/>
    <w:rsid w:val="007B4D8F"/>
    <w:rsid w:val="007B5369"/>
    <w:rsid w:val="007C1012"/>
    <w:rsid w:val="007D021D"/>
    <w:rsid w:val="007D0D4F"/>
    <w:rsid w:val="007D104F"/>
    <w:rsid w:val="007D5B8D"/>
    <w:rsid w:val="007D5C4D"/>
    <w:rsid w:val="007E584B"/>
    <w:rsid w:val="007E7997"/>
    <w:rsid w:val="007F1DEC"/>
    <w:rsid w:val="007F6DA2"/>
    <w:rsid w:val="00810C3D"/>
    <w:rsid w:val="0081447B"/>
    <w:rsid w:val="00824E4E"/>
    <w:rsid w:val="00837A76"/>
    <w:rsid w:val="00840EC8"/>
    <w:rsid w:val="00842AC5"/>
    <w:rsid w:val="00843147"/>
    <w:rsid w:val="00843C16"/>
    <w:rsid w:val="00846B78"/>
    <w:rsid w:val="00855E97"/>
    <w:rsid w:val="0085754A"/>
    <w:rsid w:val="008755EE"/>
    <w:rsid w:val="0089075A"/>
    <w:rsid w:val="00891391"/>
    <w:rsid w:val="008A45E4"/>
    <w:rsid w:val="008C67C1"/>
    <w:rsid w:val="008C767A"/>
    <w:rsid w:val="008D5C28"/>
    <w:rsid w:val="008D67F4"/>
    <w:rsid w:val="008D7023"/>
    <w:rsid w:val="0091038B"/>
    <w:rsid w:val="00925E04"/>
    <w:rsid w:val="00931D41"/>
    <w:rsid w:val="00936C3B"/>
    <w:rsid w:val="00953E70"/>
    <w:rsid w:val="00972E4C"/>
    <w:rsid w:val="0098532F"/>
    <w:rsid w:val="0099526D"/>
    <w:rsid w:val="009A0969"/>
    <w:rsid w:val="009A3DA7"/>
    <w:rsid w:val="009A7F6B"/>
    <w:rsid w:val="009B36BE"/>
    <w:rsid w:val="009C1B2D"/>
    <w:rsid w:val="009C7694"/>
    <w:rsid w:val="009D7294"/>
    <w:rsid w:val="009F2FD3"/>
    <w:rsid w:val="009F3729"/>
    <w:rsid w:val="009F6C9E"/>
    <w:rsid w:val="00A026A4"/>
    <w:rsid w:val="00A0307C"/>
    <w:rsid w:val="00A16EC3"/>
    <w:rsid w:val="00A2125B"/>
    <w:rsid w:val="00A3261F"/>
    <w:rsid w:val="00A3424C"/>
    <w:rsid w:val="00A353D7"/>
    <w:rsid w:val="00A410CC"/>
    <w:rsid w:val="00A43AD1"/>
    <w:rsid w:val="00A57743"/>
    <w:rsid w:val="00A62086"/>
    <w:rsid w:val="00A712BE"/>
    <w:rsid w:val="00A772D0"/>
    <w:rsid w:val="00A77766"/>
    <w:rsid w:val="00A91D91"/>
    <w:rsid w:val="00A96819"/>
    <w:rsid w:val="00AA054E"/>
    <w:rsid w:val="00AB70A8"/>
    <w:rsid w:val="00AB7542"/>
    <w:rsid w:val="00AC7764"/>
    <w:rsid w:val="00AC79E0"/>
    <w:rsid w:val="00AD0F93"/>
    <w:rsid w:val="00AD150A"/>
    <w:rsid w:val="00AD239F"/>
    <w:rsid w:val="00AD7781"/>
    <w:rsid w:val="00AE0E19"/>
    <w:rsid w:val="00AE2B05"/>
    <w:rsid w:val="00AE4FC7"/>
    <w:rsid w:val="00AE5045"/>
    <w:rsid w:val="00AF4153"/>
    <w:rsid w:val="00AF4638"/>
    <w:rsid w:val="00B00DF5"/>
    <w:rsid w:val="00B012AC"/>
    <w:rsid w:val="00B02648"/>
    <w:rsid w:val="00B040F3"/>
    <w:rsid w:val="00B04283"/>
    <w:rsid w:val="00B076B9"/>
    <w:rsid w:val="00B11EFB"/>
    <w:rsid w:val="00B126A8"/>
    <w:rsid w:val="00B15C0B"/>
    <w:rsid w:val="00B17AF3"/>
    <w:rsid w:val="00B24B44"/>
    <w:rsid w:val="00B27206"/>
    <w:rsid w:val="00B27499"/>
    <w:rsid w:val="00B40D81"/>
    <w:rsid w:val="00B50534"/>
    <w:rsid w:val="00B52E10"/>
    <w:rsid w:val="00B62D0A"/>
    <w:rsid w:val="00B6330C"/>
    <w:rsid w:val="00B655D1"/>
    <w:rsid w:val="00B67A54"/>
    <w:rsid w:val="00B73281"/>
    <w:rsid w:val="00B7765E"/>
    <w:rsid w:val="00B8284C"/>
    <w:rsid w:val="00B85764"/>
    <w:rsid w:val="00B91947"/>
    <w:rsid w:val="00B91B6E"/>
    <w:rsid w:val="00BB449C"/>
    <w:rsid w:val="00BB5221"/>
    <w:rsid w:val="00BC2561"/>
    <w:rsid w:val="00BC422A"/>
    <w:rsid w:val="00BE225E"/>
    <w:rsid w:val="00BE2B4F"/>
    <w:rsid w:val="00BE3C14"/>
    <w:rsid w:val="00BF25CD"/>
    <w:rsid w:val="00BF433B"/>
    <w:rsid w:val="00C0696A"/>
    <w:rsid w:val="00C123AA"/>
    <w:rsid w:val="00C138DD"/>
    <w:rsid w:val="00C13A4F"/>
    <w:rsid w:val="00C32022"/>
    <w:rsid w:val="00C36B53"/>
    <w:rsid w:val="00C423C8"/>
    <w:rsid w:val="00C4316E"/>
    <w:rsid w:val="00C570F9"/>
    <w:rsid w:val="00C63D76"/>
    <w:rsid w:val="00C7243A"/>
    <w:rsid w:val="00C775F7"/>
    <w:rsid w:val="00C84A0F"/>
    <w:rsid w:val="00C8662B"/>
    <w:rsid w:val="00C9496C"/>
    <w:rsid w:val="00C9750A"/>
    <w:rsid w:val="00CA43FD"/>
    <w:rsid w:val="00CB2ADE"/>
    <w:rsid w:val="00CB50EF"/>
    <w:rsid w:val="00CB5321"/>
    <w:rsid w:val="00CB791A"/>
    <w:rsid w:val="00CD00B2"/>
    <w:rsid w:val="00CD43F3"/>
    <w:rsid w:val="00CD47B2"/>
    <w:rsid w:val="00CE49F8"/>
    <w:rsid w:val="00CE55C4"/>
    <w:rsid w:val="00CF01DC"/>
    <w:rsid w:val="00CF0BAC"/>
    <w:rsid w:val="00D01D20"/>
    <w:rsid w:val="00D0373D"/>
    <w:rsid w:val="00D22F2F"/>
    <w:rsid w:val="00D23A01"/>
    <w:rsid w:val="00D320CF"/>
    <w:rsid w:val="00D33C31"/>
    <w:rsid w:val="00D44654"/>
    <w:rsid w:val="00D46275"/>
    <w:rsid w:val="00D5162E"/>
    <w:rsid w:val="00D604F0"/>
    <w:rsid w:val="00D60C99"/>
    <w:rsid w:val="00D71DA0"/>
    <w:rsid w:val="00D73338"/>
    <w:rsid w:val="00D73444"/>
    <w:rsid w:val="00D740B5"/>
    <w:rsid w:val="00D77043"/>
    <w:rsid w:val="00DA5F8A"/>
    <w:rsid w:val="00DA74C1"/>
    <w:rsid w:val="00DC44A0"/>
    <w:rsid w:val="00DE3473"/>
    <w:rsid w:val="00DE6731"/>
    <w:rsid w:val="00DE7D85"/>
    <w:rsid w:val="00DF3785"/>
    <w:rsid w:val="00DF4CF1"/>
    <w:rsid w:val="00DF5DEF"/>
    <w:rsid w:val="00E02098"/>
    <w:rsid w:val="00E10D8E"/>
    <w:rsid w:val="00E1522D"/>
    <w:rsid w:val="00E21617"/>
    <w:rsid w:val="00E22754"/>
    <w:rsid w:val="00E27B64"/>
    <w:rsid w:val="00E3456B"/>
    <w:rsid w:val="00E3610C"/>
    <w:rsid w:val="00E366E2"/>
    <w:rsid w:val="00E44F00"/>
    <w:rsid w:val="00E52A78"/>
    <w:rsid w:val="00E55BB9"/>
    <w:rsid w:val="00E65F35"/>
    <w:rsid w:val="00E74E8C"/>
    <w:rsid w:val="00E81C78"/>
    <w:rsid w:val="00E873B6"/>
    <w:rsid w:val="00EA03D7"/>
    <w:rsid w:val="00EA158B"/>
    <w:rsid w:val="00EA4224"/>
    <w:rsid w:val="00EA6F2A"/>
    <w:rsid w:val="00EB49E3"/>
    <w:rsid w:val="00EB501F"/>
    <w:rsid w:val="00EB79D7"/>
    <w:rsid w:val="00EC4D7D"/>
    <w:rsid w:val="00EC6BD8"/>
    <w:rsid w:val="00ED4213"/>
    <w:rsid w:val="00ED5030"/>
    <w:rsid w:val="00ED74D7"/>
    <w:rsid w:val="00EF5CB6"/>
    <w:rsid w:val="00F01F41"/>
    <w:rsid w:val="00F049DF"/>
    <w:rsid w:val="00F06455"/>
    <w:rsid w:val="00F1604B"/>
    <w:rsid w:val="00F1684E"/>
    <w:rsid w:val="00F226E0"/>
    <w:rsid w:val="00F31FCD"/>
    <w:rsid w:val="00F44161"/>
    <w:rsid w:val="00F536C4"/>
    <w:rsid w:val="00F67EBD"/>
    <w:rsid w:val="00F71462"/>
    <w:rsid w:val="00F80FAB"/>
    <w:rsid w:val="00F84EDE"/>
    <w:rsid w:val="00F87C05"/>
    <w:rsid w:val="00FA0D71"/>
    <w:rsid w:val="00FB0330"/>
    <w:rsid w:val="00FB2138"/>
    <w:rsid w:val="00FB3B3B"/>
    <w:rsid w:val="00FD0060"/>
    <w:rsid w:val="00FD03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444"/>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65F35"/>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E65F35"/>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aliases w:val="Paragraphe EI,Paragraphe de liste1,EC"/>
    <w:basedOn w:val="Normal"/>
    <w:link w:val="ListParagraphChar"/>
    <w:autoRedefine/>
    <w:uiPriority w:val="34"/>
    <w:qFormat/>
    <w:rsid w:val="0056274B"/>
    <w:pPr>
      <w:numPr>
        <w:numId w:val="14"/>
      </w:numPr>
      <w:spacing w:after="160" w:line="259" w:lineRule="auto"/>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Question,Text,Diskret betoning,Emphase pâle"/>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Normal"/>
    <w:next w:val="Normal"/>
    <w:autoRedefine/>
    <w:uiPriority w:val="39"/>
    <w:unhideWhenUsed/>
    <w:rsid w:val="00CF0BAC"/>
    <w:pPr>
      <w:spacing w:after="100"/>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customStyle="1" w:styleId="ListParagraphChar">
    <w:name w:val="List Paragraph Char"/>
    <w:aliases w:val="Paragraphe EI Char,Paragraphe de liste1 Char,EC Char"/>
    <w:link w:val="ListParagraph"/>
    <w:uiPriority w:val="34"/>
    <w:locked/>
    <w:rsid w:val="0056274B"/>
    <w:rPr>
      <w:sz w:val="22"/>
      <w:lang w:val="en-GB"/>
    </w:rPr>
  </w:style>
  <w:style w:type="character" w:styleId="PlaceholderText">
    <w:name w:val="Placeholder Text"/>
    <w:uiPriority w:val="99"/>
    <w:semiHidden/>
    <w:rsid w:val="00A16EC3"/>
    <w:rPr>
      <w:color w:val="808080"/>
    </w:rPr>
  </w:style>
  <w:style w:type="paragraph" w:styleId="Revision">
    <w:name w:val="Revision"/>
    <w:hidden/>
    <w:uiPriority w:val="99"/>
    <w:semiHidden/>
    <w:rsid w:val="00AF4638"/>
    <w:pPr>
      <w:spacing w:after="0" w:line="24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ma.europa.eu/legal-no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opa.europa.eu/Pages/Links/Legal-notice.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a.europa.eu/legal-no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ma.europa.eu/press-news/consult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4893</Words>
  <Characters>27895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2022-06-30T17:35:00Z</dcterms:created>
  <dcterms:modified xsi:type="dcterms:W3CDTF">2022-06-30T17:43:00Z</dcterms:modified>
</cp:coreProperties>
</file>