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53BC" w14:textId="77777777" w:rsidR="00EE1B16" w:rsidRDefault="00EE1B16" w:rsidP="00DF20FE">
      <w:pPr>
        <w:pBdr>
          <w:top w:val="single" w:sz="4" w:space="1" w:color="auto"/>
          <w:left w:val="single" w:sz="4" w:space="4" w:color="auto"/>
          <w:bottom w:val="single" w:sz="4" w:space="1" w:color="auto"/>
          <w:right w:val="single" w:sz="4" w:space="4" w:color="auto"/>
        </w:pBdr>
        <w:shd w:val="clear" w:color="auto" w:fill="A8D08D" w:themeFill="accent6" w:themeFillTint="99"/>
        <w:jc w:val="both"/>
        <w:rPr>
          <w:b/>
          <w:bCs/>
          <w:sz w:val="32"/>
          <w:szCs w:val="32"/>
          <w:lang w:val="en-US"/>
        </w:rPr>
      </w:pPr>
    </w:p>
    <w:p w14:paraId="2229B2F9" w14:textId="495ED063" w:rsidR="00F359B9" w:rsidRDefault="00A017E9" w:rsidP="00DF20FE">
      <w:pPr>
        <w:pBdr>
          <w:top w:val="single" w:sz="4" w:space="1" w:color="auto"/>
          <w:left w:val="single" w:sz="4" w:space="4" w:color="auto"/>
          <w:bottom w:val="single" w:sz="4" w:space="1" w:color="auto"/>
          <w:right w:val="single" w:sz="4" w:space="4" w:color="auto"/>
        </w:pBdr>
        <w:shd w:val="clear" w:color="auto" w:fill="A8D08D" w:themeFill="accent6" w:themeFillTint="99"/>
        <w:jc w:val="both"/>
        <w:rPr>
          <w:b/>
          <w:bCs/>
          <w:sz w:val="32"/>
          <w:szCs w:val="32"/>
          <w:lang w:val="en-US"/>
        </w:rPr>
      </w:pPr>
      <w:r w:rsidRPr="00A017E9">
        <w:rPr>
          <w:b/>
          <w:bCs/>
          <w:sz w:val="32"/>
          <w:szCs w:val="32"/>
          <w:lang w:val="en-US"/>
        </w:rPr>
        <w:t>ESMA Consultation – Guidelines on certain aspects of the MiFID I</w:t>
      </w:r>
      <w:r>
        <w:rPr>
          <w:b/>
          <w:bCs/>
          <w:sz w:val="32"/>
          <w:szCs w:val="32"/>
          <w:lang w:val="en-US"/>
        </w:rPr>
        <w:t xml:space="preserve">I suitability requirements. </w:t>
      </w:r>
    </w:p>
    <w:p w14:paraId="5ED8F205" w14:textId="43C98FA5" w:rsidR="00A017E9" w:rsidRDefault="00A017E9" w:rsidP="003C0494">
      <w:pPr>
        <w:jc w:val="both"/>
        <w:rPr>
          <w:b/>
          <w:bCs/>
          <w:sz w:val="32"/>
          <w:szCs w:val="32"/>
          <w:lang w:val="en-US"/>
        </w:rPr>
      </w:pPr>
    </w:p>
    <w:p w14:paraId="748CA879" w14:textId="5464D380" w:rsidR="00A017E9" w:rsidRDefault="00BF3895" w:rsidP="003C0494">
      <w:pPr>
        <w:jc w:val="both"/>
        <w:rPr>
          <w:sz w:val="24"/>
          <w:szCs w:val="24"/>
          <w:lang w:val="en-US"/>
        </w:rPr>
      </w:pPr>
      <w:r>
        <w:rPr>
          <w:sz w:val="24"/>
          <w:szCs w:val="24"/>
          <w:lang w:val="en-US"/>
        </w:rPr>
        <w:t>Febelfin</w:t>
      </w:r>
      <w:r w:rsidR="00A017E9" w:rsidRPr="00A017E9">
        <w:rPr>
          <w:sz w:val="24"/>
          <w:szCs w:val="24"/>
          <w:lang w:val="en-US"/>
        </w:rPr>
        <w:t xml:space="preserve"> </w:t>
      </w:r>
      <w:r w:rsidR="00A017E9">
        <w:rPr>
          <w:sz w:val="24"/>
          <w:szCs w:val="24"/>
          <w:lang w:val="en-US"/>
        </w:rPr>
        <w:t xml:space="preserve">fully </w:t>
      </w:r>
      <w:r w:rsidR="00A017E9" w:rsidRPr="00A017E9">
        <w:rPr>
          <w:sz w:val="24"/>
          <w:szCs w:val="24"/>
          <w:lang w:val="en-US"/>
        </w:rPr>
        <w:t>supports the</w:t>
      </w:r>
      <w:r w:rsidR="00A017E9">
        <w:rPr>
          <w:sz w:val="24"/>
          <w:szCs w:val="24"/>
          <w:lang w:val="en-US"/>
        </w:rPr>
        <w:t xml:space="preserve"> Union’s ambition to transit to a low-carbon, more sustainable, resource-efficient and circular economy in line with the UN Sustainable Development Goals. As a financial institution we want to contribute to the reorientation of  capital flows towards sustainable investments to achieve sustainable and inclusive growth, both in our capacity as credit institution as well as financial adviser. </w:t>
      </w:r>
    </w:p>
    <w:p w14:paraId="26988103" w14:textId="4A0989AB" w:rsidR="00A017E9" w:rsidRDefault="00A017E9" w:rsidP="003C0494">
      <w:pPr>
        <w:jc w:val="both"/>
        <w:rPr>
          <w:sz w:val="24"/>
          <w:szCs w:val="24"/>
          <w:lang w:val="en-US"/>
        </w:rPr>
      </w:pPr>
      <w:r w:rsidRPr="445F3169">
        <w:rPr>
          <w:sz w:val="24"/>
          <w:szCs w:val="24"/>
          <w:lang w:val="en-US"/>
        </w:rPr>
        <w:t xml:space="preserve">Therefore, we </w:t>
      </w:r>
      <w:r w:rsidR="00310697" w:rsidRPr="445F3169">
        <w:rPr>
          <w:sz w:val="24"/>
          <w:szCs w:val="24"/>
          <w:lang w:val="en-US"/>
        </w:rPr>
        <w:t>endorse</w:t>
      </w:r>
      <w:r w:rsidRPr="445F3169">
        <w:rPr>
          <w:sz w:val="24"/>
          <w:szCs w:val="24"/>
          <w:lang w:val="en-US"/>
        </w:rPr>
        <w:t xml:space="preserve"> the objectives of the </w:t>
      </w:r>
      <w:r w:rsidR="000D6F11" w:rsidRPr="445F3169">
        <w:rPr>
          <w:sz w:val="24"/>
          <w:szCs w:val="24"/>
          <w:lang w:val="en-US"/>
        </w:rPr>
        <w:t>MIFD/IDD Delegated Acts as regards the integration of</w:t>
      </w:r>
      <w:r w:rsidRPr="445F3169">
        <w:rPr>
          <w:sz w:val="24"/>
          <w:szCs w:val="24"/>
          <w:lang w:val="en-US"/>
        </w:rPr>
        <w:t xml:space="preserve"> </w:t>
      </w:r>
      <w:r w:rsidR="000D6F11" w:rsidRPr="445F3169">
        <w:rPr>
          <w:sz w:val="24"/>
          <w:szCs w:val="24"/>
          <w:lang w:val="en-US"/>
        </w:rPr>
        <w:t xml:space="preserve">sustainability risks and sustainability preferences in our conduct of business and are willing </w:t>
      </w:r>
      <w:r w:rsidR="003C0494" w:rsidRPr="445F3169">
        <w:rPr>
          <w:sz w:val="24"/>
          <w:szCs w:val="24"/>
          <w:lang w:val="en-US"/>
        </w:rPr>
        <w:t xml:space="preserve">to assist our clients on their path to more sustainable investing. </w:t>
      </w:r>
    </w:p>
    <w:p w14:paraId="6D8DAF9E" w14:textId="757583DF" w:rsidR="00A017E9" w:rsidRDefault="003C0494" w:rsidP="003C0494">
      <w:pPr>
        <w:jc w:val="both"/>
        <w:rPr>
          <w:sz w:val="24"/>
          <w:szCs w:val="24"/>
          <w:lang w:val="en-US"/>
        </w:rPr>
      </w:pPr>
      <w:r w:rsidRPr="00DF20FE">
        <w:rPr>
          <w:sz w:val="24"/>
          <w:szCs w:val="24"/>
          <w:lang w:val="en-US"/>
        </w:rPr>
        <w:t>We fear however that the delegated acts, as further developed by the draft ESMA guidelines will miss their objectives and have unintended negative impact</w:t>
      </w:r>
      <w:r w:rsidR="00D70695" w:rsidRPr="00DF20FE">
        <w:rPr>
          <w:sz w:val="24"/>
          <w:szCs w:val="24"/>
          <w:lang w:val="en-US"/>
        </w:rPr>
        <w:t xml:space="preserve"> because the regulation is overly complex  for investors to </w:t>
      </w:r>
      <w:r w:rsidR="00D70695" w:rsidRPr="77F96176">
        <w:rPr>
          <w:sz w:val="24"/>
          <w:szCs w:val="24"/>
          <w:lang w:val="en-US"/>
        </w:rPr>
        <w:t>understand.</w:t>
      </w:r>
      <w:r w:rsidR="00DC3046" w:rsidRPr="77F96176">
        <w:rPr>
          <w:sz w:val="24"/>
          <w:szCs w:val="24"/>
          <w:lang w:val="en-US"/>
        </w:rPr>
        <w:t xml:space="preserve"> Moreover, a</w:t>
      </w:r>
      <w:r w:rsidR="00D70695" w:rsidRPr="77F96176">
        <w:rPr>
          <w:sz w:val="24"/>
          <w:szCs w:val="24"/>
          <w:lang w:val="en-US"/>
        </w:rPr>
        <w:t xml:space="preserve">t this </w:t>
      </w:r>
      <w:r w:rsidR="00D70695" w:rsidRPr="00DF20FE">
        <w:rPr>
          <w:sz w:val="24"/>
          <w:szCs w:val="24"/>
          <w:lang w:val="en-US"/>
        </w:rPr>
        <w:t>stage there is no reliable and exhaustive data available, preventing the manufacturing  of and advice on sustainable products without the risk of being accused of green washing afterwards.</w:t>
      </w:r>
    </w:p>
    <w:p w14:paraId="214247C9" w14:textId="7E8FE0FD" w:rsidR="00741C59" w:rsidRPr="00B662BF" w:rsidRDefault="00741C59" w:rsidP="003C0494">
      <w:pPr>
        <w:jc w:val="both"/>
        <w:rPr>
          <w:sz w:val="24"/>
          <w:szCs w:val="24"/>
          <w:lang w:val="en-US"/>
        </w:rPr>
      </w:pPr>
      <w:r w:rsidRPr="63D6EC09">
        <w:rPr>
          <w:sz w:val="24"/>
          <w:szCs w:val="24"/>
          <w:lang w:val="en-US"/>
        </w:rPr>
        <w:t>In our view the  better option would be to have a more phased-</w:t>
      </w:r>
      <w:r w:rsidR="00325FA2" w:rsidRPr="63D6EC09">
        <w:rPr>
          <w:sz w:val="24"/>
          <w:szCs w:val="24"/>
          <w:lang w:val="en-US"/>
        </w:rPr>
        <w:t xml:space="preserve">in </w:t>
      </w:r>
      <w:r w:rsidRPr="63D6EC09">
        <w:rPr>
          <w:sz w:val="24"/>
          <w:szCs w:val="24"/>
          <w:lang w:val="en-US"/>
        </w:rPr>
        <w:t>inclusion of sustainability preferences, taking into account</w:t>
      </w:r>
      <w:r w:rsidR="003E40BF">
        <w:rPr>
          <w:sz w:val="24"/>
          <w:szCs w:val="24"/>
          <w:lang w:val="en-US"/>
        </w:rPr>
        <w:t xml:space="preserve"> </w:t>
      </w:r>
      <w:r w:rsidR="00F236B7">
        <w:rPr>
          <w:sz w:val="24"/>
          <w:szCs w:val="24"/>
          <w:lang w:val="en-US"/>
        </w:rPr>
        <w:t>(</w:t>
      </w:r>
      <w:proofErr w:type="spellStart"/>
      <w:r w:rsidR="00F236B7">
        <w:rPr>
          <w:sz w:val="24"/>
          <w:szCs w:val="24"/>
          <w:lang w:val="en-US"/>
        </w:rPr>
        <w:t>i</w:t>
      </w:r>
      <w:proofErr w:type="spellEnd"/>
      <w:r w:rsidR="00F236B7">
        <w:rPr>
          <w:sz w:val="24"/>
          <w:szCs w:val="24"/>
          <w:lang w:val="en-US"/>
        </w:rPr>
        <w:t xml:space="preserve">) final ESMA and EIOPA guidelines (which are </w:t>
      </w:r>
      <w:r w:rsidR="00556376">
        <w:rPr>
          <w:sz w:val="24"/>
          <w:szCs w:val="24"/>
          <w:lang w:val="en-US"/>
        </w:rPr>
        <w:t>on today’s date not aligned), and (ii)</w:t>
      </w:r>
      <w:r w:rsidRPr="63D6EC09">
        <w:rPr>
          <w:sz w:val="24"/>
          <w:szCs w:val="24"/>
          <w:lang w:val="en-US"/>
        </w:rPr>
        <w:t xml:space="preserve"> the expected data flow (disclosures in the framework of article 8 Taxonomy Regulation,  upcoming CSRD, SFDR RTS) </w:t>
      </w:r>
      <w:r w:rsidR="00E44D21" w:rsidRPr="63D6EC09">
        <w:rPr>
          <w:sz w:val="24"/>
          <w:szCs w:val="24"/>
          <w:lang w:val="en-US"/>
        </w:rPr>
        <w:t xml:space="preserve">and with a focus on information </w:t>
      </w:r>
      <w:r w:rsidR="007E3DF6" w:rsidRPr="63D6EC09">
        <w:rPr>
          <w:sz w:val="24"/>
          <w:szCs w:val="24"/>
          <w:lang w:val="en-US"/>
        </w:rPr>
        <w:t xml:space="preserve">rather </w:t>
      </w:r>
      <w:r w:rsidR="00E44D21" w:rsidRPr="63D6EC09">
        <w:rPr>
          <w:sz w:val="24"/>
          <w:szCs w:val="24"/>
          <w:lang w:val="en-US"/>
        </w:rPr>
        <w:t xml:space="preserve">than on </w:t>
      </w:r>
      <w:r w:rsidR="002E50A6" w:rsidRPr="63D6EC09">
        <w:rPr>
          <w:sz w:val="24"/>
          <w:szCs w:val="24"/>
          <w:lang w:val="en-US"/>
        </w:rPr>
        <w:t xml:space="preserve"> very granularly defined sustainability preferences. </w:t>
      </w:r>
      <w:r w:rsidR="00EA7761" w:rsidRPr="63D6EC09">
        <w:rPr>
          <w:sz w:val="24"/>
          <w:szCs w:val="24"/>
          <w:lang w:val="en-US"/>
        </w:rPr>
        <w:t>This way clients would become more</w:t>
      </w:r>
      <w:r w:rsidR="00A660EC" w:rsidRPr="63D6EC09">
        <w:rPr>
          <w:sz w:val="24"/>
          <w:szCs w:val="24"/>
          <w:lang w:val="en-US"/>
        </w:rPr>
        <w:t xml:space="preserve"> aware and educated on ESG</w:t>
      </w:r>
      <w:r w:rsidR="000051D6" w:rsidRPr="63D6EC09">
        <w:rPr>
          <w:sz w:val="24"/>
          <w:szCs w:val="24"/>
          <w:lang w:val="en-US"/>
        </w:rPr>
        <w:t xml:space="preserve"> (both positive impact as well as adverse impacts</w:t>
      </w:r>
      <w:r w:rsidR="00DF4801" w:rsidRPr="63D6EC09">
        <w:rPr>
          <w:sz w:val="24"/>
          <w:szCs w:val="24"/>
          <w:lang w:val="en-US"/>
        </w:rPr>
        <w:t xml:space="preserve">), </w:t>
      </w:r>
      <w:r w:rsidR="009C5D51" w:rsidRPr="63D6EC09">
        <w:rPr>
          <w:sz w:val="24"/>
          <w:szCs w:val="24"/>
          <w:lang w:val="en-US"/>
        </w:rPr>
        <w:t>become familiar with the</w:t>
      </w:r>
      <w:r w:rsidR="005A1987" w:rsidRPr="63D6EC09">
        <w:rPr>
          <w:sz w:val="24"/>
          <w:szCs w:val="24"/>
          <w:lang w:val="en-US"/>
        </w:rPr>
        <w:t xml:space="preserve"> evolving offer of sustainable products </w:t>
      </w:r>
      <w:r w:rsidR="003E4505" w:rsidRPr="63D6EC09">
        <w:rPr>
          <w:sz w:val="24"/>
          <w:szCs w:val="24"/>
          <w:lang w:val="en-US"/>
        </w:rPr>
        <w:t>(due to increase</w:t>
      </w:r>
      <w:r w:rsidR="009D5AE4" w:rsidRPr="63D6EC09">
        <w:rPr>
          <w:sz w:val="24"/>
          <w:szCs w:val="24"/>
          <w:lang w:val="en-US"/>
        </w:rPr>
        <w:t xml:space="preserve"> in reliable data, finetuning of </w:t>
      </w:r>
      <w:r w:rsidR="008E56D6" w:rsidRPr="63D6EC09">
        <w:rPr>
          <w:sz w:val="24"/>
          <w:szCs w:val="24"/>
          <w:lang w:val="en-US"/>
        </w:rPr>
        <w:t>methodologies</w:t>
      </w:r>
      <w:r w:rsidR="00374887" w:rsidRPr="63D6EC09">
        <w:rPr>
          <w:sz w:val="24"/>
          <w:szCs w:val="24"/>
          <w:lang w:val="en-US"/>
        </w:rPr>
        <w:t xml:space="preserve"> an</w:t>
      </w:r>
      <w:r w:rsidR="001117CE" w:rsidRPr="63D6EC09">
        <w:rPr>
          <w:sz w:val="24"/>
          <w:szCs w:val="24"/>
          <w:lang w:val="en-US"/>
        </w:rPr>
        <w:t xml:space="preserve">d manufacturing of products around principal adverse impacts). </w:t>
      </w:r>
      <w:r w:rsidR="00C34B71" w:rsidRPr="63D6EC09">
        <w:rPr>
          <w:sz w:val="24"/>
          <w:szCs w:val="24"/>
          <w:lang w:val="en-US"/>
        </w:rPr>
        <w:t xml:space="preserve"> This way clients could be accompanie</w:t>
      </w:r>
      <w:r w:rsidR="003146D9" w:rsidRPr="63D6EC09">
        <w:rPr>
          <w:sz w:val="24"/>
          <w:szCs w:val="24"/>
          <w:lang w:val="en-US"/>
        </w:rPr>
        <w:t>d whilst the market is being further developed</w:t>
      </w:r>
      <w:r w:rsidR="004E0031" w:rsidRPr="63D6EC09">
        <w:rPr>
          <w:sz w:val="24"/>
          <w:szCs w:val="24"/>
          <w:lang w:val="en-US"/>
        </w:rPr>
        <w:t xml:space="preserve">, without </w:t>
      </w:r>
      <w:r w:rsidR="00C73D44" w:rsidRPr="63D6EC09">
        <w:rPr>
          <w:sz w:val="24"/>
          <w:szCs w:val="24"/>
          <w:lang w:val="en-US"/>
        </w:rPr>
        <w:t xml:space="preserve">driving them away </w:t>
      </w:r>
      <w:r w:rsidR="0001386A" w:rsidRPr="63D6EC09">
        <w:rPr>
          <w:sz w:val="24"/>
          <w:szCs w:val="24"/>
          <w:lang w:val="en-US"/>
        </w:rPr>
        <w:t xml:space="preserve">by directly asking him complicated, granular </w:t>
      </w:r>
      <w:r w:rsidR="00F11941" w:rsidRPr="63D6EC09">
        <w:rPr>
          <w:sz w:val="24"/>
          <w:szCs w:val="24"/>
          <w:lang w:val="en-US"/>
        </w:rPr>
        <w:t xml:space="preserve">questions, without there being a sufficiently developed offer behind. </w:t>
      </w:r>
    </w:p>
    <w:p w14:paraId="76BBAA53" w14:textId="188225C5" w:rsidR="00D70695" w:rsidRDefault="00D70695" w:rsidP="003C0494">
      <w:pPr>
        <w:jc w:val="both"/>
        <w:rPr>
          <w:lang w:val="en-US"/>
        </w:rPr>
      </w:pPr>
    </w:p>
    <w:p w14:paraId="68FB17C4" w14:textId="541EC701" w:rsidR="00D70695" w:rsidRDefault="00D70695" w:rsidP="003C0494">
      <w:pPr>
        <w:jc w:val="both"/>
        <w:rPr>
          <w:lang w:val="en-US"/>
        </w:rPr>
      </w:pPr>
    </w:p>
    <w:p w14:paraId="0492B9C1" w14:textId="3BC545F6" w:rsidR="00D70695" w:rsidRDefault="00D70695">
      <w:pPr>
        <w:rPr>
          <w:lang w:val="en-US"/>
        </w:rPr>
      </w:pPr>
      <w:r>
        <w:rPr>
          <w:lang w:val="en-US"/>
        </w:rPr>
        <w:br w:type="page"/>
      </w:r>
    </w:p>
    <w:p w14:paraId="1A19BB9F" w14:textId="32BB7ABC" w:rsidR="003C0494" w:rsidRPr="00044FBC" w:rsidRDefault="00D70695" w:rsidP="00044FBC">
      <w:pPr>
        <w:pBdr>
          <w:top w:val="single" w:sz="4" w:space="1" w:color="auto"/>
          <w:left w:val="single" w:sz="4" w:space="4" w:color="auto"/>
          <w:bottom w:val="single" w:sz="4" w:space="1" w:color="auto"/>
          <w:right w:val="single" w:sz="4" w:space="4" w:color="auto"/>
        </w:pBdr>
        <w:shd w:val="clear" w:color="auto" w:fill="E2EFD9" w:themeFill="accent6" w:themeFillTint="33"/>
        <w:jc w:val="both"/>
        <w:rPr>
          <w:sz w:val="24"/>
          <w:szCs w:val="24"/>
          <w:u w:val="single"/>
          <w:lang w:val="en-US"/>
        </w:rPr>
      </w:pPr>
      <w:r w:rsidRPr="00044FBC">
        <w:rPr>
          <w:sz w:val="24"/>
          <w:szCs w:val="24"/>
          <w:u w:val="single"/>
          <w:lang w:val="en-US"/>
        </w:rPr>
        <w:lastRenderedPageBreak/>
        <w:t>Guideline 1 – information to clients about the purpose of the suitability assessment and its scope.</w:t>
      </w:r>
    </w:p>
    <w:p w14:paraId="6434F0E7" w14:textId="7C5C51DD" w:rsidR="00A017E9" w:rsidRPr="00B645E5" w:rsidRDefault="00D70695" w:rsidP="003C0494">
      <w:pPr>
        <w:jc w:val="both"/>
        <w:rPr>
          <w:i/>
          <w:iCs/>
          <w:sz w:val="20"/>
          <w:szCs w:val="20"/>
          <w:lang w:val="en-US"/>
        </w:rPr>
      </w:pPr>
      <w:r w:rsidRPr="00B645E5">
        <w:rPr>
          <w:i/>
          <w:iCs/>
          <w:sz w:val="20"/>
          <w:szCs w:val="20"/>
          <w:lang w:val="en-US"/>
        </w:rPr>
        <w:t>16. In order to help clients understand the concept of “sustainability preferences” and the choices to be made in this context, firms should explain the term and the distinction between the different elements of the definition of sustainability preferences under a) to c) and also between these products and products without such sustainability features in a clear manner, avoiding technical language. Firms should also explain what environmental, social and governance aspects mean.</w:t>
      </w:r>
    </w:p>
    <w:p w14:paraId="1673FE44" w14:textId="7AEE4081" w:rsidR="00A017E9" w:rsidRPr="00A017E9" w:rsidRDefault="00A017E9" w:rsidP="003C0494">
      <w:pPr>
        <w:jc w:val="both"/>
        <w:rPr>
          <w:lang w:val="en-US"/>
        </w:rPr>
      </w:pPr>
    </w:p>
    <w:p w14:paraId="212D91D9" w14:textId="3AF861CD" w:rsidR="00A017E9" w:rsidRPr="00D70695" w:rsidRDefault="00D70695" w:rsidP="003C0494">
      <w:pPr>
        <w:jc w:val="both"/>
        <w:rPr>
          <w:b/>
          <w:bCs/>
          <w:lang w:val="en-US"/>
        </w:rPr>
      </w:pPr>
      <w:r w:rsidRPr="00D70695">
        <w:rPr>
          <w:b/>
          <w:bCs/>
          <w:lang w:val="en-US"/>
        </w:rPr>
        <w:t>Q1. Do you agree with the suggested approach on the information to clients about the purpose of the suitability assessment and its scope? Please also state the reasons for your answer</w:t>
      </w:r>
      <w:r w:rsidR="00F16D55">
        <w:rPr>
          <w:b/>
          <w:bCs/>
          <w:lang w:val="en-US"/>
        </w:rPr>
        <w:t>.</w:t>
      </w:r>
    </w:p>
    <w:p w14:paraId="397D629D" w14:textId="33EFC43D" w:rsidR="002B00EF" w:rsidRDefault="00ED6896" w:rsidP="003C0494">
      <w:pPr>
        <w:jc w:val="both"/>
        <w:rPr>
          <w:lang w:val="en-US"/>
        </w:rPr>
      </w:pPr>
      <w:r w:rsidRPr="63D6EC09">
        <w:rPr>
          <w:lang w:val="en-US"/>
        </w:rPr>
        <w:t xml:space="preserve">We assume that when reference is made to the purpose of the suitability assessment, the inclusion of  sustainability preferences in such suitability assessment is envisaged. </w:t>
      </w:r>
    </w:p>
    <w:p w14:paraId="2DDC12CB" w14:textId="12BAFBB5" w:rsidR="002B00EF" w:rsidRDefault="00ED6896" w:rsidP="003C0494">
      <w:pPr>
        <w:jc w:val="both"/>
        <w:rPr>
          <w:lang w:val="en-US"/>
        </w:rPr>
      </w:pPr>
      <w:r w:rsidRPr="63D6EC09">
        <w:rPr>
          <w:lang w:val="en-US"/>
        </w:rPr>
        <w:t xml:space="preserve">We share the view that we should accompany our clients in their journey towards more sustainable investing. </w:t>
      </w:r>
      <w:r w:rsidR="00EB04FB" w:rsidRPr="63D6EC09">
        <w:rPr>
          <w:lang w:val="en-US"/>
        </w:rPr>
        <w:t xml:space="preserve"> We want however to share some attention points:</w:t>
      </w:r>
    </w:p>
    <w:p w14:paraId="6AC89C82" w14:textId="77777777" w:rsidR="000C22C1" w:rsidRDefault="000C22C1" w:rsidP="003C0494">
      <w:pPr>
        <w:jc w:val="both"/>
        <w:rPr>
          <w:lang w:val="en-US"/>
        </w:rPr>
      </w:pPr>
    </w:p>
    <w:p w14:paraId="51187A26" w14:textId="29BC312D" w:rsidR="007E716E" w:rsidRPr="0040611B" w:rsidRDefault="007E716E" w:rsidP="0040611B">
      <w:pPr>
        <w:pStyle w:val="ListParagraph"/>
        <w:numPr>
          <w:ilvl w:val="0"/>
          <w:numId w:val="36"/>
        </w:numPr>
        <w:jc w:val="both"/>
        <w:rPr>
          <w:b/>
          <w:bCs/>
          <w:lang w:val="en-US"/>
        </w:rPr>
      </w:pPr>
      <w:r w:rsidRPr="0040611B">
        <w:rPr>
          <w:b/>
          <w:bCs/>
          <w:lang w:val="en-US"/>
        </w:rPr>
        <w:t xml:space="preserve">Overall complexity – too </w:t>
      </w:r>
      <w:r w:rsidR="00B87ED2">
        <w:rPr>
          <w:b/>
          <w:bCs/>
          <w:lang w:val="en-US"/>
        </w:rPr>
        <w:t>granular</w:t>
      </w:r>
      <w:r w:rsidRPr="0040611B">
        <w:rPr>
          <w:b/>
          <w:bCs/>
          <w:lang w:val="en-US"/>
        </w:rPr>
        <w:t>.</w:t>
      </w:r>
    </w:p>
    <w:p w14:paraId="4D8AE9FE" w14:textId="21E1F94C" w:rsidR="002E3046" w:rsidRDefault="00ED6896" w:rsidP="003C0494">
      <w:pPr>
        <w:jc w:val="both"/>
        <w:rPr>
          <w:lang w:val="en-US"/>
        </w:rPr>
      </w:pPr>
      <w:r>
        <w:rPr>
          <w:lang w:val="en-US"/>
        </w:rPr>
        <w:t xml:space="preserve">We believe that the granularity in which we need to inquire and hence inform our clients, is </w:t>
      </w:r>
      <w:r w:rsidRPr="000924EC">
        <w:rPr>
          <w:lang w:val="en-US"/>
        </w:rPr>
        <w:t>overly co</w:t>
      </w:r>
      <w:r w:rsidRPr="005550D3">
        <w:rPr>
          <w:lang w:val="en-US"/>
        </w:rPr>
        <w:t>mplex</w:t>
      </w:r>
      <w:r w:rsidRPr="0040611B">
        <w:rPr>
          <w:b/>
          <w:bCs/>
          <w:lang w:val="en-US"/>
        </w:rPr>
        <w:t xml:space="preserve"> </w:t>
      </w:r>
      <w:r>
        <w:rPr>
          <w:lang w:val="en-US"/>
        </w:rPr>
        <w:t>for a client to understand</w:t>
      </w:r>
      <w:r w:rsidR="005550D3">
        <w:rPr>
          <w:lang w:val="en-US"/>
        </w:rPr>
        <w:t>:</w:t>
      </w:r>
      <w:r w:rsidR="002E3046">
        <w:rPr>
          <w:lang w:val="en-US"/>
        </w:rPr>
        <w:t xml:space="preserve"> </w:t>
      </w:r>
      <w:r w:rsidR="005550D3">
        <w:rPr>
          <w:lang w:val="en-US"/>
        </w:rPr>
        <w:t>a</w:t>
      </w:r>
      <w:r w:rsidR="002E3046">
        <w:rPr>
          <w:lang w:val="en-US"/>
        </w:rPr>
        <w:t xml:space="preserve"> client needs to understand how taxonomy works</w:t>
      </w:r>
      <w:r w:rsidR="00AE1AF0">
        <w:rPr>
          <w:lang w:val="en-US"/>
        </w:rPr>
        <w:t xml:space="preserve"> (</w:t>
      </w:r>
      <w:r w:rsidR="008F2104">
        <w:rPr>
          <w:lang w:val="en-US"/>
        </w:rPr>
        <w:t xml:space="preserve">its scope, </w:t>
      </w:r>
      <w:r w:rsidR="00AE1AF0">
        <w:rPr>
          <w:lang w:val="en-US"/>
        </w:rPr>
        <w:t xml:space="preserve"> </w:t>
      </w:r>
      <w:r w:rsidR="00AE1AF0" w:rsidRPr="0040611B">
        <w:rPr>
          <w:lang w:val="en-US"/>
        </w:rPr>
        <w:t>substantially</w:t>
      </w:r>
      <w:r w:rsidR="00AE1AF0">
        <w:rPr>
          <w:lang w:val="en-US"/>
        </w:rPr>
        <w:t xml:space="preserve"> contribution, </w:t>
      </w:r>
      <w:r w:rsidR="007F76AD">
        <w:rPr>
          <w:lang w:val="en-US"/>
        </w:rPr>
        <w:t>transition,</w:t>
      </w:r>
      <w:r w:rsidR="006D5B69">
        <w:rPr>
          <w:lang w:val="en-US"/>
        </w:rPr>
        <w:t xml:space="preserve"> minimum social safeguar</w:t>
      </w:r>
      <w:r w:rsidR="0059320E">
        <w:rPr>
          <w:lang w:val="en-US"/>
        </w:rPr>
        <w:t>d</w:t>
      </w:r>
      <w:r w:rsidR="006D5B69">
        <w:rPr>
          <w:lang w:val="en-US"/>
        </w:rPr>
        <w:t>s</w:t>
      </w:r>
      <w:r w:rsidR="00AC104C">
        <w:rPr>
          <w:lang w:val="en-US"/>
        </w:rPr>
        <w:t xml:space="preserve">); </w:t>
      </w:r>
      <w:r w:rsidR="002E3046">
        <w:rPr>
          <w:lang w:val="en-US"/>
        </w:rPr>
        <w:t xml:space="preserve">the difference </w:t>
      </w:r>
      <w:r w:rsidR="00D05222">
        <w:rPr>
          <w:lang w:val="en-US"/>
        </w:rPr>
        <w:t xml:space="preserve">between </w:t>
      </w:r>
      <w:r w:rsidR="00672BD7">
        <w:rPr>
          <w:lang w:val="en-US"/>
        </w:rPr>
        <w:t>“</w:t>
      </w:r>
      <w:r w:rsidR="00D05222">
        <w:rPr>
          <w:lang w:val="en-US"/>
        </w:rPr>
        <w:t xml:space="preserve">environmentally </w:t>
      </w:r>
      <w:r w:rsidR="00672BD7">
        <w:rPr>
          <w:lang w:val="en-US"/>
        </w:rPr>
        <w:t xml:space="preserve">sustainable investments as defined in the </w:t>
      </w:r>
      <w:r w:rsidR="00E82F8B">
        <w:rPr>
          <w:lang w:val="en-US"/>
        </w:rPr>
        <w:t>Taxonomy Regulation” and  “</w:t>
      </w:r>
      <w:r w:rsidR="002E3046">
        <w:rPr>
          <w:lang w:val="en-US"/>
        </w:rPr>
        <w:t>sustainable investments</w:t>
      </w:r>
      <w:r w:rsidR="00E82F8B">
        <w:rPr>
          <w:lang w:val="en-US"/>
        </w:rPr>
        <w:t xml:space="preserve"> as defined in</w:t>
      </w:r>
      <w:r w:rsidR="009B6DA2">
        <w:rPr>
          <w:lang w:val="en-US"/>
        </w:rPr>
        <w:t xml:space="preserve"> SFDR</w:t>
      </w:r>
      <w:r w:rsidR="00E82F8B">
        <w:rPr>
          <w:lang w:val="en-US"/>
        </w:rPr>
        <w:t>”</w:t>
      </w:r>
      <w:r w:rsidR="002B73B5">
        <w:rPr>
          <w:lang w:val="en-US"/>
        </w:rPr>
        <w:t xml:space="preserve">; the double layer of percentages (‘to which extent’ and ‘minimum proportion’), what ‘principal adverse impacts’ are, and how those can be taken into </w:t>
      </w:r>
      <w:r w:rsidR="00CE2710">
        <w:rPr>
          <w:lang w:val="en-US"/>
        </w:rPr>
        <w:t>account and how th</w:t>
      </w:r>
      <w:r w:rsidR="005342F4">
        <w:rPr>
          <w:lang w:val="en-US"/>
        </w:rPr>
        <w:t>o</w:t>
      </w:r>
      <w:r w:rsidR="00CE2710">
        <w:rPr>
          <w:lang w:val="en-US"/>
        </w:rPr>
        <w:t>s</w:t>
      </w:r>
      <w:r w:rsidR="005342F4">
        <w:rPr>
          <w:lang w:val="en-US"/>
        </w:rPr>
        <w:t>e sustainability preferences</w:t>
      </w:r>
      <w:r w:rsidR="00CE2710">
        <w:rPr>
          <w:lang w:val="en-US"/>
        </w:rPr>
        <w:t xml:space="preserve"> can (not) be applied </w:t>
      </w:r>
      <w:r w:rsidR="00F251C9">
        <w:rPr>
          <w:lang w:val="en-US"/>
        </w:rPr>
        <w:t>to</w:t>
      </w:r>
      <w:r w:rsidR="00CE2710">
        <w:rPr>
          <w:lang w:val="en-US"/>
        </w:rPr>
        <w:t xml:space="preserve"> the different types of financial instruments and hence what the impact</w:t>
      </w:r>
      <w:r w:rsidR="00391F3D">
        <w:rPr>
          <w:lang w:val="en-US"/>
        </w:rPr>
        <w:t xml:space="preserve"> of the inclusion of sustainability prefe</w:t>
      </w:r>
      <w:r w:rsidR="008852D7">
        <w:rPr>
          <w:lang w:val="en-US"/>
        </w:rPr>
        <w:t>re</w:t>
      </w:r>
      <w:r w:rsidR="00391F3D">
        <w:rPr>
          <w:lang w:val="en-US"/>
        </w:rPr>
        <w:t>nces</w:t>
      </w:r>
      <w:r w:rsidR="00CE2710">
        <w:rPr>
          <w:lang w:val="en-US"/>
        </w:rPr>
        <w:t xml:space="preserve"> will be on his or her </w:t>
      </w:r>
      <w:r w:rsidR="006013E3" w:rsidRPr="0040611B">
        <w:rPr>
          <w:lang w:val="en-US"/>
        </w:rPr>
        <w:t>investment universe</w:t>
      </w:r>
      <w:r w:rsidR="00391F3D" w:rsidRPr="0040611B">
        <w:rPr>
          <w:lang w:val="en-US"/>
        </w:rPr>
        <w:t xml:space="preserve"> (limited universe</w:t>
      </w:r>
      <w:r w:rsidR="008852D7" w:rsidRPr="0040611B">
        <w:rPr>
          <w:lang w:val="en-US"/>
        </w:rPr>
        <w:t>)</w:t>
      </w:r>
      <w:r w:rsidR="006013E3" w:rsidRPr="0040611B">
        <w:rPr>
          <w:lang w:val="en-US"/>
        </w:rPr>
        <w:t>.</w:t>
      </w:r>
      <w:r w:rsidR="006013E3">
        <w:rPr>
          <w:lang w:val="en-US"/>
        </w:rPr>
        <w:t xml:space="preserve"> </w:t>
      </w:r>
    </w:p>
    <w:p w14:paraId="2C108680" w14:textId="29038877" w:rsidR="009F5C28" w:rsidRPr="00CA02CF" w:rsidRDefault="009F5C28" w:rsidP="003C0494">
      <w:pPr>
        <w:jc w:val="both"/>
        <w:rPr>
          <w:lang w:val="en-US"/>
        </w:rPr>
      </w:pPr>
    </w:p>
    <w:p w14:paraId="3A48F093" w14:textId="67DC59FD" w:rsidR="00B86F51" w:rsidRPr="00CA02CF" w:rsidRDefault="00C94E31" w:rsidP="00CA02CF">
      <w:pPr>
        <w:pStyle w:val="ListParagraph"/>
        <w:numPr>
          <w:ilvl w:val="0"/>
          <w:numId w:val="36"/>
        </w:numPr>
        <w:jc w:val="both"/>
        <w:rPr>
          <w:b/>
          <w:bCs/>
          <w:lang w:val="en-US"/>
        </w:rPr>
      </w:pPr>
      <w:r w:rsidRPr="00CA02CF">
        <w:rPr>
          <w:b/>
          <w:bCs/>
          <w:lang w:val="en-US"/>
        </w:rPr>
        <w:t>Lack of common</w:t>
      </w:r>
      <w:r w:rsidR="00957958" w:rsidRPr="00CA02CF">
        <w:rPr>
          <w:b/>
          <w:bCs/>
          <w:lang w:val="en-US"/>
        </w:rPr>
        <w:t xml:space="preserve"> - </w:t>
      </w:r>
      <w:r w:rsidRPr="00CA02CF">
        <w:rPr>
          <w:b/>
          <w:bCs/>
          <w:lang w:val="en-US"/>
        </w:rPr>
        <w:t xml:space="preserve"> </w:t>
      </w:r>
      <w:r w:rsidR="00957958" w:rsidRPr="00CA02CF">
        <w:rPr>
          <w:b/>
          <w:bCs/>
          <w:lang w:val="en-US"/>
        </w:rPr>
        <w:t xml:space="preserve">worldwide </w:t>
      </w:r>
      <w:r w:rsidR="006471B4" w:rsidRPr="00CA02CF">
        <w:rPr>
          <w:b/>
          <w:bCs/>
          <w:lang w:val="en-US"/>
        </w:rPr>
        <w:t>–</w:t>
      </w:r>
      <w:r w:rsidR="00957958" w:rsidRPr="00CA02CF">
        <w:rPr>
          <w:b/>
          <w:bCs/>
          <w:lang w:val="en-US"/>
        </w:rPr>
        <w:t xml:space="preserve"> </w:t>
      </w:r>
      <w:r w:rsidRPr="00CA02CF">
        <w:rPr>
          <w:b/>
          <w:bCs/>
          <w:lang w:val="en-US"/>
        </w:rPr>
        <w:t>methodol</w:t>
      </w:r>
      <w:r w:rsidR="00490949" w:rsidRPr="00CA02CF">
        <w:rPr>
          <w:b/>
          <w:bCs/>
          <w:lang w:val="en-US"/>
        </w:rPr>
        <w:t>ogy</w:t>
      </w:r>
    </w:p>
    <w:p w14:paraId="5F160083" w14:textId="6C4F677F" w:rsidR="00E44723" w:rsidRDefault="00EF5214" w:rsidP="003C0494">
      <w:pPr>
        <w:jc w:val="both"/>
        <w:rPr>
          <w:lang w:val="en-US"/>
        </w:rPr>
      </w:pPr>
      <w:r>
        <w:rPr>
          <w:lang w:val="en-US"/>
        </w:rPr>
        <w:t xml:space="preserve">There is no single, standardized methodology </w:t>
      </w:r>
      <w:r w:rsidR="00EB5EE7">
        <w:rPr>
          <w:lang w:val="en-US"/>
        </w:rPr>
        <w:t xml:space="preserve">to determine the positive/negative impacts of </w:t>
      </w:r>
      <w:r w:rsidR="0058581C">
        <w:rPr>
          <w:lang w:val="en-US"/>
        </w:rPr>
        <w:t xml:space="preserve">a </w:t>
      </w:r>
      <w:r w:rsidR="00EB5EE7">
        <w:rPr>
          <w:lang w:val="en-US"/>
        </w:rPr>
        <w:t>c</w:t>
      </w:r>
      <w:r w:rsidR="0058581C">
        <w:rPr>
          <w:lang w:val="en-US"/>
        </w:rPr>
        <w:t>o</w:t>
      </w:r>
      <w:r w:rsidR="00EB5EE7">
        <w:rPr>
          <w:lang w:val="en-US"/>
        </w:rPr>
        <w:t>mpan</w:t>
      </w:r>
      <w:r w:rsidR="0058581C">
        <w:rPr>
          <w:lang w:val="en-US"/>
        </w:rPr>
        <w:t>y'</w:t>
      </w:r>
      <w:r w:rsidR="00EB5EE7">
        <w:rPr>
          <w:lang w:val="en-US"/>
        </w:rPr>
        <w:t>s activitie</w:t>
      </w:r>
      <w:r w:rsidR="00027528">
        <w:rPr>
          <w:lang w:val="en-US"/>
        </w:rPr>
        <w:t xml:space="preserve">s </w:t>
      </w:r>
      <w:r w:rsidR="00511794">
        <w:rPr>
          <w:lang w:val="en-US"/>
        </w:rPr>
        <w:t xml:space="preserve">and on how to understand </w:t>
      </w:r>
      <w:r w:rsidR="00D14CC1">
        <w:rPr>
          <w:lang w:val="en-US"/>
        </w:rPr>
        <w:t xml:space="preserve">sustainable investments, </w:t>
      </w:r>
      <w:r w:rsidR="00027528">
        <w:rPr>
          <w:lang w:val="en-US"/>
        </w:rPr>
        <w:t xml:space="preserve">which </w:t>
      </w:r>
      <w:r w:rsidR="00C43A48">
        <w:rPr>
          <w:lang w:val="en-US"/>
        </w:rPr>
        <w:t>may lead to different ESG rating</w:t>
      </w:r>
      <w:r w:rsidR="00D82C98">
        <w:rPr>
          <w:lang w:val="en-US"/>
        </w:rPr>
        <w:t>s</w:t>
      </w:r>
      <w:r w:rsidR="0060531F">
        <w:rPr>
          <w:lang w:val="en-US"/>
        </w:rPr>
        <w:t xml:space="preserve"> and </w:t>
      </w:r>
      <w:r w:rsidR="00A1404B">
        <w:rPr>
          <w:lang w:val="en-US"/>
        </w:rPr>
        <w:t xml:space="preserve">to </w:t>
      </w:r>
      <w:r w:rsidR="00100066">
        <w:rPr>
          <w:lang w:val="en-US"/>
        </w:rPr>
        <w:t xml:space="preserve">incomparable financial products </w:t>
      </w:r>
      <w:r w:rsidR="00D96919">
        <w:rPr>
          <w:lang w:val="en-US"/>
        </w:rPr>
        <w:t xml:space="preserve"> which is contrary to the </w:t>
      </w:r>
      <w:r w:rsidR="00D96919" w:rsidRPr="00CA02CF">
        <w:rPr>
          <w:lang w:val="en-US"/>
        </w:rPr>
        <w:t xml:space="preserve">outset of a </w:t>
      </w:r>
      <w:r w:rsidR="004464FF" w:rsidRPr="00CA02CF">
        <w:rPr>
          <w:lang w:val="en-US"/>
        </w:rPr>
        <w:t>harmonized, genuine single capital market.</w:t>
      </w:r>
    </w:p>
    <w:p w14:paraId="4AFC3FA1" w14:textId="29C4B7A6" w:rsidR="006F346D" w:rsidRDefault="006F346D" w:rsidP="003C0494">
      <w:pPr>
        <w:jc w:val="both"/>
        <w:rPr>
          <w:lang w:val="en-US"/>
        </w:rPr>
      </w:pPr>
      <w:r>
        <w:rPr>
          <w:lang w:val="en-US"/>
        </w:rPr>
        <w:t>Furthe</w:t>
      </w:r>
      <w:r w:rsidR="00F50E9E">
        <w:rPr>
          <w:lang w:val="en-US"/>
        </w:rPr>
        <w:t>r, the way the definition of sustainability preferences is drafted</w:t>
      </w:r>
      <w:r w:rsidR="00B16BC9">
        <w:rPr>
          <w:lang w:val="en-US"/>
        </w:rPr>
        <w:t xml:space="preserve"> seems to have a </w:t>
      </w:r>
      <w:r w:rsidR="00F50E9E">
        <w:rPr>
          <w:lang w:val="en-US"/>
        </w:rPr>
        <w:t>focu</w:t>
      </w:r>
      <w:r w:rsidR="00010E7D">
        <w:rPr>
          <w:lang w:val="en-US"/>
        </w:rPr>
        <w:t>s</w:t>
      </w:r>
      <w:r w:rsidR="00F50E9E">
        <w:rPr>
          <w:lang w:val="en-US"/>
        </w:rPr>
        <w:t xml:space="preserve"> on</w:t>
      </w:r>
      <w:r w:rsidR="00010E7D">
        <w:rPr>
          <w:lang w:val="en-US"/>
        </w:rPr>
        <w:t xml:space="preserve"> funds </w:t>
      </w:r>
      <w:r w:rsidR="00B16BC9">
        <w:rPr>
          <w:lang w:val="en-US"/>
        </w:rPr>
        <w:t>(</w:t>
      </w:r>
      <w:r w:rsidR="00010E7D">
        <w:rPr>
          <w:lang w:val="en-US"/>
        </w:rPr>
        <w:t>that are in scope of the Sustainable Finance Disclosure Regulati</w:t>
      </w:r>
      <w:r w:rsidR="005D199F">
        <w:rPr>
          <w:lang w:val="en-US"/>
        </w:rPr>
        <w:t>o</w:t>
      </w:r>
      <w:r w:rsidR="00A13F37">
        <w:rPr>
          <w:lang w:val="en-US"/>
        </w:rPr>
        <w:t>n</w:t>
      </w:r>
      <w:r w:rsidR="00720765">
        <w:rPr>
          <w:lang w:val="en-US"/>
        </w:rPr>
        <w:t xml:space="preserve"> - SFDR</w:t>
      </w:r>
      <w:r w:rsidR="005D199F">
        <w:rPr>
          <w:lang w:val="en-US"/>
        </w:rPr>
        <w:t>) but do not give any guidance on how to apply this to</w:t>
      </w:r>
      <w:r w:rsidR="00CD64E9">
        <w:rPr>
          <w:lang w:val="en-US"/>
        </w:rPr>
        <w:t xml:space="preserve"> the</w:t>
      </w:r>
      <w:r w:rsidR="005D199F">
        <w:rPr>
          <w:lang w:val="en-US"/>
        </w:rPr>
        <w:t xml:space="preserve"> </w:t>
      </w:r>
      <w:r w:rsidR="00A13F37">
        <w:rPr>
          <w:lang w:val="en-US"/>
        </w:rPr>
        <w:t>broad range of financial instrument</w:t>
      </w:r>
      <w:r w:rsidR="00CD64E9">
        <w:rPr>
          <w:lang w:val="en-US"/>
        </w:rPr>
        <w:t xml:space="preserve">s. </w:t>
      </w:r>
    </w:p>
    <w:p w14:paraId="4574FCEF" w14:textId="1DD8DBC6" w:rsidR="00EE4319" w:rsidRDefault="00881D43" w:rsidP="003C0494">
      <w:pPr>
        <w:jc w:val="both"/>
        <w:rPr>
          <w:lang w:val="en-US"/>
        </w:rPr>
      </w:pPr>
      <w:r>
        <w:rPr>
          <w:lang w:val="en-US"/>
        </w:rPr>
        <w:t xml:space="preserve">In addition, where there are </w:t>
      </w:r>
      <w:r w:rsidR="00203008">
        <w:rPr>
          <w:lang w:val="en-US"/>
        </w:rPr>
        <w:t>increasing ESG disclosure requirements</w:t>
      </w:r>
      <w:r w:rsidR="00AD0DB5">
        <w:rPr>
          <w:lang w:val="en-US"/>
        </w:rPr>
        <w:t xml:space="preserve"> at company level</w:t>
      </w:r>
      <w:r w:rsidR="009266BB">
        <w:rPr>
          <w:lang w:val="en-US"/>
        </w:rPr>
        <w:t>, and a</w:t>
      </w:r>
      <w:r w:rsidR="00AD0DB5">
        <w:rPr>
          <w:lang w:val="en-US"/>
        </w:rPr>
        <w:t xml:space="preserve"> harmonized classification system </w:t>
      </w:r>
      <w:r w:rsidR="009266BB">
        <w:rPr>
          <w:lang w:val="en-US"/>
        </w:rPr>
        <w:t xml:space="preserve">is being developed </w:t>
      </w:r>
      <w:r>
        <w:rPr>
          <w:lang w:val="en-US"/>
        </w:rPr>
        <w:t>within the EU</w:t>
      </w:r>
      <w:r w:rsidR="00965A7A">
        <w:rPr>
          <w:lang w:val="en-US"/>
        </w:rPr>
        <w:t>,</w:t>
      </w:r>
      <w:r w:rsidR="00AD0DB5">
        <w:rPr>
          <w:lang w:val="en-US"/>
        </w:rPr>
        <w:t xml:space="preserve"> </w:t>
      </w:r>
      <w:r>
        <w:rPr>
          <w:lang w:val="en-US"/>
        </w:rPr>
        <w:t xml:space="preserve"> there is no guarantee that </w:t>
      </w:r>
      <w:r w:rsidR="009E2FDD">
        <w:rPr>
          <w:lang w:val="en-US"/>
        </w:rPr>
        <w:t>in the near future</w:t>
      </w:r>
      <w:r w:rsidR="009266BB">
        <w:rPr>
          <w:lang w:val="en-US"/>
        </w:rPr>
        <w:t xml:space="preserve"> the same (or at </w:t>
      </w:r>
      <w:r w:rsidR="00A65857">
        <w:rPr>
          <w:lang w:val="en-US"/>
        </w:rPr>
        <w:t xml:space="preserve">least comparable) </w:t>
      </w:r>
      <w:r w:rsidR="009266BB">
        <w:rPr>
          <w:lang w:val="en-US"/>
        </w:rPr>
        <w:t>regulatory framewo</w:t>
      </w:r>
      <w:r w:rsidR="00A65857">
        <w:rPr>
          <w:lang w:val="en-US"/>
        </w:rPr>
        <w:t>r</w:t>
      </w:r>
      <w:r w:rsidR="009266BB">
        <w:rPr>
          <w:lang w:val="en-US"/>
        </w:rPr>
        <w:t xml:space="preserve">k </w:t>
      </w:r>
      <w:r>
        <w:rPr>
          <w:lang w:val="en-US"/>
        </w:rPr>
        <w:t xml:space="preserve">will </w:t>
      </w:r>
      <w:r w:rsidR="009E2FDD">
        <w:rPr>
          <w:lang w:val="en-US"/>
        </w:rPr>
        <w:t xml:space="preserve">be </w:t>
      </w:r>
      <w:r w:rsidR="005E0EDB">
        <w:rPr>
          <w:lang w:val="en-US"/>
        </w:rPr>
        <w:t>integrated in</w:t>
      </w:r>
      <w:r w:rsidR="009E2FDD">
        <w:rPr>
          <w:lang w:val="en-US"/>
        </w:rPr>
        <w:t xml:space="preserve"> other jurisdictions</w:t>
      </w:r>
      <w:r w:rsidR="00C85544">
        <w:rPr>
          <w:lang w:val="en-US"/>
        </w:rPr>
        <w:t xml:space="preserve">, leaving the </w:t>
      </w:r>
      <w:r w:rsidR="00D42CD0">
        <w:rPr>
          <w:lang w:val="en-US"/>
        </w:rPr>
        <w:t>EU financial sector</w:t>
      </w:r>
      <w:r w:rsidR="0037686E">
        <w:rPr>
          <w:lang w:val="en-US"/>
        </w:rPr>
        <w:t xml:space="preserve"> to assess </w:t>
      </w:r>
      <w:r w:rsidR="00E614E0">
        <w:rPr>
          <w:lang w:val="en-US"/>
        </w:rPr>
        <w:t>activities of non-EU companies without there being any (comparable) data</w:t>
      </w:r>
      <w:r w:rsidR="0074589D">
        <w:rPr>
          <w:lang w:val="en-US"/>
        </w:rPr>
        <w:t xml:space="preserve"> a</w:t>
      </w:r>
      <w:r w:rsidR="00BA7C27">
        <w:rPr>
          <w:lang w:val="en-US"/>
        </w:rPr>
        <w:t>vailable.</w:t>
      </w:r>
    </w:p>
    <w:p w14:paraId="21373A34" w14:textId="77777777" w:rsidR="005E0EDB" w:rsidRDefault="005E0EDB" w:rsidP="003C0494">
      <w:pPr>
        <w:jc w:val="both"/>
        <w:rPr>
          <w:lang w:val="en-US"/>
        </w:rPr>
      </w:pPr>
    </w:p>
    <w:p w14:paraId="4EAEAD3B" w14:textId="593A508A" w:rsidR="0094269B" w:rsidRPr="00FA3CA6" w:rsidRDefault="007E716E" w:rsidP="00FA3CA6">
      <w:pPr>
        <w:pStyle w:val="ListParagraph"/>
        <w:numPr>
          <w:ilvl w:val="0"/>
          <w:numId w:val="36"/>
        </w:numPr>
        <w:jc w:val="both"/>
        <w:rPr>
          <w:b/>
          <w:bCs/>
          <w:lang w:val="en-US"/>
        </w:rPr>
      </w:pPr>
      <w:r w:rsidRPr="00FA3CA6">
        <w:rPr>
          <w:b/>
          <w:bCs/>
          <w:lang w:val="en-US"/>
        </w:rPr>
        <w:t>Evolving nature</w:t>
      </w:r>
    </w:p>
    <w:p w14:paraId="7DA5DC63" w14:textId="593899B9" w:rsidR="002B00EF" w:rsidRDefault="00F2038E" w:rsidP="003C0494">
      <w:pPr>
        <w:jc w:val="both"/>
        <w:rPr>
          <w:lang w:val="en-US"/>
        </w:rPr>
      </w:pPr>
      <w:r>
        <w:rPr>
          <w:lang w:val="en-US"/>
        </w:rPr>
        <w:t xml:space="preserve">As also </w:t>
      </w:r>
      <w:r w:rsidR="00D2221C">
        <w:rPr>
          <w:lang w:val="en-US"/>
        </w:rPr>
        <w:t>acknowledged</w:t>
      </w:r>
      <w:r>
        <w:rPr>
          <w:lang w:val="en-US"/>
        </w:rPr>
        <w:t xml:space="preserve"> by ESMA</w:t>
      </w:r>
      <w:r w:rsidR="00BF33A0">
        <w:rPr>
          <w:rStyle w:val="FootnoteReference"/>
          <w:lang w:val="en-US"/>
        </w:rPr>
        <w:footnoteReference w:id="2"/>
      </w:r>
      <w:r w:rsidR="002F42AB">
        <w:rPr>
          <w:lang w:val="en-US"/>
        </w:rPr>
        <w:t xml:space="preserve">, not only is the </w:t>
      </w:r>
      <w:r w:rsidR="001E04EA">
        <w:rPr>
          <w:lang w:val="en-US"/>
        </w:rPr>
        <w:t xml:space="preserve">sustainable finance topic </w:t>
      </w:r>
      <w:r w:rsidR="000F1F48">
        <w:rPr>
          <w:lang w:val="en-US"/>
        </w:rPr>
        <w:t>complex, the market is als</w:t>
      </w:r>
      <w:r w:rsidR="0083271F">
        <w:rPr>
          <w:lang w:val="en-US"/>
        </w:rPr>
        <w:t>o constan</w:t>
      </w:r>
      <w:r w:rsidR="0046406D">
        <w:rPr>
          <w:lang w:val="en-US"/>
        </w:rPr>
        <w:t xml:space="preserve">tly </w:t>
      </w:r>
      <w:r w:rsidR="00193666">
        <w:rPr>
          <w:lang w:val="en-US"/>
        </w:rPr>
        <w:t xml:space="preserve">evolving. </w:t>
      </w:r>
      <w:bookmarkStart w:id="0" w:name="_Hlk98444449"/>
      <w:r w:rsidR="00193666">
        <w:rPr>
          <w:lang w:val="en-US"/>
        </w:rPr>
        <w:t xml:space="preserve">This is not only due </w:t>
      </w:r>
      <w:r w:rsidR="00D810C1">
        <w:rPr>
          <w:lang w:val="en-US"/>
        </w:rPr>
        <w:t>to</w:t>
      </w:r>
      <w:r w:rsidR="00193666">
        <w:rPr>
          <w:lang w:val="en-US"/>
        </w:rPr>
        <w:t xml:space="preserve"> </w:t>
      </w:r>
      <w:r w:rsidR="00757B26">
        <w:rPr>
          <w:lang w:val="en-US"/>
        </w:rPr>
        <w:t>(</w:t>
      </w:r>
      <w:proofErr w:type="spellStart"/>
      <w:r w:rsidR="00757B26">
        <w:rPr>
          <w:lang w:val="en-US"/>
        </w:rPr>
        <w:t>i</w:t>
      </w:r>
      <w:proofErr w:type="spellEnd"/>
      <w:r w:rsidR="00757B26">
        <w:rPr>
          <w:lang w:val="en-US"/>
        </w:rPr>
        <w:t xml:space="preserve">) </w:t>
      </w:r>
      <w:r w:rsidR="00193666">
        <w:rPr>
          <w:lang w:val="en-US"/>
        </w:rPr>
        <w:t xml:space="preserve">the nature </w:t>
      </w:r>
      <w:r w:rsidR="00D810C1">
        <w:rPr>
          <w:lang w:val="en-US"/>
        </w:rPr>
        <w:t xml:space="preserve">of the taxonomy classification system </w:t>
      </w:r>
      <w:r w:rsidR="00EF0F9F">
        <w:rPr>
          <w:lang w:val="en-US"/>
        </w:rPr>
        <w:t>(</w:t>
      </w:r>
      <w:r w:rsidR="003B10A3">
        <w:rPr>
          <w:lang w:val="en-US"/>
        </w:rPr>
        <w:t>not only</w:t>
      </w:r>
      <w:r w:rsidR="004D712D">
        <w:rPr>
          <w:lang w:val="en-US"/>
        </w:rPr>
        <w:t xml:space="preserve"> </w:t>
      </w:r>
      <w:r w:rsidR="003B10A3">
        <w:rPr>
          <w:lang w:val="en-US"/>
        </w:rPr>
        <w:t>will it</w:t>
      </w:r>
      <w:r w:rsidR="004D712D">
        <w:rPr>
          <w:lang w:val="en-US"/>
        </w:rPr>
        <w:t xml:space="preserve"> be extended (upcoming RTS on other environmental topics, but also social taxonomy)</w:t>
      </w:r>
      <w:r w:rsidR="003E0850">
        <w:rPr>
          <w:lang w:val="en-US"/>
        </w:rPr>
        <w:t xml:space="preserve">, </w:t>
      </w:r>
      <w:r w:rsidR="0057781E">
        <w:rPr>
          <w:lang w:val="en-US"/>
        </w:rPr>
        <w:t>it will also</w:t>
      </w:r>
      <w:r w:rsidR="00745049">
        <w:rPr>
          <w:lang w:val="en-US"/>
        </w:rPr>
        <w:t xml:space="preserve"> </w:t>
      </w:r>
      <w:r w:rsidR="00910F06">
        <w:rPr>
          <w:lang w:val="en-US"/>
        </w:rPr>
        <w:t xml:space="preserve">continue to </w:t>
      </w:r>
      <w:r w:rsidR="00DA4233">
        <w:rPr>
          <w:lang w:val="en-US"/>
        </w:rPr>
        <w:t>evolve by taking into</w:t>
      </w:r>
      <w:r w:rsidR="00EF0F9F">
        <w:rPr>
          <w:lang w:val="en-US"/>
        </w:rPr>
        <w:t xml:space="preserve"> </w:t>
      </w:r>
      <w:r w:rsidR="003E0850">
        <w:rPr>
          <w:lang w:val="en-US"/>
        </w:rPr>
        <w:t xml:space="preserve">account future </w:t>
      </w:r>
      <w:r w:rsidR="00EF0F9F">
        <w:rPr>
          <w:lang w:val="en-US"/>
        </w:rPr>
        <w:t>technical and scientifical developments and insights</w:t>
      </w:r>
      <w:bookmarkEnd w:id="0"/>
      <w:r w:rsidR="00EF0F9F">
        <w:rPr>
          <w:lang w:val="en-US"/>
        </w:rPr>
        <w:t xml:space="preserve">), </w:t>
      </w:r>
      <w:r w:rsidR="00757B26">
        <w:rPr>
          <w:lang w:val="en-US"/>
        </w:rPr>
        <w:t xml:space="preserve">(ii) </w:t>
      </w:r>
      <w:r w:rsidR="00EF0F9F">
        <w:rPr>
          <w:lang w:val="en-US"/>
        </w:rPr>
        <w:t>the</w:t>
      </w:r>
      <w:r w:rsidR="009B5510">
        <w:rPr>
          <w:lang w:val="en-US"/>
        </w:rPr>
        <w:t xml:space="preserve"> </w:t>
      </w:r>
      <w:r w:rsidR="00D33BFD">
        <w:rPr>
          <w:lang w:val="en-US"/>
        </w:rPr>
        <w:t>further finetuning and, proba</w:t>
      </w:r>
      <w:r w:rsidR="004E76F7">
        <w:rPr>
          <w:lang w:val="en-US"/>
        </w:rPr>
        <w:t xml:space="preserve">bly convergence towards a more standardized approach </w:t>
      </w:r>
      <w:r w:rsidR="00757B26">
        <w:rPr>
          <w:lang w:val="en-US"/>
        </w:rPr>
        <w:t>on</w:t>
      </w:r>
      <w:r w:rsidR="004E76F7">
        <w:rPr>
          <w:lang w:val="en-US"/>
        </w:rPr>
        <w:t xml:space="preserve"> sustainable investments as defined in SFDR</w:t>
      </w:r>
      <w:r w:rsidR="000F5DA8">
        <w:rPr>
          <w:lang w:val="en-US"/>
        </w:rPr>
        <w:t xml:space="preserve">, but </w:t>
      </w:r>
      <w:r w:rsidR="00304B66">
        <w:rPr>
          <w:lang w:val="en-US"/>
        </w:rPr>
        <w:t>a</w:t>
      </w:r>
      <w:r w:rsidR="00207E2A">
        <w:rPr>
          <w:lang w:val="en-US"/>
        </w:rPr>
        <w:t xml:space="preserve">lso to the fact that the market is not mature, and it can be expected that, over </w:t>
      </w:r>
      <w:r w:rsidR="00207E2A" w:rsidRPr="00B30454">
        <w:rPr>
          <w:lang w:val="en-US"/>
        </w:rPr>
        <w:t xml:space="preserve">time, </w:t>
      </w:r>
      <w:r w:rsidR="00207E2A" w:rsidRPr="00FA3CA6">
        <w:rPr>
          <w:lang w:val="en-US"/>
        </w:rPr>
        <w:t xml:space="preserve">when more (reliable) data will be flowing in, new </w:t>
      </w:r>
      <w:r w:rsidR="008B5818" w:rsidRPr="00FA3CA6">
        <w:rPr>
          <w:lang w:val="en-US"/>
        </w:rPr>
        <w:t>financial instruments will be manufactured.</w:t>
      </w:r>
      <w:r w:rsidR="00672BD8">
        <w:rPr>
          <w:lang w:val="en-US"/>
        </w:rPr>
        <w:t xml:space="preserve"> </w:t>
      </w:r>
      <w:r w:rsidR="00B645E5">
        <w:rPr>
          <w:lang w:val="en-US"/>
        </w:rPr>
        <w:t>We fail to see how to explain a client in a plain language, avoiding technical jargon, the complexity of evolving classification and methodology.</w:t>
      </w:r>
    </w:p>
    <w:p w14:paraId="5115D66C" w14:textId="77777777" w:rsidR="00F108B5" w:rsidRDefault="00F108B5" w:rsidP="003C0494">
      <w:pPr>
        <w:jc w:val="both"/>
        <w:rPr>
          <w:lang w:val="en-US"/>
        </w:rPr>
      </w:pPr>
    </w:p>
    <w:p w14:paraId="59B81C16" w14:textId="6F75E3C7" w:rsidR="007B0D43" w:rsidRPr="000C22C1" w:rsidRDefault="007B0D43" w:rsidP="000C22C1">
      <w:pPr>
        <w:pStyle w:val="ListParagraph"/>
        <w:numPr>
          <w:ilvl w:val="0"/>
          <w:numId w:val="36"/>
        </w:numPr>
        <w:jc w:val="both"/>
        <w:rPr>
          <w:b/>
          <w:bCs/>
          <w:lang w:val="en-US"/>
        </w:rPr>
      </w:pPr>
      <w:r w:rsidRPr="000C22C1">
        <w:rPr>
          <w:b/>
          <w:bCs/>
          <w:lang w:val="en-US"/>
        </w:rPr>
        <w:t xml:space="preserve">Lack of reliable, sufficiently </w:t>
      </w:r>
      <w:r w:rsidR="001E7034">
        <w:rPr>
          <w:b/>
          <w:bCs/>
          <w:lang w:val="en-US"/>
        </w:rPr>
        <w:t>granular</w:t>
      </w:r>
      <w:r w:rsidRPr="000C22C1">
        <w:rPr>
          <w:b/>
          <w:bCs/>
          <w:lang w:val="en-US"/>
        </w:rPr>
        <w:t xml:space="preserve"> data</w:t>
      </w:r>
    </w:p>
    <w:p w14:paraId="0CF26D8C" w14:textId="4609AC49" w:rsidR="007B0D43" w:rsidRDefault="00672BD8" w:rsidP="003C0494">
      <w:pPr>
        <w:jc w:val="both"/>
        <w:rPr>
          <w:lang w:val="en-US"/>
        </w:rPr>
      </w:pPr>
      <w:r>
        <w:rPr>
          <w:lang w:val="en-US"/>
        </w:rPr>
        <w:t xml:space="preserve">Not only is sustainability </w:t>
      </w:r>
      <w:r w:rsidR="00C271FB">
        <w:rPr>
          <w:lang w:val="en-US"/>
        </w:rPr>
        <w:t>(</w:t>
      </w:r>
      <w:r>
        <w:rPr>
          <w:lang w:val="en-US"/>
        </w:rPr>
        <w:t xml:space="preserve">and </w:t>
      </w:r>
      <w:r w:rsidR="00C271FB">
        <w:rPr>
          <w:lang w:val="en-US"/>
        </w:rPr>
        <w:t>consequently sustainable finance) by nature evolving</w:t>
      </w:r>
      <w:r w:rsidR="007A4B83">
        <w:rPr>
          <w:lang w:val="en-US"/>
        </w:rPr>
        <w:t>,</w:t>
      </w:r>
      <w:r w:rsidR="00C271FB">
        <w:rPr>
          <w:lang w:val="en-US"/>
        </w:rPr>
        <w:t xml:space="preserve"> during a significant period of time, manufacture</w:t>
      </w:r>
      <w:r w:rsidR="00785737">
        <w:rPr>
          <w:lang w:val="en-US"/>
        </w:rPr>
        <w:t>r</w:t>
      </w:r>
      <w:r w:rsidR="00C271FB">
        <w:rPr>
          <w:lang w:val="en-US"/>
        </w:rPr>
        <w:t xml:space="preserve">s and distributors will – even for the EU(!) – lack the necessary </w:t>
      </w:r>
      <w:proofErr w:type="spellStart"/>
      <w:r w:rsidR="005436D5">
        <w:rPr>
          <w:lang w:val="en-US"/>
        </w:rPr>
        <w:t>ánd</w:t>
      </w:r>
      <w:proofErr w:type="spellEnd"/>
      <w:r w:rsidR="005436D5">
        <w:rPr>
          <w:lang w:val="en-US"/>
        </w:rPr>
        <w:t xml:space="preserve"> </w:t>
      </w:r>
      <w:r w:rsidR="00C271FB">
        <w:rPr>
          <w:lang w:val="en-US"/>
        </w:rPr>
        <w:t xml:space="preserve">reliable </w:t>
      </w:r>
      <w:r w:rsidR="0004039F">
        <w:rPr>
          <w:lang w:val="en-US"/>
        </w:rPr>
        <w:t xml:space="preserve">ESG related data. </w:t>
      </w:r>
      <w:r w:rsidR="00324CE8">
        <w:rPr>
          <w:lang w:val="en-US"/>
        </w:rPr>
        <w:t xml:space="preserve"> By August 2022 disclosures pursuant to article 8 Taxonomy Regulation will not yet be available and processed</w:t>
      </w:r>
      <w:r w:rsidR="005436D5">
        <w:rPr>
          <w:lang w:val="en-US"/>
        </w:rPr>
        <w:t xml:space="preserve"> and, in first instance, only </w:t>
      </w:r>
      <w:r w:rsidR="005D38AE">
        <w:rPr>
          <w:lang w:val="en-US"/>
        </w:rPr>
        <w:t>information on taxonomy eligibility of economic activities will be available, and no ‘hard’ data, CSRD still needs to be published and become applicable</w:t>
      </w:r>
      <w:r w:rsidR="006E13A2">
        <w:rPr>
          <w:lang w:val="en-US"/>
        </w:rPr>
        <w:t>. Only as of 2024 a vast flow of ESG related data can be expected</w:t>
      </w:r>
      <w:r w:rsidR="00A202FF">
        <w:rPr>
          <w:lang w:val="en-US"/>
        </w:rPr>
        <w:t>, which leaves a transition period of , at least, one year and a hal</w:t>
      </w:r>
      <w:r w:rsidR="00826239">
        <w:rPr>
          <w:lang w:val="en-US"/>
        </w:rPr>
        <w:t>f.</w:t>
      </w:r>
      <w:r w:rsidR="00A202FF">
        <w:rPr>
          <w:lang w:val="en-US"/>
        </w:rPr>
        <w:t xml:space="preserve"> </w:t>
      </w:r>
      <w:r w:rsidR="00826239">
        <w:rPr>
          <w:lang w:val="en-US"/>
        </w:rPr>
        <w:t xml:space="preserve"> </w:t>
      </w:r>
      <w:r w:rsidR="00EB4EEE">
        <w:rPr>
          <w:lang w:val="en-US"/>
        </w:rPr>
        <w:t xml:space="preserve">For non-EU jurisdictions, the </w:t>
      </w:r>
      <w:r w:rsidR="0055718A">
        <w:rPr>
          <w:lang w:val="en-US"/>
        </w:rPr>
        <w:t>availability of reliable and comparable data is even less certain.</w:t>
      </w:r>
      <w:r w:rsidR="00ED68F7">
        <w:rPr>
          <w:lang w:val="en-US"/>
        </w:rPr>
        <w:t xml:space="preserve"> </w:t>
      </w:r>
    </w:p>
    <w:p w14:paraId="552C8045" w14:textId="7BBB9DB6" w:rsidR="00A365C1" w:rsidRDefault="00A365C1" w:rsidP="003C0494">
      <w:pPr>
        <w:jc w:val="both"/>
        <w:rPr>
          <w:lang w:val="en-US"/>
        </w:rPr>
      </w:pPr>
      <w:r>
        <w:rPr>
          <w:lang w:val="en-US"/>
        </w:rPr>
        <w:t xml:space="preserve">If </w:t>
      </w:r>
      <w:r w:rsidR="00605352">
        <w:rPr>
          <w:lang w:val="en-US"/>
        </w:rPr>
        <w:t xml:space="preserve">the application date of the ESG MiFID Delegated Act is not brought in line with the </w:t>
      </w:r>
      <w:r w:rsidR="00912A91">
        <w:rPr>
          <w:lang w:val="en-US"/>
        </w:rPr>
        <w:t xml:space="preserve">data disclosure flow, the financial sector will be obliged to rely on estimates, </w:t>
      </w:r>
      <w:r w:rsidR="0084375D">
        <w:rPr>
          <w:lang w:val="en-US"/>
        </w:rPr>
        <w:t xml:space="preserve">taxonomy </w:t>
      </w:r>
      <w:r w:rsidR="00912A91">
        <w:rPr>
          <w:lang w:val="en-US"/>
        </w:rPr>
        <w:t xml:space="preserve">eligibility </w:t>
      </w:r>
      <w:proofErr w:type="spellStart"/>
      <w:r w:rsidR="00912A91">
        <w:rPr>
          <w:lang w:val="en-US"/>
        </w:rPr>
        <w:t>etc</w:t>
      </w:r>
      <w:proofErr w:type="spellEnd"/>
      <w:r w:rsidR="00912A91">
        <w:rPr>
          <w:lang w:val="en-US"/>
        </w:rPr>
        <w:t xml:space="preserve"> </w:t>
      </w:r>
      <w:r w:rsidR="007C1F43">
        <w:rPr>
          <w:lang w:val="en-US"/>
        </w:rPr>
        <w:t xml:space="preserve">if not,  no financial instruments meeting sustainability preferences will be available.  </w:t>
      </w:r>
    </w:p>
    <w:p w14:paraId="1C15A2AC" w14:textId="77777777" w:rsidR="00E81E9C" w:rsidRDefault="00E81E9C" w:rsidP="003C0494">
      <w:pPr>
        <w:jc w:val="both"/>
        <w:rPr>
          <w:lang w:val="en-US"/>
        </w:rPr>
      </w:pPr>
    </w:p>
    <w:p w14:paraId="44DAF69D" w14:textId="15F8A7A6" w:rsidR="00A202FF" w:rsidRDefault="00A202FF" w:rsidP="003C0494">
      <w:pPr>
        <w:jc w:val="both"/>
        <w:rPr>
          <w:lang w:val="en-US"/>
        </w:rPr>
      </w:pPr>
    </w:p>
    <w:p w14:paraId="7F445182" w14:textId="5CF91E4A" w:rsidR="003E3035" w:rsidRPr="00EA5B3D" w:rsidRDefault="003E3035" w:rsidP="00EA5B3D">
      <w:pPr>
        <w:pStyle w:val="ListParagraph"/>
        <w:numPr>
          <w:ilvl w:val="0"/>
          <w:numId w:val="36"/>
        </w:numPr>
        <w:jc w:val="both"/>
        <w:rPr>
          <w:b/>
          <w:bCs/>
          <w:lang w:val="en-US"/>
        </w:rPr>
      </w:pPr>
      <w:r w:rsidRPr="00EA5B3D">
        <w:rPr>
          <w:b/>
          <w:bCs/>
          <w:lang w:val="en-US"/>
        </w:rPr>
        <w:t xml:space="preserve">Greenwashing - </w:t>
      </w:r>
      <w:proofErr w:type="spellStart"/>
      <w:r w:rsidRPr="00EA5B3D">
        <w:rPr>
          <w:b/>
          <w:bCs/>
          <w:lang w:val="en-US"/>
        </w:rPr>
        <w:t>misselling</w:t>
      </w:r>
      <w:proofErr w:type="spellEnd"/>
    </w:p>
    <w:p w14:paraId="4BB81300" w14:textId="032B37F7" w:rsidR="007B0D43" w:rsidRDefault="003640A4" w:rsidP="003C0494">
      <w:pPr>
        <w:jc w:val="both"/>
        <w:rPr>
          <w:lang w:val="en-US"/>
        </w:rPr>
      </w:pPr>
      <w:r w:rsidRPr="63D6EC09">
        <w:rPr>
          <w:lang w:val="en-US"/>
        </w:rPr>
        <w:t>Given (</w:t>
      </w:r>
      <w:proofErr w:type="spellStart"/>
      <w:r w:rsidRPr="63D6EC09">
        <w:rPr>
          <w:lang w:val="en-US"/>
        </w:rPr>
        <w:t>i</w:t>
      </w:r>
      <w:proofErr w:type="spellEnd"/>
      <w:r w:rsidRPr="63D6EC09">
        <w:rPr>
          <w:lang w:val="en-US"/>
        </w:rPr>
        <w:t>) the evolving nature of sustainab</w:t>
      </w:r>
      <w:r w:rsidR="00EB4EEE" w:rsidRPr="63D6EC09">
        <w:rPr>
          <w:lang w:val="en-US"/>
        </w:rPr>
        <w:t>ility and sustainable finance and (ii) the lack of the reliable ESG dat</w:t>
      </w:r>
      <w:r w:rsidR="0055718A" w:rsidRPr="63D6EC09">
        <w:rPr>
          <w:lang w:val="en-US"/>
        </w:rPr>
        <w:t xml:space="preserve">a, </w:t>
      </w:r>
      <w:r w:rsidR="00A21A6D" w:rsidRPr="63D6EC09">
        <w:rPr>
          <w:lang w:val="en-US"/>
        </w:rPr>
        <w:t>t</w:t>
      </w:r>
      <w:r w:rsidR="00641FEE" w:rsidRPr="63D6EC09">
        <w:rPr>
          <w:lang w:val="en-US"/>
        </w:rPr>
        <w:t xml:space="preserve">he (reputational) risk </w:t>
      </w:r>
      <w:r w:rsidR="00B666BB" w:rsidRPr="63D6EC09">
        <w:rPr>
          <w:lang w:val="en-US"/>
        </w:rPr>
        <w:t>that</w:t>
      </w:r>
      <w:r w:rsidR="001628C9" w:rsidRPr="63D6EC09">
        <w:rPr>
          <w:lang w:val="en-US"/>
        </w:rPr>
        <w:t xml:space="preserve"> the</w:t>
      </w:r>
      <w:r w:rsidR="008A048B" w:rsidRPr="63D6EC09">
        <w:rPr>
          <w:lang w:val="en-US"/>
        </w:rPr>
        <w:t xml:space="preserve"> </w:t>
      </w:r>
      <w:r w:rsidR="001628C9" w:rsidRPr="63D6EC09">
        <w:rPr>
          <w:lang w:val="en-US"/>
        </w:rPr>
        <w:t>financial sector</w:t>
      </w:r>
      <w:r w:rsidR="00B666BB" w:rsidRPr="63D6EC09">
        <w:rPr>
          <w:lang w:val="en-US"/>
        </w:rPr>
        <w:t xml:space="preserve"> will be accused of green washing and even </w:t>
      </w:r>
      <w:proofErr w:type="spellStart"/>
      <w:r w:rsidR="00B666BB" w:rsidRPr="63D6EC09">
        <w:rPr>
          <w:lang w:val="en-US"/>
        </w:rPr>
        <w:t>misselling</w:t>
      </w:r>
      <w:proofErr w:type="spellEnd"/>
      <w:r w:rsidR="00B666BB" w:rsidRPr="63D6EC09">
        <w:rPr>
          <w:lang w:val="en-US"/>
        </w:rPr>
        <w:t xml:space="preserve"> </w:t>
      </w:r>
      <w:r w:rsidR="00641FEE" w:rsidRPr="63D6EC09">
        <w:rPr>
          <w:lang w:val="en-US"/>
        </w:rPr>
        <w:t xml:space="preserve">is </w:t>
      </w:r>
      <w:r w:rsidR="00641FEE" w:rsidRPr="00FA59D0">
        <w:rPr>
          <w:lang w:val="en-US"/>
        </w:rPr>
        <w:t>significant</w:t>
      </w:r>
      <w:r w:rsidR="00BF34C9" w:rsidRPr="63D6EC09">
        <w:rPr>
          <w:lang w:val="en-US"/>
        </w:rPr>
        <w:t xml:space="preserve">. </w:t>
      </w:r>
      <w:r w:rsidR="00294EDB" w:rsidRPr="00FA59D0">
        <w:rPr>
          <w:lang w:val="en-US"/>
        </w:rPr>
        <w:t xml:space="preserve">There is a real risk that </w:t>
      </w:r>
      <w:r w:rsidR="00E72458" w:rsidRPr="63D6EC09">
        <w:rPr>
          <w:lang w:val="en-US"/>
        </w:rPr>
        <w:t>f</w:t>
      </w:r>
      <w:r w:rsidR="00641FEE" w:rsidRPr="63D6EC09">
        <w:rPr>
          <w:lang w:val="en-US"/>
        </w:rPr>
        <w:t>inancial instruments which have been advised as meeting an client’s sustaina</w:t>
      </w:r>
      <w:r w:rsidR="008D0A86" w:rsidRPr="63D6EC09">
        <w:rPr>
          <w:lang w:val="en-US"/>
        </w:rPr>
        <w:t xml:space="preserve">bility preferences at the time of the initial advice </w:t>
      </w:r>
      <w:r w:rsidR="008642C3" w:rsidRPr="63D6EC09">
        <w:rPr>
          <w:lang w:val="en-US"/>
        </w:rPr>
        <w:t>could pot</w:t>
      </w:r>
      <w:r w:rsidR="005B6485" w:rsidRPr="63D6EC09">
        <w:rPr>
          <w:lang w:val="en-US"/>
        </w:rPr>
        <w:t>entially</w:t>
      </w:r>
      <w:r w:rsidR="00A21A6D" w:rsidRPr="63D6EC09">
        <w:rPr>
          <w:lang w:val="en-US"/>
        </w:rPr>
        <w:t xml:space="preserve"> no longer meet such prefere</w:t>
      </w:r>
      <w:r w:rsidR="000C71CC" w:rsidRPr="63D6EC09">
        <w:rPr>
          <w:lang w:val="en-US"/>
        </w:rPr>
        <w:t>nce</w:t>
      </w:r>
      <w:r w:rsidR="00A01EB3" w:rsidRPr="63D6EC09">
        <w:rPr>
          <w:lang w:val="en-US"/>
        </w:rPr>
        <w:t>s</w:t>
      </w:r>
      <w:r w:rsidR="000C71CC" w:rsidRPr="63D6EC09">
        <w:rPr>
          <w:lang w:val="en-US"/>
        </w:rPr>
        <w:t xml:space="preserve"> due to </w:t>
      </w:r>
      <w:r w:rsidR="009049CA" w:rsidRPr="00FA59D0">
        <w:rPr>
          <w:lang w:val="en-US"/>
        </w:rPr>
        <w:t xml:space="preserve"> such </w:t>
      </w:r>
      <w:r w:rsidR="000C71CC" w:rsidRPr="63D6EC09">
        <w:rPr>
          <w:lang w:val="en-US"/>
        </w:rPr>
        <w:t xml:space="preserve">evolvements and/or input of  </w:t>
      </w:r>
      <w:r w:rsidR="00506C60" w:rsidRPr="63D6EC09">
        <w:rPr>
          <w:lang w:val="en-US"/>
        </w:rPr>
        <w:t>data both of which are completely  out of the distributors’ control.</w:t>
      </w:r>
    </w:p>
    <w:p w14:paraId="09FE1CD5" w14:textId="77777777" w:rsidR="00C05036" w:rsidRDefault="00C05036" w:rsidP="003C0494">
      <w:pPr>
        <w:jc w:val="both"/>
        <w:rPr>
          <w:lang w:val="en-US"/>
        </w:rPr>
      </w:pPr>
    </w:p>
    <w:p w14:paraId="2A7CACCF" w14:textId="71FCAC33" w:rsidR="002D7119" w:rsidRPr="009903C5" w:rsidRDefault="00A823A1" w:rsidP="009903C5">
      <w:pPr>
        <w:pStyle w:val="ListParagraph"/>
        <w:numPr>
          <w:ilvl w:val="0"/>
          <w:numId w:val="36"/>
        </w:numPr>
        <w:jc w:val="both"/>
        <w:rPr>
          <w:b/>
          <w:bCs/>
          <w:lang w:val="en-US"/>
        </w:rPr>
      </w:pPr>
      <w:r w:rsidRPr="009903C5">
        <w:rPr>
          <w:b/>
          <w:bCs/>
          <w:lang w:val="en-US"/>
        </w:rPr>
        <w:t xml:space="preserve">Potential </w:t>
      </w:r>
      <w:r w:rsidR="00132CBE" w:rsidRPr="009903C5">
        <w:rPr>
          <w:b/>
          <w:bCs/>
          <w:lang w:val="en-US"/>
        </w:rPr>
        <w:t>constraints related to sustainability preferences.</w:t>
      </w:r>
    </w:p>
    <w:p w14:paraId="3632D802" w14:textId="090EEA86" w:rsidR="00F8369B" w:rsidRDefault="00EA5C01" w:rsidP="00BA7DA4">
      <w:pPr>
        <w:jc w:val="both"/>
        <w:rPr>
          <w:lang w:val="en-US"/>
        </w:rPr>
      </w:pPr>
      <w:r>
        <w:rPr>
          <w:lang w:val="en-US"/>
        </w:rPr>
        <w:t>In the interests of our clients</w:t>
      </w:r>
      <w:r w:rsidR="000D5005">
        <w:rPr>
          <w:lang w:val="en-US"/>
        </w:rPr>
        <w:t xml:space="preserve"> (investor protection) as well as in light of the broader perspective </w:t>
      </w:r>
      <w:r w:rsidR="008162AB">
        <w:rPr>
          <w:lang w:val="en-US"/>
        </w:rPr>
        <w:t>(</w:t>
      </w:r>
      <w:r w:rsidR="008162AB" w:rsidRPr="009903C5">
        <w:rPr>
          <w:i/>
          <w:iCs/>
          <w:lang w:val="en-US"/>
        </w:rPr>
        <w:t xml:space="preserve">i.e. </w:t>
      </w:r>
      <w:r w:rsidR="002E2749">
        <w:rPr>
          <w:lang w:val="en-US"/>
        </w:rPr>
        <w:t>reorienting capital flows to</w:t>
      </w:r>
      <w:r w:rsidR="00423055">
        <w:rPr>
          <w:lang w:val="en-US"/>
        </w:rPr>
        <w:t>wards</w:t>
      </w:r>
      <w:r w:rsidR="002E2749">
        <w:rPr>
          <w:lang w:val="en-US"/>
        </w:rPr>
        <w:t xml:space="preserve"> initiatives supporting th</w:t>
      </w:r>
      <w:r w:rsidR="00423055">
        <w:rPr>
          <w:lang w:val="en-US"/>
        </w:rPr>
        <w:t>e UN development goals)</w:t>
      </w:r>
      <w:r w:rsidR="00BA7DA4">
        <w:rPr>
          <w:lang w:val="en-US"/>
        </w:rPr>
        <w:t>, we</w:t>
      </w:r>
      <w:r w:rsidR="00ED6896" w:rsidRPr="445F3169">
        <w:rPr>
          <w:lang w:val="en-US"/>
        </w:rPr>
        <w:t xml:space="preserve"> are of the view that</w:t>
      </w:r>
      <w:r w:rsidR="00BA7DA4">
        <w:rPr>
          <w:lang w:val="en-US"/>
        </w:rPr>
        <w:t xml:space="preserve"> </w:t>
      </w:r>
      <w:r w:rsidR="00ED6896" w:rsidRPr="445F3169">
        <w:rPr>
          <w:lang w:val="en-US"/>
        </w:rPr>
        <w:t xml:space="preserve">we should be allowed to discuss </w:t>
      </w:r>
      <w:r w:rsidR="00B645E5" w:rsidRPr="445F3169">
        <w:rPr>
          <w:lang w:val="en-US"/>
        </w:rPr>
        <w:t>–</w:t>
      </w:r>
      <w:r w:rsidR="00ED6896" w:rsidRPr="445F3169">
        <w:rPr>
          <w:lang w:val="en-US"/>
        </w:rPr>
        <w:t xml:space="preserve"> in a neutral way – any restraints of sustainable products, </w:t>
      </w:r>
      <w:r w:rsidR="00F8369B">
        <w:rPr>
          <w:lang w:val="en-US"/>
        </w:rPr>
        <w:t xml:space="preserve">e.g. </w:t>
      </w:r>
      <w:r w:rsidR="00F8369B" w:rsidRPr="445F3169">
        <w:rPr>
          <w:lang w:val="en-US"/>
        </w:rPr>
        <w:t xml:space="preserve"> </w:t>
      </w:r>
      <w:r w:rsidR="00ED6896" w:rsidRPr="445F3169">
        <w:rPr>
          <w:lang w:val="en-US"/>
        </w:rPr>
        <w:t>category a and b financial instruments that are primarily focused on corporate debt and equities and hence less suitable for conservative profiles</w:t>
      </w:r>
      <w:r w:rsidR="00F8369B">
        <w:rPr>
          <w:lang w:val="en-US"/>
        </w:rPr>
        <w:t xml:space="preserve">; </w:t>
      </w:r>
      <w:r w:rsidR="00DA7159">
        <w:rPr>
          <w:lang w:val="en-US"/>
        </w:rPr>
        <w:t>an increased concentration risk</w:t>
      </w:r>
      <w:r w:rsidR="00E2692E">
        <w:rPr>
          <w:lang w:val="en-US"/>
        </w:rPr>
        <w:t xml:space="preserve"> especially for clients that desire to invest significantly in</w:t>
      </w:r>
      <w:r w:rsidR="00354349">
        <w:rPr>
          <w:lang w:val="en-US"/>
        </w:rPr>
        <w:t xml:space="preserve"> category a financial instruments, </w:t>
      </w:r>
      <w:r w:rsidR="00F6724E">
        <w:rPr>
          <w:lang w:val="en-US"/>
        </w:rPr>
        <w:t xml:space="preserve">given the limited number of companies that have </w:t>
      </w:r>
      <w:r w:rsidR="00B51C0F">
        <w:rPr>
          <w:lang w:val="en-US"/>
        </w:rPr>
        <w:t xml:space="preserve">taxonomy aligned activities (certainly at a first stage) and </w:t>
      </w:r>
      <w:r w:rsidR="009A5611">
        <w:rPr>
          <w:lang w:val="en-US"/>
        </w:rPr>
        <w:t>the</w:t>
      </w:r>
      <w:r w:rsidR="00B51C0F">
        <w:rPr>
          <w:lang w:val="en-US"/>
        </w:rPr>
        <w:t xml:space="preserve"> fact that</w:t>
      </w:r>
      <w:r w:rsidR="00E2692E">
        <w:rPr>
          <w:lang w:val="en-US"/>
        </w:rPr>
        <w:t xml:space="preserve"> government debt cannot be taxonomy aligned. </w:t>
      </w:r>
    </w:p>
    <w:p w14:paraId="122EFB1A" w14:textId="7C234395" w:rsidR="002B00EF" w:rsidRDefault="00294CDF" w:rsidP="003C0494">
      <w:pPr>
        <w:jc w:val="both"/>
        <w:rPr>
          <w:lang w:val="en-US"/>
        </w:rPr>
      </w:pPr>
      <w:r w:rsidRPr="445F3169">
        <w:rPr>
          <w:lang w:val="en-US"/>
        </w:rPr>
        <w:t xml:space="preserve">We should avoid to raise ESG expectations that </w:t>
      </w:r>
      <w:proofErr w:type="spellStart"/>
      <w:r w:rsidRPr="445F3169">
        <w:rPr>
          <w:lang w:val="en-US"/>
        </w:rPr>
        <w:t xml:space="preserve">can </w:t>
      </w:r>
      <w:r w:rsidR="00F02D6E">
        <w:rPr>
          <w:lang w:val="en-US"/>
        </w:rPr>
        <w:t>not</w:t>
      </w:r>
      <w:proofErr w:type="spellEnd"/>
      <w:r w:rsidR="00F02D6E" w:rsidRPr="445F3169">
        <w:rPr>
          <w:lang w:val="en-US"/>
        </w:rPr>
        <w:t xml:space="preserve"> </w:t>
      </w:r>
      <w:r w:rsidRPr="445F3169">
        <w:rPr>
          <w:lang w:val="en-US"/>
        </w:rPr>
        <w:t xml:space="preserve">be fulfilled and will only drive a client away from sustainable investing. </w:t>
      </w:r>
    </w:p>
    <w:p w14:paraId="6EF700C9" w14:textId="77777777" w:rsidR="00C75FC3" w:rsidRDefault="00C75FC3" w:rsidP="003C0494">
      <w:pPr>
        <w:jc w:val="both"/>
        <w:rPr>
          <w:b/>
          <w:bCs/>
          <w:lang w:val="en-US"/>
        </w:rPr>
      </w:pPr>
    </w:p>
    <w:p w14:paraId="1805AA7C" w14:textId="6B1105EE" w:rsidR="00C75FC3" w:rsidRPr="00EA5B3D" w:rsidRDefault="00C75FC3" w:rsidP="00EA5B3D">
      <w:pPr>
        <w:pStyle w:val="ListParagraph"/>
        <w:numPr>
          <w:ilvl w:val="0"/>
          <w:numId w:val="36"/>
        </w:numPr>
        <w:jc w:val="both"/>
        <w:rPr>
          <w:b/>
          <w:bCs/>
          <w:lang w:val="en-US"/>
        </w:rPr>
      </w:pPr>
      <w:r w:rsidRPr="00EA5B3D">
        <w:rPr>
          <w:b/>
          <w:bCs/>
          <w:lang w:val="en-US"/>
        </w:rPr>
        <w:t xml:space="preserve">Products not ESG </w:t>
      </w:r>
      <w:r w:rsidR="009705D2">
        <w:rPr>
          <w:b/>
          <w:bCs/>
          <w:lang w:val="en-US"/>
        </w:rPr>
        <w:t xml:space="preserve">eligible </w:t>
      </w:r>
      <w:r w:rsidR="00C04765">
        <w:rPr>
          <w:b/>
          <w:bCs/>
          <w:lang w:val="en-US"/>
        </w:rPr>
        <w:t>by nature</w:t>
      </w:r>
    </w:p>
    <w:p w14:paraId="79F8B8AD" w14:textId="3EBB16A9" w:rsidR="00211C9A" w:rsidRDefault="00211C9A" w:rsidP="003C0494">
      <w:pPr>
        <w:jc w:val="both"/>
        <w:rPr>
          <w:lang w:val="en-US"/>
        </w:rPr>
      </w:pPr>
      <w:r>
        <w:rPr>
          <w:lang w:val="en-US"/>
        </w:rPr>
        <w:t xml:space="preserve">Clients should realize that some products will </w:t>
      </w:r>
      <w:r w:rsidR="00196C9E">
        <w:rPr>
          <w:lang w:val="en-US"/>
        </w:rPr>
        <w:t>never</w:t>
      </w:r>
      <w:r>
        <w:rPr>
          <w:lang w:val="en-US"/>
        </w:rPr>
        <w:t xml:space="preserve"> meet sustainability preferences as defined in MIFD. </w:t>
      </w:r>
      <w:r w:rsidR="009136A2">
        <w:rPr>
          <w:lang w:val="en-US"/>
        </w:rPr>
        <w:t xml:space="preserve"> In such case – so n</w:t>
      </w:r>
      <w:r w:rsidR="00027CD1">
        <w:rPr>
          <w:lang w:val="en-US"/>
        </w:rPr>
        <w:t xml:space="preserve">ot to unnecessarily confuse </w:t>
      </w:r>
      <w:r w:rsidR="00EC3B17">
        <w:rPr>
          <w:lang w:val="en-US"/>
        </w:rPr>
        <w:t>clients</w:t>
      </w:r>
      <w:r w:rsidR="00027CD1">
        <w:rPr>
          <w:lang w:val="en-US"/>
        </w:rPr>
        <w:t xml:space="preserve"> and absent any added value</w:t>
      </w:r>
      <w:r w:rsidR="009136A2">
        <w:rPr>
          <w:lang w:val="en-US"/>
        </w:rPr>
        <w:t xml:space="preserve"> for the latter</w:t>
      </w:r>
      <w:r w:rsidR="00027CD1">
        <w:rPr>
          <w:lang w:val="en-US"/>
        </w:rPr>
        <w:t xml:space="preserve">, </w:t>
      </w:r>
      <w:r w:rsidR="00EC3B17">
        <w:rPr>
          <w:lang w:val="en-US"/>
        </w:rPr>
        <w:t>client</w:t>
      </w:r>
      <w:r w:rsidR="00637018">
        <w:rPr>
          <w:lang w:val="en-US"/>
        </w:rPr>
        <w:t>s</w:t>
      </w:r>
      <w:r>
        <w:rPr>
          <w:lang w:val="en-US"/>
        </w:rPr>
        <w:t xml:space="preserve"> should not be inquired on their sustainability preferences</w:t>
      </w:r>
      <w:r w:rsidR="00637018">
        <w:rPr>
          <w:lang w:val="en-US"/>
        </w:rPr>
        <w:t xml:space="preserve">. </w:t>
      </w:r>
    </w:p>
    <w:p w14:paraId="69AC5A14" w14:textId="6FE4ADE0" w:rsidR="00637018" w:rsidRDefault="00637018" w:rsidP="003C0494">
      <w:pPr>
        <w:jc w:val="both"/>
        <w:rPr>
          <w:lang w:val="en-US"/>
        </w:rPr>
      </w:pPr>
      <w:r>
        <w:rPr>
          <w:lang w:val="en-US"/>
        </w:rPr>
        <w:t xml:space="preserve">A typical example </w:t>
      </w:r>
      <w:r w:rsidR="006D1394">
        <w:rPr>
          <w:lang w:val="en-US"/>
        </w:rPr>
        <w:t>are</w:t>
      </w:r>
      <w:r w:rsidR="00196C9E">
        <w:rPr>
          <w:lang w:val="en-US"/>
        </w:rPr>
        <w:t xml:space="preserve"> hedging products</w:t>
      </w:r>
      <w:r w:rsidR="00EA77C0">
        <w:rPr>
          <w:lang w:val="en-US"/>
        </w:rPr>
        <w:t xml:space="preserve">, which can never meet ‘sustainability preferences’ as </w:t>
      </w:r>
      <w:r w:rsidR="00B93167">
        <w:rPr>
          <w:lang w:val="en-US"/>
        </w:rPr>
        <w:t>currently d</w:t>
      </w:r>
      <w:r w:rsidR="00EA77C0">
        <w:rPr>
          <w:lang w:val="en-US"/>
        </w:rPr>
        <w:t xml:space="preserve">efined </w:t>
      </w:r>
      <w:r w:rsidR="00B93167">
        <w:rPr>
          <w:lang w:val="en-US"/>
        </w:rPr>
        <w:t>in the MiFID amendment.</w:t>
      </w:r>
      <w:r w:rsidR="00543CF0">
        <w:rPr>
          <w:lang w:val="en-US"/>
        </w:rPr>
        <w:t xml:space="preserve">  But </w:t>
      </w:r>
      <w:r w:rsidR="009A71BE">
        <w:rPr>
          <w:lang w:val="en-US"/>
        </w:rPr>
        <w:t>the same applies</w:t>
      </w:r>
      <w:r w:rsidR="00543CF0">
        <w:rPr>
          <w:lang w:val="en-US"/>
        </w:rPr>
        <w:t xml:space="preserve"> in case a client is seeking an  advice on </w:t>
      </w:r>
      <w:r w:rsidR="008F4877">
        <w:rPr>
          <w:lang w:val="en-US"/>
        </w:rPr>
        <w:t>a</w:t>
      </w:r>
      <w:r w:rsidR="00543CF0">
        <w:rPr>
          <w:lang w:val="en-US"/>
        </w:rPr>
        <w:t xml:space="preserve"> specific product</w:t>
      </w:r>
      <w:r w:rsidR="008D44F7">
        <w:rPr>
          <w:lang w:val="en-US"/>
        </w:rPr>
        <w:t>.</w:t>
      </w:r>
    </w:p>
    <w:p w14:paraId="4709792C" w14:textId="77777777" w:rsidR="000D31C5" w:rsidRDefault="000D31C5" w:rsidP="003C0494">
      <w:pPr>
        <w:jc w:val="both"/>
        <w:rPr>
          <w:lang w:val="en-US"/>
        </w:rPr>
      </w:pPr>
    </w:p>
    <w:p w14:paraId="069A58AF" w14:textId="3CE9B0AA" w:rsidR="00D70695" w:rsidRPr="00ED6896" w:rsidRDefault="00ED6896" w:rsidP="003C0494">
      <w:pPr>
        <w:jc w:val="both"/>
        <w:rPr>
          <w:b/>
          <w:bCs/>
          <w:lang w:val="en-US"/>
        </w:rPr>
      </w:pPr>
      <w:r w:rsidRPr="00ED6896">
        <w:rPr>
          <w:b/>
          <w:bCs/>
          <w:lang w:val="en-US"/>
        </w:rPr>
        <w:t>Q2. Do you agree with the new supporting guideline in relation to the information to clients on the concept of sustainability preference or do you believe that the information requirement should be expanded further? Please also state the reasons for your answer.</w:t>
      </w:r>
    </w:p>
    <w:p w14:paraId="6C2B4DDC" w14:textId="4BE99EC4" w:rsidR="00ED6896" w:rsidRDefault="00294CDF" w:rsidP="003C0494">
      <w:pPr>
        <w:jc w:val="both"/>
        <w:rPr>
          <w:lang w:val="en-US"/>
        </w:rPr>
      </w:pPr>
      <w:r>
        <w:rPr>
          <w:lang w:val="en-US"/>
        </w:rPr>
        <w:t>See sub Q1.</w:t>
      </w:r>
    </w:p>
    <w:p w14:paraId="746DF36F" w14:textId="0537C2F8" w:rsidR="00BE03C1" w:rsidRDefault="00BE03C1" w:rsidP="003C0494">
      <w:pPr>
        <w:jc w:val="both"/>
        <w:rPr>
          <w:lang w:val="en-US"/>
        </w:rPr>
      </w:pPr>
      <w:r>
        <w:rPr>
          <w:lang w:val="en-US"/>
        </w:rPr>
        <w:t>Referring to the points already set out sub Q1, we would like to specifically highlight</w:t>
      </w:r>
      <w:r w:rsidR="00C40C14">
        <w:rPr>
          <w:lang w:val="en-US"/>
        </w:rPr>
        <w:t xml:space="preserve"> the lack of any guidance on </w:t>
      </w:r>
      <w:r w:rsidR="002A404E">
        <w:rPr>
          <w:lang w:val="en-US"/>
        </w:rPr>
        <w:t>the ESG assessment of financial instruments that are n</w:t>
      </w:r>
      <w:r w:rsidR="0032760D">
        <w:rPr>
          <w:lang w:val="en-US"/>
        </w:rPr>
        <w:t xml:space="preserve">ot financial products under SFDR.  </w:t>
      </w:r>
    </w:p>
    <w:p w14:paraId="1EF02EE0" w14:textId="3033AA01" w:rsidR="0032760D" w:rsidRDefault="0032760D" w:rsidP="003C0494">
      <w:pPr>
        <w:jc w:val="both"/>
        <w:rPr>
          <w:lang w:val="en-US"/>
        </w:rPr>
      </w:pPr>
      <w:r>
        <w:rPr>
          <w:lang w:val="en-US"/>
        </w:rPr>
        <w:t xml:space="preserve">In subsidiary order, we are also confronted with the assessment of </w:t>
      </w:r>
      <w:r w:rsidR="00201408">
        <w:rPr>
          <w:lang w:val="en-US"/>
        </w:rPr>
        <w:t>non-EU financial instruments</w:t>
      </w:r>
      <w:r w:rsidR="002C662D">
        <w:rPr>
          <w:lang w:val="en-US"/>
        </w:rPr>
        <w:t xml:space="preserve"> and the </w:t>
      </w:r>
      <w:r w:rsidR="00CB68DD">
        <w:rPr>
          <w:lang w:val="en-US"/>
        </w:rPr>
        <w:t>uncertainty caused by future developments.</w:t>
      </w:r>
    </w:p>
    <w:p w14:paraId="248A401A" w14:textId="325C53A3" w:rsidR="00ED6896" w:rsidRDefault="00ED6896" w:rsidP="003C0494">
      <w:pPr>
        <w:jc w:val="both"/>
        <w:rPr>
          <w:lang w:val="en-US"/>
        </w:rPr>
      </w:pPr>
    </w:p>
    <w:p w14:paraId="1B0156FB" w14:textId="677B6B3D" w:rsidR="00B645E5" w:rsidRPr="00044FBC" w:rsidRDefault="00B645E5" w:rsidP="00044FBC">
      <w:pPr>
        <w:pBdr>
          <w:top w:val="single" w:sz="4" w:space="1" w:color="auto"/>
          <w:left w:val="single" w:sz="4" w:space="4" w:color="auto"/>
          <w:bottom w:val="single" w:sz="4" w:space="1" w:color="auto"/>
          <w:right w:val="single" w:sz="4" w:space="4" w:color="auto"/>
        </w:pBdr>
        <w:shd w:val="clear" w:color="auto" w:fill="E2EFD9" w:themeFill="accent6" w:themeFillTint="33"/>
        <w:jc w:val="both"/>
        <w:rPr>
          <w:sz w:val="24"/>
          <w:szCs w:val="24"/>
          <w:u w:val="single"/>
          <w:lang w:val="en-US"/>
        </w:rPr>
      </w:pPr>
      <w:r w:rsidRPr="00044FBC">
        <w:rPr>
          <w:sz w:val="24"/>
          <w:szCs w:val="24"/>
          <w:u w:val="single"/>
          <w:lang w:val="en-US"/>
        </w:rPr>
        <w:t xml:space="preserve">Guideline 2 – arrangements necessary to understand clients. </w:t>
      </w:r>
    </w:p>
    <w:p w14:paraId="3DD932D6" w14:textId="63F590E3" w:rsidR="00B645E5" w:rsidRPr="003F2FF0" w:rsidRDefault="00B645E5" w:rsidP="00B645E5">
      <w:pPr>
        <w:jc w:val="both"/>
        <w:rPr>
          <w:i/>
          <w:iCs/>
          <w:sz w:val="20"/>
          <w:szCs w:val="20"/>
          <w:lang w:val="en-US"/>
        </w:rPr>
      </w:pPr>
      <w:r w:rsidRPr="003F2FF0">
        <w:rPr>
          <w:i/>
          <w:iCs/>
          <w:sz w:val="20"/>
          <w:szCs w:val="20"/>
          <w:lang w:val="en-US"/>
        </w:rPr>
        <w:t>25.The information on the sustainability preferences of the client should include all aspects mentioned in the definition of “sustainability preferences” according to Article 2(7) of the MiFID II Delegated Regulation and should be sufficiently granular to allow for a matching of the client’s sustainability preferences with the sustainability-related features of financial instruments. Granularity of information should also allow for a combination of the different aspects mentioned in Article 2(7). Firms should collect the following information from clients:</w:t>
      </w:r>
    </w:p>
    <w:p w14:paraId="508004A6" w14:textId="6F8FB038" w:rsidR="00B645E5" w:rsidRPr="003F2FF0" w:rsidRDefault="00B645E5" w:rsidP="00B645E5">
      <w:pPr>
        <w:pStyle w:val="ListParagraph"/>
        <w:numPr>
          <w:ilvl w:val="0"/>
          <w:numId w:val="2"/>
        </w:numPr>
        <w:jc w:val="both"/>
        <w:rPr>
          <w:i/>
          <w:iCs/>
          <w:sz w:val="20"/>
          <w:szCs w:val="20"/>
          <w:lang w:val="en-US"/>
        </w:rPr>
      </w:pPr>
      <w:r w:rsidRPr="003F2FF0">
        <w:rPr>
          <w:i/>
          <w:iCs/>
          <w:sz w:val="20"/>
          <w:szCs w:val="20"/>
          <w:lang w:val="en-US"/>
        </w:rPr>
        <w:t>Whether the client has any sustainability preferences (yes/no).</w:t>
      </w:r>
    </w:p>
    <w:p w14:paraId="5A3F2407" w14:textId="6ADB5828" w:rsidR="00B645E5" w:rsidRPr="003F2FF0" w:rsidRDefault="00B645E5" w:rsidP="00B645E5">
      <w:pPr>
        <w:pStyle w:val="ListParagraph"/>
        <w:numPr>
          <w:ilvl w:val="0"/>
          <w:numId w:val="2"/>
        </w:numPr>
        <w:jc w:val="both"/>
        <w:rPr>
          <w:i/>
          <w:iCs/>
          <w:sz w:val="20"/>
          <w:szCs w:val="20"/>
          <w:lang w:val="en-US"/>
        </w:rPr>
      </w:pPr>
      <w:r w:rsidRPr="003F2FF0">
        <w:rPr>
          <w:i/>
          <w:iCs/>
          <w:sz w:val="20"/>
          <w:szCs w:val="20"/>
          <w:lang w:val="en-US"/>
        </w:rPr>
        <w:t>Whether – and if so, to what extent - the client has sustainability preferences with regard to aspect a), b) or c) of the definition according to Article 2(7) MiFID II Delegated Regulation and if the client has a preference for, where relevant, a combination of one or more of the three aspects.</w:t>
      </w:r>
    </w:p>
    <w:p w14:paraId="43560493" w14:textId="2DD51F5F" w:rsidR="00B645E5" w:rsidRPr="003F2FF0" w:rsidRDefault="00B645E5" w:rsidP="00B645E5">
      <w:pPr>
        <w:pStyle w:val="ListParagraph"/>
        <w:numPr>
          <w:ilvl w:val="0"/>
          <w:numId w:val="2"/>
        </w:numPr>
        <w:jc w:val="both"/>
        <w:rPr>
          <w:i/>
          <w:iCs/>
          <w:sz w:val="20"/>
          <w:szCs w:val="20"/>
          <w:lang w:val="en-US"/>
        </w:rPr>
      </w:pPr>
      <w:r w:rsidRPr="003F2FF0">
        <w:rPr>
          <w:i/>
          <w:iCs/>
          <w:sz w:val="20"/>
          <w:szCs w:val="20"/>
          <w:lang w:val="en-US"/>
        </w:rPr>
        <w:t>For aspects a) and b), the minimum proportion.</w:t>
      </w:r>
    </w:p>
    <w:p w14:paraId="04CDE984" w14:textId="13DB72B9" w:rsidR="00B645E5" w:rsidRPr="003F2FF0" w:rsidRDefault="00B645E5" w:rsidP="00B645E5">
      <w:pPr>
        <w:pStyle w:val="ListParagraph"/>
        <w:numPr>
          <w:ilvl w:val="0"/>
          <w:numId w:val="2"/>
        </w:numPr>
        <w:jc w:val="both"/>
        <w:rPr>
          <w:i/>
          <w:iCs/>
          <w:sz w:val="20"/>
          <w:szCs w:val="20"/>
          <w:lang w:val="en-US"/>
        </w:rPr>
      </w:pPr>
      <w:r w:rsidRPr="003F2FF0">
        <w:rPr>
          <w:i/>
          <w:iCs/>
          <w:sz w:val="20"/>
          <w:szCs w:val="20"/>
          <w:lang w:val="en-US"/>
        </w:rPr>
        <w:t>For aspect c), which principal adverse impacts (PAI) should be considered including quantitative and qualitative criteria demonstrating that consideration.</w:t>
      </w:r>
    </w:p>
    <w:p w14:paraId="2A9830D3" w14:textId="6355116E" w:rsidR="00B645E5" w:rsidRPr="003F2FF0" w:rsidRDefault="00B645E5" w:rsidP="00B645E5">
      <w:pPr>
        <w:jc w:val="both"/>
        <w:rPr>
          <w:i/>
          <w:iCs/>
          <w:sz w:val="20"/>
          <w:szCs w:val="20"/>
          <w:lang w:val="en-US"/>
        </w:rPr>
      </w:pPr>
      <w:r w:rsidRPr="003F2FF0">
        <w:rPr>
          <w:i/>
          <w:iCs/>
          <w:sz w:val="20"/>
          <w:szCs w:val="20"/>
          <w:lang w:val="en-US"/>
        </w:rPr>
        <w:t>Throughout the process, firms should adopt a neutral and unbiased approach as to not influence clients’ answers.</w:t>
      </w:r>
    </w:p>
    <w:p w14:paraId="4451C0C7" w14:textId="77777777" w:rsidR="00166CA2" w:rsidRDefault="00166CA2" w:rsidP="00044FBC">
      <w:pPr>
        <w:jc w:val="both"/>
        <w:rPr>
          <w:i/>
          <w:iCs/>
          <w:sz w:val="20"/>
          <w:szCs w:val="20"/>
          <w:lang w:val="en-US"/>
        </w:rPr>
      </w:pPr>
    </w:p>
    <w:p w14:paraId="573FCB16" w14:textId="2B7861EE" w:rsidR="00044FBC" w:rsidRPr="003F2FF0" w:rsidRDefault="00B645E5" w:rsidP="00044FBC">
      <w:pPr>
        <w:jc w:val="both"/>
        <w:rPr>
          <w:i/>
          <w:iCs/>
          <w:sz w:val="20"/>
          <w:szCs w:val="20"/>
          <w:lang w:val="en-US"/>
        </w:rPr>
      </w:pPr>
      <w:r w:rsidRPr="003F2FF0">
        <w:rPr>
          <w:i/>
          <w:iCs/>
          <w:sz w:val="20"/>
          <w:szCs w:val="20"/>
          <w:lang w:val="en-US"/>
        </w:rPr>
        <w:t xml:space="preserve">26. </w:t>
      </w:r>
      <w:r w:rsidR="00044FBC" w:rsidRPr="003F2FF0">
        <w:rPr>
          <w:i/>
          <w:iCs/>
          <w:sz w:val="20"/>
          <w:szCs w:val="20"/>
          <w:lang w:val="en-US"/>
        </w:rPr>
        <w:t>To achieve this, firms could choose the following approach:</w:t>
      </w:r>
    </w:p>
    <w:p w14:paraId="455EF205" w14:textId="31883ED1" w:rsidR="00044FBC" w:rsidRPr="003F2FF0" w:rsidRDefault="00044FBC" w:rsidP="00044FBC">
      <w:pPr>
        <w:pStyle w:val="ListParagraph"/>
        <w:numPr>
          <w:ilvl w:val="0"/>
          <w:numId w:val="2"/>
        </w:numPr>
        <w:jc w:val="both"/>
        <w:rPr>
          <w:i/>
          <w:iCs/>
          <w:sz w:val="20"/>
          <w:szCs w:val="20"/>
          <w:lang w:val="en-US"/>
        </w:rPr>
      </w:pPr>
      <w:r w:rsidRPr="003F2FF0">
        <w:rPr>
          <w:i/>
          <w:iCs/>
          <w:sz w:val="20"/>
          <w:szCs w:val="20"/>
          <w:lang w:val="en-US"/>
        </w:rPr>
        <w:t xml:space="preserve">First, firms could collect information on the degrees of sustainability related expectation of the client which would refer to one or more of the aspects expressed through a) to c) of Article 2(7) of the MiFID II Delegated Regulation  (“qualitative aspect of sustainability preferences”). </w:t>
      </w:r>
    </w:p>
    <w:p w14:paraId="109B45DF" w14:textId="77777777" w:rsidR="00044FBC" w:rsidRPr="003F2FF0" w:rsidRDefault="00044FBC" w:rsidP="00044FBC">
      <w:pPr>
        <w:ind w:left="709"/>
        <w:jc w:val="both"/>
        <w:rPr>
          <w:i/>
          <w:iCs/>
          <w:sz w:val="20"/>
          <w:szCs w:val="20"/>
          <w:lang w:val="en-US"/>
        </w:rPr>
      </w:pPr>
      <w:r w:rsidRPr="003F2FF0">
        <w:rPr>
          <w:i/>
          <w:iCs/>
          <w:sz w:val="20"/>
          <w:szCs w:val="20"/>
          <w:lang w:val="en-US"/>
        </w:rPr>
        <w:t xml:space="preserve">When doing so, firms could also assess whether the client would only prefer one certain degree of sustainability-related expectation or whether more or all of them should be part of its preferences. This aspect could be assessed through </w:t>
      </w:r>
      <w:proofErr w:type="spellStart"/>
      <w:r w:rsidRPr="003F2FF0">
        <w:rPr>
          <w:i/>
          <w:iCs/>
          <w:sz w:val="20"/>
          <w:szCs w:val="20"/>
          <w:lang w:val="en-US"/>
        </w:rPr>
        <w:t>closedended</w:t>
      </w:r>
      <w:proofErr w:type="spellEnd"/>
      <w:r w:rsidRPr="003F2FF0">
        <w:rPr>
          <w:i/>
          <w:iCs/>
          <w:sz w:val="20"/>
          <w:szCs w:val="20"/>
          <w:lang w:val="en-US"/>
        </w:rPr>
        <w:t xml:space="preserve"> yes/no-questions. Where the client wishes to include more or all of the  aspects mentioned under a) to c) of Article 2(7) of the MiFID Delegated  Regulation, this could be either assessed and matched on portfolio level or on the level of the financial instrument, depending on the service provided.</w:t>
      </w:r>
    </w:p>
    <w:p w14:paraId="3152E7D9" w14:textId="2A5639BB" w:rsidR="00B645E5" w:rsidRPr="003F2FF0" w:rsidRDefault="00044FBC" w:rsidP="00044FBC">
      <w:pPr>
        <w:ind w:left="709"/>
        <w:jc w:val="both"/>
        <w:rPr>
          <w:i/>
          <w:iCs/>
          <w:sz w:val="20"/>
          <w:szCs w:val="20"/>
          <w:lang w:val="en-US"/>
        </w:rPr>
      </w:pPr>
      <w:r w:rsidRPr="003F2FF0">
        <w:rPr>
          <w:i/>
          <w:iCs/>
          <w:sz w:val="20"/>
          <w:szCs w:val="20"/>
          <w:lang w:val="en-US"/>
        </w:rPr>
        <w:t>When providing portfolio management or investment advice (with or without portfolio approach) the firm could also ask the client to what extent financial instruments according to a) to c) should be included in client's investment/portfolio.</w:t>
      </w:r>
    </w:p>
    <w:p w14:paraId="761DDE3C" w14:textId="40528FDA" w:rsidR="00044FBC" w:rsidRPr="003F2FF0" w:rsidRDefault="00044FBC" w:rsidP="00044FBC">
      <w:pPr>
        <w:pStyle w:val="ListParagraph"/>
        <w:numPr>
          <w:ilvl w:val="0"/>
          <w:numId w:val="2"/>
        </w:numPr>
        <w:jc w:val="both"/>
        <w:rPr>
          <w:i/>
          <w:iCs/>
          <w:sz w:val="20"/>
          <w:szCs w:val="20"/>
          <w:lang w:val="en-US"/>
        </w:rPr>
      </w:pPr>
      <w:r w:rsidRPr="003F2FF0">
        <w:rPr>
          <w:i/>
          <w:iCs/>
          <w:sz w:val="20"/>
          <w:szCs w:val="20"/>
          <w:lang w:val="en-US"/>
        </w:rPr>
        <w:t>Firms could, as a second step, also collect information on whether the client’s sustainability preferences with regard to b) and c), if any, have a focus on either environmental, social or governance criteria or a combination of them or whether the client does not have such a focus.</w:t>
      </w:r>
    </w:p>
    <w:p w14:paraId="3A656F7E" w14:textId="77777777" w:rsidR="00044FBC" w:rsidRPr="003F2FF0" w:rsidRDefault="00044FBC" w:rsidP="00044FBC">
      <w:pPr>
        <w:pStyle w:val="ListParagraph"/>
        <w:jc w:val="both"/>
        <w:rPr>
          <w:i/>
          <w:iCs/>
          <w:sz w:val="20"/>
          <w:szCs w:val="20"/>
          <w:lang w:val="en-US"/>
        </w:rPr>
      </w:pPr>
    </w:p>
    <w:p w14:paraId="15443695" w14:textId="1AF9C36B" w:rsidR="00044FBC" w:rsidRPr="003F2FF0" w:rsidRDefault="00044FBC" w:rsidP="00044FBC">
      <w:pPr>
        <w:pStyle w:val="ListParagraph"/>
        <w:numPr>
          <w:ilvl w:val="0"/>
          <w:numId w:val="2"/>
        </w:numPr>
        <w:jc w:val="both"/>
        <w:rPr>
          <w:i/>
          <w:iCs/>
          <w:sz w:val="20"/>
          <w:szCs w:val="20"/>
          <w:lang w:val="en-US"/>
        </w:rPr>
      </w:pPr>
      <w:r w:rsidRPr="003F2FF0">
        <w:rPr>
          <w:i/>
          <w:iCs/>
          <w:sz w:val="20"/>
          <w:szCs w:val="20"/>
          <w:lang w:val="en-US"/>
        </w:rPr>
        <w:t>As a third step, firms could collect information on the client’s preferences in terms of the “minimum proportion” as mentioned in a) and b) if the client requested to include these financial instruments in the investment. Where a firm decides to collect this information not in terms of particular percentage but by ranges or sizes, these ranges should be presented in  neutral way to the client and should be sufficiently granular</w:t>
      </w:r>
    </w:p>
    <w:p w14:paraId="48559113" w14:textId="77777777" w:rsidR="00044FBC" w:rsidRPr="003F2FF0" w:rsidRDefault="00044FBC" w:rsidP="00044FBC">
      <w:pPr>
        <w:pStyle w:val="ListParagraph"/>
        <w:rPr>
          <w:i/>
          <w:iCs/>
          <w:sz w:val="20"/>
          <w:szCs w:val="20"/>
          <w:lang w:val="en-US"/>
        </w:rPr>
      </w:pPr>
    </w:p>
    <w:p w14:paraId="721CAEB1" w14:textId="77777777" w:rsidR="00044FBC" w:rsidRPr="003F2FF0" w:rsidRDefault="00044FBC" w:rsidP="00044FBC">
      <w:pPr>
        <w:pStyle w:val="ListParagraph"/>
        <w:numPr>
          <w:ilvl w:val="0"/>
          <w:numId w:val="2"/>
        </w:numPr>
        <w:jc w:val="both"/>
        <w:rPr>
          <w:i/>
          <w:iCs/>
          <w:sz w:val="20"/>
          <w:szCs w:val="20"/>
          <w:lang w:val="en-US"/>
        </w:rPr>
      </w:pPr>
      <w:r w:rsidRPr="003F2FF0">
        <w:rPr>
          <w:i/>
          <w:iCs/>
          <w:sz w:val="20"/>
          <w:szCs w:val="20"/>
          <w:lang w:val="en-US"/>
        </w:rPr>
        <w:t xml:space="preserve">In case the client wishes to include a financial instrument that considers PAI, the information collected should cover the PAI and qualitative and quantitative elements mentioned under c). Firms could test the client’s preferences and appetite for PAI integration with regard to the families of PAI indicators as whole, based on a possible focus of the client on environmental, social or governance aspects, using the categories presented in the SFDR RTS (instead of an approach based on each PAI indicator) such as emissions, energy performance, water &amp; waste, etc. </w:t>
      </w:r>
    </w:p>
    <w:p w14:paraId="2DCC0090" w14:textId="36D0FA63" w:rsidR="00B645E5" w:rsidRPr="003F2FF0" w:rsidRDefault="00044FBC" w:rsidP="00044FBC">
      <w:pPr>
        <w:ind w:left="709"/>
        <w:jc w:val="both"/>
        <w:rPr>
          <w:i/>
          <w:iCs/>
          <w:sz w:val="20"/>
          <w:szCs w:val="20"/>
          <w:lang w:val="en-US"/>
        </w:rPr>
      </w:pPr>
      <w:r w:rsidRPr="003F2FF0">
        <w:rPr>
          <w:i/>
          <w:iCs/>
          <w:sz w:val="20"/>
          <w:szCs w:val="20"/>
          <w:lang w:val="en-US"/>
        </w:rPr>
        <w:t>A qualitative evaluation could then be initiated for each category that is important/key for the client or not. This qualitative evaluation could be based on the approaches in which products consider PAI (e.g. exclusion strategies / controversies policies / voting and engagement policies).</w:t>
      </w:r>
    </w:p>
    <w:p w14:paraId="25F60337" w14:textId="5E2F7D63" w:rsidR="00044FBC" w:rsidRPr="003F2FF0" w:rsidRDefault="00044FBC" w:rsidP="00044FBC">
      <w:pPr>
        <w:pStyle w:val="ListParagraph"/>
        <w:numPr>
          <w:ilvl w:val="0"/>
          <w:numId w:val="2"/>
        </w:numPr>
        <w:jc w:val="both"/>
        <w:rPr>
          <w:i/>
          <w:iCs/>
          <w:sz w:val="20"/>
          <w:szCs w:val="20"/>
          <w:lang w:val="en-US"/>
        </w:rPr>
      </w:pPr>
      <w:r w:rsidRPr="003F2FF0">
        <w:rPr>
          <w:i/>
          <w:iCs/>
          <w:sz w:val="20"/>
          <w:szCs w:val="20"/>
          <w:lang w:val="en-US"/>
        </w:rPr>
        <w:t>Firms should have policies and instructions for their client-facing staff in place for situations where clients answer that they do have sustainability preferences but do not state a preference with regard to any of the specific aspects mentioned under a) to c) or with regard to a minimum proportion. For example, the firm could consider any of the aspects under a) to c) or a combination thereof and could consider that it is not bound by any minimum proportion of sustainability-related expectation for the purpose of conducting the suitability assessment. Where firms make use of this possibility, they should inform the client about their choice and the level of the sustainability-related expectation of the product and document in the suitability report the client’s choice not to further specify the sustainability preferences.</w:t>
      </w:r>
    </w:p>
    <w:p w14:paraId="5EEA174E" w14:textId="77777777" w:rsidR="00044FBC" w:rsidRPr="003F2FF0" w:rsidRDefault="00044FBC" w:rsidP="00044FBC">
      <w:pPr>
        <w:pStyle w:val="ListParagraph"/>
        <w:jc w:val="both"/>
        <w:rPr>
          <w:i/>
          <w:iCs/>
          <w:sz w:val="20"/>
          <w:szCs w:val="20"/>
          <w:lang w:val="en-US"/>
        </w:rPr>
      </w:pPr>
    </w:p>
    <w:p w14:paraId="1E933027" w14:textId="0EDD7D79" w:rsidR="00044FBC" w:rsidRPr="003F2FF0" w:rsidRDefault="00044FBC" w:rsidP="00044FBC">
      <w:pPr>
        <w:jc w:val="both"/>
        <w:rPr>
          <w:i/>
          <w:iCs/>
          <w:sz w:val="20"/>
          <w:szCs w:val="20"/>
          <w:lang w:val="en-US"/>
        </w:rPr>
      </w:pPr>
      <w:r w:rsidRPr="003F2FF0">
        <w:rPr>
          <w:i/>
          <w:iCs/>
          <w:sz w:val="20"/>
          <w:szCs w:val="20"/>
          <w:lang w:val="en-US"/>
        </w:rPr>
        <w:t>27. Firms should ensure the same level of granularity of information is collected on the client’s sustainability preferences when providing portfolio management or investment advice with a portfolio approach.  The client's sustainability preferences should be collected with regard to the portfolio (whereas the possibility of specific individual instructions remains, e.g. if a client asks for specific ESG-related products in the portfolio). Firms should therefore ask the client which part of the portfolio (if any) the client wants to be invested in products meeting the client's sustainability preferences. Where firms work with model portfolios that combine some or all of the criteria listed under paragraph 25 above, these model portfolios should allow for a granular assessment of the client’s preferences and should not be translated into a questionnaire that pushes the client into a certain combination of the criteria that would not meet the client’s sustainability preferences (i.e. all preferences need to be asked for and matched with the sustainability-related features of the model portfolio).</w:t>
      </w:r>
    </w:p>
    <w:p w14:paraId="6223378A" w14:textId="7C1685E4" w:rsidR="00044FBC" w:rsidRDefault="00044FBC" w:rsidP="00044FBC">
      <w:pPr>
        <w:jc w:val="both"/>
        <w:rPr>
          <w:sz w:val="20"/>
          <w:szCs w:val="20"/>
          <w:lang w:val="en-US"/>
        </w:rPr>
      </w:pPr>
    </w:p>
    <w:p w14:paraId="071B7717" w14:textId="17A36B81" w:rsidR="00044FBC" w:rsidRDefault="00044FBC" w:rsidP="00044FBC">
      <w:pPr>
        <w:jc w:val="both"/>
        <w:rPr>
          <w:b/>
          <w:bCs/>
          <w:lang w:val="en-US"/>
        </w:rPr>
      </w:pPr>
      <w:r w:rsidRPr="00044FBC">
        <w:rPr>
          <w:b/>
          <w:bCs/>
          <w:lang w:val="en-US"/>
        </w:rPr>
        <w:t>Q3. Do you agree with the suggested approach on the arrangements necessary to understand clients and specifically with how the guideline has been updated to take into account of the clients’ sustainability preferences? Please also state the reasons for your answer. Are there other alternative approaches, beyond the one suggested in guideline 2, that you consider compliant with the MiFID II requirements and that ESMA should consider? Please provide examples and details.</w:t>
      </w:r>
    </w:p>
    <w:p w14:paraId="3C8E0F96" w14:textId="676A0389" w:rsidR="009608D5" w:rsidRPr="005156E3" w:rsidRDefault="009608D5" w:rsidP="005156E3">
      <w:pPr>
        <w:pStyle w:val="ListParagraph"/>
        <w:numPr>
          <w:ilvl w:val="0"/>
          <w:numId w:val="37"/>
        </w:numPr>
        <w:jc w:val="both"/>
        <w:rPr>
          <w:b/>
          <w:bCs/>
          <w:lang w:val="en-US"/>
        </w:rPr>
      </w:pPr>
      <w:r w:rsidRPr="005156E3">
        <w:rPr>
          <w:b/>
          <w:bCs/>
          <w:lang w:val="en-US"/>
        </w:rPr>
        <w:t xml:space="preserve">High complexity </w:t>
      </w:r>
      <w:r w:rsidR="007B448A">
        <w:rPr>
          <w:b/>
          <w:bCs/>
          <w:lang w:val="en-US"/>
        </w:rPr>
        <w:t>and lack of data</w:t>
      </w:r>
      <w:r w:rsidR="00933085">
        <w:rPr>
          <w:b/>
          <w:bCs/>
          <w:lang w:val="en-US"/>
        </w:rPr>
        <w:t xml:space="preserve"> in general</w:t>
      </w:r>
    </w:p>
    <w:p w14:paraId="5A68F567" w14:textId="7169A491" w:rsidR="00371361" w:rsidRDefault="00013BC2" w:rsidP="008C362E">
      <w:pPr>
        <w:jc w:val="both"/>
        <w:rPr>
          <w:lang w:val="en-US"/>
        </w:rPr>
      </w:pPr>
      <w:r w:rsidRPr="63D6EC09">
        <w:rPr>
          <w:lang w:val="en-US"/>
        </w:rPr>
        <w:t>Investment advis</w:t>
      </w:r>
      <w:r w:rsidR="003337A6" w:rsidRPr="63D6EC09">
        <w:rPr>
          <w:lang w:val="en-US"/>
        </w:rPr>
        <w:t>o</w:t>
      </w:r>
      <w:r w:rsidRPr="63D6EC09">
        <w:rPr>
          <w:lang w:val="en-US"/>
        </w:rPr>
        <w:t>rs should collect information on all aspects of ‘sustainability preferences’. However these aspects are very complicated for a client to understand</w:t>
      </w:r>
      <w:r w:rsidR="007C335C" w:rsidRPr="63D6EC09">
        <w:rPr>
          <w:lang w:val="en-US"/>
        </w:rPr>
        <w:t xml:space="preserve">. Higher we already referred to the very technical concept of taxonomy alignment and the evolution of classification, as well as the lack of standard methodologies to assess sustainable investments.  To this, </w:t>
      </w:r>
      <w:r w:rsidR="007C335C" w:rsidRPr="63D6EC09">
        <w:rPr>
          <w:u w:val="single"/>
          <w:lang w:val="en-US"/>
        </w:rPr>
        <w:t>we could add the ‘minimum proportion’ combined with the extent of the portfolio</w:t>
      </w:r>
      <w:r w:rsidR="008F5EE4" w:rsidRPr="63D6EC09">
        <w:rPr>
          <w:u w:val="single"/>
          <w:lang w:val="en-US"/>
        </w:rPr>
        <w:t xml:space="preserve"> </w:t>
      </w:r>
      <w:r w:rsidR="008F5EE4" w:rsidRPr="00D10F7E">
        <w:rPr>
          <w:i/>
          <w:iCs/>
          <w:lang w:val="en-US"/>
        </w:rPr>
        <w:t>e.g</w:t>
      </w:r>
      <w:r w:rsidR="007C335C" w:rsidRPr="00D10F7E">
        <w:rPr>
          <w:i/>
          <w:iCs/>
          <w:lang w:val="en-US"/>
        </w:rPr>
        <w:t>.</w:t>
      </w:r>
      <w:r w:rsidR="007C335C" w:rsidRPr="63D6EC09">
        <w:rPr>
          <w:lang w:val="en-US"/>
        </w:rPr>
        <w:t xml:space="preserve">  </w:t>
      </w:r>
      <w:r w:rsidR="008F5EE4" w:rsidRPr="63D6EC09">
        <w:rPr>
          <w:lang w:val="en-US"/>
        </w:rPr>
        <w:t xml:space="preserve">a </w:t>
      </w:r>
      <w:r w:rsidR="007C335C" w:rsidRPr="63D6EC09">
        <w:rPr>
          <w:lang w:val="en-US"/>
        </w:rPr>
        <w:t xml:space="preserve">client should </w:t>
      </w:r>
      <w:r w:rsidR="003F2FF0" w:rsidRPr="63D6EC09">
        <w:rPr>
          <w:lang w:val="en-US"/>
        </w:rPr>
        <w:t xml:space="preserve">understand that in case he or she indicates a preference for category A financial instruments, with a minimum of 10% invested in taxonomy-aligned environmentally sustainable investments applied to 40% of his/her portfolio, his/her entire portfolio may only consist of 4% taxonomy aligned environmentally sustainable investments. Therefore it should be </w:t>
      </w:r>
      <w:r w:rsidR="00945D0E">
        <w:rPr>
          <w:lang w:val="en-US"/>
        </w:rPr>
        <w:t xml:space="preserve">possible for a financial </w:t>
      </w:r>
      <w:r w:rsidR="00A41BAE">
        <w:rPr>
          <w:lang w:val="en-US"/>
        </w:rPr>
        <w:t xml:space="preserve">institution to </w:t>
      </w:r>
      <w:r w:rsidR="00147688">
        <w:rPr>
          <w:lang w:val="en-US"/>
        </w:rPr>
        <w:t>request</w:t>
      </w:r>
      <w:r w:rsidR="00A41BAE">
        <w:rPr>
          <w:lang w:val="en-US"/>
        </w:rPr>
        <w:t xml:space="preserve"> a </w:t>
      </w:r>
      <w:r w:rsidR="002C1722">
        <w:rPr>
          <w:lang w:val="en-US"/>
        </w:rPr>
        <w:t>client</w:t>
      </w:r>
      <w:r w:rsidR="008C362E">
        <w:rPr>
          <w:lang w:val="en-US"/>
        </w:rPr>
        <w:t xml:space="preserve"> </w:t>
      </w:r>
      <w:r w:rsidR="003F2FF0" w:rsidRPr="63D6EC09">
        <w:rPr>
          <w:lang w:val="en-US"/>
        </w:rPr>
        <w:t>to define one single percentage that is applied to his portfolio as a whole (e.g. 10% of his portfolio must be invested in environmental sustainable investments/activities), this would make it more understandable for a client and is also more in line with other suitability dimensions at the level of a portfolio (like risk, horizon,…)</w:t>
      </w:r>
    </w:p>
    <w:p w14:paraId="6AE43E80" w14:textId="45AE6528" w:rsidR="00371361" w:rsidRPr="00DE5442" w:rsidRDefault="00371361" w:rsidP="00DE5442">
      <w:pPr>
        <w:pStyle w:val="ListParagraph"/>
        <w:numPr>
          <w:ilvl w:val="0"/>
          <w:numId w:val="37"/>
        </w:numPr>
        <w:jc w:val="both"/>
        <w:rPr>
          <w:b/>
          <w:bCs/>
          <w:lang w:val="en-US"/>
        </w:rPr>
      </w:pPr>
      <w:r>
        <w:rPr>
          <w:b/>
          <w:bCs/>
          <w:lang w:val="en-US"/>
        </w:rPr>
        <w:t xml:space="preserve">How to </w:t>
      </w:r>
      <w:r w:rsidR="00E85A84">
        <w:rPr>
          <w:b/>
          <w:bCs/>
          <w:lang w:val="en-US"/>
        </w:rPr>
        <w:t>explain and apply “</w:t>
      </w:r>
      <w:r w:rsidRPr="00DE5442">
        <w:rPr>
          <w:b/>
          <w:bCs/>
          <w:lang w:val="en-US"/>
        </w:rPr>
        <w:t>Principal adverse impacts</w:t>
      </w:r>
      <w:r w:rsidR="00E85A84">
        <w:rPr>
          <w:b/>
          <w:bCs/>
          <w:lang w:val="en-US"/>
        </w:rPr>
        <w:t>”</w:t>
      </w:r>
      <w:r w:rsidRPr="00DE5442">
        <w:rPr>
          <w:b/>
          <w:bCs/>
          <w:lang w:val="en-US"/>
        </w:rPr>
        <w:t xml:space="preserve"> </w:t>
      </w:r>
    </w:p>
    <w:p w14:paraId="60BA344E" w14:textId="741DE6D8" w:rsidR="00196B73" w:rsidRPr="00DE5442" w:rsidRDefault="00196B73" w:rsidP="00044FBC">
      <w:pPr>
        <w:jc w:val="both"/>
        <w:rPr>
          <w:i/>
          <w:iCs/>
          <w:u w:val="single"/>
          <w:lang w:val="en-US"/>
        </w:rPr>
      </w:pPr>
      <w:r w:rsidRPr="00DE5442">
        <w:rPr>
          <w:i/>
          <w:iCs/>
          <w:u w:val="single"/>
          <w:lang w:val="en-US"/>
        </w:rPr>
        <w:t>C</w:t>
      </w:r>
      <w:r w:rsidR="00BF3D85" w:rsidRPr="00DE5442">
        <w:rPr>
          <w:i/>
          <w:iCs/>
          <w:u w:val="single"/>
          <w:lang w:val="en-US"/>
        </w:rPr>
        <w:t>omplexity of principal adverse impacts</w:t>
      </w:r>
    </w:p>
    <w:p w14:paraId="142BB5F3" w14:textId="40738AC2" w:rsidR="008F5EE4" w:rsidRDefault="00EC3C69" w:rsidP="00044FBC">
      <w:pPr>
        <w:jc w:val="both"/>
        <w:rPr>
          <w:lang w:val="en-US"/>
        </w:rPr>
      </w:pPr>
      <w:r w:rsidRPr="00EC3C69">
        <w:rPr>
          <w:lang w:val="en-US"/>
        </w:rPr>
        <w:t>The</w:t>
      </w:r>
      <w:r w:rsidR="007C335C" w:rsidRPr="00EC3C69">
        <w:rPr>
          <w:lang w:val="en-US"/>
        </w:rPr>
        <w:t xml:space="preserve"> concept of “principal adverse impacts on sustainability factors” as well as “quantitative or q</w:t>
      </w:r>
      <w:r w:rsidR="007C335C" w:rsidRPr="001E3DF2">
        <w:rPr>
          <w:lang w:val="en-US"/>
        </w:rPr>
        <w:t>ualitative elements demonstrating that consideration</w:t>
      </w:r>
      <w:r w:rsidR="007C335C" w:rsidRPr="00315FBD">
        <w:rPr>
          <w:lang w:val="en-US"/>
        </w:rPr>
        <w:t>”</w:t>
      </w:r>
      <w:r w:rsidR="007C335C">
        <w:rPr>
          <w:lang w:val="en-US"/>
        </w:rPr>
        <w:t xml:space="preserve"> are </w:t>
      </w:r>
      <w:r w:rsidR="00A8028E">
        <w:rPr>
          <w:lang w:val="en-US"/>
        </w:rPr>
        <w:t xml:space="preserve">extremely </w:t>
      </w:r>
      <w:r w:rsidR="007C335C">
        <w:rPr>
          <w:lang w:val="en-US"/>
        </w:rPr>
        <w:t>difficult for a client to understand, even more if we are not allowed to link it – upfront – to specific products.</w:t>
      </w:r>
      <w:r w:rsidR="00856AD7">
        <w:rPr>
          <w:lang w:val="en-US"/>
        </w:rPr>
        <w:t xml:space="preserve"> </w:t>
      </w:r>
      <w:r w:rsidR="00A8028E">
        <w:rPr>
          <w:lang w:val="en-US"/>
        </w:rPr>
        <w:t xml:space="preserve"> </w:t>
      </w:r>
      <w:r w:rsidR="008F5EE4">
        <w:rPr>
          <w:lang w:val="en-US"/>
        </w:rPr>
        <w:t xml:space="preserve"> </w:t>
      </w:r>
    </w:p>
    <w:p w14:paraId="548598B6" w14:textId="4631A11C" w:rsidR="00692335" w:rsidRDefault="008F5EE4" w:rsidP="00044FBC">
      <w:pPr>
        <w:jc w:val="both"/>
        <w:rPr>
          <w:lang w:val="en-US"/>
        </w:rPr>
      </w:pPr>
      <w:r w:rsidRPr="63D6EC09">
        <w:rPr>
          <w:lang w:val="en-US"/>
        </w:rPr>
        <w:t>Further, the market of sustainable products is far from mature</w:t>
      </w:r>
      <w:r w:rsidR="00286661" w:rsidRPr="63D6EC09">
        <w:rPr>
          <w:lang w:val="en-US"/>
        </w:rPr>
        <w:t>: w</w:t>
      </w:r>
      <w:r w:rsidRPr="63D6EC09">
        <w:rPr>
          <w:lang w:val="en-US"/>
        </w:rPr>
        <w:t xml:space="preserve">hich PAI will be taken into account by manufacturers and </w:t>
      </w:r>
      <w:r w:rsidR="00692335" w:rsidRPr="63D6EC09">
        <w:rPr>
          <w:lang w:val="en-US"/>
        </w:rPr>
        <w:t>how</w:t>
      </w:r>
      <w:r w:rsidRPr="63D6EC09">
        <w:rPr>
          <w:lang w:val="en-US"/>
        </w:rPr>
        <w:t xml:space="preserve">  will those – in practice – be considered?  </w:t>
      </w:r>
      <w:r w:rsidR="00B421A4" w:rsidRPr="63D6EC09">
        <w:rPr>
          <w:lang w:val="en-US"/>
        </w:rPr>
        <w:t>How to anticipate t</w:t>
      </w:r>
      <w:r w:rsidR="004E355D" w:rsidRPr="63D6EC09">
        <w:rPr>
          <w:lang w:val="en-US"/>
        </w:rPr>
        <w:t>hese</w:t>
      </w:r>
      <w:r w:rsidR="00B421A4" w:rsidRPr="63D6EC09">
        <w:rPr>
          <w:lang w:val="en-US"/>
        </w:rPr>
        <w:t xml:space="preserve"> </w:t>
      </w:r>
      <w:r w:rsidR="004E355D" w:rsidRPr="63D6EC09">
        <w:rPr>
          <w:lang w:val="en-US"/>
        </w:rPr>
        <w:t xml:space="preserve">market </w:t>
      </w:r>
      <w:r w:rsidR="00B421A4" w:rsidRPr="63D6EC09">
        <w:rPr>
          <w:lang w:val="en-US"/>
        </w:rPr>
        <w:t xml:space="preserve">developments in the information/education of the client as well as in the questionnaire? </w:t>
      </w:r>
    </w:p>
    <w:p w14:paraId="3ECF3805" w14:textId="3847FBBB" w:rsidR="00A8028E" w:rsidRDefault="008F5EE4" w:rsidP="00044FBC">
      <w:pPr>
        <w:jc w:val="both"/>
        <w:rPr>
          <w:lang w:val="en-US"/>
        </w:rPr>
      </w:pPr>
      <w:r w:rsidRPr="00AB560C">
        <w:rPr>
          <w:lang w:val="en-US"/>
        </w:rPr>
        <w:t>On the</w:t>
      </w:r>
      <w:r w:rsidRPr="00A048B3">
        <w:rPr>
          <w:lang w:val="en-US"/>
        </w:rPr>
        <w:t xml:space="preserve"> </w:t>
      </w:r>
      <w:r w:rsidRPr="007D4F9C">
        <w:rPr>
          <w:u w:val="single"/>
          <w:lang w:val="en-US"/>
        </w:rPr>
        <w:t>‘which’</w:t>
      </w:r>
      <w:r>
        <w:rPr>
          <w:lang w:val="en-US"/>
        </w:rPr>
        <w:t xml:space="preserve">, the draft Guidelines suggest to </w:t>
      </w:r>
      <w:r w:rsidR="00692335">
        <w:rPr>
          <w:lang w:val="en-US"/>
        </w:rPr>
        <w:t>test a client’s preferences and appetite for PAI integration with regard to the families of PAI indicators as whole, using the categories presented in the SFDR RTS such as emissions , energy performance, water</w:t>
      </w:r>
      <w:r w:rsidR="00951E14">
        <w:rPr>
          <w:lang w:val="en-US"/>
        </w:rPr>
        <w:t xml:space="preserve"> </w:t>
      </w:r>
      <w:r w:rsidR="005B3930">
        <w:rPr>
          <w:lang w:val="en-US"/>
        </w:rPr>
        <w:t>&amp; waste etc. However,  PAI are not defined in MIFD and</w:t>
      </w:r>
      <w:r w:rsidR="000B5E65">
        <w:rPr>
          <w:lang w:val="en-US"/>
        </w:rPr>
        <w:t>, as explicitly stated in the explanatory memorandum</w:t>
      </w:r>
      <w:r w:rsidR="001E6642">
        <w:rPr>
          <w:lang w:val="en-US"/>
        </w:rPr>
        <w:t>, are not limited to th</w:t>
      </w:r>
      <w:r w:rsidR="002152BF">
        <w:rPr>
          <w:lang w:val="en-US"/>
        </w:rPr>
        <w:t xml:space="preserve">e indicators in accordance with SFDR RTS. </w:t>
      </w:r>
      <w:r w:rsidR="00C7322E">
        <w:rPr>
          <w:lang w:val="en-US"/>
        </w:rPr>
        <w:t xml:space="preserve"> Further, the PAI as listed in Annex to the draft SFDR RTS are drafted from a reporting perspective</w:t>
      </w:r>
      <w:r w:rsidR="00D337B1">
        <w:rPr>
          <w:lang w:val="en-US"/>
        </w:rPr>
        <w:t xml:space="preserve">. Some indicators </w:t>
      </w:r>
      <w:r w:rsidR="00B1477C">
        <w:rPr>
          <w:lang w:val="en-US"/>
        </w:rPr>
        <w:t xml:space="preserve">are not that meaningful from the perspective of client that wants to limit the adverse impacts of his/her investments. </w:t>
      </w:r>
    </w:p>
    <w:p w14:paraId="70A285C2" w14:textId="3C910149" w:rsidR="00B1477C" w:rsidRDefault="00B703F2" w:rsidP="00044FBC">
      <w:pPr>
        <w:jc w:val="both"/>
        <w:rPr>
          <w:lang w:val="en-US"/>
        </w:rPr>
      </w:pPr>
      <w:r>
        <w:rPr>
          <w:lang w:val="en-US"/>
        </w:rPr>
        <w:t xml:space="preserve">On the </w:t>
      </w:r>
      <w:r w:rsidR="00015841">
        <w:rPr>
          <w:lang w:val="en-US"/>
        </w:rPr>
        <w:t>“</w:t>
      </w:r>
      <w:r w:rsidR="00015841" w:rsidRPr="007D4F9C">
        <w:rPr>
          <w:u w:val="single"/>
          <w:lang w:val="en-US"/>
        </w:rPr>
        <w:t>how</w:t>
      </w:r>
      <w:r w:rsidR="00015841">
        <w:rPr>
          <w:lang w:val="en-US"/>
        </w:rPr>
        <w:t>” side</w:t>
      </w:r>
      <w:r w:rsidR="00547883">
        <w:rPr>
          <w:lang w:val="en-US"/>
        </w:rPr>
        <w:t xml:space="preserve">, </w:t>
      </w:r>
      <w:r w:rsidR="00547883" w:rsidRPr="007D4F9C">
        <w:rPr>
          <w:i/>
          <w:iCs/>
          <w:lang w:val="en-US"/>
        </w:rPr>
        <w:t>i.e.</w:t>
      </w:r>
      <w:r w:rsidR="00547883">
        <w:rPr>
          <w:lang w:val="en-US"/>
        </w:rPr>
        <w:t xml:space="preserve"> </w:t>
      </w:r>
      <w:r w:rsidR="00B74760">
        <w:rPr>
          <w:lang w:val="en-US"/>
        </w:rPr>
        <w:t xml:space="preserve">the qualitative or quantitative elements </w:t>
      </w:r>
      <w:r w:rsidR="004143D6">
        <w:rPr>
          <w:lang w:val="en-US"/>
        </w:rPr>
        <w:t>that demonstrate the</w:t>
      </w:r>
      <w:r w:rsidR="00B3595E">
        <w:rPr>
          <w:lang w:val="en-US"/>
        </w:rPr>
        <w:t xml:space="preserve"> PAI</w:t>
      </w:r>
      <w:r w:rsidR="004143D6">
        <w:rPr>
          <w:lang w:val="en-US"/>
        </w:rPr>
        <w:t xml:space="preserve"> consideration – in this respect we understand that the “and” in the guidelines </w:t>
      </w:r>
      <w:r w:rsidR="00E6477E">
        <w:rPr>
          <w:lang w:val="en-US"/>
        </w:rPr>
        <w:t xml:space="preserve">is an error and should read “or” in line with the text </w:t>
      </w:r>
      <w:r w:rsidR="009D2DBB">
        <w:rPr>
          <w:lang w:val="en-US"/>
        </w:rPr>
        <w:t>of the MiFID Delegated Regulation –  the</w:t>
      </w:r>
      <w:r w:rsidR="00C46BDA">
        <w:rPr>
          <w:lang w:val="en-US"/>
        </w:rPr>
        <w:t xml:space="preserve"> draft guidelines </w:t>
      </w:r>
      <w:r w:rsidR="00056AEA">
        <w:rPr>
          <w:lang w:val="en-US"/>
        </w:rPr>
        <w:t xml:space="preserve">only indicate that “this qualitative evaluation could be based on the approaches in which products consider </w:t>
      </w:r>
      <w:r w:rsidR="00E84D75">
        <w:rPr>
          <w:lang w:val="en-US"/>
        </w:rPr>
        <w:t>PAI</w:t>
      </w:r>
      <w:r w:rsidR="00056AEA">
        <w:rPr>
          <w:lang w:val="en-US"/>
        </w:rPr>
        <w:t xml:space="preserve"> (e.g. </w:t>
      </w:r>
      <w:r w:rsidR="00E84D75">
        <w:rPr>
          <w:lang w:val="en-US"/>
        </w:rPr>
        <w:t>exclusion strategies/controversies policies / voting and engagement poli</w:t>
      </w:r>
      <w:r w:rsidR="00B16DC7">
        <w:rPr>
          <w:lang w:val="en-US"/>
        </w:rPr>
        <w:t>cies”.  Again, this</w:t>
      </w:r>
      <w:r w:rsidR="007A1468">
        <w:rPr>
          <w:lang w:val="en-US"/>
        </w:rPr>
        <w:t xml:space="preserve"> allows for manufacturers to </w:t>
      </w:r>
      <w:r w:rsidR="00DE340F">
        <w:rPr>
          <w:lang w:val="en-US"/>
        </w:rPr>
        <w:t>create the coming years different kinds of</w:t>
      </w:r>
      <w:r w:rsidR="006749ED">
        <w:rPr>
          <w:lang w:val="en-US"/>
        </w:rPr>
        <w:t xml:space="preserve"> sustainability </w:t>
      </w:r>
      <w:r w:rsidR="00DE340F">
        <w:rPr>
          <w:lang w:val="en-US"/>
        </w:rPr>
        <w:t>products</w:t>
      </w:r>
      <w:r w:rsidR="00D94A64">
        <w:rPr>
          <w:lang w:val="en-US"/>
        </w:rPr>
        <w:t>, w</w:t>
      </w:r>
      <w:r w:rsidR="00F55960">
        <w:rPr>
          <w:lang w:val="en-US"/>
        </w:rPr>
        <w:t>it</w:t>
      </w:r>
      <w:r w:rsidR="00D94A64">
        <w:rPr>
          <w:lang w:val="en-US"/>
        </w:rPr>
        <w:t xml:space="preserve">h a different degree and/or ESG focus.  </w:t>
      </w:r>
      <w:r w:rsidR="00DF4CA6">
        <w:rPr>
          <w:lang w:val="en-US"/>
        </w:rPr>
        <w:t xml:space="preserve">The </w:t>
      </w:r>
      <w:r w:rsidR="00951FFC">
        <w:rPr>
          <w:lang w:val="en-US"/>
        </w:rPr>
        <w:t>development</w:t>
      </w:r>
      <w:r w:rsidR="00DF4CA6">
        <w:rPr>
          <w:lang w:val="en-US"/>
        </w:rPr>
        <w:t xml:space="preserve"> of </w:t>
      </w:r>
      <w:r w:rsidR="002B07D7">
        <w:rPr>
          <w:lang w:val="en-US"/>
        </w:rPr>
        <w:t xml:space="preserve">such </w:t>
      </w:r>
      <w:r w:rsidR="008D3E6A">
        <w:rPr>
          <w:lang w:val="en-US"/>
        </w:rPr>
        <w:t xml:space="preserve">a wide range of financial instruments with various degrees </w:t>
      </w:r>
      <w:r w:rsidR="00951FFC">
        <w:rPr>
          <w:lang w:val="en-US"/>
        </w:rPr>
        <w:t>of sustainability-related ambition has also been recognized by the European Commission</w:t>
      </w:r>
      <w:r w:rsidR="00951FFC">
        <w:rPr>
          <w:rStyle w:val="FootnoteReference"/>
          <w:lang w:val="en-US"/>
        </w:rPr>
        <w:footnoteReference w:id="3"/>
      </w:r>
      <w:r w:rsidR="00007F77">
        <w:rPr>
          <w:lang w:val="en-US"/>
        </w:rPr>
        <w:t>.</w:t>
      </w:r>
    </w:p>
    <w:p w14:paraId="16EF97E0" w14:textId="30B1AF29" w:rsidR="00BF3D85" w:rsidRPr="00821757" w:rsidRDefault="00BF3D85" w:rsidP="00044FBC">
      <w:pPr>
        <w:jc w:val="both"/>
        <w:rPr>
          <w:i/>
          <w:iCs/>
          <w:u w:val="single"/>
          <w:lang w:val="en-US"/>
        </w:rPr>
      </w:pPr>
      <w:r w:rsidRPr="00821757">
        <w:rPr>
          <w:i/>
          <w:iCs/>
          <w:u w:val="single"/>
          <w:lang w:val="en-US"/>
        </w:rPr>
        <w:t>Conclusion and suggested approach</w:t>
      </w:r>
      <w:r w:rsidR="005F65C5">
        <w:rPr>
          <w:i/>
          <w:iCs/>
          <w:u w:val="single"/>
          <w:lang w:val="en-US"/>
        </w:rPr>
        <w:t xml:space="preserve"> on PAI</w:t>
      </w:r>
    </w:p>
    <w:p w14:paraId="50F80A7A" w14:textId="43FB7CC8" w:rsidR="00A07934" w:rsidRDefault="00920A0F" w:rsidP="00044FBC">
      <w:pPr>
        <w:jc w:val="both"/>
        <w:rPr>
          <w:lang w:val="en-US"/>
        </w:rPr>
      </w:pPr>
      <w:r w:rsidRPr="63D6EC09">
        <w:rPr>
          <w:lang w:val="en-US"/>
        </w:rPr>
        <w:t>The</w:t>
      </w:r>
      <w:r w:rsidR="00C91E24" w:rsidRPr="63D6EC09">
        <w:rPr>
          <w:lang w:val="en-US"/>
        </w:rPr>
        <w:t xml:space="preserve"> above</w:t>
      </w:r>
      <w:r w:rsidR="00BD46AF" w:rsidRPr="63D6EC09">
        <w:rPr>
          <w:lang w:val="en-US"/>
        </w:rPr>
        <w:t xml:space="preserve"> complexity</w:t>
      </w:r>
      <w:r w:rsidR="009D3551" w:rsidRPr="63D6EC09">
        <w:rPr>
          <w:lang w:val="en-US"/>
        </w:rPr>
        <w:t xml:space="preserve"> and </w:t>
      </w:r>
      <w:r w:rsidR="00BD46AF" w:rsidRPr="63D6EC09">
        <w:rPr>
          <w:lang w:val="en-US"/>
        </w:rPr>
        <w:t xml:space="preserve">variety </w:t>
      </w:r>
      <w:r w:rsidRPr="63D6EC09">
        <w:rPr>
          <w:lang w:val="en-US"/>
        </w:rPr>
        <w:t>within a still</w:t>
      </w:r>
      <w:r w:rsidR="00BD46AF" w:rsidRPr="63D6EC09">
        <w:rPr>
          <w:lang w:val="en-US"/>
        </w:rPr>
        <w:t xml:space="preserve"> developing marke</w:t>
      </w:r>
      <w:r w:rsidR="00007F77" w:rsidRPr="63D6EC09">
        <w:rPr>
          <w:lang w:val="en-US"/>
        </w:rPr>
        <w:t>t and the need for a client to understand the sustainability</w:t>
      </w:r>
      <w:r w:rsidR="007E10FB" w:rsidRPr="63D6EC09">
        <w:rPr>
          <w:lang w:val="en-US"/>
        </w:rPr>
        <w:t>-related</w:t>
      </w:r>
      <w:r w:rsidR="00007F77" w:rsidRPr="63D6EC09">
        <w:rPr>
          <w:lang w:val="en-US"/>
        </w:rPr>
        <w:t xml:space="preserve"> features of  financial instruments, leads us to believe that the better approach is</w:t>
      </w:r>
      <w:r w:rsidR="005248FD">
        <w:rPr>
          <w:lang w:val="en-US"/>
        </w:rPr>
        <w:t xml:space="preserve">, </w:t>
      </w:r>
      <w:r w:rsidR="00D942DF">
        <w:rPr>
          <w:lang w:val="en-US"/>
        </w:rPr>
        <w:t xml:space="preserve">at least </w:t>
      </w:r>
      <w:r w:rsidR="005248FD">
        <w:rPr>
          <w:lang w:val="en-US"/>
        </w:rPr>
        <w:t xml:space="preserve">in </w:t>
      </w:r>
      <w:r w:rsidR="00FE5ECC">
        <w:rPr>
          <w:lang w:val="en-US"/>
        </w:rPr>
        <w:t>the</w:t>
      </w:r>
      <w:r w:rsidR="005248FD">
        <w:rPr>
          <w:lang w:val="en-US"/>
        </w:rPr>
        <w:t xml:space="preserve"> first phase of application of the rules</w:t>
      </w:r>
      <w:r w:rsidR="00FE5ECC">
        <w:rPr>
          <w:lang w:val="en-US"/>
        </w:rPr>
        <w:t xml:space="preserve"> </w:t>
      </w:r>
      <w:r w:rsidR="00D942DF">
        <w:rPr>
          <w:lang w:val="en-US"/>
        </w:rPr>
        <w:t>in 2022</w:t>
      </w:r>
      <w:r w:rsidR="001B7CC9">
        <w:rPr>
          <w:lang w:val="en-US"/>
        </w:rPr>
        <w:t xml:space="preserve"> as there is no</w:t>
      </w:r>
      <w:r w:rsidR="00322FA0">
        <w:rPr>
          <w:lang w:val="en-US"/>
        </w:rPr>
        <w:t xml:space="preserve"> or only limited</w:t>
      </w:r>
      <w:r w:rsidR="001B7CC9">
        <w:rPr>
          <w:lang w:val="en-US"/>
        </w:rPr>
        <w:t xml:space="preserve"> data available </w:t>
      </w:r>
      <w:r w:rsidR="00085AFC">
        <w:rPr>
          <w:lang w:val="en-US"/>
        </w:rPr>
        <w:t>(</w:t>
      </w:r>
      <w:proofErr w:type="spellStart"/>
      <w:r w:rsidR="001B7CC9">
        <w:rPr>
          <w:lang w:val="en-US"/>
        </w:rPr>
        <w:t>cfr</w:t>
      </w:r>
      <w:proofErr w:type="spellEnd"/>
      <w:r w:rsidR="001B7CC9">
        <w:rPr>
          <w:lang w:val="en-US"/>
        </w:rPr>
        <w:t xml:space="preserve">. Intro </w:t>
      </w:r>
      <w:r w:rsidR="00085AFC">
        <w:rPr>
          <w:lang w:val="en-US"/>
        </w:rPr>
        <w:t xml:space="preserve">Q1 remark </w:t>
      </w:r>
      <w:r w:rsidR="001B7CC9">
        <w:rPr>
          <w:lang w:val="en-US"/>
        </w:rPr>
        <w:t>iv</w:t>
      </w:r>
      <w:r w:rsidR="00085AFC">
        <w:rPr>
          <w:lang w:val="en-US"/>
        </w:rPr>
        <w:t>)</w:t>
      </w:r>
      <w:r w:rsidR="005248FD">
        <w:rPr>
          <w:lang w:val="en-US"/>
        </w:rPr>
        <w:t>,</w:t>
      </w:r>
      <w:r w:rsidR="00D11363" w:rsidRPr="63D6EC09">
        <w:rPr>
          <w:lang w:val="en-US"/>
        </w:rPr>
        <w:t xml:space="preserve"> to </w:t>
      </w:r>
      <w:r w:rsidR="00D11363" w:rsidRPr="00CC562C">
        <w:rPr>
          <w:u w:val="single"/>
          <w:lang w:val="en-US"/>
        </w:rPr>
        <w:t>only determine at a general</w:t>
      </w:r>
      <w:r w:rsidR="009D3551" w:rsidRPr="00CC562C">
        <w:rPr>
          <w:u w:val="single"/>
          <w:lang w:val="en-US"/>
        </w:rPr>
        <w:t>, higher, l</w:t>
      </w:r>
      <w:r w:rsidR="00D11363" w:rsidRPr="00CC562C">
        <w:rPr>
          <w:u w:val="single"/>
          <w:lang w:val="en-US"/>
        </w:rPr>
        <w:t xml:space="preserve">evel </w:t>
      </w:r>
      <w:r w:rsidR="00FF7D85" w:rsidRPr="00CC562C">
        <w:rPr>
          <w:u w:val="single"/>
          <w:lang w:val="en-US"/>
        </w:rPr>
        <w:t>a client’s appetite for sustainable products</w:t>
      </w:r>
      <w:r w:rsidR="005F7C79" w:rsidRPr="63D6EC09">
        <w:rPr>
          <w:u w:val="single"/>
          <w:lang w:val="en-US"/>
        </w:rPr>
        <w:t xml:space="preserve"> </w:t>
      </w:r>
      <w:r w:rsidR="001330C4" w:rsidRPr="63D6EC09">
        <w:rPr>
          <w:u w:val="single"/>
          <w:lang w:val="en-US"/>
        </w:rPr>
        <w:t>taking into consideration</w:t>
      </w:r>
      <w:r w:rsidR="005F7C79" w:rsidRPr="63D6EC09">
        <w:rPr>
          <w:u w:val="single"/>
          <w:lang w:val="en-US"/>
        </w:rPr>
        <w:t xml:space="preserve"> PAI</w:t>
      </w:r>
      <w:r w:rsidR="009049CA" w:rsidRPr="63D6EC09">
        <w:rPr>
          <w:u w:val="single"/>
          <w:lang w:val="en-US"/>
        </w:rPr>
        <w:t xml:space="preserve"> (</w:t>
      </w:r>
      <w:r w:rsidR="009049CA" w:rsidRPr="00CC562C">
        <w:rPr>
          <w:i/>
          <w:iCs/>
          <w:u w:val="single"/>
          <w:lang w:val="en-US"/>
        </w:rPr>
        <w:t>e.g.</w:t>
      </w:r>
      <w:r w:rsidR="009049CA" w:rsidRPr="63D6EC09">
        <w:rPr>
          <w:u w:val="single"/>
          <w:lang w:val="en-US"/>
        </w:rPr>
        <w:t xml:space="preserve"> on E, S or G)</w:t>
      </w:r>
      <w:r w:rsidR="007356FF" w:rsidRPr="63D6EC09">
        <w:rPr>
          <w:lang w:val="en-US"/>
        </w:rPr>
        <w:t>, without the need</w:t>
      </w:r>
      <w:r w:rsidR="00F301D8" w:rsidRPr="63D6EC09">
        <w:rPr>
          <w:lang w:val="en-US"/>
        </w:rPr>
        <w:t xml:space="preserve"> – at the time of the questionnaire - </w:t>
      </w:r>
      <w:r w:rsidR="007356FF" w:rsidRPr="63D6EC09">
        <w:rPr>
          <w:lang w:val="en-US"/>
        </w:rPr>
        <w:t xml:space="preserve"> to enter into details on </w:t>
      </w:r>
      <w:r w:rsidR="00ED589A" w:rsidRPr="63D6EC09">
        <w:rPr>
          <w:lang w:val="en-US"/>
        </w:rPr>
        <w:t>any specific</w:t>
      </w:r>
      <w:r w:rsidR="007356FF" w:rsidRPr="63D6EC09">
        <w:rPr>
          <w:lang w:val="en-US"/>
        </w:rPr>
        <w:t xml:space="preserve"> indi</w:t>
      </w:r>
      <w:r w:rsidR="00441857" w:rsidRPr="63D6EC09">
        <w:rPr>
          <w:lang w:val="en-US"/>
        </w:rPr>
        <w:t>cators and the qualitative or qua</w:t>
      </w:r>
      <w:r w:rsidR="00185A3F" w:rsidRPr="63D6EC09">
        <w:rPr>
          <w:lang w:val="en-US"/>
        </w:rPr>
        <w:t>n</w:t>
      </w:r>
      <w:r w:rsidR="00441857" w:rsidRPr="63D6EC09">
        <w:rPr>
          <w:lang w:val="en-US"/>
        </w:rPr>
        <w:t>t</w:t>
      </w:r>
      <w:r w:rsidR="003C1151" w:rsidRPr="63D6EC09">
        <w:rPr>
          <w:lang w:val="en-US"/>
        </w:rPr>
        <w:t>it</w:t>
      </w:r>
      <w:r w:rsidR="00441857" w:rsidRPr="63D6EC09">
        <w:rPr>
          <w:lang w:val="en-US"/>
        </w:rPr>
        <w:t xml:space="preserve">ative elements that </w:t>
      </w:r>
      <w:r w:rsidR="006B429B" w:rsidRPr="63D6EC09">
        <w:rPr>
          <w:lang w:val="en-US"/>
        </w:rPr>
        <w:t xml:space="preserve">are used to demonstrate </w:t>
      </w:r>
      <w:r w:rsidR="009700D8" w:rsidRPr="63D6EC09">
        <w:rPr>
          <w:lang w:val="en-US"/>
        </w:rPr>
        <w:t>such</w:t>
      </w:r>
      <w:r w:rsidR="006B429B" w:rsidRPr="63D6EC09">
        <w:rPr>
          <w:lang w:val="en-US"/>
        </w:rPr>
        <w:t xml:space="preserve"> PAI consideration</w:t>
      </w:r>
      <w:r w:rsidR="00CB2CFC" w:rsidRPr="63D6EC09">
        <w:rPr>
          <w:lang w:val="en-US"/>
        </w:rPr>
        <w:t xml:space="preserve">.  </w:t>
      </w:r>
    </w:p>
    <w:p w14:paraId="5F908607" w14:textId="264C446E" w:rsidR="00F55960" w:rsidRDefault="009A509A" w:rsidP="00044FBC">
      <w:pPr>
        <w:jc w:val="both"/>
        <w:rPr>
          <w:lang w:val="en-US"/>
        </w:rPr>
      </w:pPr>
      <w:r w:rsidRPr="63D6EC09">
        <w:rPr>
          <w:lang w:val="en-US"/>
        </w:rPr>
        <w:t>Once the range of suitable products has been determined any</w:t>
      </w:r>
      <w:r w:rsidR="00CB2CFC" w:rsidRPr="63D6EC09">
        <w:rPr>
          <w:lang w:val="en-US"/>
        </w:rPr>
        <w:t xml:space="preserve"> </w:t>
      </w:r>
      <w:r w:rsidR="00364725" w:rsidRPr="63D6EC09">
        <w:rPr>
          <w:lang w:val="en-US"/>
        </w:rPr>
        <w:t xml:space="preserve">sustainability-related </w:t>
      </w:r>
      <w:r w:rsidR="00CB2CFC" w:rsidRPr="63D6EC09">
        <w:rPr>
          <w:lang w:val="en-US"/>
        </w:rPr>
        <w:t xml:space="preserve">elements </w:t>
      </w:r>
      <w:r w:rsidR="001E1EA7" w:rsidRPr="63D6EC09">
        <w:rPr>
          <w:lang w:val="en-US"/>
        </w:rPr>
        <w:t xml:space="preserve">at product level </w:t>
      </w:r>
      <w:r w:rsidR="00CB2CFC" w:rsidRPr="63D6EC09">
        <w:rPr>
          <w:lang w:val="en-US"/>
        </w:rPr>
        <w:t xml:space="preserve">can then </w:t>
      </w:r>
      <w:r w:rsidR="00315A8A" w:rsidRPr="00CC562C">
        <w:rPr>
          <w:u w:val="single"/>
          <w:lang w:val="en-US"/>
        </w:rPr>
        <w:t>in more detail</w:t>
      </w:r>
      <w:r w:rsidR="00315A8A" w:rsidRPr="63D6EC09">
        <w:rPr>
          <w:lang w:val="en-US"/>
        </w:rPr>
        <w:t xml:space="preserve"> </w:t>
      </w:r>
      <w:r w:rsidR="00033955" w:rsidRPr="63D6EC09">
        <w:rPr>
          <w:lang w:val="en-US"/>
        </w:rPr>
        <w:t xml:space="preserve">(specific PAI, </w:t>
      </w:r>
      <w:r w:rsidR="00AD6D99" w:rsidRPr="63D6EC09">
        <w:rPr>
          <w:lang w:val="en-US"/>
        </w:rPr>
        <w:t xml:space="preserve">qualitative/quantitative elements) </w:t>
      </w:r>
      <w:r w:rsidR="00CB2CFC" w:rsidRPr="63D6EC09">
        <w:rPr>
          <w:lang w:val="en-US"/>
        </w:rPr>
        <w:t xml:space="preserve">be </w:t>
      </w:r>
      <w:r w:rsidR="00CB2CFC" w:rsidRPr="00CC562C">
        <w:rPr>
          <w:u w:val="single"/>
          <w:lang w:val="en-US"/>
        </w:rPr>
        <w:t>discussed</w:t>
      </w:r>
      <w:r w:rsidR="001E1EA7" w:rsidRPr="00CC562C">
        <w:rPr>
          <w:u w:val="single"/>
          <w:lang w:val="en-US"/>
        </w:rPr>
        <w:t xml:space="preserve"> with the client</w:t>
      </w:r>
      <w:r w:rsidR="00A27BBC" w:rsidRPr="00CC562C">
        <w:rPr>
          <w:u w:val="single"/>
          <w:lang w:val="en-US"/>
        </w:rPr>
        <w:t xml:space="preserve"> based upon the precontractual information</w:t>
      </w:r>
      <w:r w:rsidR="00A27BBC" w:rsidRPr="63D6EC09">
        <w:rPr>
          <w:lang w:val="en-US"/>
        </w:rPr>
        <w:t xml:space="preserve">.  </w:t>
      </w:r>
      <w:r w:rsidR="00196F91" w:rsidRPr="63D6EC09">
        <w:rPr>
          <w:lang w:val="en-US"/>
        </w:rPr>
        <w:t xml:space="preserve">By doing so, the client will still ultimately decide on the specific PAI (and the </w:t>
      </w:r>
      <w:r w:rsidR="004D1AF7" w:rsidRPr="63D6EC09">
        <w:rPr>
          <w:lang w:val="en-US"/>
        </w:rPr>
        <w:t>qualitative or quantitative elements that are</w:t>
      </w:r>
      <w:r w:rsidR="00EF0FF5" w:rsidRPr="63D6EC09">
        <w:rPr>
          <w:lang w:val="en-US"/>
        </w:rPr>
        <w:t xml:space="preserve"> relevant to him or her</w:t>
      </w:r>
      <w:r w:rsidR="004D1AF7" w:rsidRPr="63D6EC09">
        <w:rPr>
          <w:lang w:val="en-US"/>
        </w:rPr>
        <w:t>)</w:t>
      </w:r>
      <w:r w:rsidR="00EF0FF5" w:rsidRPr="63D6EC09">
        <w:rPr>
          <w:lang w:val="en-US"/>
        </w:rPr>
        <w:t>, in a more customer friendly, educational wa</w:t>
      </w:r>
      <w:r w:rsidR="00FA1D38" w:rsidRPr="63D6EC09">
        <w:rPr>
          <w:lang w:val="en-US"/>
        </w:rPr>
        <w:t>y.</w:t>
      </w:r>
    </w:p>
    <w:p w14:paraId="459D5F17" w14:textId="77777777" w:rsidR="00B61D93" w:rsidRDefault="00B61D93" w:rsidP="00B61D93">
      <w:pPr>
        <w:jc w:val="both"/>
        <w:rPr>
          <w:lang w:val="en-US"/>
        </w:rPr>
      </w:pPr>
      <w:r>
        <w:rPr>
          <w:lang w:val="en-US"/>
        </w:rPr>
        <w:t xml:space="preserve">In general, we would appreciate to receive guidance on how to apply PAI to financial instruments that are not Financial Products under SFDR. </w:t>
      </w:r>
    </w:p>
    <w:p w14:paraId="7CD22F7E" w14:textId="33A08A02" w:rsidR="00013BC2" w:rsidRDefault="00013BC2" w:rsidP="00044FBC">
      <w:pPr>
        <w:jc w:val="both"/>
        <w:rPr>
          <w:lang w:val="en-US"/>
        </w:rPr>
      </w:pPr>
    </w:p>
    <w:p w14:paraId="37B4C2D0" w14:textId="77148319" w:rsidR="00317884" w:rsidRPr="00CC562C" w:rsidRDefault="00CC562C" w:rsidP="00CC562C">
      <w:pPr>
        <w:pStyle w:val="ListParagraph"/>
        <w:numPr>
          <w:ilvl w:val="0"/>
          <w:numId w:val="37"/>
        </w:numPr>
        <w:jc w:val="both"/>
        <w:rPr>
          <w:b/>
          <w:bCs/>
          <w:lang w:val="en-US"/>
        </w:rPr>
      </w:pPr>
      <w:r w:rsidRPr="00CC562C">
        <w:rPr>
          <w:b/>
          <w:bCs/>
          <w:lang w:val="en-US"/>
        </w:rPr>
        <w:t>P</w:t>
      </w:r>
      <w:r w:rsidR="00082266" w:rsidRPr="00CC562C">
        <w:rPr>
          <w:b/>
          <w:bCs/>
          <w:lang w:val="en-US"/>
        </w:rPr>
        <w:t xml:space="preserve">unctual </w:t>
      </w:r>
      <w:r w:rsidR="00F5387C" w:rsidRPr="00CC562C">
        <w:rPr>
          <w:b/>
          <w:bCs/>
          <w:lang w:val="en-US"/>
        </w:rPr>
        <w:t>remarks</w:t>
      </w:r>
    </w:p>
    <w:p w14:paraId="3D09B014" w14:textId="33A08A02" w:rsidR="00317884" w:rsidRDefault="008D5232" w:rsidP="00044FBC">
      <w:pPr>
        <w:jc w:val="both"/>
        <w:rPr>
          <w:lang w:val="en-US"/>
        </w:rPr>
      </w:pPr>
      <w:r>
        <w:rPr>
          <w:lang w:val="en-US"/>
        </w:rPr>
        <w:t xml:space="preserve">Note that in marginal 26, second bullet, the draft ESMA guidelines </w:t>
      </w:r>
      <w:r w:rsidR="00A23608">
        <w:rPr>
          <w:lang w:val="en-US"/>
        </w:rPr>
        <w:t xml:space="preserve">suggest that a firm could collect information on whether </w:t>
      </w:r>
      <w:r w:rsidR="00356F21">
        <w:rPr>
          <w:lang w:val="en-US"/>
        </w:rPr>
        <w:t>the</w:t>
      </w:r>
      <w:r w:rsidR="00A23608">
        <w:rPr>
          <w:lang w:val="en-US"/>
        </w:rPr>
        <w:t xml:space="preserve"> client</w:t>
      </w:r>
      <w:r w:rsidR="00356F21">
        <w:rPr>
          <w:lang w:val="en-US"/>
        </w:rPr>
        <w:t xml:space="preserve">’s sustainability preferences with regard to b </w:t>
      </w:r>
      <w:r w:rsidR="005B5E0C">
        <w:rPr>
          <w:lang w:val="en-US"/>
        </w:rPr>
        <w:t xml:space="preserve">and c), if any have a focus on either environmental, social or governance criteria […]. </w:t>
      </w:r>
      <w:r w:rsidR="00BE3A1C">
        <w:rPr>
          <w:lang w:val="en-US"/>
        </w:rPr>
        <w:t xml:space="preserve"> The definition of sustainable investments in SFDR however only </w:t>
      </w:r>
      <w:r w:rsidR="00661BDF">
        <w:rPr>
          <w:lang w:val="en-US"/>
        </w:rPr>
        <w:t xml:space="preserve">refers to social and environmental </w:t>
      </w:r>
      <w:r w:rsidR="003C7E27">
        <w:rPr>
          <w:lang w:val="en-US"/>
        </w:rPr>
        <w:t>objectives</w:t>
      </w:r>
      <w:r w:rsidR="006A2D25">
        <w:rPr>
          <w:lang w:val="en-US"/>
        </w:rPr>
        <w:t>, no reference to governance.</w:t>
      </w:r>
    </w:p>
    <w:p w14:paraId="3D9AC4A8" w14:textId="33A08A02" w:rsidR="00A025CD" w:rsidRDefault="00A025CD" w:rsidP="00044FBC">
      <w:pPr>
        <w:jc w:val="both"/>
        <w:rPr>
          <w:lang w:val="en-US"/>
        </w:rPr>
      </w:pPr>
    </w:p>
    <w:p w14:paraId="7B4B00F9" w14:textId="33A08A02" w:rsidR="00A025CD" w:rsidRPr="00CC562C" w:rsidRDefault="00A025CD" w:rsidP="00044FBC">
      <w:pPr>
        <w:jc w:val="both"/>
        <w:rPr>
          <w:lang w:val="en-US"/>
        </w:rPr>
      </w:pPr>
    </w:p>
    <w:p w14:paraId="6EE43834" w14:textId="00723EA8" w:rsidR="00013BC2" w:rsidRPr="00A8028E" w:rsidRDefault="00A8028E" w:rsidP="00044FBC">
      <w:pPr>
        <w:jc w:val="both"/>
        <w:rPr>
          <w:b/>
          <w:bCs/>
          <w:lang w:val="en-US"/>
        </w:rPr>
      </w:pPr>
      <w:r w:rsidRPr="00A8028E">
        <w:rPr>
          <w:b/>
          <w:bCs/>
          <w:lang w:val="en-US"/>
        </w:rPr>
        <w:t xml:space="preserve">Q4. </w:t>
      </w:r>
      <w:r w:rsidR="00013BC2" w:rsidRPr="00A8028E">
        <w:rPr>
          <w:b/>
          <w:bCs/>
          <w:lang w:val="en-US"/>
        </w:rPr>
        <w:t>Do you believe that further guidance is needed to clarify how firms should assess clients’ sustainability preferences?</w:t>
      </w:r>
    </w:p>
    <w:p w14:paraId="0AD38745" w14:textId="77777777" w:rsidR="005827E3" w:rsidRDefault="005827E3" w:rsidP="00044FBC">
      <w:pPr>
        <w:jc w:val="both"/>
        <w:rPr>
          <w:lang w:val="en-US"/>
        </w:rPr>
      </w:pPr>
    </w:p>
    <w:p w14:paraId="41380D1E" w14:textId="56440615" w:rsidR="005827E3" w:rsidRPr="00CC562C" w:rsidRDefault="009F023A" w:rsidP="00CC562C">
      <w:pPr>
        <w:pStyle w:val="ListParagraph"/>
        <w:numPr>
          <w:ilvl w:val="0"/>
          <w:numId w:val="38"/>
        </w:numPr>
        <w:jc w:val="both"/>
        <w:rPr>
          <w:b/>
          <w:bCs/>
          <w:lang w:val="en-US"/>
        </w:rPr>
      </w:pPr>
      <w:r>
        <w:rPr>
          <w:b/>
          <w:bCs/>
          <w:lang w:val="en-US"/>
        </w:rPr>
        <w:t>Guidance on m</w:t>
      </w:r>
      <w:r w:rsidRPr="00CC562C">
        <w:rPr>
          <w:b/>
          <w:bCs/>
          <w:lang w:val="en-US"/>
        </w:rPr>
        <w:t>ethodology</w:t>
      </w:r>
    </w:p>
    <w:p w14:paraId="1420562C" w14:textId="67FA5D20" w:rsidR="003F2FF0" w:rsidRDefault="00A65E8A" w:rsidP="00044FBC">
      <w:pPr>
        <w:jc w:val="both"/>
        <w:rPr>
          <w:lang w:val="en-US"/>
        </w:rPr>
      </w:pPr>
      <w:r>
        <w:rPr>
          <w:lang w:val="en-US"/>
        </w:rPr>
        <w:t>In addition to what has been explained sub Q3, we w</w:t>
      </w:r>
      <w:r w:rsidR="00B67E2F">
        <w:rPr>
          <w:lang w:val="en-US"/>
        </w:rPr>
        <w:t xml:space="preserve">ant to bring the following two points under the attention: </w:t>
      </w:r>
    </w:p>
    <w:p w14:paraId="6B4DF7EE" w14:textId="5282807A" w:rsidR="00B67E2F" w:rsidRDefault="00B67E2F" w:rsidP="00BE0408">
      <w:pPr>
        <w:pStyle w:val="ListParagraph"/>
        <w:numPr>
          <w:ilvl w:val="0"/>
          <w:numId w:val="50"/>
        </w:numPr>
        <w:jc w:val="both"/>
        <w:rPr>
          <w:lang w:val="en-US"/>
        </w:rPr>
      </w:pPr>
      <w:r w:rsidRPr="63D6EC09">
        <w:rPr>
          <w:lang w:val="en-US"/>
        </w:rPr>
        <w:t>There is no common understanding on how to interpret and</w:t>
      </w:r>
      <w:r w:rsidR="00CB3A7A" w:rsidRPr="63D6EC09">
        <w:rPr>
          <w:lang w:val="en-US"/>
        </w:rPr>
        <w:t xml:space="preserve"> asse</w:t>
      </w:r>
      <w:r w:rsidR="00C70673" w:rsidRPr="63D6EC09">
        <w:rPr>
          <w:lang w:val="en-US"/>
        </w:rPr>
        <w:t>s</w:t>
      </w:r>
      <w:r w:rsidR="00CB3A7A" w:rsidRPr="63D6EC09">
        <w:rPr>
          <w:lang w:val="en-US"/>
        </w:rPr>
        <w:t xml:space="preserve">s ‘sustainable investments’ as defined in SFDR. </w:t>
      </w:r>
    </w:p>
    <w:p w14:paraId="570836D2" w14:textId="77777777" w:rsidR="00495517" w:rsidRDefault="00495517" w:rsidP="00495517">
      <w:pPr>
        <w:pStyle w:val="ListParagraph"/>
        <w:ind w:left="1080"/>
        <w:jc w:val="both"/>
        <w:rPr>
          <w:lang w:val="en-US"/>
        </w:rPr>
      </w:pPr>
    </w:p>
    <w:p w14:paraId="1DAAA408" w14:textId="4B28D382" w:rsidR="00F57B1D" w:rsidRDefault="00E11456" w:rsidP="00CC562C">
      <w:pPr>
        <w:pStyle w:val="ListParagraph"/>
        <w:numPr>
          <w:ilvl w:val="0"/>
          <w:numId w:val="50"/>
        </w:numPr>
        <w:jc w:val="both"/>
        <w:rPr>
          <w:lang w:val="en-US"/>
        </w:rPr>
      </w:pPr>
      <w:r>
        <w:rPr>
          <w:lang w:val="en-US"/>
        </w:rPr>
        <w:t>Further, it remains unclear how to consider sustainability preferences in respect of financial instruments that are no</w:t>
      </w:r>
      <w:r w:rsidR="001F4B07">
        <w:rPr>
          <w:lang w:val="en-US"/>
        </w:rPr>
        <w:t xml:space="preserve">t financial products under SFDR.   </w:t>
      </w:r>
    </w:p>
    <w:p w14:paraId="033DC8E0" w14:textId="77777777" w:rsidR="009F023A" w:rsidRPr="009F023A" w:rsidRDefault="009F023A" w:rsidP="00D10F7E">
      <w:pPr>
        <w:pStyle w:val="ListParagraph"/>
        <w:rPr>
          <w:lang w:val="en-US"/>
        </w:rPr>
      </w:pPr>
    </w:p>
    <w:p w14:paraId="41DAD583" w14:textId="77777777" w:rsidR="009F023A" w:rsidRDefault="009F023A" w:rsidP="00D10F7E">
      <w:pPr>
        <w:pStyle w:val="ListParagraph"/>
        <w:ind w:left="1080"/>
        <w:jc w:val="both"/>
        <w:rPr>
          <w:lang w:val="en-US"/>
        </w:rPr>
      </w:pPr>
    </w:p>
    <w:p w14:paraId="513FF7F7" w14:textId="35456ED9" w:rsidR="009F023A" w:rsidRPr="00866DBE" w:rsidRDefault="00782737" w:rsidP="00533FA6">
      <w:pPr>
        <w:pStyle w:val="ListParagraph"/>
        <w:numPr>
          <w:ilvl w:val="0"/>
          <w:numId w:val="38"/>
        </w:numPr>
        <w:jc w:val="both"/>
        <w:rPr>
          <w:b/>
          <w:bCs/>
          <w:lang w:val="en-US"/>
        </w:rPr>
      </w:pPr>
      <w:r>
        <w:rPr>
          <w:b/>
          <w:bCs/>
          <w:lang w:val="en-US"/>
        </w:rPr>
        <w:t xml:space="preserve">General ESG preferences </w:t>
      </w:r>
    </w:p>
    <w:p w14:paraId="0FC01D27" w14:textId="77777777" w:rsidR="003764AB" w:rsidRDefault="00C8481A" w:rsidP="00C8481A">
      <w:pPr>
        <w:jc w:val="both"/>
        <w:rPr>
          <w:lang w:val="en-US"/>
        </w:rPr>
      </w:pPr>
      <w:r>
        <w:rPr>
          <w:lang w:val="en-US"/>
        </w:rPr>
        <w:t xml:space="preserve">In accordance with </w:t>
      </w:r>
      <w:r w:rsidR="003A7E04">
        <w:rPr>
          <w:lang w:val="en-US"/>
        </w:rPr>
        <w:t>bullet 5 of marginal 26 of the draft ESMA guidelines,</w:t>
      </w:r>
      <w:r w:rsidR="003764AB">
        <w:rPr>
          <w:lang w:val="en-US"/>
        </w:rPr>
        <w:t xml:space="preserve">  financial institutions</w:t>
      </w:r>
      <w:r w:rsidR="003A7E04">
        <w:rPr>
          <w:lang w:val="en-US"/>
        </w:rPr>
        <w:t xml:space="preserve"> </w:t>
      </w:r>
      <w:r w:rsidR="0088413B">
        <w:rPr>
          <w:lang w:val="en-US"/>
        </w:rPr>
        <w:t xml:space="preserve">“should have policies and instructions for their client-facing staff in place for situations where </w:t>
      </w:r>
      <w:r w:rsidR="007132CE">
        <w:rPr>
          <w:lang w:val="en-US"/>
        </w:rPr>
        <w:t>clients answer that they do have sustainability preference but do not state a preference with regard to</w:t>
      </w:r>
      <w:r w:rsidR="00335AF0">
        <w:rPr>
          <w:lang w:val="en-US"/>
        </w:rPr>
        <w:t xml:space="preserve"> any of the specific aspects mentioned under a) to c) or with regard to a minimum proportion”. </w:t>
      </w:r>
    </w:p>
    <w:p w14:paraId="48324647" w14:textId="32EF693B" w:rsidR="00C8481A" w:rsidRPr="00C8481A" w:rsidRDefault="00335AF0" w:rsidP="00C8481A">
      <w:pPr>
        <w:jc w:val="both"/>
        <w:rPr>
          <w:lang w:val="en-US"/>
        </w:rPr>
      </w:pPr>
      <w:r>
        <w:rPr>
          <w:lang w:val="en-US"/>
        </w:rPr>
        <w:t xml:space="preserve">We support this approach and are of the view that this option should also be available </w:t>
      </w:r>
      <w:r w:rsidR="00F33C67">
        <w:rPr>
          <w:lang w:val="en-US"/>
        </w:rPr>
        <w:t>in case of a digital flow, if not</w:t>
      </w:r>
      <w:r w:rsidR="003764AB">
        <w:rPr>
          <w:lang w:val="en-US"/>
        </w:rPr>
        <w:t>,</w:t>
      </w:r>
      <w:r w:rsidR="00F33C67">
        <w:rPr>
          <w:lang w:val="en-US"/>
        </w:rPr>
        <w:t xml:space="preserve"> clients with an</w:t>
      </w:r>
      <w:r w:rsidR="00970634">
        <w:rPr>
          <w:lang w:val="en-US"/>
        </w:rPr>
        <w:t xml:space="preserve"> appetite for sustainab</w:t>
      </w:r>
      <w:r w:rsidR="00CA798B">
        <w:rPr>
          <w:lang w:val="en-US"/>
        </w:rPr>
        <w:t>ility</w:t>
      </w:r>
      <w:r w:rsidR="00970634">
        <w:rPr>
          <w:lang w:val="en-US"/>
        </w:rPr>
        <w:t xml:space="preserve"> risk to be driven towards a ‘no’</w:t>
      </w:r>
      <w:r w:rsidR="00260ACE">
        <w:rPr>
          <w:lang w:val="en-US"/>
        </w:rPr>
        <w:t xml:space="preserve">, to avoid more detailed questions. </w:t>
      </w:r>
      <w:r w:rsidR="003A4A84">
        <w:rPr>
          <w:lang w:val="en-US"/>
        </w:rPr>
        <w:t>Hence the outcome would be opposite</w:t>
      </w:r>
      <w:r w:rsidR="00645DE8">
        <w:rPr>
          <w:lang w:val="en-US"/>
        </w:rPr>
        <w:t xml:space="preserve"> to</w:t>
      </w:r>
      <w:r w:rsidR="003A4A84">
        <w:rPr>
          <w:lang w:val="en-US"/>
        </w:rPr>
        <w:t xml:space="preserve"> the intention of the 2018 EU action plan on sustainable finance. </w:t>
      </w:r>
    </w:p>
    <w:p w14:paraId="20A8DB15" w14:textId="08E97BD1" w:rsidR="00013BC2" w:rsidRDefault="00013BC2" w:rsidP="00044FBC">
      <w:pPr>
        <w:jc w:val="both"/>
        <w:rPr>
          <w:lang w:val="en-US"/>
        </w:rPr>
      </w:pPr>
    </w:p>
    <w:p w14:paraId="003FBA7A" w14:textId="7DFB51CA" w:rsidR="00013BC2" w:rsidRPr="00A8028E" w:rsidRDefault="00A8028E" w:rsidP="00013BC2">
      <w:pPr>
        <w:tabs>
          <w:tab w:val="left" w:pos="990"/>
        </w:tabs>
        <w:jc w:val="both"/>
        <w:rPr>
          <w:b/>
          <w:bCs/>
          <w:lang w:val="en-US"/>
        </w:rPr>
      </w:pPr>
      <w:r w:rsidRPr="00A8028E">
        <w:rPr>
          <w:b/>
          <w:bCs/>
          <w:lang w:val="en-US"/>
        </w:rPr>
        <w:t xml:space="preserve">Q5. </w:t>
      </w:r>
      <w:r w:rsidR="00013BC2" w:rsidRPr="00A8028E">
        <w:rPr>
          <w:b/>
          <w:bCs/>
          <w:lang w:val="en-US"/>
        </w:rPr>
        <w:t>Where clients have expressed preference for more than one of the three categories of products referred to in letters a), b) or c) of the definition of Article 2(7) of the MiFID II Delegated Regulation, do you think that the Guidelines should provide additional guidance about what is precisely expected from advisors when investigating and prioritizing these simultaneous / overlapping preferences?</w:t>
      </w:r>
    </w:p>
    <w:p w14:paraId="02DF5CAA" w14:textId="77777777" w:rsidR="009B3B59" w:rsidRDefault="009B3B59" w:rsidP="00044FBC">
      <w:pPr>
        <w:jc w:val="both"/>
        <w:rPr>
          <w:u w:val="single"/>
          <w:lang w:val="en-US"/>
        </w:rPr>
      </w:pPr>
    </w:p>
    <w:p w14:paraId="0C53E904" w14:textId="283DFDBB" w:rsidR="00ED4877" w:rsidRPr="00D43899" w:rsidRDefault="00D6494F" w:rsidP="00044FBC">
      <w:pPr>
        <w:jc w:val="both"/>
        <w:rPr>
          <w:b/>
          <w:bCs/>
          <w:u w:val="single"/>
          <w:lang w:val="en-US"/>
        </w:rPr>
      </w:pPr>
      <w:r w:rsidRPr="00D43899">
        <w:rPr>
          <w:b/>
          <w:bCs/>
          <w:u w:val="single"/>
          <w:lang w:val="en-US"/>
        </w:rPr>
        <w:t xml:space="preserve">No combination at the level of a specific financial instrument </w:t>
      </w:r>
      <w:r w:rsidR="00BD25AE" w:rsidRPr="00D43899">
        <w:rPr>
          <w:b/>
          <w:bCs/>
          <w:u w:val="single"/>
          <w:lang w:val="en-US"/>
        </w:rPr>
        <w:t>required.</w:t>
      </w:r>
    </w:p>
    <w:p w14:paraId="0B95A989" w14:textId="0DAA6611" w:rsidR="00ED4877" w:rsidRPr="00D43899" w:rsidRDefault="00ED4877" w:rsidP="00044FBC">
      <w:pPr>
        <w:jc w:val="both"/>
        <w:rPr>
          <w:lang w:val="en-US"/>
        </w:rPr>
      </w:pPr>
      <w:r w:rsidRPr="00D43899">
        <w:rPr>
          <w:lang w:val="en-US"/>
        </w:rPr>
        <w:t xml:space="preserve">According to the definition of sustainability preferences in the MiFID Delegated Act, financial </w:t>
      </w:r>
      <w:r w:rsidR="00EB5AB2" w:rsidRPr="00D43899">
        <w:rPr>
          <w:lang w:val="en-US"/>
        </w:rPr>
        <w:t>institu</w:t>
      </w:r>
      <w:r w:rsidR="006659AF" w:rsidRPr="00D43899">
        <w:rPr>
          <w:lang w:val="en-US"/>
        </w:rPr>
        <w:t xml:space="preserve">tions should inquire their clients on the category </w:t>
      </w:r>
      <w:r w:rsidR="0029013C" w:rsidRPr="00D43899">
        <w:rPr>
          <w:lang w:val="en-US"/>
        </w:rPr>
        <w:t>(</w:t>
      </w:r>
      <w:r w:rsidR="0042433A" w:rsidRPr="00D43899">
        <w:rPr>
          <w:lang w:val="en-US"/>
        </w:rPr>
        <w:t>o</w:t>
      </w:r>
      <w:r w:rsidR="0029013C" w:rsidRPr="00D43899">
        <w:rPr>
          <w:lang w:val="en-US"/>
        </w:rPr>
        <w:t>r</w:t>
      </w:r>
      <w:r w:rsidR="0042433A" w:rsidRPr="00D43899">
        <w:rPr>
          <w:lang w:val="en-US"/>
        </w:rPr>
        <w:t xml:space="preserve"> categories</w:t>
      </w:r>
      <w:r w:rsidR="0029013C" w:rsidRPr="00D43899">
        <w:rPr>
          <w:lang w:val="en-US"/>
        </w:rPr>
        <w:t>)</w:t>
      </w:r>
      <w:r w:rsidR="0042433A" w:rsidRPr="00D43899">
        <w:rPr>
          <w:lang w:val="en-US"/>
        </w:rPr>
        <w:t xml:space="preserve"> </w:t>
      </w:r>
      <w:r w:rsidR="006659AF" w:rsidRPr="00D43899">
        <w:rPr>
          <w:lang w:val="en-US"/>
        </w:rPr>
        <w:t xml:space="preserve">of </w:t>
      </w:r>
      <w:r w:rsidR="00297EFC" w:rsidRPr="00D43899">
        <w:rPr>
          <w:lang w:val="en-US"/>
        </w:rPr>
        <w:t>sustainable instruments they ar</w:t>
      </w:r>
      <w:r w:rsidR="00D774E5" w:rsidRPr="00D43899">
        <w:rPr>
          <w:lang w:val="en-US"/>
        </w:rPr>
        <w:t>e interested in</w:t>
      </w:r>
      <w:r w:rsidR="00D44C45" w:rsidRPr="00D43899">
        <w:rPr>
          <w:lang w:val="en-US"/>
        </w:rPr>
        <w:t xml:space="preserve">, where three </w:t>
      </w:r>
      <w:r w:rsidR="00BD7C96" w:rsidRPr="00D43899">
        <w:rPr>
          <w:lang w:val="en-US"/>
        </w:rPr>
        <w:t xml:space="preserve">categories of financial instruments should be distinguished: </w:t>
      </w:r>
    </w:p>
    <w:p w14:paraId="29132F66" w14:textId="4CCEF499" w:rsidR="00BD7C96" w:rsidRPr="00D43899" w:rsidRDefault="00BD7C96" w:rsidP="00BD7C96">
      <w:pPr>
        <w:pStyle w:val="ListParagraph"/>
        <w:numPr>
          <w:ilvl w:val="0"/>
          <w:numId w:val="52"/>
        </w:numPr>
        <w:jc w:val="both"/>
        <w:rPr>
          <w:lang w:val="en-US"/>
        </w:rPr>
      </w:pPr>
      <w:r w:rsidRPr="00D43899">
        <w:rPr>
          <w:lang w:val="en-US"/>
        </w:rPr>
        <w:t xml:space="preserve">Financial instruments with a minimum </w:t>
      </w:r>
      <w:r w:rsidR="004548D7" w:rsidRPr="00D43899">
        <w:rPr>
          <w:lang w:val="en-US"/>
        </w:rPr>
        <w:t xml:space="preserve">proportion </w:t>
      </w:r>
      <w:r w:rsidR="00B63D8D" w:rsidRPr="00D43899">
        <w:rPr>
          <w:lang w:val="en-US"/>
        </w:rPr>
        <w:t>invested in taxonomy aligned</w:t>
      </w:r>
      <w:r w:rsidR="000656E0" w:rsidRPr="00D43899">
        <w:rPr>
          <w:lang w:val="en-US"/>
        </w:rPr>
        <w:t xml:space="preserve"> environmentally</w:t>
      </w:r>
      <w:r w:rsidR="00B63D8D" w:rsidRPr="00D43899">
        <w:rPr>
          <w:lang w:val="en-US"/>
        </w:rPr>
        <w:t xml:space="preserve"> </w:t>
      </w:r>
      <w:r w:rsidR="00F107B2" w:rsidRPr="00D43899">
        <w:rPr>
          <w:lang w:val="en-US"/>
        </w:rPr>
        <w:t xml:space="preserve">sustainable investments (category a); </w:t>
      </w:r>
      <w:r w:rsidR="00D0546B" w:rsidRPr="00D43899">
        <w:rPr>
          <w:lang w:val="en-US"/>
        </w:rPr>
        <w:t>and/or</w:t>
      </w:r>
    </w:p>
    <w:p w14:paraId="76C940D7" w14:textId="50161C83" w:rsidR="00F107B2" w:rsidRPr="00D43899" w:rsidRDefault="00F107B2" w:rsidP="00BD7C96">
      <w:pPr>
        <w:pStyle w:val="ListParagraph"/>
        <w:numPr>
          <w:ilvl w:val="0"/>
          <w:numId w:val="52"/>
        </w:numPr>
        <w:jc w:val="both"/>
        <w:rPr>
          <w:lang w:val="en-US"/>
        </w:rPr>
      </w:pPr>
      <w:r w:rsidRPr="00D43899">
        <w:rPr>
          <w:lang w:val="en-US"/>
        </w:rPr>
        <w:t>Financial instrument</w:t>
      </w:r>
      <w:r w:rsidR="00D0546B" w:rsidRPr="00D43899">
        <w:rPr>
          <w:lang w:val="en-US"/>
        </w:rPr>
        <w:t>s</w:t>
      </w:r>
      <w:r w:rsidRPr="00D43899">
        <w:rPr>
          <w:lang w:val="en-US"/>
        </w:rPr>
        <w:t xml:space="preserve"> </w:t>
      </w:r>
      <w:r w:rsidR="00831607" w:rsidRPr="00D43899">
        <w:rPr>
          <w:lang w:val="en-US"/>
        </w:rPr>
        <w:t xml:space="preserve">with a minimum </w:t>
      </w:r>
      <w:r w:rsidR="004548D7" w:rsidRPr="00D43899">
        <w:rPr>
          <w:lang w:val="en-US"/>
        </w:rPr>
        <w:t>proportion invested in sustainable investments as defined in SFDR</w:t>
      </w:r>
      <w:r w:rsidR="00A354D3" w:rsidRPr="00D43899">
        <w:rPr>
          <w:lang w:val="en-US"/>
        </w:rPr>
        <w:t xml:space="preserve"> (category b); and</w:t>
      </w:r>
      <w:r w:rsidR="00D0546B" w:rsidRPr="00D43899">
        <w:rPr>
          <w:lang w:val="en-US"/>
        </w:rPr>
        <w:t>/or</w:t>
      </w:r>
      <w:r w:rsidR="00A354D3" w:rsidRPr="00D43899">
        <w:rPr>
          <w:lang w:val="en-US"/>
        </w:rPr>
        <w:t xml:space="preserve"> </w:t>
      </w:r>
    </w:p>
    <w:p w14:paraId="70557BFE" w14:textId="2CDB36C1" w:rsidR="00A354D3" w:rsidRPr="00D43899" w:rsidRDefault="00D0546B" w:rsidP="00BD7C96">
      <w:pPr>
        <w:pStyle w:val="ListParagraph"/>
        <w:numPr>
          <w:ilvl w:val="0"/>
          <w:numId w:val="52"/>
        </w:numPr>
        <w:jc w:val="both"/>
        <w:rPr>
          <w:lang w:val="en-US"/>
        </w:rPr>
      </w:pPr>
      <w:r w:rsidRPr="00D43899">
        <w:rPr>
          <w:lang w:val="en-US"/>
        </w:rPr>
        <w:t>Financial instruments that consider principal adverse impacts</w:t>
      </w:r>
      <w:r w:rsidR="00312D7F" w:rsidRPr="00D43899">
        <w:rPr>
          <w:lang w:val="en-US"/>
        </w:rPr>
        <w:t xml:space="preserve"> (category c). </w:t>
      </w:r>
    </w:p>
    <w:p w14:paraId="32E634E9" w14:textId="5E04D138" w:rsidR="003636E2" w:rsidRPr="00D43899" w:rsidRDefault="003636E2" w:rsidP="003636E2">
      <w:pPr>
        <w:jc w:val="both"/>
        <w:rPr>
          <w:lang w:val="en-US"/>
        </w:rPr>
      </w:pPr>
      <w:r w:rsidRPr="00D43899">
        <w:rPr>
          <w:lang w:val="en-US"/>
        </w:rPr>
        <w:t xml:space="preserve">Clients can have a preference for one or more of such categories of financial instruments. </w:t>
      </w:r>
    </w:p>
    <w:p w14:paraId="33F53586" w14:textId="77777777" w:rsidR="0042190B" w:rsidRDefault="0042190B" w:rsidP="003636E2">
      <w:pPr>
        <w:jc w:val="both"/>
        <w:rPr>
          <w:u w:val="single"/>
          <w:lang w:val="en-US"/>
        </w:rPr>
      </w:pPr>
    </w:p>
    <w:p w14:paraId="3646E7AE" w14:textId="0664D129" w:rsidR="0042190B" w:rsidRPr="00D43899" w:rsidRDefault="0040617C" w:rsidP="003636E2">
      <w:pPr>
        <w:jc w:val="both"/>
        <w:rPr>
          <w:lang w:val="en-US"/>
        </w:rPr>
      </w:pPr>
      <w:r w:rsidRPr="00D43899">
        <w:rPr>
          <w:lang w:val="en-US"/>
        </w:rPr>
        <w:t xml:space="preserve">Marginal </w:t>
      </w:r>
      <w:r w:rsidR="00472B59" w:rsidRPr="00D43899">
        <w:rPr>
          <w:lang w:val="en-US"/>
        </w:rPr>
        <w:t xml:space="preserve">25 </w:t>
      </w:r>
      <w:r w:rsidR="00D46463" w:rsidRPr="00D43899">
        <w:rPr>
          <w:lang w:val="en-US"/>
        </w:rPr>
        <w:t>is to our understanding a reflection of the above principle</w:t>
      </w:r>
      <w:r w:rsidR="00795B29" w:rsidRPr="00D43899">
        <w:rPr>
          <w:lang w:val="en-US"/>
        </w:rPr>
        <w:t xml:space="preserve"> (</w:t>
      </w:r>
      <w:proofErr w:type="spellStart"/>
      <w:r w:rsidR="00CB5B2E" w:rsidRPr="00D43899">
        <w:rPr>
          <w:lang w:val="en-US"/>
        </w:rPr>
        <w:t>c</w:t>
      </w:r>
      <w:r w:rsidR="00716D5D" w:rsidRPr="00D43899">
        <w:rPr>
          <w:lang w:val="en-US"/>
        </w:rPr>
        <w:t>f</w:t>
      </w:r>
      <w:r w:rsidR="00CB5B2E" w:rsidRPr="00D43899">
        <w:rPr>
          <w:lang w:val="en-US"/>
        </w:rPr>
        <w:t>r</w:t>
      </w:r>
      <w:proofErr w:type="spellEnd"/>
      <w:r w:rsidR="00795B29" w:rsidRPr="00D43899">
        <w:rPr>
          <w:lang w:val="en-US"/>
        </w:rPr>
        <w:t xml:space="preserve"> the </w:t>
      </w:r>
      <w:r w:rsidR="002D34BD" w:rsidRPr="00D43899">
        <w:rPr>
          <w:lang w:val="en-US"/>
        </w:rPr>
        <w:t>explicit reference to the MiFID Delegated Act)</w:t>
      </w:r>
      <w:r w:rsidR="00E53806" w:rsidRPr="00D43899">
        <w:rPr>
          <w:lang w:val="en-US"/>
        </w:rPr>
        <w:t xml:space="preserve"> whereby ‘aspect(s)’ </w:t>
      </w:r>
      <w:r w:rsidR="007923D5" w:rsidRPr="00D43899">
        <w:rPr>
          <w:lang w:val="en-US"/>
        </w:rPr>
        <w:t>can</w:t>
      </w:r>
      <w:r w:rsidR="00FA69E3" w:rsidRPr="00D43899">
        <w:rPr>
          <w:lang w:val="en-US"/>
        </w:rPr>
        <w:t xml:space="preserve"> be read as </w:t>
      </w:r>
      <w:r w:rsidR="00E53806" w:rsidRPr="00D43899">
        <w:rPr>
          <w:lang w:val="en-US"/>
        </w:rPr>
        <w:t xml:space="preserve">‘categories’. Hence, </w:t>
      </w:r>
      <w:r w:rsidR="00561364" w:rsidRPr="00D43899">
        <w:rPr>
          <w:lang w:val="en-US"/>
        </w:rPr>
        <w:t xml:space="preserve">financial </w:t>
      </w:r>
      <w:r w:rsidR="00881652" w:rsidRPr="00D43899">
        <w:rPr>
          <w:lang w:val="en-US"/>
        </w:rPr>
        <w:t>inst</w:t>
      </w:r>
      <w:r w:rsidR="00601728" w:rsidRPr="00D43899">
        <w:rPr>
          <w:lang w:val="en-US"/>
        </w:rPr>
        <w:t>itutions should</w:t>
      </w:r>
      <w:r w:rsidR="00A64B66" w:rsidRPr="00D43899">
        <w:rPr>
          <w:lang w:val="en-US"/>
        </w:rPr>
        <w:t xml:space="preserve"> request their clients if they are interested in </w:t>
      </w:r>
      <w:r w:rsidR="0092050D" w:rsidRPr="00D43899">
        <w:rPr>
          <w:lang w:val="en-US"/>
        </w:rPr>
        <w:t>(</w:t>
      </w:r>
      <w:proofErr w:type="spellStart"/>
      <w:r w:rsidR="0092050D" w:rsidRPr="00D43899">
        <w:rPr>
          <w:lang w:val="en-US"/>
        </w:rPr>
        <w:t>i</w:t>
      </w:r>
      <w:proofErr w:type="spellEnd"/>
      <w:r w:rsidR="0092050D" w:rsidRPr="00D43899">
        <w:rPr>
          <w:lang w:val="en-US"/>
        </w:rPr>
        <w:t xml:space="preserve">) </w:t>
      </w:r>
      <w:r w:rsidR="00E572D3" w:rsidRPr="00D43899">
        <w:rPr>
          <w:lang w:val="en-US"/>
        </w:rPr>
        <w:t>A</w:t>
      </w:r>
      <w:r w:rsidR="0092050D" w:rsidRPr="00D43899">
        <w:rPr>
          <w:lang w:val="en-US"/>
        </w:rPr>
        <w:t xml:space="preserve"> financial instruments, and/or (ii) </w:t>
      </w:r>
      <w:r w:rsidR="00E572D3" w:rsidRPr="00D43899">
        <w:rPr>
          <w:lang w:val="en-US"/>
        </w:rPr>
        <w:t xml:space="preserve">B </w:t>
      </w:r>
      <w:r w:rsidR="0092050D" w:rsidRPr="00D43899">
        <w:rPr>
          <w:lang w:val="en-US"/>
        </w:rPr>
        <w:t xml:space="preserve">financial instruments and/or (iii) </w:t>
      </w:r>
      <w:r w:rsidR="00E572D3" w:rsidRPr="00D43899">
        <w:rPr>
          <w:lang w:val="en-US"/>
        </w:rPr>
        <w:t>C</w:t>
      </w:r>
      <w:r w:rsidR="0092050D" w:rsidRPr="00D43899">
        <w:rPr>
          <w:lang w:val="en-US"/>
        </w:rPr>
        <w:t xml:space="preserve"> financial instrument</w:t>
      </w:r>
      <w:r w:rsidR="00836EFF" w:rsidRPr="00D43899">
        <w:rPr>
          <w:lang w:val="en-US"/>
        </w:rPr>
        <w:t>s</w:t>
      </w:r>
      <w:r w:rsidR="0092050D" w:rsidRPr="00D43899">
        <w:rPr>
          <w:lang w:val="en-US"/>
        </w:rPr>
        <w:t xml:space="preserve">. </w:t>
      </w:r>
    </w:p>
    <w:p w14:paraId="42B23F0A" w14:textId="1F1E6DE1" w:rsidR="0092050D" w:rsidRPr="00533FA6" w:rsidRDefault="00073A05" w:rsidP="003636E2">
      <w:pPr>
        <w:jc w:val="both"/>
        <w:rPr>
          <w:lang w:val="en-US"/>
        </w:rPr>
      </w:pPr>
      <w:r w:rsidRPr="00D43899">
        <w:rPr>
          <w:lang w:val="en-US"/>
        </w:rPr>
        <w:t>O</w:t>
      </w:r>
      <w:r w:rsidR="0092050D" w:rsidRPr="00D43899">
        <w:rPr>
          <w:lang w:val="en-US"/>
        </w:rPr>
        <w:t xml:space="preserve">n top thereof </w:t>
      </w:r>
      <w:r w:rsidR="00DC181E" w:rsidRPr="00D43899">
        <w:rPr>
          <w:lang w:val="en-US"/>
        </w:rPr>
        <w:t>firms could</w:t>
      </w:r>
      <w:r w:rsidR="00584F3A" w:rsidRPr="00D43899">
        <w:rPr>
          <w:lang w:val="en-US"/>
        </w:rPr>
        <w:t xml:space="preserve">, depending on the service, </w:t>
      </w:r>
      <w:r w:rsidR="00DC181E" w:rsidRPr="00D43899">
        <w:rPr>
          <w:lang w:val="en-US"/>
        </w:rPr>
        <w:t xml:space="preserve">inquire </w:t>
      </w:r>
      <w:r w:rsidR="005C218A" w:rsidRPr="00D43899">
        <w:rPr>
          <w:lang w:val="en-US"/>
        </w:rPr>
        <w:t>their cl</w:t>
      </w:r>
      <w:r w:rsidR="00C61CC6" w:rsidRPr="00D43899">
        <w:rPr>
          <w:lang w:val="en-US"/>
        </w:rPr>
        <w:t>ients</w:t>
      </w:r>
      <w:r w:rsidR="009865CF" w:rsidRPr="00D43899">
        <w:rPr>
          <w:lang w:val="en-US"/>
        </w:rPr>
        <w:t xml:space="preserve"> on</w:t>
      </w:r>
      <w:r w:rsidR="00B27C58" w:rsidRPr="00D43899">
        <w:rPr>
          <w:lang w:val="en-US"/>
        </w:rPr>
        <w:t xml:space="preserve"> a preference for</w:t>
      </w:r>
      <w:r w:rsidR="009865CF" w:rsidRPr="00D43899">
        <w:rPr>
          <w:lang w:val="en-US"/>
        </w:rPr>
        <w:t xml:space="preserve"> any combination of the</w:t>
      </w:r>
      <w:r w:rsidR="00BA6779" w:rsidRPr="00D43899">
        <w:rPr>
          <w:lang w:val="en-US"/>
        </w:rPr>
        <w:t xml:space="preserve"> “qualitative </w:t>
      </w:r>
      <w:r w:rsidR="001D49FE" w:rsidRPr="00D43899">
        <w:rPr>
          <w:lang w:val="en-US"/>
        </w:rPr>
        <w:t>asp</w:t>
      </w:r>
      <w:r w:rsidR="001928C2" w:rsidRPr="00D43899">
        <w:rPr>
          <w:lang w:val="en-US"/>
        </w:rPr>
        <w:t>ects of susta</w:t>
      </w:r>
      <w:r w:rsidR="001D6EF3" w:rsidRPr="00D43899">
        <w:rPr>
          <w:lang w:val="en-US"/>
        </w:rPr>
        <w:t>inability pr</w:t>
      </w:r>
      <w:r w:rsidR="00F70601" w:rsidRPr="00D43899">
        <w:rPr>
          <w:lang w:val="en-US"/>
        </w:rPr>
        <w:t xml:space="preserve">eferences” or </w:t>
      </w:r>
      <w:r w:rsidR="009865CF" w:rsidRPr="00D43899">
        <w:rPr>
          <w:lang w:val="en-US"/>
        </w:rPr>
        <w:t xml:space="preserve">sustainability features </w:t>
      </w:r>
      <w:r w:rsidR="001D06A7" w:rsidRPr="00D43899">
        <w:rPr>
          <w:lang w:val="en-US"/>
        </w:rPr>
        <w:t xml:space="preserve">that </w:t>
      </w:r>
      <w:r w:rsidR="00A32F71" w:rsidRPr="00D43899">
        <w:rPr>
          <w:lang w:val="en-US"/>
        </w:rPr>
        <w:t xml:space="preserve">characterize each such category of financial instruments, i.e. minimum investment in </w:t>
      </w:r>
      <w:r w:rsidR="00232FBB" w:rsidRPr="00D43899">
        <w:rPr>
          <w:lang w:val="en-US"/>
        </w:rPr>
        <w:t>taxonomy aligned</w:t>
      </w:r>
      <w:r w:rsidR="00927779" w:rsidRPr="00D43899">
        <w:rPr>
          <w:lang w:val="en-US"/>
        </w:rPr>
        <w:t xml:space="preserve"> environm</w:t>
      </w:r>
      <w:r w:rsidR="000656E0" w:rsidRPr="00D43899">
        <w:rPr>
          <w:lang w:val="en-US"/>
        </w:rPr>
        <w:t>entally sustainable investments</w:t>
      </w:r>
      <w:r w:rsidR="00101EBE" w:rsidRPr="00D43899">
        <w:rPr>
          <w:lang w:val="en-US"/>
        </w:rPr>
        <w:t xml:space="preserve"> (A), minimum investment in sustainable investments (B)</w:t>
      </w:r>
      <w:r w:rsidR="004850DE" w:rsidRPr="00D43899">
        <w:rPr>
          <w:lang w:val="en-US"/>
        </w:rPr>
        <w:t xml:space="preserve">, consideration of </w:t>
      </w:r>
      <w:r w:rsidR="00B464ED" w:rsidRPr="00D43899">
        <w:rPr>
          <w:lang w:val="en-US"/>
        </w:rPr>
        <w:t xml:space="preserve">certain PAI. </w:t>
      </w:r>
      <w:r w:rsidR="00052805" w:rsidRPr="00D43899">
        <w:rPr>
          <w:lang w:val="en-US"/>
        </w:rPr>
        <w:t xml:space="preserve"> </w:t>
      </w:r>
    </w:p>
    <w:p w14:paraId="68986721" w14:textId="77777777" w:rsidR="005E15EC" w:rsidRDefault="005E15EC" w:rsidP="00044FBC">
      <w:pPr>
        <w:jc w:val="both"/>
        <w:rPr>
          <w:u w:val="single"/>
          <w:lang w:val="en-US"/>
        </w:rPr>
      </w:pPr>
    </w:p>
    <w:p w14:paraId="16729B66" w14:textId="77777777" w:rsidR="005E15EC" w:rsidRPr="00E05291" w:rsidRDefault="005E15EC" w:rsidP="00044FBC">
      <w:pPr>
        <w:jc w:val="both"/>
        <w:rPr>
          <w:strike/>
          <w:u w:val="single"/>
          <w:lang w:val="en-US"/>
        </w:rPr>
      </w:pPr>
    </w:p>
    <w:p w14:paraId="777E6EC0" w14:textId="46F899FC" w:rsidR="00013BC2" w:rsidRPr="00A8028E" w:rsidRDefault="00A8028E" w:rsidP="00044FBC">
      <w:pPr>
        <w:jc w:val="both"/>
        <w:rPr>
          <w:b/>
          <w:bCs/>
          <w:lang w:val="en-US"/>
        </w:rPr>
      </w:pPr>
      <w:r w:rsidRPr="00A8028E">
        <w:rPr>
          <w:b/>
          <w:bCs/>
          <w:lang w:val="en-US"/>
        </w:rPr>
        <w:t xml:space="preserve">Q6. </w:t>
      </w:r>
      <w:r w:rsidR="00013BC2" w:rsidRPr="00A8028E">
        <w:rPr>
          <w:b/>
          <w:bCs/>
          <w:lang w:val="en-US"/>
        </w:rPr>
        <w:t>Do you agree with the proposed approach with regard to the assessment of ESG preferences in the case of portfolio approach? Are there alternative approaches that ESMA should consider? Please provide possible examples.</w:t>
      </w:r>
    </w:p>
    <w:p w14:paraId="5BA8ACB7" w14:textId="38B9264B" w:rsidR="001B64BF" w:rsidRDefault="001D2CF7" w:rsidP="00044FBC">
      <w:pPr>
        <w:jc w:val="both"/>
        <w:rPr>
          <w:lang w:val="en-US"/>
        </w:rPr>
      </w:pPr>
      <w:r>
        <w:rPr>
          <w:lang w:val="en-US"/>
        </w:rPr>
        <w:t>We understand that, also in case of a portfolio approach, the client must be inquired on his or her sustainability preferences in a neutral, unb</w:t>
      </w:r>
      <w:r w:rsidR="00CA4056">
        <w:rPr>
          <w:lang w:val="en-US"/>
        </w:rPr>
        <w:t>i</w:t>
      </w:r>
      <w:r>
        <w:rPr>
          <w:lang w:val="en-US"/>
        </w:rPr>
        <w:t>ased way</w:t>
      </w:r>
      <w:r w:rsidR="007227DB">
        <w:rPr>
          <w:lang w:val="en-US"/>
        </w:rPr>
        <w:t xml:space="preserve">, however: </w:t>
      </w:r>
    </w:p>
    <w:p w14:paraId="04FB282D" w14:textId="77777777" w:rsidR="0065092F" w:rsidRDefault="0065092F" w:rsidP="00044FBC">
      <w:pPr>
        <w:jc w:val="both"/>
        <w:rPr>
          <w:lang w:val="en-US"/>
        </w:rPr>
      </w:pPr>
    </w:p>
    <w:p w14:paraId="167830B5" w14:textId="5703E512" w:rsidR="0065092F" w:rsidRPr="00533FA6" w:rsidRDefault="00961C4E" w:rsidP="00533FA6">
      <w:pPr>
        <w:pStyle w:val="ListParagraph"/>
        <w:numPr>
          <w:ilvl w:val="0"/>
          <w:numId w:val="40"/>
        </w:numPr>
        <w:jc w:val="both"/>
        <w:rPr>
          <w:b/>
          <w:bCs/>
          <w:lang w:val="en-US"/>
        </w:rPr>
      </w:pPr>
      <w:r>
        <w:rPr>
          <w:b/>
          <w:bCs/>
          <w:lang w:val="en-US"/>
        </w:rPr>
        <w:t xml:space="preserve">Alignment of </w:t>
      </w:r>
      <w:proofErr w:type="spellStart"/>
      <w:r>
        <w:rPr>
          <w:b/>
          <w:bCs/>
          <w:lang w:val="en-US"/>
        </w:rPr>
        <w:t>MiFiD</w:t>
      </w:r>
      <w:proofErr w:type="spellEnd"/>
      <w:r>
        <w:rPr>
          <w:b/>
          <w:bCs/>
          <w:lang w:val="en-US"/>
        </w:rPr>
        <w:t xml:space="preserve"> Sustainability Preferences and SFDR</w:t>
      </w:r>
      <w:r w:rsidR="00C45A0A" w:rsidRPr="00533FA6">
        <w:rPr>
          <w:b/>
          <w:bCs/>
          <w:lang w:val="en-US"/>
        </w:rPr>
        <w:t>)</w:t>
      </w:r>
    </w:p>
    <w:p w14:paraId="374D1885" w14:textId="40A56FCF" w:rsidR="004A70F0" w:rsidRDefault="001B64BF" w:rsidP="00044FBC">
      <w:pPr>
        <w:jc w:val="both"/>
        <w:rPr>
          <w:lang w:val="en-US"/>
        </w:rPr>
      </w:pPr>
      <w:r>
        <w:rPr>
          <w:lang w:val="en-US"/>
        </w:rPr>
        <w:t xml:space="preserve">We believe </w:t>
      </w:r>
      <w:r w:rsidR="00E96FDC">
        <w:rPr>
          <w:lang w:val="en-US"/>
        </w:rPr>
        <w:t xml:space="preserve">that </w:t>
      </w:r>
      <w:r w:rsidR="00AC05CE">
        <w:rPr>
          <w:lang w:val="en-US"/>
        </w:rPr>
        <w:t xml:space="preserve">– in the interest of the client – </w:t>
      </w:r>
      <w:r w:rsidR="009E73C8">
        <w:rPr>
          <w:lang w:val="en-US"/>
        </w:rPr>
        <w:t xml:space="preserve"> </w:t>
      </w:r>
      <w:r w:rsidR="00B34D55">
        <w:rPr>
          <w:lang w:val="en-US"/>
        </w:rPr>
        <w:t xml:space="preserve"> financial institutions should be allowed to </w:t>
      </w:r>
      <w:r w:rsidR="002A733B">
        <w:rPr>
          <w:lang w:val="en-US"/>
        </w:rPr>
        <w:t>bring MiFID ESG preferences and</w:t>
      </w:r>
      <w:r w:rsidR="00404E2A">
        <w:rPr>
          <w:lang w:val="en-US"/>
        </w:rPr>
        <w:t xml:space="preserve"> disclosures</w:t>
      </w:r>
      <w:r w:rsidR="002A733B">
        <w:rPr>
          <w:lang w:val="en-US"/>
        </w:rPr>
        <w:t xml:space="preserve"> under SFDR in line.  Pursuant </w:t>
      </w:r>
      <w:r w:rsidR="006D7339">
        <w:rPr>
          <w:lang w:val="en-US"/>
        </w:rPr>
        <w:t xml:space="preserve">to </w:t>
      </w:r>
      <w:r w:rsidR="002A733B">
        <w:rPr>
          <w:lang w:val="en-US"/>
        </w:rPr>
        <w:t xml:space="preserve">SFDR  </w:t>
      </w:r>
      <w:r w:rsidR="00404E2A">
        <w:rPr>
          <w:lang w:val="en-US"/>
        </w:rPr>
        <w:t xml:space="preserve">a </w:t>
      </w:r>
      <w:r w:rsidR="0016244F">
        <w:rPr>
          <w:lang w:val="en-US"/>
        </w:rPr>
        <w:t xml:space="preserve">portfolio managed </w:t>
      </w:r>
      <w:r w:rsidR="00784E48">
        <w:rPr>
          <w:lang w:val="en-US"/>
        </w:rPr>
        <w:t>under ‘</w:t>
      </w:r>
      <w:r w:rsidR="00323246">
        <w:rPr>
          <w:lang w:val="en-US"/>
        </w:rPr>
        <w:t xml:space="preserve">discretionary </w:t>
      </w:r>
      <w:r w:rsidR="00784E48">
        <w:rPr>
          <w:lang w:val="en-US"/>
        </w:rPr>
        <w:t>portfolio management’ is considered a Financial Product.</w:t>
      </w:r>
      <w:r w:rsidR="00FA40BD">
        <w:rPr>
          <w:lang w:val="en-US"/>
        </w:rPr>
        <w:t xml:space="preserve"> Hence portfolio managers will be required to </w:t>
      </w:r>
      <w:r w:rsidR="006B32C8">
        <w:rPr>
          <w:lang w:val="en-US"/>
        </w:rPr>
        <w:t>mak</w:t>
      </w:r>
      <w:r w:rsidR="00B21908">
        <w:rPr>
          <w:lang w:val="en-US"/>
        </w:rPr>
        <w:t>e precontractual and periodic disclosures  on, amongst other</w:t>
      </w:r>
      <w:r w:rsidR="007A6E68">
        <w:rPr>
          <w:lang w:val="en-US"/>
        </w:rPr>
        <w:t>s</w:t>
      </w:r>
      <w:r w:rsidR="00B21908">
        <w:rPr>
          <w:lang w:val="en-US"/>
        </w:rPr>
        <w:t xml:space="preserve">, the </w:t>
      </w:r>
      <w:r w:rsidR="005153F2">
        <w:rPr>
          <w:lang w:val="en-US"/>
        </w:rPr>
        <w:t xml:space="preserve">(minimum) </w:t>
      </w:r>
      <w:r w:rsidR="00B21908">
        <w:rPr>
          <w:lang w:val="en-US"/>
        </w:rPr>
        <w:t xml:space="preserve">percentage of </w:t>
      </w:r>
      <w:r w:rsidR="007B27EF">
        <w:rPr>
          <w:lang w:val="en-US"/>
        </w:rPr>
        <w:t>sustainable investments with an environmental objective (whether or not taxonomy aligned)</w:t>
      </w:r>
      <w:r w:rsidR="00CC428A">
        <w:rPr>
          <w:lang w:val="en-US"/>
        </w:rPr>
        <w:t xml:space="preserve"> and the </w:t>
      </w:r>
      <w:r w:rsidR="005153F2">
        <w:rPr>
          <w:lang w:val="en-US"/>
        </w:rPr>
        <w:t xml:space="preserve">(minimum) </w:t>
      </w:r>
      <w:r w:rsidR="00CC428A">
        <w:rPr>
          <w:lang w:val="en-US"/>
        </w:rPr>
        <w:t>percentage of sustainable investments with a social objectiv</w:t>
      </w:r>
      <w:r w:rsidR="0019008A">
        <w:rPr>
          <w:lang w:val="en-US"/>
        </w:rPr>
        <w:t xml:space="preserve">e, and </w:t>
      </w:r>
      <w:r w:rsidR="0019008A" w:rsidRPr="00953E92">
        <w:rPr>
          <w:u w:val="single"/>
          <w:lang w:val="en-US"/>
        </w:rPr>
        <w:t>not</w:t>
      </w:r>
      <w:r w:rsidR="0019008A">
        <w:rPr>
          <w:lang w:val="en-US"/>
        </w:rPr>
        <w:t xml:space="preserve"> on the percentage of financial instruments with a (minimum) proportion of such </w:t>
      </w:r>
      <w:r w:rsidR="003C5972">
        <w:rPr>
          <w:lang w:val="en-US"/>
        </w:rPr>
        <w:t xml:space="preserve"> (taxonomy aligned) </w:t>
      </w:r>
      <w:r w:rsidR="0019008A">
        <w:rPr>
          <w:lang w:val="en-US"/>
        </w:rPr>
        <w:t>sustainab</w:t>
      </w:r>
      <w:r w:rsidR="003C5972">
        <w:rPr>
          <w:lang w:val="en-US"/>
        </w:rPr>
        <w:t xml:space="preserve">le investments. </w:t>
      </w:r>
      <w:r w:rsidR="00953E92">
        <w:rPr>
          <w:lang w:val="en-US"/>
        </w:rPr>
        <w:t xml:space="preserve"> Consequently, the disclosure requirements under SFDR </w:t>
      </w:r>
      <w:r w:rsidR="005C6329">
        <w:rPr>
          <w:lang w:val="en-US"/>
        </w:rPr>
        <w:t xml:space="preserve">(one step: (minimum) proportion of </w:t>
      </w:r>
      <w:r w:rsidR="001B591D">
        <w:rPr>
          <w:lang w:val="en-US"/>
        </w:rPr>
        <w:t xml:space="preserve">(taxonomy aligned) sustainable investments) </w:t>
      </w:r>
      <w:r w:rsidR="00953E92">
        <w:rPr>
          <w:lang w:val="en-US"/>
        </w:rPr>
        <w:t xml:space="preserve">are not in line with the sustainability preferences as literally described in MiFID ESG Delegated </w:t>
      </w:r>
      <w:r w:rsidR="00C308A1">
        <w:rPr>
          <w:lang w:val="en-US"/>
        </w:rPr>
        <w:t>Act</w:t>
      </w:r>
      <w:r w:rsidR="004E0E1A">
        <w:rPr>
          <w:lang w:val="en-US"/>
        </w:rPr>
        <w:t xml:space="preserve"> (two step reasoning: “the extent of the ESG portfolio</w:t>
      </w:r>
      <w:r w:rsidR="005D12CF">
        <w:rPr>
          <w:lang w:val="en-US"/>
        </w:rPr>
        <w:t>”</w:t>
      </w:r>
      <w:r w:rsidR="004E0E1A">
        <w:rPr>
          <w:lang w:val="en-US"/>
        </w:rPr>
        <w:t xml:space="preserve"> and </w:t>
      </w:r>
      <w:r w:rsidR="005D12CF">
        <w:rPr>
          <w:lang w:val="en-US"/>
        </w:rPr>
        <w:t>“</w:t>
      </w:r>
      <w:r w:rsidR="004E0E1A">
        <w:rPr>
          <w:lang w:val="en-US"/>
        </w:rPr>
        <w:t>the minimum proportion at the level of an individual financial ins</w:t>
      </w:r>
      <w:r w:rsidR="005D12CF">
        <w:rPr>
          <w:lang w:val="en-US"/>
        </w:rPr>
        <w:t>t</w:t>
      </w:r>
      <w:r w:rsidR="004E0E1A">
        <w:rPr>
          <w:lang w:val="en-US"/>
        </w:rPr>
        <w:t>rument</w:t>
      </w:r>
      <w:r w:rsidR="005C6329">
        <w:rPr>
          <w:lang w:val="en-US"/>
        </w:rPr>
        <w:t>”)</w:t>
      </w:r>
      <w:r w:rsidR="00C308A1">
        <w:rPr>
          <w:lang w:val="en-US"/>
        </w:rPr>
        <w:t xml:space="preserve">. </w:t>
      </w:r>
      <w:r w:rsidR="00D93781">
        <w:rPr>
          <w:lang w:val="en-US"/>
        </w:rPr>
        <w:t>To remain consistent and not to confuse client</w:t>
      </w:r>
      <w:r w:rsidR="00907295">
        <w:rPr>
          <w:lang w:val="en-US"/>
        </w:rPr>
        <w:t>s</w:t>
      </w:r>
      <w:r w:rsidR="00D93781">
        <w:rPr>
          <w:lang w:val="en-US"/>
        </w:rPr>
        <w:t xml:space="preserve">, we are of the view that </w:t>
      </w:r>
      <w:r w:rsidR="00907295">
        <w:rPr>
          <w:lang w:val="en-US"/>
        </w:rPr>
        <w:t>we can inquire our client</w:t>
      </w:r>
      <w:r w:rsidR="004E6939">
        <w:rPr>
          <w:lang w:val="en-US"/>
        </w:rPr>
        <w:t>s</w:t>
      </w:r>
      <w:r w:rsidR="00907295">
        <w:rPr>
          <w:lang w:val="en-US"/>
        </w:rPr>
        <w:t xml:space="preserve"> on their sustainability preferences</w:t>
      </w:r>
      <w:r w:rsidR="00E31208">
        <w:rPr>
          <w:lang w:val="en-US"/>
        </w:rPr>
        <w:t xml:space="preserve"> by </w:t>
      </w:r>
      <w:r w:rsidR="00243E89">
        <w:rPr>
          <w:lang w:val="en-US"/>
        </w:rPr>
        <w:t xml:space="preserve">asking them about </w:t>
      </w:r>
      <w:r w:rsidR="00EA2EC7">
        <w:rPr>
          <w:lang w:val="en-US"/>
        </w:rPr>
        <w:t>their desired minimum proportion of (taxonomy) aligned sustainable investments (in line with SFDR disclosures).</w:t>
      </w:r>
    </w:p>
    <w:p w14:paraId="7FF411D3" w14:textId="77777777" w:rsidR="00E05291" w:rsidRDefault="00E05291" w:rsidP="00044FBC">
      <w:pPr>
        <w:jc w:val="both"/>
        <w:rPr>
          <w:lang w:val="en-US"/>
        </w:rPr>
      </w:pPr>
    </w:p>
    <w:p w14:paraId="6A8966D5" w14:textId="33A08A02" w:rsidR="00157FE8" w:rsidRPr="00866DBE" w:rsidRDefault="00157FE8" w:rsidP="00533FA6">
      <w:pPr>
        <w:pStyle w:val="ListParagraph"/>
        <w:numPr>
          <w:ilvl w:val="0"/>
          <w:numId w:val="40"/>
        </w:numPr>
        <w:jc w:val="both"/>
        <w:rPr>
          <w:b/>
          <w:bCs/>
          <w:lang w:val="en-US"/>
        </w:rPr>
      </w:pPr>
      <w:r w:rsidRPr="00866DBE">
        <w:rPr>
          <w:b/>
          <w:bCs/>
          <w:lang w:val="en-US"/>
        </w:rPr>
        <w:t>Portfolio advice to be treated as portfolio management (at the option of the investment adviser – to be determined at service level)</w:t>
      </w:r>
    </w:p>
    <w:p w14:paraId="0EFF603B" w14:textId="0BE7FD47" w:rsidR="007F3F0A" w:rsidRDefault="001F787D" w:rsidP="00E36B46">
      <w:pPr>
        <w:jc w:val="both"/>
        <w:rPr>
          <w:lang w:val="en-US"/>
        </w:rPr>
      </w:pPr>
      <w:r w:rsidRPr="00E05291">
        <w:rPr>
          <w:lang w:val="en-US"/>
        </w:rPr>
        <w:t>G</w:t>
      </w:r>
      <w:r w:rsidR="00C308A1" w:rsidRPr="00E05291">
        <w:rPr>
          <w:lang w:val="en-US"/>
        </w:rPr>
        <w:t>iven the enhanced transparency</w:t>
      </w:r>
      <w:r w:rsidR="0075483C" w:rsidRPr="00E05291">
        <w:rPr>
          <w:lang w:val="en-US"/>
        </w:rPr>
        <w:t xml:space="preserve"> </w:t>
      </w:r>
      <w:r w:rsidR="0058654C" w:rsidRPr="00E05291">
        <w:rPr>
          <w:lang w:val="en-US"/>
        </w:rPr>
        <w:t>o</w:t>
      </w:r>
      <w:r w:rsidR="00276212" w:rsidRPr="00E05291">
        <w:rPr>
          <w:lang w:val="en-US"/>
        </w:rPr>
        <w:t>n</w:t>
      </w:r>
      <w:r w:rsidR="0058654C" w:rsidRPr="00E05291">
        <w:rPr>
          <w:lang w:val="en-US"/>
        </w:rPr>
        <w:t xml:space="preserve"> commitments at the level of the portfolio </w:t>
      </w:r>
      <w:r w:rsidR="00570086" w:rsidRPr="00E05291">
        <w:rPr>
          <w:lang w:val="en-US"/>
        </w:rPr>
        <w:t xml:space="preserve">(only </w:t>
      </w:r>
      <w:r w:rsidR="009B66EE" w:rsidRPr="00E05291">
        <w:rPr>
          <w:lang w:val="en-US"/>
        </w:rPr>
        <w:t xml:space="preserve">one </w:t>
      </w:r>
      <w:r w:rsidR="00570086" w:rsidRPr="00E05291">
        <w:rPr>
          <w:lang w:val="en-US"/>
        </w:rPr>
        <w:t>layer</w:t>
      </w:r>
      <w:r w:rsidR="009B66EE" w:rsidRPr="00E05291">
        <w:rPr>
          <w:lang w:val="en-US"/>
        </w:rPr>
        <w:t xml:space="preserve">: e.g. </w:t>
      </w:r>
      <w:r w:rsidR="00D45669" w:rsidRPr="00E05291">
        <w:rPr>
          <w:lang w:val="en-US"/>
        </w:rPr>
        <w:t>10</w:t>
      </w:r>
      <w:r w:rsidR="009B66EE" w:rsidRPr="00E05291">
        <w:rPr>
          <w:lang w:val="en-US"/>
        </w:rPr>
        <w:t xml:space="preserve">% commitment on </w:t>
      </w:r>
      <w:r w:rsidR="00E6632F" w:rsidRPr="00E05291">
        <w:rPr>
          <w:lang w:val="en-US"/>
        </w:rPr>
        <w:t xml:space="preserve">sustainable investments </w:t>
      </w:r>
      <w:r w:rsidR="009B66EE" w:rsidRPr="00E05291">
        <w:rPr>
          <w:lang w:val="en-US"/>
        </w:rPr>
        <w:t>at the level of the</w:t>
      </w:r>
      <w:r w:rsidR="00E6632F" w:rsidRPr="00E05291">
        <w:rPr>
          <w:lang w:val="en-US"/>
        </w:rPr>
        <w:t xml:space="preserve"> portfolio</w:t>
      </w:r>
      <w:r w:rsidR="00570086" w:rsidRPr="00E05291">
        <w:rPr>
          <w:lang w:val="en-US"/>
        </w:rPr>
        <w:t>) instead of a commitment (</w:t>
      </w:r>
      <w:r w:rsidR="00F43FB2" w:rsidRPr="00E05291">
        <w:rPr>
          <w:lang w:val="en-US"/>
        </w:rPr>
        <w:t>“</w:t>
      </w:r>
      <w:r w:rsidR="00570086" w:rsidRPr="00E05291">
        <w:rPr>
          <w:lang w:val="en-US"/>
        </w:rPr>
        <w:t>minimum proportion</w:t>
      </w:r>
      <w:r w:rsidR="00F43FB2" w:rsidRPr="00E05291">
        <w:rPr>
          <w:lang w:val="en-US"/>
        </w:rPr>
        <w:t>”</w:t>
      </w:r>
      <w:r w:rsidR="00570086" w:rsidRPr="00E05291">
        <w:rPr>
          <w:lang w:val="en-US"/>
        </w:rPr>
        <w:t xml:space="preserve">) at the level of a specific instrument, which is a part of a </w:t>
      </w:r>
      <w:proofErr w:type="spellStart"/>
      <w:r w:rsidR="00570086" w:rsidRPr="00E05291">
        <w:rPr>
          <w:lang w:val="en-US"/>
        </w:rPr>
        <w:t>subportfolio</w:t>
      </w:r>
      <w:proofErr w:type="spellEnd"/>
      <w:r w:rsidR="00E6632F" w:rsidRPr="00E05291">
        <w:rPr>
          <w:lang w:val="en-US"/>
        </w:rPr>
        <w:t xml:space="preserve"> (</w:t>
      </w:r>
      <w:r w:rsidR="00F43FB2" w:rsidRPr="00E05291">
        <w:rPr>
          <w:lang w:val="en-US"/>
        </w:rPr>
        <w:t>“</w:t>
      </w:r>
      <w:r w:rsidR="000B2DF0" w:rsidRPr="00E05291">
        <w:rPr>
          <w:lang w:val="en-US"/>
        </w:rPr>
        <w:t>to what</w:t>
      </w:r>
      <w:r w:rsidR="00E6632F" w:rsidRPr="00E05291">
        <w:rPr>
          <w:lang w:val="en-US"/>
        </w:rPr>
        <w:t xml:space="preserve"> extent</w:t>
      </w:r>
      <w:r w:rsidR="00F43FB2" w:rsidRPr="00E05291">
        <w:rPr>
          <w:lang w:val="en-US"/>
        </w:rPr>
        <w:t>”</w:t>
      </w:r>
      <w:r w:rsidR="000B2DF0" w:rsidRPr="00E05291">
        <w:rPr>
          <w:lang w:val="en-US"/>
        </w:rPr>
        <w:t>) (</w:t>
      </w:r>
      <w:r w:rsidR="00182E2E" w:rsidRPr="00E05291">
        <w:rPr>
          <w:lang w:val="en-US"/>
        </w:rPr>
        <w:t xml:space="preserve">resulting in the fact that a client with an ESG </w:t>
      </w:r>
      <w:proofErr w:type="spellStart"/>
      <w:r w:rsidR="00182E2E" w:rsidRPr="00E05291">
        <w:rPr>
          <w:lang w:val="en-US"/>
        </w:rPr>
        <w:t>subportfolio</w:t>
      </w:r>
      <w:proofErr w:type="spellEnd"/>
      <w:r w:rsidR="00182E2E" w:rsidRPr="00E05291">
        <w:rPr>
          <w:lang w:val="en-US"/>
        </w:rPr>
        <w:t xml:space="preserve"> of 40% consisting of category </w:t>
      </w:r>
      <w:r w:rsidR="00C57353" w:rsidRPr="00E05291">
        <w:rPr>
          <w:lang w:val="en-US"/>
        </w:rPr>
        <w:t xml:space="preserve">b </w:t>
      </w:r>
      <w:r w:rsidR="00182E2E" w:rsidRPr="00E05291">
        <w:rPr>
          <w:lang w:val="en-US"/>
        </w:rPr>
        <w:t>products with a minimum commitment of</w:t>
      </w:r>
      <w:r w:rsidR="0068014B" w:rsidRPr="00E05291">
        <w:rPr>
          <w:lang w:val="en-US"/>
        </w:rPr>
        <w:t xml:space="preserve"> </w:t>
      </w:r>
      <w:r w:rsidR="00D45669" w:rsidRPr="00E05291">
        <w:rPr>
          <w:lang w:val="en-US"/>
        </w:rPr>
        <w:t>10</w:t>
      </w:r>
      <w:r w:rsidR="0068014B" w:rsidRPr="00E05291">
        <w:rPr>
          <w:lang w:val="en-US"/>
        </w:rPr>
        <w:t xml:space="preserve">%, will end up with a portfolio </w:t>
      </w:r>
      <w:r w:rsidR="007B66F2" w:rsidRPr="00E05291">
        <w:rPr>
          <w:lang w:val="en-US"/>
        </w:rPr>
        <w:t xml:space="preserve">of which the total commitments on sustainable investments </w:t>
      </w:r>
      <w:r w:rsidR="001348C5" w:rsidRPr="00E05291">
        <w:rPr>
          <w:lang w:val="en-US"/>
        </w:rPr>
        <w:t>only amount</w:t>
      </w:r>
      <w:r w:rsidR="00D45669" w:rsidRPr="00E05291">
        <w:rPr>
          <w:lang w:val="en-US"/>
        </w:rPr>
        <w:t>s to 4%)</w:t>
      </w:r>
      <w:r w:rsidR="006B49D4" w:rsidRPr="00F24CA1">
        <w:rPr>
          <w:lang w:val="en-US"/>
        </w:rPr>
        <w:t xml:space="preserve">, we are of the view </w:t>
      </w:r>
      <w:r w:rsidR="00EF0BAD" w:rsidRPr="00F24CA1">
        <w:rPr>
          <w:lang w:val="en-US"/>
        </w:rPr>
        <w:t xml:space="preserve"> </w:t>
      </w:r>
      <w:r w:rsidR="00E36B46" w:rsidRPr="00F24CA1">
        <w:rPr>
          <w:lang w:val="en-US"/>
        </w:rPr>
        <w:t xml:space="preserve">that </w:t>
      </w:r>
      <w:r w:rsidR="008C4136" w:rsidRPr="00F24CA1">
        <w:rPr>
          <w:lang w:val="en-US"/>
        </w:rPr>
        <w:t xml:space="preserve">a </w:t>
      </w:r>
      <w:r w:rsidR="00C417F2" w:rsidRPr="00F24CA1">
        <w:rPr>
          <w:lang w:val="en-US"/>
        </w:rPr>
        <w:t xml:space="preserve"> financial adviser should have this option</w:t>
      </w:r>
      <w:r w:rsidR="00594D21" w:rsidRPr="00F24CA1">
        <w:rPr>
          <w:lang w:val="en-US"/>
        </w:rPr>
        <w:t xml:space="preserve"> not only in case of</w:t>
      </w:r>
      <w:r w:rsidR="00D34C29" w:rsidRPr="00F24CA1">
        <w:rPr>
          <w:lang w:val="en-US"/>
        </w:rPr>
        <w:t xml:space="preserve"> portfolio management, but also in case of </w:t>
      </w:r>
      <w:r w:rsidR="00CF118C" w:rsidRPr="00F24CA1">
        <w:rPr>
          <w:lang w:val="en-US"/>
        </w:rPr>
        <w:t>investment</w:t>
      </w:r>
      <w:r w:rsidR="00D34C29" w:rsidRPr="00F24CA1">
        <w:rPr>
          <w:lang w:val="en-US"/>
        </w:rPr>
        <w:t xml:space="preserve"> advice</w:t>
      </w:r>
      <w:r w:rsidR="00CF118C" w:rsidRPr="00F24CA1">
        <w:rPr>
          <w:lang w:val="en-US"/>
        </w:rPr>
        <w:t xml:space="preserve"> with a portfolio approach</w:t>
      </w:r>
      <w:r w:rsidR="007F3F0A" w:rsidRPr="00F24CA1">
        <w:rPr>
          <w:lang w:val="en-US"/>
        </w:rPr>
        <w:t>.</w:t>
      </w:r>
      <w:r w:rsidR="007F3F0A" w:rsidRPr="63D6EC09">
        <w:rPr>
          <w:lang w:val="en-US"/>
        </w:rPr>
        <w:t xml:space="preserve"> </w:t>
      </w:r>
    </w:p>
    <w:p w14:paraId="6E6E3655" w14:textId="7F8A5F8D" w:rsidR="00961C4E" w:rsidRDefault="00961C4E" w:rsidP="63D6EC09">
      <w:pPr>
        <w:jc w:val="both"/>
        <w:rPr>
          <w:lang w:val="en-US"/>
        </w:rPr>
      </w:pPr>
    </w:p>
    <w:p w14:paraId="7CC93738" w14:textId="2D2D5266" w:rsidR="003F2FF0" w:rsidRPr="00CD55C6" w:rsidRDefault="00CD55C6" w:rsidP="00CD55C6">
      <w:pPr>
        <w:pBdr>
          <w:top w:val="single" w:sz="4" w:space="1" w:color="auto"/>
          <w:left w:val="single" w:sz="4" w:space="4" w:color="auto"/>
          <w:bottom w:val="single" w:sz="4" w:space="1" w:color="auto"/>
          <w:right w:val="single" w:sz="4" w:space="4" w:color="auto"/>
        </w:pBdr>
        <w:shd w:val="clear" w:color="auto" w:fill="E2EFD9" w:themeFill="accent6" w:themeFillTint="33"/>
        <w:jc w:val="both"/>
        <w:rPr>
          <w:sz w:val="24"/>
          <w:szCs w:val="24"/>
          <w:u w:val="single"/>
          <w:lang w:val="en-US"/>
        </w:rPr>
      </w:pPr>
      <w:r w:rsidRPr="00CD55C6">
        <w:rPr>
          <w:sz w:val="24"/>
          <w:szCs w:val="24"/>
          <w:u w:val="single"/>
          <w:lang w:val="en-US"/>
        </w:rPr>
        <w:t xml:space="preserve">Guideline 5 – updating client information. </w:t>
      </w:r>
    </w:p>
    <w:p w14:paraId="2DFA7F55" w14:textId="4D0E6050" w:rsidR="003F2FF0" w:rsidRPr="00CD55C6" w:rsidRDefault="003F2FF0" w:rsidP="00044FBC">
      <w:pPr>
        <w:jc w:val="both"/>
        <w:rPr>
          <w:i/>
          <w:iCs/>
          <w:sz w:val="20"/>
          <w:szCs w:val="20"/>
          <w:lang w:val="en-US"/>
        </w:rPr>
      </w:pPr>
      <w:r w:rsidRPr="00CD55C6">
        <w:rPr>
          <w:i/>
          <w:iCs/>
          <w:sz w:val="20"/>
          <w:szCs w:val="20"/>
          <w:lang w:val="en-US"/>
        </w:rPr>
        <w:t xml:space="preserve">55. With regard to the sustainability preferences of a client, this information should be updated </w:t>
      </w:r>
      <w:r w:rsidR="00CD55C6">
        <w:rPr>
          <w:i/>
          <w:iCs/>
          <w:sz w:val="20"/>
          <w:szCs w:val="20"/>
          <w:lang w:val="en-US"/>
        </w:rPr>
        <w:t>–</w:t>
      </w:r>
      <w:r w:rsidRPr="00CD55C6">
        <w:rPr>
          <w:i/>
          <w:iCs/>
          <w:sz w:val="20"/>
          <w:szCs w:val="20"/>
          <w:lang w:val="en-US"/>
        </w:rPr>
        <w:t xml:space="preserve"> for ongoing relationships </w:t>
      </w:r>
      <w:r w:rsidR="00CD55C6">
        <w:rPr>
          <w:i/>
          <w:iCs/>
          <w:sz w:val="20"/>
          <w:szCs w:val="20"/>
          <w:lang w:val="en-US"/>
        </w:rPr>
        <w:t>–</w:t>
      </w:r>
      <w:r w:rsidRPr="00CD55C6">
        <w:rPr>
          <w:i/>
          <w:iCs/>
          <w:sz w:val="20"/>
          <w:szCs w:val="20"/>
          <w:lang w:val="en-US"/>
        </w:rPr>
        <w:t xml:space="preserve"> through the next regular update of client information or during the first meeting with the client/the first investment advice following the entry</w:t>
      </w:r>
      <w:r w:rsidR="005C4123">
        <w:rPr>
          <w:i/>
          <w:iCs/>
          <w:sz w:val="20"/>
          <w:szCs w:val="20"/>
          <w:lang w:val="en-US"/>
        </w:rPr>
        <w:t xml:space="preserve"> </w:t>
      </w:r>
      <w:r w:rsidRPr="00CD55C6">
        <w:rPr>
          <w:i/>
          <w:iCs/>
          <w:sz w:val="20"/>
          <w:szCs w:val="20"/>
          <w:lang w:val="en-US"/>
        </w:rPr>
        <w:t>into-application of Commission Delegated Regulation 2021/1253.</w:t>
      </w:r>
    </w:p>
    <w:p w14:paraId="3511503C" w14:textId="77777777" w:rsidR="00B32BAF" w:rsidRDefault="00B32BAF" w:rsidP="00044FBC">
      <w:pPr>
        <w:jc w:val="both"/>
        <w:rPr>
          <w:lang w:val="en-US"/>
        </w:rPr>
      </w:pPr>
    </w:p>
    <w:p w14:paraId="4E3B9DF9" w14:textId="4AFF0937" w:rsidR="00CD55C6" w:rsidRPr="00842FB1" w:rsidRDefault="00BA6C13" w:rsidP="00044FBC">
      <w:pPr>
        <w:jc w:val="both"/>
        <w:rPr>
          <w:b/>
          <w:bCs/>
          <w:lang w:val="en-US"/>
        </w:rPr>
      </w:pPr>
      <w:r w:rsidRPr="00842FB1">
        <w:rPr>
          <w:b/>
          <w:bCs/>
          <w:lang w:val="en-US"/>
        </w:rPr>
        <w:t>Q7.</w:t>
      </w:r>
      <w:r w:rsidR="00B32BAF" w:rsidRPr="00D94992">
        <w:rPr>
          <w:b/>
          <w:bCs/>
          <w:lang w:val="en-US"/>
        </w:rPr>
        <w:t xml:space="preserve"> Do you agree with the suggested approach on the topic of ‘updating client information’? Please a</w:t>
      </w:r>
      <w:r w:rsidR="00B32BAF" w:rsidRPr="00842FB1">
        <w:rPr>
          <w:b/>
          <w:bCs/>
          <w:lang w:val="en-US"/>
        </w:rPr>
        <w:t>lso state the reasons for your answer.</w:t>
      </w:r>
    </w:p>
    <w:p w14:paraId="577C58A9" w14:textId="1FF6E8A4" w:rsidR="005424AB" w:rsidRDefault="005424AB" w:rsidP="005424AB">
      <w:pPr>
        <w:jc w:val="both"/>
        <w:rPr>
          <w:lang w:val="en-US"/>
        </w:rPr>
      </w:pPr>
      <w:r w:rsidRPr="63D6EC09">
        <w:rPr>
          <w:lang w:val="en-US"/>
        </w:rPr>
        <w:t>We appreciate that not all existing client</w:t>
      </w:r>
      <w:r w:rsidR="00A70814" w:rsidRPr="63D6EC09">
        <w:rPr>
          <w:lang w:val="en-US"/>
        </w:rPr>
        <w:t xml:space="preserve"> profiles </w:t>
      </w:r>
      <w:r w:rsidRPr="63D6EC09">
        <w:rPr>
          <w:lang w:val="en-US"/>
        </w:rPr>
        <w:t xml:space="preserve">need to be updated instantly and agree that the next regular update of client information or the next client meeting is a good opportunity to talk about the integration of sustainability preferences. Nevertheless we are of the view that the </w:t>
      </w:r>
      <w:r w:rsidRPr="002129DC">
        <w:rPr>
          <w:b/>
          <w:bCs/>
          <w:lang w:val="en-US"/>
        </w:rPr>
        <w:t xml:space="preserve">next general update of the client profile </w:t>
      </w:r>
      <w:r w:rsidRPr="63D6EC09">
        <w:rPr>
          <w:lang w:val="en-US"/>
        </w:rPr>
        <w:t xml:space="preserve">would be the </w:t>
      </w:r>
      <w:r w:rsidRPr="002129DC">
        <w:rPr>
          <w:b/>
          <w:bCs/>
          <w:lang w:val="en-US"/>
        </w:rPr>
        <w:t>better approach</w:t>
      </w:r>
      <w:r w:rsidRPr="63D6EC09">
        <w:rPr>
          <w:lang w:val="en-US"/>
        </w:rPr>
        <w:t xml:space="preserve"> </w:t>
      </w:r>
      <w:r w:rsidR="00566A66">
        <w:rPr>
          <w:lang w:val="en-US"/>
        </w:rPr>
        <w:t>for the actual update of the profil</w:t>
      </w:r>
      <w:r w:rsidR="004E0751">
        <w:rPr>
          <w:lang w:val="en-US"/>
        </w:rPr>
        <w:t>e</w:t>
      </w:r>
      <w:r w:rsidR="007D474B">
        <w:rPr>
          <w:lang w:val="en-US"/>
        </w:rPr>
        <w:t xml:space="preserve">– which has also been confirmed at the ESMA hearing of Friday </w:t>
      </w:r>
      <w:r w:rsidR="00566A66">
        <w:rPr>
          <w:lang w:val="en-US"/>
        </w:rPr>
        <w:t xml:space="preserve">18 March 2022 - </w:t>
      </w:r>
      <w:r w:rsidRPr="63D6EC09">
        <w:rPr>
          <w:lang w:val="en-US"/>
        </w:rPr>
        <w:t xml:space="preserve">because: </w:t>
      </w:r>
    </w:p>
    <w:p w14:paraId="4EBE2794" w14:textId="33A08A02" w:rsidR="00A46DC3" w:rsidRDefault="0023265C" w:rsidP="00611126">
      <w:pPr>
        <w:pStyle w:val="ListParagraph"/>
        <w:numPr>
          <w:ilvl w:val="0"/>
          <w:numId w:val="42"/>
        </w:numPr>
        <w:jc w:val="both"/>
        <w:rPr>
          <w:b/>
          <w:bCs/>
          <w:lang w:val="en-US"/>
        </w:rPr>
      </w:pPr>
      <w:r w:rsidRPr="63D6EC09">
        <w:rPr>
          <w:b/>
          <w:bCs/>
          <w:lang w:val="en-US"/>
        </w:rPr>
        <w:t xml:space="preserve">Contrary to recital </w:t>
      </w:r>
      <w:r w:rsidR="00C647FB" w:rsidRPr="63D6EC09">
        <w:rPr>
          <w:b/>
          <w:bCs/>
          <w:lang w:val="en-US"/>
        </w:rPr>
        <w:t xml:space="preserve">4 </w:t>
      </w:r>
      <w:r w:rsidR="00246140" w:rsidRPr="63D6EC09">
        <w:rPr>
          <w:b/>
          <w:bCs/>
          <w:lang w:val="en-US"/>
        </w:rPr>
        <w:t>of the Commission Delegated Regulation (EU) 2021/1253</w:t>
      </w:r>
    </w:p>
    <w:p w14:paraId="7BD4D036" w14:textId="33A08A02" w:rsidR="00246140" w:rsidRPr="002129DC" w:rsidRDefault="008336F4" w:rsidP="00246140">
      <w:pPr>
        <w:pStyle w:val="ListParagraph"/>
        <w:ind w:left="1080"/>
        <w:jc w:val="both"/>
        <w:rPr>
          <w:lang w:val="en-US"/>
        </w:rPr>
      </w:pPr>
      <w:r w:rsidRPr="63D6EC09">
        <w:rPr>
          <w:lang w:val="en-US"/>
        </w:rPr>
        <w:t xml:space="preserve">In accordance with the </w:t>
      </w:r>
      <w:r w:rsidR="00A13436" w:rsidRPr="63D6EC09">
        <w:rPr>
          <w:lang w:val="en-US"/>
        </w:rPr>
        <w:t xml:space="preserve">explanatory memorandum, as confirmed in the aforementioned recital 4 </w:t>
      </w:r>
      <w:r w:rsidR="00F243C6" w:rsidRPr="63D6EC09">
        <w:rPr>
          <w:lang w:val="en-US"/>
        </w:rPr>
        <w:t>“for existing clients, for whom a suitability assessment has already been undertaken</w:t>
      </w:r>
      <w:r w:rsidR="00FF1FA4" w:rsidRPr="63D6EC09">
        <w:rPr>
          <w:lang w:val="en-US"/>
        </w:rPr>
        <w:t xml:space="preserve">, investment firms should have the possibility to identify the client’s individual sustainability preferences at the next </w:t>
      </w:r>
      <w:r w:rsidR="00B42041" w:rsidRPr="63D6EC09">
        <w:rPr>
          <w:lang w:val="en-US"/>
        </w:rPr>
        <w:t>regular update of the existing suitability assessment.”.</w:t>
      </w:r>
    </w:p>
    <w:p w14:paraId="0A30F2F4" w14:textId="33A08A02" w:rsidR="00A55D5C" w:rsidRDefault="00A55D5C" w:rsidP="002129DC">
      <w:pPr>
        <w:pStyle w:val="ListParagraph"/>
        <w:ind w:left="1080"/>
        <w:jc w:val="both"/>
        <w:rPr>
          <w:b/>
          <w:bCs/>
          <w:lang w:val="en-US"/>
        </w:rPr>
      </w:pPr>
    </w:p>
    <w:p w14:paraId="7210C837" w14:textId="6AF95F95" w:rsidR="00CD7954" w:rsidRDefault="00CD7954" w:rsidP="00611126">
      <w:pPr>
        <w:pStyle w:val="ListParagraph"/>
        <w:numPr>
          <w:ilvl w:val="0"/>
          <w:numId w:val="42"/>
        </w:numPr>
        <w:jc w:val="both"/>
        <w:rPr>
          <w:b/>
          <w:bCs/>
          <w:lang w:val="en-US"/>
        </w:rPr>
      </w:pPr>
      <w:r w:rsidRPr="63D6EC09">
        <w:rPr>
          <w:b/>
          <w:bCs/>
          <w:lang w:val="en-US"/>
        </w:rPr>
        <w:t>Not technically possible</w:t>
      </w:r>
      <w:r w:rsidR="00132123" w:rsidRPr="63D6EC09">
        <w:rPr>
          <w:b/>
          <w:bCs/>
          <w:lang w:val="en-US"/>
        </w:rPr>
        <w:t xml:space="preserve"> – first investment advice</w:t>
      </w:r>
    </w:p>
    <w:p w14:paraId="5AEA2363" w14:textId="77777777" w:rsidR="00585CFA" w:rsidRDefault="00585CFA" w:rsidP="00585CFA">
      <w:pPr>
        <w:pStyle w:val="ListParagraph"/>
        <w:ind w:left="1080"/>
        <w:jc w:val="both"/>
        <w:rPr>
          <w:lang w:val="en-US"/>
        </w:rPr>
      </w:pPr>
    </w:p>
    <w:p w14:paraId="62D2D962" w14:textId="4232B5FF" w:rsidR="00585CFA" w:rsidRPr="002129DC" w:rsidRDefault="00CD7954" w:rsidP="002129DC">
      <w:pPr>
        <w:pStyle w:val="ListParagraph"/>
        <w:ind w:left="1080"/>
        <w:jc w:val="both"/>
        <w:rPr>
          <w:lang w:val="en-US"/>
        </w:rPr>
      </w:pPr>
      <w:r w:rsidRPr="002129DC">
        <w:rPr>
          <w:lang w:val="en-US"/>
        </w:rPr>
        <w:t>Refer</w:t>
      </w:r>
      <w:r w:rsidR="00585CFA" w:rsidRPr="002129DC">
        <w:rPr>
          <w:lang w:val="en-US"/>
        </w:rPr>
        <w:t xml:space="preserve">ring  to the first investment advice ignores the reality of increased automation and digitization of investment services.  We therefore request to drop </w:t>
      </w:r>
      <w:r w:rsidR="00211F91" w:rsidRPr="63D6EC09">
        <w:rPr>
          <w:lang w:val="en-US"/>
        </w:rPr>
        <w:t xml:space="preserve">in any event the reference to </w:t>
      </w:r>
      <w:r w:rsidR="00585CFA" w:rsidRPr="002129DC">
        <w:rPr>
          <w:lang w:val="en-US"/>
        </w:rPr>
        <w:t>“first investment advice”.</w:t>
      </w:r>
    </w:p>
    <w:p w14:paraId="52E02B3D" w14:textId="4DEA7179" w:rsidR="00CD7954" w:rsidRPr="002129DC" w:rsidRDefault="00CD7954" w:rsidP="00CD7954">
      <w:pPr>
        <w:pStyle w:val="ListParagraph"/>
        <w:ind w:left="1080"/>
        <w:jc w:val="both"/>
        <w:rPr>
          <w:u w:val="single"/>
          <w:lang w:val="en-US"/>
        </w:rPr>
      </w:pPr>
    </w:p>
    <w:p w14:paraId="77C41220" w14:textId="77777777" w:rsidR="00CD7954" w:rsidRDefault="00CD7954" w:rsidP="002129DC">
      <w:pPr>
        <w:pStyle w:val="ListParagraph"/>
        <w:ind w:left="1080"/>
        <w:jc w:val="both"/>
        <w:rPr>
          <w:b/>
          <w:bCs/>
          <w:lang w:val="en-US"/>
        </w:rPr>
      </w:pPr>
    </w:p>
    <w:p w14:paraId="795B1C12" w14:textId="295D2286" w:rsidR="00DC6692" w:rsidRPr="002129DC" w:rsidRDefault="00FC79D0" w:rsidP="00611126">
      <w:pPr>
        <w:pStyle w:val="ListParagraph"/>
        <w:numPr>
          <w:ilvl w:val="0"/>
          <w:numId w:val="42"/>
        </w:numPr>
        <w:jc w:val="both"/>
        <w:rPr>
          <w:b/>
          <w:bCs/>
          <w:lang w:val="en-US"/>
        </w:rPr>
      </w:pPr>
      <w:r w:rsidRPr="63D6EC09">
        <w:rPr>
          <w:b/>
          <w:bCs/>
          <w:lang w:val="en-US"/>
        </w:rPr>
        <w:t xml:space="preserve">What is “the </w:t>
      </w:r>
      <w:r w:rsidR="00D27CD4" w:rsidRPr="63D6EC09">
        <w:rPr>
          <w:b/>
          <w:bCs/>
          <w:lang w:val="en-US"/>
        </w:rPr>
        <w:t>first meeting</w:t>
      </w:r>
      <w:r w:rsidR="00722400" w:rsidRPr="63D6EC09">
        <w:rPr>
          <w:b/>
          <w:bCs/>
          <w:lang w:val="en-US"/>
        </w:rPr>
        <w:t>”</w:t>
      </w:r>
      <w:r w:rsidR="00D27CD4" w:rsidRPr="63D6EC09">
        <w:rPr>
          <w:b/>
          <w:bCs/>
          <w:lang w:val="en-US"/>
        </w:rPr>
        <w:t xml:space="preserve"> with a client”? What in case of s</w:t>
      </w:r>
      <w:r w:rsidR="00DC6692" w:rsidRPr="002129DC">
        <w:rPr>
          <w:b/>
          <w:bCs/>
          <w:lang w:val="en-US"/>
        </w:rPr>
        <w:t>everal  holders</w:t>
      </w:r>
      <w:r w:rsidR="00DC6692" w:rsidRPr="63D6EC09">
        <w:rPr>
          <w:b/>
          <w:bCs/>
          <w:lang w:val="en-US"/>
        </w:rPr>
        <w:t xml:space="preserve"> of the advisory contract</w:t>
      </w:r>
      <w:r w:rsidR="00D27CD4" w:rsidRPr="63D6EC09">
        <w:rPr>
          <w:b/>
          <w:bCs/>
          <w:lang w:val="en-US"/>
        </w:rPr>
        <w:t xml:space="preserve">? </w:t>
      </w:r>
    </w:p>
    <w:p w14:paraId="6076EE48" w14:textId="33A08A02" w:rsidR="00DC6692" w:rsidRDefault="00DC6692" w:rsidP="00DC6692">
      <w:pPr>
        <w:pStyle w:val="ListParagraph"/>
        <w:ind w:left="1080"/>
        <w:jc w:val="both"/>
        <w:rPr>
          <w:lang w:val="en-US"/>
        </w:rPr>
      </w:pPr>
    </w:p>
    <w:p w14:paraId="7AA27E2F" w14:textId="33A08A02" w:rsidR="00A45F6B" w:rsidRDefault="00A45F6B" w:rsidP="00DC6692">
      <w:pPr>
        <w:pStyle w:val="ListParagraph"/>
        <w:ind w:left="1080"/>
        <w:jc w:val="both"/>
        <w:rPr>
          <w:lang w:val="en-US"/>
        </w:rPr>
      </w:pPr>
      <w:r w:rsidRPr="63D6EC09">
        <w:rPr>
          <w:lang w:val="en-US"/>
        </w:rPr>
        <w:t>It is unclear what the “first meeting” with a client is.</w:t>
      </w:r>
      <w:r w:rsidR="00D57F6F" w:rsidRPr="63D6EC09">
        <w:rPr>
          <w:lang w:val="en-US"/>
        </w:rPr>
        <w:t xml:space="preserve"> Financial institutions could be in contact with their clients for </w:t>
      </w:r>
      <w:r w:rsidR="00132123" w:rsidRPr="63D6EC09">
        <w:rPr>
          <w:lang w:val="en-US"/>
        </w:rPr>
        <w:t xml:space="preserve">several reasons, which are not necessarily </w:t>
      </w:r>
      <w:r w:rsidR="00CE34D8" w:rsidRPr="63D6EC09">
        <w:rPr>
          <w:lang w:val="en-US"/>
        </w:rPr>
        <w:t xml:space="preserve">related to a client’s investment profile. </w:t>
      </w:r>
    </w:p>
    <w:p w14:paraId="0D0779BA" w14:textId="33A08A02" w:rsidR="00CE34D8" w:rsidRDefault="00CE34D8" w:rsidP="00DC6692">
      <w:pPr>
        <w:pStyle w:val="ListParagraph"/>
        <w:ind w:left="1080"/>
        <w:jc w:val="both"/>
        <w:rPr>
          <w:lang w:val="en-US"/>
        </w:rPr>
      </w:pPr>
    </w:p>
    <w:p w14:paraId="3510C590" w14:textId="7057CE02" w:rsidR="00611126" w:rsidRDefault="00CE34D8" w:rsidP="00DC6692">
      <w:pPr>
        <w:pStyle w:val="ListParagraph"/>
        <w:ind w:left="1080"/>
        <w:jc w:val="both"/>
        <w:rPr>
          <w:lang w:val="en-US"/>
        </w:rPr>
      </w:pPr>
      <w:r w:rsidRPr="63D6EC09">
        <w:rPr>
          <w:lang w:val="en-US"/>
        </w:rPr>
        <w:t xml:space="preserve">Further, the guidelines do not </w:t>
      </w:r>
      <w:r w:rsidR="00F358E1" w:rsidRPr="63D6EC09">
        <w:rPr>
          <w:lang w:val="en-US"/>
        </w:rPr>
        <w:t>seem to take into account th</w:t>
      </w:r>
      <w:r w:rsidR="00B60BD7" w:rsidRPr="63D6EC09">
        <w:rPr>
          <w:lang w:val="en-US"/>
        </w:rPr>
        <w:t xml:space="preserve">at an advisory contract </w:t>
      </w:r>
      <w:r w:rsidR="0003078C" w:rsidRPr="63D6EC09">
        <w:rPr>
          <w:lang w:val="en-US"/>
        </w:rPr>
        <w:t xml:space="preserve">could have </w:t>
      </w:r>
      <w:r w:rsidR="0017355F" w:rsidRPr="63D6EC09">
        <w:rPr>
          <w:lang w:val="en-US"/>
        </w:rPr>
        <w:t xml:space="preserve">several account holders </w:t>
      </w:r>
      <w:r w:rsidR="001461F8" w:rsidRPr="63D6EC09">
        <w:rPr>
          <w:lang w:val="en-US"/>
        </w:rPr>
        <w:t>th</w:t>
      </w:r>
      <w:r w:rsidR="007D41DB" w:rsidRPr="63D6EC09">
        <w:rPr>
          <w:lang w:val="en-US"/>
        </w:rPr>
        <w:t>at</w:t>
      </w:r>
      <w:r w:rsidR="001461F8" w:rsidRPr="63D6EC09">
        <w:rPr>
          <w:lang w:val="en-US"/>
        </w:rPr>
        <w:t xml:space="preserve"> </w:t>
      </w:r>
      <w:r w:rsidR="00F178E7" w:rsidRPr="63D6EC09">
        <w:rPr>
          <w:lang w:val="en-US"/>
        </w:rPr>
        <w:t xml:space="preserve">are </w:t>
      </w:r>
      <w:r w:rsidR="007D41DB" w:rsidRPr="63D6EC09">
        <w:rPr>
          <w:lang w:val="en-US"/>
        </w:rPr>
        <w:t xml:space="preserve">not necessarily </w:t>
      </w:r>
      <w:r w:rsidR="00F178E7" w:rsidRPr="63D6EC09">
        <w:rPr>
          <w:lang w:val="en-US"/>
        </w:rPr>
        <w:t xml:space="preserve"> </w:t>
      </w:r>
      <w:r w:rsidR="0023265C" w:rsidRPr="63D6EC09">
        <w:rPr>
          <w:lang w:val="en-US"/>
        </w:rPr>
        <w:t xml:space="preserve">all </w:t>
      </w:r>
      <w:r w:rsidR="00F178E7" w:rsidRPr="63D6EC09">
        <w:rPr>
          <w:lang w:val="en-US"/>
        </w:rPr>
        <w:t>present at the moment of the advice/first meeting</w:t>
      </w:r>
      <w:r w:rsidR="0023265C" w:rsidRPr="63D6EC09">
        <w:rPr>
          <w:lang w:val="en-US"/>
        </w:rPr>
        <w:t>.</w:t>
      </w:r>
    </w:p>
    <w:p w14:paraId="56BEE637" w14:textId="77777777" w:rsidR="003537B2" w:rsidRDefault="003537B2" w:rsidP="002129DC">
      <w:pPr>
        <w:pStyle w:val="ListParagraph"/>
        <w:ind w:left="1080"/>
        <w:jc w:val="both"/>
        <w:rPr>
          <w:lang w:val="en-US"/>
        </w:rPr>
      </w:pPr>
    </w:p>
    <w:p w14:paraId="424223D6" w14:textId="77777777" w:rsidR="006E172E" w:rsidRDefault="006E172E" w:rsidP="002129DC">
      <w:pPr>
        <w:pStyle w:val="ListParagraph"/>
        <w:ind w:left="1080"/>
        <w:jc w:val="both"/>
        <w:rPr>
          <w:lang w:val="en-US"/>
        </w:rPr>
      </w:pPr>
    </w:p>
    <w:p w14:paraId="2B32AD09" w14:textId="3BE717BD" w:rsidR="00084791" w:rsidRDefault="00084791">
      <w:pPr>
        <w:pStyle w:val="ListParagraph"/>
        <w:numPr>
          <w:ilvl w:val="0"/>
          <w:numId w:val="42"/>
        </w:numPr>
        <w:jc w:val="both"/>
        <w:rPr>
          <w:b/>
          <w:bCs/>
          <w:lang w:val="en-US"/>
        </w:rPr>
      </w:pPr>
      <w:r w:rsidRPr="003256BB">
        <w:rPr>
          <w:b/>
          <w:bCs/>
          <w:lang w:val="en-US"/>
        </w:rPr>
        <w:t>Right of postponement</w:t>
      </w:r>
    </w:p>
    <w:p w14:paraId="0474FDE7" w14:textId="77777777" w:rsidR="00977322" w:rsidRPr="00977322" w:rsidRDefault="00977322" w:rsidP="002129DC">
      <w:pPr>
        <w:pStyle w:val="ListParagraph"/>
        <w:ind w:left="1080"/>
        <w:jc w:val="both"/>
        <w:rPr>
          <w:b/>
          <w:bCs/>
          <w:lang w:val="en-US"/>
        </w:rPr>
      </w:pPr>
    </w:p>
    <w:p w14:paraId="0156B1D5" w14:textId="03EF7970" w:rsidR="002D4322" w:rsidRDefault="008F580E" w:rsidP="003256BB">
      <w:pPr>
        <w:pStyle w:val="ListParagraph"/>
        <w:ind w:left="1080"/>
        <w:jc w:val="both"/>
        <w:rPr>
          <w:lang w:val="en-US"/>
        </w:rPr>
      </w:pPr>
      <w:r w:rsidRPr="002129DC">
        <w:rPr>
          <w:lang w:val="en-US"/>
        </w:rPr>
        <w:t>I</w:t>
      </w:r>
      <w:r w:rsidR="00B06775" w:rsidRPr="002129DC">
        <w:rPr>
          <w:lang w:val="en-US"/>
        </w:rPr>
        <w:t xml:space="preserve">n any event, </w:t>
      </w:r>
      <w:r w:rsidR="0046150A" w:rsidRPr="003256BB">
        <w:rPr>
          <w:lang w:val="en-US"/>
        </w:rPr>
        <w:t xml:space="preserve">, clients should have the right to postpone the discussion </w:t>
      </w:r>
      <w:r w:rsidR="0099747C" w:rsidRPr="003256BB">
        <w:rPr>
          <w:lang w:val="en-US"/>
        </w:rPr>
        <w:t xml:space="preserve">on the integration of sustainability preferences into their profile to a later date. </w:t>
      </w:r>
      <w:r w:rsidR="00007894" w:rsidRPr="003256BB">
        <w:rPr>
          <w:lang w:val="en-US"/>
        </w:rPr>
        <w:t xml:space="preserve"> </w:t>
      </w:r>
    </w:p>
    <w:p w14:paraId="2D7C52BC" w14:textId="77777777" w:rsidR="003256BB" w:rsidRPr="002129DC" w:rsidRDefault="003256BB" w:rsidP="002129DC">
      <w:pPr>
        <w:pStyle w:val="ListParagraph"/>
        <w:ind w:left="1080"/>
        <w:jc w:val="both"/>
        <w:rPr>
          <w:lang w:val="en-US"/>
        </w:rPr>
      </w:pPr>
    </w:p>
    <w:p w14:paraId="4ADD6A58" w14:textId="4307B4FB" w:rsidR="00B32BAF" w:rsidRPr="003256BB" w:rsidRDefault="00007894" w:rsidP="002129DC">
      <w:pPr>
        <w:pStyle w:val="ListParagraph"/>
        <w:ind w:left="1080"/>
        <w:jc w:val="both"/>
        <w:rPr>
          <w:lang w:val="en-US"/>
        </w:rPr>
      </w:pPr>
      <w:r w:rsidRPr="003256BB">
        <w:rPr>
          <w:lang w:val="en-US"/>
        </w:rPr>
        <w:t xml:space="preserve">Forcing a client to </w:t>
      </w:r>
      <w:r w:rsidR="00CE08AD" w:rsidRPr="003256BB">
        <w:rPr>
          <w:lang w:val="en-US"/>
        </w:rPr>
        <w:t xml:space="preserve">express her or his sustainability </w:t>
      </w:r>
      <w:r w:rsidR="00AF423E" w:rsidRPr="003256BB">
        <w:rPr>
          <w:lang w:val="en-US"/>
        </w:rPr>
        <w:t xml:space="preserve">preferences (especially given the complexity thereof </w:t>
      </w:r>
      <w:proofErr w:type="spellStart"/>
      <w:r w:rsidR="00AF423E" w:rsidRPr="003256BB">
        <w:rPr>
          <w:lang w:val="en-US"/>
        </w:rPr>
        <w:t>cfr</w:t>
      </w:r>
      <w:proofErr w:type="spellEnd"/>
      <w:r w:rsidR="00AF423E" w:rsidRPr="003256BB">
        <w:rPr>
          <w:lang w:val="en-US"/>
        </w:rPr>
        <w:t xml:space="preserve">. </w:t>
      </w:r>
      <w:r w:rsidR="00D649BC" w:rsidRPr="00977322">
        <w:rPr>
          <w:lang w:val="en-US"/>
        </w:rPr>
        <w:t>q</w:t>
      </w:r>
      <w:r w:rsidR="00AF423E" w:rsidRPr="00317884">
        <w:rPr>
          <w:lang w:val="en-US"/>
        </w:rPr>
        <w:t>uestions above)</w:t>
      </w:r>
      <w:r w:rsidR="007C4D23" w:rsidRPr="002129DC">
        <w:rPr>
          <w:lang w:val="en-US"/>
        </w:rPr>
        <w:t xml:space="preserve"> – especially on what might be considered a – for the client  </w:t>
      </w:r>
      <w:r w:rsidR="002D4322" w:rsidRPr="002129DC">
        <w:rPr>
          <w:lang w:val="en-US"/>
        </w:rPr>
        <w:t>– inconvenient moment</w:t>
      </w:r>
      <w:r w:rsidR="00AF423E" w:rsidRPr="003256BB">
        <w:rPr>
          <w:lang w:val="en-US"/>
        </w:rPr>
        <w:t xml:space="preserve"> will on</w:t>
      </w:r>
      <w:r w:rsidR="00996A32" w:rsidRPr="003256BB">
        <w:rPr>
          <w:lang w:val="en-US"/>
        </w:rPr>
        <w:t>ly d</w:t>
      </w:r>
      <w:r w:rsidR="008966E9" w:rsidRPr="003256BB">
        <w:rPr>
          <w:lang w:val="en-US"/>
        </w:rPr>
        <w:t xml:space="preserve">rive </w:t>
      </w:r>
      <w:r w:rsidR="00996A32" w:rsidRPr="003256BB">
        <w:rPr>
          <w:lang w:val="en-US"/>
        </w:rPr>
        <w:t xml:space="preserve"> client</w:t>
      </w:r>
      <w:r w:rsidR="002D4322" w:rsidRPr="002129DC">
        <w:rPr>
          <w:lang w:val="en-US"/>
        </w:rPr>
        <w:t>s</w:t>
      </w:r>
      <w:r w:rsidR="00996A32" w:rsidRPr="003256BB">
        <w:rPr>
          <w:lang w:val="en-US"/>
        </w:rPr>
        <w:t xml:space="preserve"> to a</w:t>
      </w:r>
      <w:r w:rsidR="008966E9" w:rsidRPr="003256BB">
        <w:rPr>
          <w:lang w:val="en-US"/>
        </w:rPr>
        <w:t xml:space="preserve"> negative answe</w:t>
      </w:r>
      <w:r w:rsidR="003256BB" w:rsidRPr="002129DC">
        <w:rPr>
          <w:lang w:val="en-US"/>
        </w:rPr>
        <w:t>r.</w:t>
      </w:r>
    </w:p>
    <w:p w14:paraId="506BD332" w14:textId="52DA8733" w:rsidR="00237224" w:rsidRDefault="006818C4" w:rsidP="00044FBC">
      <w:pPr>
        <w:jc w:val="both"/>
        <w:rPr>
          <w:lang w:val="en-US"/>
        </w:rPr>
      </w:pPr>
      <w:r>
        <w:rPr>
          <w:lang w:val="en-US"/>
        </w:rPr>
        <w:t>We would therefore suggest to bring the text of the guidelines in line with the feedback received during the aforementioned ESMA hearing.</w:t>
      </w:r>
    </w:p>
    <w:p w14:paraId="1487A693" w14:textId="77187AD8" w:rsidR="00CD55C6" w:rsidRDefault="00CD55C6" w:rsidP="00044FBC">
      <w:pPr>
        <w:jc w:val="both"/>
        <w:rPr>
          <w:lang w:val="en-US"/>
        </w:rPr>
      </w:pPr>
    </w:p>
    <w:p w14:paraId="4000E8AC" w14:textId="47E9241E" w:rsidR="00CD55C6" w:rsidRPr="00CD55C6" w:rsidRDefault="00CD55C6" w:rsidP="00CD55C6">
      <w:pPr>
        <w:pBdr>
          <w:top w:val="single" w:sz="4" w:space="1" w:color="auto"/>
          <w:left w:val="single" w:sz="4" w:space="4" w:color="auto"/>
          <w:bottom w:val="single" w:sz="4" w:space="1" w:color="auto"/>
          <w:right w:val="single" w:sz="4" w:space="4" w:color="auto"/>
        </w:pBdr>
        <w:shd w:val="clear" w:color="auto" w:fill="E2EFD9" w:themeFill="accent6" w:themeFillTint="33"/>
        <w:jc w:val="both"/>
        <w:rPr>
          <w:sz w:val="24"/>
          <w:szCs w:val="24"/>
          <w:u w:val="single"/>
          <w:lang w:val="en-US"/>
        </w:rPr>
      </w:pPr>
      <w:r w:rsidRPr="00CD55C6">
        <w:rPr>
          <w:sz w:val="24"/>
          <w:szCs w:val="24"/>
          <w:u w:val="single"/>
          <w:lang w:val="en-US"/>
        </w:rPr>
        <w:t>Guideline 7 – arrangements necessary to understand investment products</w:t>
      </w:r>
    </w:p>
    <w:p w14:paraId="587D5882" w14:textId="2EC7D23B" w:rsidR="003F2FF0" w:rsidRPr="00CD55C6" w:rsidRDefault="00CD55C6" w:rsidP="00044FBC">
      <w:pPr>
        <w:jc w:val="both"/>
        <w:rPr>
          <w:i/>
          <w:iCs/>
          <w:sz w:val="20"/>
          <w:szCs w:val="20"/>
          <w:lang w:val="en-US"/>
        </w:rPr>
      </w:pPr>
      <w:r w:rsidRPr="00CD55C6">
        <w:rPr>
          <w:i/>
          <w:iCs/>
          <w:sz w:val="20"/>
          <w:szCs w:val="20"/>
          <w:lang w:val="en-US"/>
        </w:rPr>
        <w:t xml:space="preserve">70. </w:t>
      </w:r>
      <w:r w:rsidR="003F2FF0" w:rsidRPr="00CD55C6">
        <w:rPr>
          <w:i/>
          <w:iCs/>
          <w:sz w:val="20"/>
          <w:szCs w:val="20"/>
          <w:lang w:val="en-US"/>
        </w:rPr>
        <w:t>Firms should adopt robust and objective procedures, methodologies and tools that allow them to appropriately consider the different characteristics, including sustainability factors, and relevant risk factors (such as credit risk, market risk, liquidity risk, …) of each investment product they may recommend or invest in on behalf of clients. This should include taking into consideration the firm’s analysis conducted for the purposes of product governance obligations [...]</w:t>
      </w:r>
    </w:p>
    <w:p w14:paraId="5D2CB9DF" w14:textId="1EBFB5F1" w:rsidR="003F2FF0" w:rsidRPr="00CD55C6" w:rsidRDefault="00CD55C6" w:rsidP="00044FBC">
      <w:pPr>
        <w:jc w:val="both"/>
        <w:rPr>
          <w:i/>
          <w:iCs/>
          <w:sz w:val="20"/>
          <w:szCs w:val="20"/>
          <w:lang w:val="en-US"/>
        </w:rPr>
      </w:pPr>
      <w:r w:rsidRPr="00CD55C6">
        <w:rPr>
          <w:i/>
          <w:iCs/>
          <w:sz w:val="20"/>
          <w:szCs w:val="20"/>
          <w:lang w:val="en-US"/>
        </w:rPr>
        <w:t xml:space="preserve">71. </w:t>
      </w:r>
      <w:r w:rsidR="003F2FF0" w:rsidRPr="00CD55C6">
        <w:rPr>
          <w:i/>
          <w:iCs/>
          <w:sz w:val="20"/>
          <w:szCs w:val="20"/>
          <w:lang w:val="en-US"/>
        </w:rPr>
        <w:t xml:space="preserve">When considering the sustainability factors of products in view of the subsequent matching with the client’s sustainability preferences, firms could, for example, rank and group the financial instruments included in their product range in terms of: </w:t>
      </w:r>
      <w:proofErr w:type="spellStart"/>
      <w:r w:rsidR="003F2FF0" w:rsidRPr="00CD55C6">
        <w:rPr>
          <w:i/>
          <w:iCs/>
          <w:sz w:val="20"/>
          <w:szCs w:val="20"/>
          <w:lang w:val="en-US"/>
        </w:rPr>
        <w:t>i</w:t>
      </w:r>
      <w:proofErr w:type="spellEnd"/>
      <w:r w:rsidR="003F2FF0" w:rsidRPr="00CD55C6">
        <w:rPr>
          <w:i/>
          <w:iCs/>
          <w:sz w:val="20"/>
          <w:szCs w:val="20"/>
          <w:lang w:val="en-US"/>
        </w:rPr>
        <w:t>) the proportion invested in economic activities that qualify as environmentally sustainable (as defined in Article 2, point (1), of Taxonomy Regulation); ii) the proportion of sustainable investments (as defined in Article 2, point (17), of SFDR); iii) the consideration of principal adverse impacts. Such grouping should also be consistent with the firm’s analysis conducted for the purposes of product governance obligations. Firms are reminded that a grouping of financial instruments for the purpose of the suitability assessment cannot replace the collection of information from clients as described in paragraphs 25 and 26 above.</w:t>
      </w:r>
    </w:p>
    <w:p w14:paraId="4A6463D1" w14:textId="77777777" w:rsidR="00AB2FA9" w:rsidRDefault="00AB2FA9" w:rsidP="00CD55C6">
      <w:pPr>
        <w:jc w:val="both"/>
        <w:rPr>
          <w:b/>
          <w:bCs/>
          <w:lang w:val="en-US"/>
        </w:rPr>
      </w:pPr>
    </w:p>
    <w:p w14:paraId="77CDCEA0" w14:textId="253DAEB7" w:rsidR="00CD55C6" w:rsidRPr="00CD55C6" w:rsidRDefault="00CD55C6" w:rsidP="00CD55C6">
      <w:pPr>
        <w:jc w:val="both"/>
        <w:rPr>
          <w:b/>
          <w:bCs/>
          <w:lang w:val="en-US"/>
        </w:rPr>
      </w:pPr>
      <w:r w:rsidRPr="00CD55C6">
        <w:rPr>
          <w:b/>
          <w:bCs/>
          <w:lang w:val="en-US"/>
        </w:rPr>
        <w:t>Q8. Do you agree with the suggested approach with regards to the arrangements necessary to understand investment products? Please also state the reasons for your answer.</w:t>
      </w:r>
    </w:p>
    <w:p w14:paraId="5C559DC3" w14:textId="77777777" w:rsidR="00421191" w:rsidRDefault="003D4CC4" w:rsidP="00044FBC">
      <w:pPr>
        <w:jc w:val="both"/>
        <w:rPr>
          <w:lang w:val="en-US"/>
        </w:rPr>
      </w:pPr>
      <w:r>
        <w:rPr>
          <w:lang w:val="en-US"/>
        </w:rPr>
        <w:t>We do not have specific</w:t>
      </w:r>
      <w:r w:rsidR="00AB2FA9">
        <w:rPr>
          <w:lang w:val="en-US"/>
        </w:rPr>
        <w:t xml:space="preserve"> issues with the principles set out in these guidelines. </w:t>
      </w:r>
      <w:r w:rsidR="00D142D2">
        <w:rPr>
          <w:lang w:val="en-US"/>
        </w:rPr>
        <w:t xml:space="preserve">We are however awaiting the consultation on the announced guidelines on the integration of </w:t>
      </w:r>
      <w:r w:rsidR="00273A36">
        <w:rPr>
          <w:lang w:val="en-US"/>
        </w:rPr>
        <w:t>sustainability factors</w:t>
      </w:r>
      <w:r w:rsidR="00D142D2">
        <w:rPr>
          <w:lang w:val="en-US"/>
        </w:rPr>
        <w:t xml:space="preserve"> in product governance.</w:t>
      </w:r>
    </w:p>
    <w:p w14:paraId="0FC6ADAE" w14:textId="0C65D4A6" w:rsidR="00421191" w:rsidRDefault="004C0942" w:rsidP="00044FBC">
      <w:pPr>
        <w:jc w:val="both"/>
        <w:rPr>
          <w:lang w:val="en-US"/>
        </w:rPr>
      </w:pPr>
      <w:r>
        <w:rPr>
          <w:lang w:val="en-US"/>
        </w:rPr>
        <w:t xml:space="preserve">In anticipation to this consultation </w:t>
      </w:r>
      <w:r w:rsidR="00C70F6A">
        <w:rPr>
          <w:lang w:val="en-US"/>
        </w:rPr>
        <w:t xml:space="preserve">we already want to bring to your attention the following observations: </w:t>
      </w:r>
    </w:p>
    <w:p w14:paraId="3B07CC40" w14:textId="0298FC5B" w:rsidR="00031B3A" w:rsidRPr="00F21707" w:rsidRDefault="00FC2AD3" w:rsidP="00FC2AD3">
      <w:pPr>
        <w:pStyle w:val="ListParagraph"/>
        <w:numPr>
          <w:ilvl w:val="0"/>
          <w:numId w:val="48"/>
        </w:numPr>
        <w:jc w:val="both"/>
        <w:rPr>
          <w:lang w:val="en-US"/>
        </w:rPr>
      </w:pPr>
      <w:r w:rsidRPr="00F21707">
        <w:rPr>
          <w:lang w:val="en-US"/>
        </w:rPr>
        <w:t>According to the Delegated Directive “</w:t>
      </w:r>
      <w:r w:rsidR="00010929" w:rsidRPr="00F21707">
        <w:rPr>
          <w:lang w:val="en-US"/>
        </w:rPr>
        <w:t xml:space="preserve">the target market should be </w:t>
      </w:r>
      <w:r w:rsidR="00561157" w:rsidRPr="00F21707">
        <w:rPr>
          <w:lang w:val="en-US"/>
        </w:rPr>
        <w:t>set at a sufficient granular level</w:t>
      </w:r>
      <w:r w:rsidR="00796B9E" w:rsidRPr="00F21707">
        <w:rPr>
          <w:lang w:val="en-US"/>
        </w:rPr>
        <w:t xml:space="preserve">”. </w:t>
      </w:r>
      <w:r w:rsidR="00AA0C5A" w:rsidRPr="00F21707">
        <w:rPr>
          <w:lang w:val="en-US"/>
        </w:rPr>
        <w:t xml:space="preserve">Also </w:t>
      </w:r>
      <w:r w:rsidR="002616EC" w:rsidRPr="00F21707">
        <w:rPr>
          <w:lang w:val="en-US"/>
        </w:rPr>
        <w:t xml:space="preserve">the </w:t>
      </w:r>
      <w:r w:rsidR="00013EBE" w:rsidRPr="00F21707">
        <w:rPr>
          <w:lang w:val="en-US"/>
        </w:rPr>
        <w:t>sustainability fa</w:t>
      </w:r>
      <w:r w:rsidR="004B4941" w:rsidRPr="00F21707">
        <w:rPr>
          <w:lang w:val="en-US"/>
        </w:rPr>
        <w:t>ctors should be presented “in a transparent manner and provide distributers with t</w:t>
      </w:r>
      <w:r w:rsidR="00031B3A" w:rsidRPr="00F21707">
        <w:rPr>
          <w:lang w:val="en-US"/>
        </w:rPr>
        <w:t>he relevant information to duly consider any sustainability related objectives of the (potential) client”.  However</w:t>
      </w:r>
      <w:r w:rsidR="000F6257" w:rsidRPr="00F21707">
        <w:rPr>
          <w:lang w:val="en-US"/>
        </w:rPr>
        <w:t xml:space="preserve">, </w:t>
      </w:r>
      <w:r w:rsidR="004D5D1A" w:rsidRPr="00F21707">
        <w:rPr>
          <w:lang w:val="en-US"/>
        </w:rPr>
        <w:t>given the timeline</w:t>
      </w:r>
      <w:r w:rsidR="0081304C" w:rsidRPr="00F21707">
        <w:rPr>
          <w:lang w:val="en-US"/>
        </w:rPr>
        <w:t xml:space="preserve"> and the granularity in which we should inquire our clients,  we have difficulties in anticipating in our questionnaire what we will receive from manufactures. </w:t>
      </w:r>
      <w:r w:rsidR="008808D6" w:rsidRPr="00F21707">
        <w:rPr>
          <w:lang w:val="en-US"/>
        </w:rPr>
        <w:t>For now,</w:t>
      </w:r>
      <w:r w:rsidR="0081304C" w:rsidRPr="00F21707">
        <w:rPr>
          <w:lang w:val="en-US"/>
        </w:rPr>
        <w:t xml:space="preserve"> the </w:t>
      </w:r>
      <w:r w:rsidR="008808D6" w:rsidRPr="00F21707">
        <w:rPr>
          <w:lang w:val="en-US"/>
        </w:rPr>
        <w:t>only information in the European MiFID Template (EMT) under C5 is “</w:t>
      </w:r>
      <w:r w:rsidR="00125918" w:rsidRPr="00F21707">
        <w:rPr>
          <w:lang w:val="en-US"/>
        </w:rPr>
        <w:t>Is this product suitable for sustainability preferences? Y/N”.</w:t>
      </w:r>
    </w:p>
    <w:p w14:paraId="1194E136" w14:textId="77777777" w:rsidR="00125918" w:rsidRPr="00F21707" w:rsidRDefault="00125918" w:rsidP="002A580C">
      <w:pPr>
        <w:pStyle w:val="ListParagraph"/>
        <w:ind w:left="1080"/>
        <w:jc w:val="both"/>
        <w:rPr>
          <w:lang w:val="en-US"/>
        </w:rPr>
      </w:pPr>
    </w:p>
    <w:p w14:paraId="211F7390" w14:textId="4A671C72" w:rsidR="00125918" w:rsidRPr="00F21707" w:rsidRDefault="00125918" w:rsidP="00FC2AD3">
      <w:pPr>
        <w:pStyle w:val="ListParagraph"/>
        <w:numPr>
          <w:ilvl w:val="0"/>
          <w:numId w:val="48"/>
        </w:numPr>
        <w:jc w:val="both"/>
        <w:rPr>
          <w:lang w:val="en-US"/>
        </w:rPr>
      </w:pPr>
      <w:r w:rsidRPr="00F21707">
        <w:rPr>
          <w:lang w:val="en-US"/>
        </w:rPr>
        <w:t>Because it is a</w:t>
      </w:r>
      <w:r w:rsidR="003B4606" w:rsidRPr="00F21707">
        <w:rPr>
          <w:lang w:val="en-US"/>
        </w:rPr>
        <w:t xml:space="preserve"> directive and not a regulation, we fear that </w:t>
      </w:r>
      <w:r w:rsidR="002D5A48" w:rsidRPr="00F21707">
        <w:rPr>
          <w:lang w:val="en-US"/>
        </w:rPr>
        <w:t xml:space="preserve">a (slightly different) </w:t>
      </w:r>
      <w:r w:rsidR="0002784A" w:rsidRPr="00F21707">
        <w:rPr>
          <w:lang w:val="en-US"/>
        </w:rPr>
        <w:t xml:space="preserve">implementation in </w:t>
      </w:r>
      <w:r w:rsidR="00BF77A7" w:rsidRPr="00F21707">
        <w:rPr>
          <w:lang w:val="en-US"/>
        </w:rPr>
        <w:t xml:space="preserve">the </w:t>
      </w:r>
      <w:r w:rsidR="002D5A48" w:rsidRPr="00F21707">
        <w:rPr>
          <w:lang w:val="en-US"/>
        </w:rPr>
        <w:t xml:space="preserve">EU </w:t>
      </w:r>
      <w:r w:rsidR="00BF77A7" w:rsidRPr="00F21707">
        <w:rPr>
          <w:lang w:val="en-US"/>
        </w:rPr>
        <w:t>jurisdictions, combined with the</w:t>
      </w:r>
      <w:r w:rsidR="00D425DD" w:rsidRPr="00F21707">
        <w:rPr>
          <w:lang w:val="en-US"/>
        </w:rPr>
        <w:t xml:space="preserve"> interpretation of the local supervisory authorities, might </w:t>
      </w:r>
      <w:r w:rsidR="006859CF" w:rsidRPr="00F21707">
        <w:rPr>
          <w:lang w:val="en-US"/>
        </w:rPr>
        <w:t xml:space="preserve">render the matching </w:t>
      </w:r>
      <w:r w:rsidR="00A5569B" w:rsidRPr="00F21707">
        <w:rPr>
          <w:lang w:val="en-US"/>
        </w:rPr>
        <w:t xml:space="preserve">of the target market/information on the sustainability factors </w:t>
      </w:r>
      <w:r w:rsidR="006859CF" w:rsidRPr="00F21707">
        <w:rPr>
          <w:lang w:val="en-US"/>
        </w:rPr>
        <w:t>with the  granula</w:t>
      </w:r>
      <w:r w:rsidR="00223C2D" w:rsidRPr="00F21707">
        <w:rPr>
          <w:lang w:val="en-US"/>
        </w:rPr>
        <w:t xml:space="preserve">r definition </w:t>
      </w:r>
      <w:r w:rsidR="00216C4B" w:rsidRPr="00F21707">
        <w:rPr>
          <w:lang w:val="en-US"/>
        </w:rPr>
        <w:t>of sustainability preferences more complicated.</w:t>
      </w:r>
    </w:p>
    <w:p w14:paraId="287A053D" w14:textId="006932F9" w:rsidR="009863B8" w:rsidRDefault="009863B8" w:rsidP="00044FBC">
      <w:pPr>
        <w:jc w:val="both"/>
        <w:rPr>
          <w:lang w:val="en-US"/>
        </w:rPr>
      </w:pPr>
      <w:r>
        <w:rPr>
          <w:lang w:val="en-US"/>
        </w:rPr>
        <w:t xml:space="preserve">In any event, it would be more logic that the date of application of the ESG MiFID Delegated Regulation would follow the application date of the ESG MiFID Delegated Directive on product governance. </w:t>
      </w:r>
    </w:p>
    <w:p w14:paraId="67C2F91F" w14:textId="77777777" w:rsidR="00CD55C6" w:rsidRDefault="00CD55C6" w:rsidP="00044FBC">
      <w:pPr>
        <w:jc w:val="both"/>
        <w:rPr>
          <w:lang w:val="en-US"/>
        </w:rPr>
      </w:pPr>
    </w:p>
    <w:p w14:paraId="3B80ABFD" w14:textId="67EB1B32" w:rsidR="00CD55C6" w:rsidRPr="00CD55C6" w:rsidRDefault="00CD55C6" w:rsidP="00044FBC">
      <w:pPr>
        <w:jc w:val="both"/>
        <w:rPr>
          <w:b/>
          <w:bCs/>
          <w:lang w:val="en-US"/>
        </w:rPr>
      </w:pPr>
      <w:r w:rsidRPr="00CD55C6">
        <w:rPr>
          <w:b/>
          <w:bCs/>
          <w:lang w:val="en-US"/>
        </w:rPr>
        <w:t>Q9. Do you believe that further guidance is needed to clarify how firms should take into consideration the investment products’ sustainability factors as part of their policies and procedures? Please also state the reason for your answer</w:t>
      </w:r>
    </w:p>
    <w:p w14:paraId="4D7BF7D5" w14:textId="61AA423B" w:rsidR="00CD55C6" w:rsidRDefault="00473A23" w:rsidP="00044FBC">
      <w:pPr>
        <w:jc w:val="both"/>
        <w:rPr>
          <w:lang w:val="en-US"/>
        </w:rPr>
      </w:pPr>
      <w:r>
        <w:rPr>
          <w:lang w:val="en-US"/>
        </w:rPr>
        <w:t>See sub Q8.</w:t>
      </w:r>
    </w:p>
    <w:p w14:paraId="49273F15" w14:textId="3F1275FF" w:rsidR="00CD55C6" w:rsidRDefault="00CD55C6" w:rsidP="00044FBC">
      <w:pPr>
        <w:jc w:val="both"/>
        <w:rPr>
          <w:lang w:val="en-US"/>
        </w:rPr>
      </w:pPr>
    </w:p>
    <w:p w14:paraId="42458BDB" w14:textId="5308631D" w:rsidR="00CD55C6" w:rsidRPr="008F5EE4" w:rsidRDefault="00CD55C6" w:rsidP="008F5EE4">
      <w:pPr>
        <w:pBdr>
          <w:top w:val="single" w:sz="4" w:space="1" w:color="auto"/>
          <w:left w:val="single" w:sz="4" w:space="4" w:color="auto"/>
          <w:bottom w:val="single" w:sz="4" w:space="1" w:color="auto"/>
          <w:right w:val="single" w:sz="4" w:space="4" w:color="auto"/>
        </w:pBdr>
        <w:shd w:val="clear" w:color="auto" w:fill="E2EFD9" w:themeFill="accent6" w:themeFillTint="33"/>
        <w:jc w:val="both"/>
        <w:rPr>
          <w:sz w:val="24"/>
          <w:szCs w:val="24"/>
          <w:u w:val="single"/>
          <w:lang w:val="en-US"/>
        </w:rPr>
      </w:pPr>
      <w:r w:rsidRPr="008F5EE4">
        <w:rPr>
          <w:sz w:val="24"/>
          <w:szCs w:val="24"/>
          <w:u w:val="single"/>
          <w:lang w:val="en-US"/>
        </w:rPr>
        <w:t>Guideline 8 – arrangements necessary to ensure the suitability of an investment.</w:t>
      </w:r>
    </w:p>
    <w:p w14:paraId="5C72B47F" w14:textId="566FD4C8" w:rsidR="003F2FF0" w:rsidRDefault="008F5EE4" w:rsidP="00044FBC">
      <w:pPr>
        <w:jc w:val="both"/>
        <w:rPr>
          <w:i/>
          <w:iCs/>
          <w:sz w:val="20"/>
          <w:szCs w:val="20"/>
          <w:lang w:val="en-US"/>
        </w:rPr>
      </w:pPr>
      <w:r w:rsidRPr="008F5EE4">
        <w:rPr>
          <w:i/>
          <w:iCs/>
          <w:sz w:val="20"/>
          <w:szCs w:val="20"/>
          <w:lang w:val="en-US"/>
        </w:rPr>
        <w:t xml:space="preserve">79. </w:t>
      </w:r>
      <w:r w:rsidR="003F2FF0" w:rsidRPr="008F5EE4">
        <w:rPr>
          <w:i/>
          <w:iCs/>
          <w:sz w:val="20"/>
          <w:szCs w:val="20"/>
          <w:lang w:val="en-US"/>
        </w:rPr>
        <w:t>Sustainability preferences should only be addressed once the suitability has been assessed in accordance with the criteria of knowledge and experience, financial situation and other investment objectives. Once the range of suitable products has been identified following this assessment, in a second step the product or, with regard to portfolio management or investment advice with a portfolio approach, investment strategy that fulfils the client’s sustainability preferences should be identified.</w:t>
      </w:r>
    </w:p>
    <w:p w14:paraId="12083D38" w14:textId="77777777" w:rsidR="00C01C8B" w:rsidRPr="008F5EE4" w:rsidRDefault="00C01C8B" w:rsidP="00044FBC">
      <w:pPr>
        <w:jc w:val="both"/>
        <w:rPr>
          <w:i/>
          <w:iCs/>
          <w:sz w:val="20"/>
          <w:szCs w:val="20"/>
          <w:lang w:val="en-US"/>
        </w:rPr>
      </w:pPr>
    </w:p>
    <w:p w14:paraId="0D4C7B9E" w14:textId="7520D11F" w:rsidR="003F2FF0" w:rsidRPr="008F5EE4" w:rsidRDefault="008F5EE4" w:rsidP="00044FBC">
      <w:pPr>
        <w:jc w:val="both"/>
        <w:rPr>
          <w:i/>
          <w:iCs/>
          <w:sz w:val="20"/>
          <w:szCs w:val="20"/>
          <w:lang w:val="en-US"/>
        </w:rPr>
      </w:pPr>
      <w:r w:rsidRPr="008F5EE4">
        <w:rPr>
          <w:i/>
          <w:iCs/>
          <w:sz w:val="20"/>
          <w:szCs w:val="20"/>
          <w:lang w:val="en-US"/>
        </w:rPr>
        <w:t>80. W</w:t>
      </w:r>
      <w:r w:rsidR="003F2FF0" w:rsidRPr="008F5EE4">
        <w:rPr>
          <w:i/>
          <w:iCs/>
          <w:sz w:val="20"/>
          <w:szCs w:val="20"/>
          <w:lang w:val="en-US"/>
        </w:rPr>
        <w:t>here a firm intends to recommend a product that does not meet the initial sustainability preferences of the client in the context of investment advice as referred to in Recital 8 of the MiFID II Delegated Regulation, it can only do so once the client has adapted his/her sustainability preferences. The firm’s explanation regarding the reason to resort to such possibility as well as the client’s decision should be documented in the suitability report. Firms are reminded that this possibility only refers to the sustainability preferences and that with regard to the other criteria of the suitability assessment, the product has to meet the client profile and otherwise shall not be recommended as stated in Article 54(10) of the MiFID II Delegated Regulation.</w:t>
      </w:r>
    </w:p>
    <w:p w14:paraId="65F0F902" w14:textId="688DAAC6" w:rsidR="003F2FF0" w:rsidRDefault="003F2FF0" w:rsidP="00044FBC">
      <w:pPr>
        <w:jc w:val="both"/>
        <w:rPr>
          <w:lang w:val="en-US"/>
        </w:rPr>
      </w:pPr>
    </w:p>
    <w:p w14:paraId="29446BC3" w14:textId="0232C953" w:rsidR="003F2FF0" w:rsidRPr="008F5EE4" w:rsidRDefault="008F5EE4" w:rsidP="00044FBC">
      <w:pPr>
        <w:jc w:val="both"/>
        <w:rPr>
          <w:i/>
          <w:iCs/>
          <w:sz w:val="20"/>
          <w:szCs w:val="20"/>
          <w:lang w:val="en-US"/>
        </w:rPr>
      </w:pPr>
      <w:r w:rsidRPr="008F5EE4">
        <w:rPr>
          <w:i/>
          <w:iCs/>
          <w:sz w:val="20"/>
          <w:szCs w:val="20"/>
          <w:lang w:val="en-US"/>
        </w:rPr>
        <w:t xml:space="preserve">81. </w:t>
      </w:r>
      <w:r w:rsidR="003F2FF0" w:rsidRPr="008F5EE4">
        <w:rPr>
          <w:i/>
          <w:iCs/>
          <w:sz w:val="20"/>
          <w:szCs w:val="20"/>
          <w:lang w:val="en-US"/>
        </w:rPr>
        <w:t>With regards to the possibility for the client to adapt the sustainability preferences referred in Article 54(10) of the MiFID II Delegated Regulation, firms are reminded that this possibility should not be the standard procedure. Where a client adapts the sustainability preferences, this adaption should only refer to the suitability assessment/investment advice in question and not to the client’s profile in general. In case of investment advice, it should also be documented in the suitability report and be subject to the regular monitoring procedures.</w:t>
      </w:r>
    </w:p>
    <w:p w14:paraId="56330915" w14:textId="77777777" w:rsidR="00BA0F3D" w:rsidRDefault="00BA0F3D" w:rsidP="00044FBC">
      <w:pPr>
        <w:jc w:val="both"/>
        <w:rPr>
          <w:i/>
          <w:iCs/>
          <w:sz w:val="20"/>
          <w:szCs w:val="20"/>
          <w:lang w:val="en-US"/>
        </w:rPr>
      </w:pPr>
    </w:p>
    <w:p w14:paraId="2BE90F24" w14:textId="73712205" w:rsidR="003F2FF0" w:rsidRPr="008F5EE4" w:rsidRDefault="008F5EE4" w:rsidP="00044FBC">
      <w:pPr>
        <w:jc w:val="both"/>
        <w:rPr>
          <w:i/>
          <w:iCs/>
          <w:sz w:val="20"/>
          <w:szCs w:val="20"/>
          <w:lang w:val="en-US"/>
        </w:rPr>
      </w:pPr>
      <w:r w:rsidRPr="008F5EE4">
        <w:rPr>
          <w:i/>
          <w:iCs/>
          <w:sz w:val="20"/>
          <w:szCs w:val="20"/>
          <w:lang w:val="en-US"/>
        </w:rPr>
        <w:t xml:space="preserve">82. </w:t>
      </w:r>
      <w:r w:rsidR="003F2FF0" w:rsidRPr="008F5EE4">
        <w:rPr>
          <w:i/>
          <w:iCs/>
          <w:sz w:val="20"/>
          <w:szCs w:val="20"/>
          <w:lang w:val="en-US"/>
        </w:rPr>
        <w:t>In case of portfolio management, the client's sustainability preferences, including the minimum proportion that shall be invested in sustainable investments, need to be collected and assessed when agreeing on the mandate and the investment strategy. If the firm cannot meet those preferences, it should discuss this with the client when agreeing on the mandate in which the investment strategy is defined and ask the client to adapt his/her preferences. The decision of the client should be documented.</w:t>
      </w:r>
    </w:p>
    <w:p w14:paraId="68C05769" w14:textId="6DDB5F36" w:rsidR="003F2FF0" w:rsidRPr="008F5EE4" w:rsidRDefault="003F2FF0" w:rsidP="00044FBC">
      <w:pPr>
        <w:jc w:val="both"/>
        <w:rPr>
          <w:i/>
          <w:iCs/>
          <w:sz w:val="20"/>
          <w:szCs w:val="20"/>
          <w:lang w:val="en-US"/>
        </w:rPr>
      </w:pPr>
      <w:r w:rsidRPr="008F5EE4">
        <w:rPr>
          <w:i/>
          <w:iCs/>
          <w:sz w:val="20"/>
          <w:szCs w:val="20"/>
          <w:lang w:val="en-US"/>
        </w:rPr>
        <w:t>When providing ongoing investment advice with a portfolio approach, firms should assess the client’s sustainability preferences including the minimum proportion when conducting the initial suitability assessment. Then the firm should monitor whether those preferences are still met or not at portfolio level and issue appropriate recommendations as the case may be.</w:t>
      </w:r>
    </w:p>
    <w:p w14:paraId="18956C0B" w14:textId="3A787FF6" w:rsidR="003F2FF0" w:rsidRPr="008F5EE4" w:rsidRDefault="003F2FF0" w:rsidP="00044FBC">
      <w:pPr>
        <w:jc w:val="both"/>
        <w:rPr>
          <w:i/>
          <w:iCs/>
          <w:sz w:val="20"/>
          <w:szCs w:val="20"/>
          <w:lang w:val="en-US"/>
        </w:rPr>
      </w:pPr>
      <w:r w:rsidRPr="008F5EE4">
        <w:rPr>
          <w:i/>
          <w:iCs/>
          <w:sz w:val="20"/>
          <w:szCs w:val="20"/>
          <w:lang w:val="en-US"/>
        </w:rPr>
        <w:t>In case of portfolio management or ongoing investment advice with a portfolio approach, if the client adapts the sustainability preferences after the initial suitability assessment, firms should evaluate the impact of this change and whether this triggers a rebalancing of the portfolio.</w:t>
      </w:r>
    </w:p>
    <w:p w14:paraId="69D15F0F" w14:textId="2038AA87" w:rsidR="003F2FF0" w:rsidRDefault="003F2FF0" w:rsidP="00044FBC">
      <w:pPr>
        <w:jc w:val="both"/>
        <w:rPr>
          <w:lang w:val="en-US"/>
        </w:rPr>
      </w:pPr>
    </w:p>
    <w:p w14:paraId="38F2BBFC" w14:textId="4C55AC26" w:rsidR="003F2FF0" w:rsidRPr="008F5EE4" w:rsidRDefault="008F5EE4" w:rsidP="00044FBC">
      <w:pPr>
        <w:jc w:val="both"/>
        <w:rPr>
          <w:i/>
          <w:iCs/>
          <w:sz w:val="20"/>
          <w:szCs w:val="20"/>
          <w:lang w:val="en-US"/>
        </w:rPr>
      </w:pPr>
      <w:r w:rsidRPr="008F5EE4">
        <w:rPr>
          <w:i/>
          <w:iCs/>
          <w:sz w:val="20"/>
          <w:szCs w:val="20"/>
          <w:lang w:val="en-US"/>
        </w:rPr>
        <w:t xml:space="preserve">83. </w:t>
      </w:r>
      <w:r w:rsidR="003F2FF0" w:rsidRPr="008F5EE4">
        <w:rPr>
          <w:i/>
          <w:iCs/>
          <w:sz w:val="20"/>
          <w:szCs w:val="20"/>
          <w:lang w:val="en-US"/>
        </w:rPr>
        <w:t>Where a client does not answer the question whether it has sustainability preferences or answers “no”, the firm may consider this client as “sustainability-neutral” and recommend products both with and without sustainability-related features. The firm’s product offer should be documented and explained to the client with a mention of the products/portfolio’s sustainability features.</w:t>
      </w:r>
    </w:p>
    <w:p w14:paraId="771EFEE4" w14:textId="251C5BB5" w:rsidR="003F2FF0" w:rsidRPr="008F5EE4" w:rsidRDefault="008F5EE4" w:rsidP="00044FBC">
      <w:pPr>
        <w:jc w:val="both"/>
        <w:rPr>
          <w:i/>
          <w:iCs/>
          <w:sz w:val="20"/>
          <w:szCs w:val="20"/>
          <w:lang w:val="en-US"/>
        </w:rPr>
      </w:pPr>
      <w:r w:rsidRPr="008F5EE4">
        <w:rPr>
          <w:i/>
          <w:iCs/>
          <w:sz w:val="20"/>
          <w:szCs w:val="20"/>
          <w:lang w:val="en-US"/>
        </w:rPr>
        <w:t xml:space="preserve">84. </w:t>
      </w:r>
      <w:r w:rsidR="003F2FF0" w:rsidRPr="008F5EE4">
        <w:rPr>
          <w:i/>
          <w:iCs/>
          <w:sz w:val="20"/>
          <w:szCs w:val="20"/>
          <w:lang w:val="en-US"/>
        </w:rPr>
        <w:t>If the client states that he/she has sustainability preferences, and the firm does not have any products with sustainability related factors available, this should also be documented in the suitability report.</w:t>
      </w:r>
    </w:p>
    <w:p w14:paraId="5377A440" w14:textId="0C01B61C" w:rsidR="008F5EE4" w:rsidRDefault="008F5EE4" w:rsidP="008F5EE4">
      <w:pPr>
        <w:ind w:firstLine="708"/>
        <w:jc w:val="both"/>
        <w:rPr>
          <w:lang w:val="en-US"/>
        </w:rPr>
      </w:pPr>
    </w:p>
    <w:p w14:paraId="4BFCCA92" w14:textId="49FCC5D2" w:rsidR="0081255C" w:rsidRPr="00857ADD" w:rsidRDefault="00C60B2A" w:rsidP="00857ADD">
      <w:pPr>
        <w:jc w:val="both"/>
        <w:rPr>
          <w:b/>
          <w:bCs/>
          <w:lang w:val="en-US"/>
        </w:rPr>
      </w:pPr>
      <w:r w:rsidRPr="00857ADD">
        <w:rPr>
          <w:b/>
          <w:bCs/>
          <w:lang w:val="en-US"/>
        </w:rPr>
        <w:t>Q10.</w:t>
      </w:r>
      <w:r w:rsidR="00857ADD" w:rsidRPr="00857ADD">
        <w:rPr>
          <w:b/>
          <w:bCs/>
          <w:lang w:val="en-US"/>
        </w:rPr>
        <w:t xml:space="preserve"> Do you agree with the additional guidance provided regarding the arrangements necessary to ensure the suitability of an investment concerning the client’s sustainability preferences? Please also state the reasons for your answer.</w:t>
      </w:r>
    </w:p>
    <w:p w14:paraId="6A2234F5" w14:textId="412A445D" w:rsidR="00996C54" w:rsidRDefault="007F19D2" w:rsidP="00217F4B">
      <w:pPr>
        <w:jc w:val="both"/>
        <w:rPr>
          <w:lang w:val="en-US"/>
        </w:rPr>
      </w:pPr>
      <w:r>
        <w:rPr>
          <w:lang w:val="en-US"/>
        </w:rPr>
        <w:t xml:space="preserve">We agree that indeed </w:t>
      </w:r>
      <w:r w:rsidR="00941DD6">
        <w:rPr>
          <w:lang w:val="en-US"/>
        </w:rPr>
        <w:t xml:space="preserve">sustainability preferences should only be addressed once </w:t>
      </w:r>
      <w:r w:rsidR="00C40CAD">
        <w:rPr>
          <w:lang w:val="en-US"/>
        </w:rPr>
        <w:t xml:space="preserve">the suitability has been assessed </w:t>
      </w:r>
      <w:r w:rsidR="00C90CCE">
        <w:rPr>
          <w:lang w:val="en-US"/>
        </w:rPr>
        <w:t xml:space="preserve">in accordance with the criteria of </w:t>
      </w:r>
      <w:r w:rsidR="000F13D2">
        <w:rPr>
          <w:lang w:val="en-US"/>
        </w:rPr>
        <w:t xml:space="preserve">knowledge and experience, </w:t>
      </w:r>
      <w:r w:rsidR="00101685">
        <w:rPr>
          <w:lang w:val="en-US"/>
        </w:rPr>
        <w:t>financial situation and other investment objectives</w:t>
      </w:r>
      <w:r w:rsidR="00992DB2">
        <w:rPr>
          <w:lang w:val="en-US"/>
        </w:rPr>
        <w:t xml:space="preserve"> (“traditional criteria”)</w:t>
      </w:r>
      <w:r w:rsidR="00101685">
        <w:rPr>
          <w:lang w:val="en-US"/>
        </w:rPr>
        <w:t xml:space="preserve">. </w:t>
      </w:r>
    </w:p>
    <w:p w14:paraId="65A4A538" w14:textId="1C7593F8" w:rsidR="00790626" w:rsidRDefault="000D11D1" w:rsidP="00217F4B">
      <w:pPr>
        <w:jc w:val="both"/>
        <w:rPr>
          <w:lang w:val="en-US"/>
        </w:rPr>
      </w:pPr>
      <w:r w:rsidRPr="00F21707">
        <w:rPr>
          <w:lang w:val="en-US"/>
        </w:rPr>
        <w:t xml:space="preserve">Given this two layer approach, we are over the view that </w:t>
      </w:r>
      <w:r w:rsidR="00E6669D" w:rsidRPr="00F21707">
        <w:rPr>
          <w:lang w:val="en-US"/>
        </w:rPr>
        <w:t xml:space="preserve">the </w:t>
      </w:r>
      <w:r w:rsidR="00E6669D" w:rsidRPr="00820A36">
        <w:rPr>
          <w:u w:val="single"/>
          <w:lang w:val="en-US"/>
        </w:rPr>
        <w:t>sustainability</w:t>
      </w:r>
      <w:r w:rsidR="00467A33" w:rsidRPr="00820A36">
        <w:rPr>
          <w:u w:val="single"/>
          <w:lang w:val="en-US"/>
        </w:rPr>
        <w:t xml:space="preserve"> preferences </w:t>
      </w:r>
      <w:r w:rsidR="00503344" w:rsidRPr="00820A36">
        <w:rPr>
          <w:u w:val="single"/>
          <w:lang w:val="en-US"/>
        </w:rPr>
        <w:t>s</w:t>
      </w:r>
      <w:r w:rsidR="004D684D" w:rsidRPr="00820A36">
        <w:rPr>
          <w:u w:val="single"/>
          <w:lang w:val="en-US"/>
        </w:rPr>
        <w:t xml:space="preserve">hould </w:t>
      </w:r>
      <w:r w:rsidR="004D684D" w:rsidRPr="00F21707">
        <w:rPr>
          <w:u w:val="single"/>
          <w:lang w:val="en-US"/>
        </w:rPr>
        <w:t>not be</w:t>
      </w:r>
      <w:r w:rsidR="00E6669D" w:rsidRPr="00F21707">
        <w:rPr>
          <w:u w:val="single"/>
          <w:lang w:val="en-US"/>
        </w:rPr>
        <w:t xml:space="preserve"> fully</w:t>
      </w:r>
      <w:r w:rsidR="007B1E7F" w:rsidRPr="00F21707">
        <w:rPr>
          <w:u w:val="single"/>
          <w:lang w:val="en-US"/>
        </w:rPr>
        <w:t xml:space="preserve"> i</w:t>
      </w:r>
      <w:r w:rsidR="00E6669D" w:rsidRPr="00F21707">
        <w:rPr>
          <w:u w:val="single"/>
          <w:lang w:val="en-US"/>
        </w:rPr>
        <w:t>ntegrated in the suitability assessment process</w:t>
      </w:r>
      <w:r w:rsidR="009F3C56" w:rsidRPr="00F21707">
        <w:rPr>
          <w:u w:val="single"/>
          <w:lang w:val="en-US"/>
        </w:rPr>
        <w:t xml:space="preserve"> whereby a</w:t>
      </w:r>
      <w:r w:rsidR="00B75B55" w:rsidRPr="00F21707">
        <w:rPr>
          <w:u w:val="single"/>
          <w:lang w:val="en-US"/>
        </w:rPr>
        <w:t xml:space="preserve"> financial instrument </w:t>
      </w:r>
      <w:r w:rsidR="00C624A2" w:rsidRPr="00F21707">
        <w:rPr>
          <w:u w:val="single"/>
          <w:lang w:val="en-US"/>
        </w:rPr>
        <w:t xml:space="preserve">is only suitable when both the ‘traditional’ </w:t>
      </w:r>
      <w:r w:rsidR="00872660" w:rsidRPr="00F21707">
        <w:rPr>
          <w:u w:val="single"/>
          <w:lang w:val="en-US"/>
        </w:rPr>
        <w:t>criteria as well as the ‘sustainability preferences’ are met.</w:t>
      </w:r>
      <w:r w:rsidR="00872660" w:rsidRPr="63D6EC09">
        <w:rPr>
          <w:lang w:val="en-US"/>
        </w:rPr>
        <w:t xml:space="preserve"> </w:t>
      </w:r>
      <w:r w:rsidR="00C624A2" w:rsidRPr="63D6EC09">
        <w:rPr>
          <w:lang w:val="en-US"/>
        </w:rPr>
        <w:t xml:space="preserve"> </w:t>
      </w:r>
      <w:r w:rsidR="001C5210" w:rsidRPr="63D6EC09">
        <w:rPr>
          <w:lang w:val="en-US"/>
        </w:rPr>
        <w:t>Financial instruments are</w:t>
      </w:r>
      <w:r w:rsidR="00A80AE8" w:rsidRPr="63D6EC09">
        <w:rPr>
          <w:lang w:val="en-US"/>
        </w:rPr>
        <w:t xml:space="preserve"> ‘suitable’ </w:t>
      </w:r>
      <w:r w:rsidR="001C5210" w:rsidRPr="63D6EC09">
        <w:rPr>
          <w:lang w:val="en-US"/>
        </w:rPr>
        <w:t>for a client once all</w:t>
      </w:r>
      <w:r w:rsidR="00232955" w:rsidRPr="63D6EC09">
        <w:rPr>
          <w:lang w:val="en-US"/>
        </w:rPr>
        <w:t xml:space="preserve"> the traditional criteria are met</w:t>
      </w:r>
      <w:r w:rsidR="0053345B" w:rsidRPr="63D6EC09">
        <w:rPr>
          <w:lang w:val="en-US"/>
        </w:rPr>
        <w:t xml:space="preserve">. </w:t>
      </w:r>
      <w:r w:rsidR="001F2675" w:rsidRPr="63D6EC09">
        <w:rPr>
          <w:lang w:val="en-US"/>
        </w:rPr>
        <w:t xml:space="preserve">Separate reference </w:t>
      </w:r>
      <w:r w:rsidR="00D7425E">
        <w:rPr>
          <w:lang w:val="en-US"/>
        </w:rPr>
        <w:t xml:space="preserve"> </w:t>
      </w:r>
      <w:r w:rsidR="00970CB8">
        <w:rPr>
          <w:lang w:val="en-US"/>
        </w:rPr>
        <w:t xml:space="preserve">(in general in the same suitability report) </w:t>
      </w:r>
      <w:r w:rsidR="001F2675" w:rsidRPr="63D6EC09">
        <w:rPr>
          <w:lang w:val="en-US"/>
        </w:rPr>
        <w:t>should be m</w:t>
      </w:r>
      <w:r w:rsidR="008D4FDF" w:rsidRPr="63D6EC09">
        <w:rPr>
          <w:lang w:val="en-US"/>
        </w:rPr>
        <w:t xml:space="preserve">ade to the sustainability preferences, if any, </w:t>
      </w:r>
      <w:r w:rsidR="00A06C32" w:rsidRPr="63D6EC09">
        <w:rPr>
          <w:lang w:val="en-US"/>
        </w:rPr>
        <w:t xml:space="preserve">that are (not) met. </w:t>
      </w:r>
      <w:r w:rsidR="00B265DE" w:rsidRPr="63D6EC09">
        <w:rPr>
          <w:lang w:val="en-US"/>
        </w:rPr>
        <w:t xml:space="preserve"> This </w:t>
      </w:r>
      <w:r w:rsidR="00A93B63" w:rsidRPr="63D6EC09">
        <w:rPr>
          <w:lang w:val="en-US"/>
        </w:rPr>
        <w:t>is in line with</w:t>
      </w:r>
      <w:r w:rsidR="00790626" w:rsidRPr="63D6EC09">
        <w:rPr>
          <w:lang w:val="en-US"/>
        </w:rPr>
        <w:t xml:space="preserve"> the explanatory memorandum</w:t>
      </w:r>
      <w:r w:rsidR="002760F9">
        <w:rPr>
          <w:lang w:val="en-US"/>
        </w:rPr>
        <w:t xml:space="preserve"> </w:t>
      </w:r>
      <w:r w:rsidR="003558C1">
        <w:rPr>
          <w:lang w:val="en-US"/>
        </w:rPr>
        <w:t>and preamble</w:t>
      </w:r>
      <w:r w:rsidR="00204A6F">
        <w:rPr>
          <w:lang w:val="en-US"/>
        </w:rPr>
        <w:t xml:space="preserve"> of the MiFID Delegated Act</w:t>
      </w:r>
      <w:r w:rsidR="00790626" w:rsidRPr="63D6EC09">
        <w:rPr>
          <w:lang w:val="en-US"/>
        </w:rPr>
        <w:t xml:space="preserve"> stating that</w:t>
      </w:r>
      <w:r w:rsidR="008C1619" w:rsidRPr="63D6EC09">
        <w:rPr>
          <w:lang w:val="en-US"/>
        </w:rPr>
        <w:t xml:space="preserve"> </w:t>
      </w:r>
      <w:r w:rsidR="00B51DBF" w:rsidRPr="63D6EC09">
        <w:rPr>
          <w:lang w:val="en-US"/>
        </w:rPr>
        <w:t>“financial</w:t>
      </w:r>
      <w:r w:rsidR="009E698A" w:rsidRPr="63D6EC09">
        <w:rPr>
          <w:lang w:val="en-US"/>
        </w:rPr>
        <w:t xml:space="preserve"> instruments can still be recommended within t</w:t>
      </w:r>
      <w:r w:rsidR="00CC2D5E" w:rsidRPr="63D6EC09">
        <w:rPr>
          <w:lang w:val="en-US"/>
        </w:rPr>
        <w:t>he suitability test, but not a</w:t>
      </w:r>
      <w:r w:rsidR="00936399" w:rsidRPr="63D6EC09">
        <w:rPr>
          <w:lang w:val="en-US"/>
        </w:rPr>
        <w:t>s financial instruments meeting individual sustaina</w:t>
      </w:r>
      <w:r w:rsidR="0026524C" w:rsidRPr="63D6EC09">
        <w:rPr>
          <w:lang w:val="en-US"/>
        </w:rPr>
        <w:t>bility preferences”</w:t>
      </w:r>
      <w:r w:rsidR="00790626" w:rsidRPr="63D6EC09">
        <w:rPr>
          <w:lang w:val="en-US"/>
        </w:rPr>
        <w:t xml:space="preserve"> and </w:t>
      </w:r>
      <w:r w:rsidR="00AE078B" w:rsidRPr="63D6EC09">
        <w:rPr>
          <w:lang w:val="en-US"/>
        </w:rPr>
        <w:t xml:space="preserve">makes the different status </w:t>
      </w:r>
      <w:r w:rsidR="00B252AC" w:rsidRPr="63D6EC09">
        <w:rPr>
          <w:lang w:val="en-US"/>
        </w:rPr>
        <w:t>(deviation</w:t>
      </w:r>
      <w:r w:rsidR="00D63C45" w:rsidRPr="63D6EC09">
        <w:rPr>
          <w:lang w:val="en-US"/>
        </w:rPr>
        <w:t xml:space="preserve"> from the profile possible for sustainability preferences vs no deviation </w:t>
      </w:r>
      <w:r w:rsidR="00C0762E" w:rsidRPr="63D6EC09">
        <w:rPr>
          <w:lang w:val="en-US"/>
        </w:rPr>
        <w:t>possible) clear for a client</w:t>
      </w:r>
      <w:r w:rsidR="005E5CEA" w:rsidRPr="63D6EC09">
        <w:rPr>
          <w:lang w:val="en-US"/>
        </w:rPr>
        <w:t xml:space="preserve">. </w:t>
      </w:r>
    </w:p>
    <w:p w14:paraId="64D960D8" w14:textId="026526D9" w:rsidR="00C60B2A" w:rsidRDefault="00C60B2A" w:rsidP="008F5EE4">
      <w:pPr>
        <w:ind w:firstLine="708"/>
        <w:jc w:val="both"/>
        <w:rPr>
          <w:lang w:val="en-US"/>
        </w:rPr>
      </w:pPr>
    </w:p>
    <w:p w14:paraId="7D900747" w14:textId="72566F7D" w:rsidR="00C60B2A" w:rsidRDefault="00C60B2A" w:rsidP="00A60B6B">
      <w:pPr>
        <w:jc w:val="both"/>
        <w:rPr>
          <w:b/>
          <w:bCs/>
          <w:lang w:val="en-US"/>
        </w:rPr>
      </w:pPr>
      <w:r w:rsidRPr="00A60B6B">
        <w:rPr>
          <w:b/>
          <w:bCs/>
          <w:lang w:val="en-US"/>
        </w:rPr>
        <w:t>Q11.</w:t>
      </w:r>
      <w:r w:rsidR="00A60B6B" w:rsidRPr="00A60B6B">
        <w:rPr>
          <w:b/>
          <w:bCs/>
          <w:lang w:val="en-US"/>
        </w:rPr>
        <w:t xml:space="preserve"> Do you agree with the approach outlined with regards to the situation where the firm can recommend a product that does not meet the client’s preferences once the client has adapted such preferences? Do you believe that the guideline should be more detailed? Please also state the reasons for your answer.</w:t>
      </w:r>
    </w:p>
    <w:p w14:paraId="7900046B" w14:textId="77777777" w:rsidR="00F21707" w:rsidRPr="00A60B6B" w:rsidRDefault="00F21707" w:rsidP="00A60B6B">
      <w:pPr>
        <w:jc w:val="both"/>
        <w:rPr>
          <w:b/>
          <w:bCs/>
          <w:lang w:val="en-US"/>
        </w:rPr>
      </w:pPr>
    </w:p>
    <w:p w14:paraId="4A4C0E7B" w14:textId="76A37B8B" w:rsidR="00394828" w:rsidRPr="00820A36" w:rsidRDefault="00394828" w:rsidP="00820A36">
      <w:pPr>
        <w:pStyle w:val="ListParagraph"/>
        <w:numPr>
          <w:ilvl w:val="0"/>
          <w:numId w:val="45"/>
        </w:numPr>
        <w:jc w:val="both"/>
        <w:rPr>
          <w:b/>
          <w:bCs/>
          <w:lang w:val="en-US"/>
        </w:rPr>
      </w:pPr>
      <w:r w:rsidRPr="00820A36">
        <w:rPr>
          <w:b/>
          <w:bCs/>
          <w:lang w:val="en-US"/>
        </w:rPr>
        <w:t xml:space="preserve">Market </w:t>
      </w:r>
      <w:r w:rsidR="00015317">
        <w:rPr>
          <w:b/>
          <w:bCs/>
          <w:lang w:val="en-US"/>
        </w:rPr>
        <w:t>conditions</w:t>
      </w:r>
    </w:p>
    <w:p w14:paraId="367D4675" w14:textId="4FB1F6EB" w:rsidR="0098163E" w:rsidRDefault="00F24392" w:rsidP="00F24392">
      <w:pPr>
        <w:jc w:val="both"/>
        <w:rPr>
          <w:lang w:val="en-US"/>
        </w:rPr>
      </w:pPr>
      <w:r>
        <w:rPr>
          <w:lang w:val="en-US"/>
        </w:rPr>
        <w:t>We understand that in first instance clients should be inquired on their sustainability preferences in a neutral way, which we understand as market</w:t>
      </w:r>
      <w:r w:rsidR="005F07BE">
        <w:rPr>
          <w:lang w:val="en-US"/>
        </w:rPr>
        <w:t xml:space="preserve"> conditions</w:t>
      </w:r>
      <w:r>
        <w:rPr>
          <w:lang w:val="en-US"/>
        </w:rPr>
        <w:t xml:space="preserve"> </w:t>
      </w:r>
      <w:r w:rsidR="00C76C83">
        <w:rPr>
          <w:lang w:val="en-US"/>
        </w:rPr>
        <w:t xml:space="preserve">as opposed </w:t>
      </w:r>
      <w:r>
        <w:rPr>
          <w:lang w:val="en-US"/>
        </w:rPr>
        <w:t xml:space="preserve">to own offer approach. </w:t>
      </w:r>
    </w:p>
    <w:p w14:paraId="03D310BA" w14:textId="6E4B0955" w:rsidR="00394828" w:rsidRDefault="006C4233" w:rsidP="00F24392">
      <w:pPr>
        <w:jc w:val="both"/>
        <w:rPr>
          <w:lang w:val="en-US"/>
        </w:rPr>
      </w:pPr>
      <w:r w:rsidRPr="00345876">
        <w:rPr>
          <w:lang w:val="en-US"/>
        </w:rPr>
        <w:t>If financial institutions are not allowed to apply market</w:t>
      </w:r>
      <w:r w:rsidR="005F07BE">
        <w:rPr>
          <w:lang w:val="en-US"/>
        </w:rPr>
        <w:t xml:space="preserve"> conditions</w:t>
      </w:r>
      <w:r w:rsidRPr="00345876">
        <w:rPr>
          <w:lang w:val="en-US"/>
        </w:rPr>
        <w:t xml:space="preserve">, </w:t>
      </w:r>
      <w:r w:rsidR="002F315C" w:rsidRPr="00317884">
        <w:rPr>
          <w:lang w:val="en-US"/>
        </w:rPr>
        <w:t xml:space="preserve">unrealistic ESG </w:t>
      </w:r>
      <w:r w:rsidR="00ED7195" w:rsidRPr="00317884">
        <w:rPr>
          <w:lang w:val="en-US"/>
        </w:rPr>
        <w:t>expectations will be raised</w:t>
      </w:r>
      <w:r w:rsidR="00904B70" w:rsidRPr="005F3080">
        <w:rPr>
          <w:lang w:val="en-US"/>
        </w:rPr>
        <w:t xml:space="preserve"> </w:t>
      </w:r>
      <w:r w:rsidR="00C3089F" w:rsidRPr="00082266">
        <w:rPr>
          <w:lang w:val="en-US"/>
        </w:rPr>
        <w:t>leading</w:t>
      </w:r>
      <w:r w:rsidR="00C3089F">
        <w:rPr>
          <w:lang w:val="en-US"/>
        </w:rPr>
        <w:t xml:space="preserve"> to client frustration.</w:t>
      </w:r>
    </w:p>
    <w:p w14:paraId="7BF50762" w14:textId="77777777" w:rsidR="0025235F" w:rsidRDefault="0025235F" w:rsidP="00F24392">
      <w:pPr>
        <w:jc w:val="both"/>
        <w:rPr>
          <w:lang w:val="en-US"/>
        </w:rPr>
      </w:pPr>
    </w:p>
    <w:p w14:paraId="69015FE9" w14:textId="1A1581D2" w:rsidR="00394828" w:rsidRPr="00866DBE" w:rsidRDefault="00114289" w:rsidP="00820A36">
      <w:pPr>
        <w:pStyle w:val="ListParagraph"/>
        <w:numPr>
          <w:ilvl w:val="0"/>
          <w:numId w:val="45"/>
        </w:numPr>
        <w:jc w:val="both"/>
        <w:rPr>
          <w:b/>
          <w:bCs/>
          <w:lang w:val="en-US"/>
        </w:rPr>
      </w:pPr>
      <w:r>
        <w:rPr>
          <w:b/>
          <w:bCs/>
          <w:lang w:val="en-US"/>
        </w:rPr>
        <w:t xml:space="preserve">No prior adaptation of sustainability preferences </w:t>
      </w:r>
    </w:p>
    <w:p w14:paraId="5C3B5BED" w14:textId="4F540B7E" w:rsidR="00503803" w:rsidRDefault="00F24392" w:rsidP="00F24392">
      <w:pPr>
        <w:jc w:val="both"/>
        <w:rPr>
          <w:lang w:val="en-US"/>
        </w:rPr>
      </w:pPr>
      <w:r>
        <w:rPr>
          <w:lang w:val="en-US"/>
        </w:rPr>
        <w:t>However, in a second stage a financial institution should be able not only to discuss its offer, but also to render – in all transparency – a suitable, but not meeting a client’s sustainability preferences, investment advice</w:t>
      </w:r>
      <w:r w:rsidR="00503803">
        <w:rPr>
          <w:lang w:val="en-US"/>
        </w:rPr>
        <w:t xml:space="preserve"> – without the client having to review priorly her or his sustainability preferences</w:t>
      </w:r>
      <w:r>
        <w:rPr>
          <w:lang w:val="en-US"/>
        </w:rPr>
        <w:t xml:space="preserve">. By acting upon the advice, the client confirms whether or not (s)he is willing to drop or revise his/her sustainability preferences. This is particularly important in a more automated, digitalized environment. But also in a client facing situation, it should be possible for an adviser to discuss </w:t>
      </w:r>
      <w:r w:rsidR="00AC46C4">
        <w:rPr>
          <w:lang w:val="en-US"/>
        </w:rPr>
        <w:t>immediat</w:t>
      </w:r>
      <w:r w:rsidR="007A3299">
        <w:rPr>
          <w:lang w:val="en-US"/>
        </w:rPr>
        <w:t xml:space="preserve">ely </w:t>
      </w:r>
      <w:r>
        <w:rPr>
          <w:lang w:val="en-US"/>
        </w:rPr>
        <w:t xml:space="preserve">any alternatives. </w:t>
      </w:r>
    </w:p>
    <w:p w14:paraId="4E5B2F06" w14:textId="77777777" w:rsidR="008C5843" w:rsidRPr="008C5843" w:rsidRDefault="008C5843" w:rsidP="008C5843">
      <w:pPr>
        <w:spacing w:line="256" w:lineRule="auto"/>
        <w:jc w:val="both"/>
        <w:rPr>
          <w:rFonts w:ascii="Calibri" w:eastAsia="Calibri" w:hAnsi="Calibri" w:cs="Arial"/>
          <w:lang w:val="en-US"/>
        </w:rPr>
      </w:pPr>
      <w:r w:rsidRPr="008C5843">
        <w:rPr>
          <w:rFonts w:ascii="Calibri" w:eastAsia="Calibri" w:hAnsi="Calibri" w:cs="Arial"/>
          <w:lang w:val="en-US"/>
        </w:rPr>
        <w:t xml:space="preserve">An alternative approach to the adaptation of sustainability preferences could consist of the following. When the client is questioned on his sustainability preferences in a neutral way (as indicated by ESMA), but his/her preferences are too ambitious taking into account the available offer of the investment firm (leading to no or a very limited offer), the investment firm explains this to the client and gives him/her the option to adapt at that moment. Adaptation could then take place to the highest possible level where there is still a reasonable advisory offer, taking into account the client’s other preferences related to suitability. </w:t>
      </w:r>
      <w:r w:rsidRPr="008041AB">
        <w:rPr>
          <w:rFonts w:ascii="Calibri" w:eastAsia="Calibri" w:hAnsi="Calibri" w:cs="Arial"/>
          <w:lang w:val="en-GB"/>
        </w:rPr>
        <w:t xml:space="preserve">Both the initial and modified preferences are recorded. </w:t>
      </w:r>
      <w:r w:rsidRPr="008C5843">
        <w:rPr>
          <w:rFonts w:ascii="Calibri" w:eastAsia="Calibri" w:hAnsi="Calibri" w:cs="Arial"/>
          <w:lang w:val="en-US"/>
        </w:rPr>
        <w:t>Applying this procedure provides clarity and transparency for the client on what he/she can expect and avoids the cumbersome and less transparent process of deviation of the client’s preferences at transaction level. Once the advisory offer of the investment firm evolves, it could proactively rediscuss ambition levels of these clients’ sustainability preferences.</w:t>
      </w:r>
    </w:p>
    <w:p w14:paraId="2675B236" w14:textId="0C4279BE" w:rsidR="00653567" w:rsidRPr="008041AB" w:rsidRDefault="00653567" w:rsidP="008F5EE4">
      <w:pPr>
        <w:jc w:val="both"/>
        <w:rPr>
          <w:lang w:val="en-GB"/>
        </w:rPr>
      </w:pPr>
    </w:p>
    <w:p w14:paraId="6D45235F" w14:textId="798727CA" w:rsidR="00653567" w:rsidRPr="00820A36" w:rsidRDefault="00685BD5" w:rsidP="00820A36">
      <w:pPr>
        <w:pStyle w:val="ListParagraph"/>
        <w:numPr>
          <w:ilvl w:val="0"/>
          <w:numId w:val="45"/>
        </w:numPr>
        <w:jc w:val="both"/>
        <w:rPr>
          <w:b/>
          <w:bCs/>
          <w:lang w:val="en-US"/>
        </w:rPr>
      </w:pPr>
      <w:r w:rsidRPr="00820A36">
        <w:rPr>
          <w:b/>
          <w:bCs/>
          <w:lang w:val="en-US"/>
        </w:rPr>
        <w:t>Adaptation of the sustainability preferences at service/contract level</w:t>
      </w:r>
    </w:p>
    <w:p w14:paraId="7F6112FB" w14:textId="77777777" w:rsidR="00321ED6" w:rsidRDefault="0000117C" w:rsidP="008F5EE4">
      <w:pPr>
        <w:jc w:val="both"/>
        <w:rPr>
          <w:lang w:val="en-US"/>
        </w:rPr>
      </w:pPr>
      <w:r>
        <w:rPr>
          <w:lang w:val="en-US"/>
        </w:rPr>
        <w:t>We understand that</w:t>
      </w:r>
      <w:r w:rsidR="0060005D">
        <w:rPr>
          <w:lang w:val="en-US"/>
        </w:rPr>
        <w:t xml:space="preserve"> as a starting point, a client’s</w:t>
      </w:r>
      <w:r w:rsidR="00717E5A">
        <w:rPr>
          <w:lang w:val="en-US"/>
        </w:rPr>
        <w:t xml:space="preserve"> sustainability preferences should remain as they are</w:t>
      </w:r>
      <w:r w:rsidR="0037771D">
        <w:rPr>
          <w:lang w:val="en-US"/>
        </w:rPr>
        <w:t xml:space="preserve"> and adaptations are to be</w:t>
      </w:r>
      <w:r w:rsidR="00AD5B19">
        <w:rPr>
          <w:lang w:val="en-US"/>
        </w:rPr>
        <w:t xml:space="preserve"> done at the level of the specific transaction.  </w:t>
      </w:r>
      <w:r w:rsidR="00D80552">
        <w:rPr>
          <w:lang w:val="en-US"/>
        </w:rPr>
        <w:t>The draft guidelines recognize tha</w:t>
      </w:r>
      <w:r w:rsidR="00AE1AAE">
        <w:rPr>
          <w:lang w:val="en-US"/>
        </w:rPr>
        <w:t>t this is not feasible for portfolio management</w:t>
      </w:r>
      <w:r w:rsidR="00BE0E19">
        <w:rPr>
          <w:lang w:val="en-US"/>
        </w:rPr>
        <w:t xml:space="preserve"> where the client agrees on an investment strategy. </w:t>
      </w:r>
      <w:r w:rsidR="00311CF4">
        <w:rPr>
          <w:lang w:val="en-US"/>
        </w:rPr>
        <w:t xml:space="preserve"> Hence, discussion</w:t>
      </w:r>
      <w:r w:rsidR="001A6BD0">
        <w:rPr>
          <w:lang w:val="en-US"/>
        </w:rPr>
        <w:t xml:space="preserve">s are held at the level of the specific service/contract and not at the level of the individual transactions in </w:t>
      </w:r>
      <w:r w:rsidR="00B92E07">
        <w:rPr>
          <w:lang w:val="en-US"/>
        </w:rPr>
        <w:t>execution of such service.</w:t>
      </w:r>
    </w:p>
    <w:p w14:paraId="1BBD1237" w14:textId="2D7BBF27" w:rsidR="00DB2CF1" w:rsidRPr="00602DB0" w:rsidRDefault="00B92E07" w:rsidP="008F5EE4">
      <w:pPr>
        <w:jc w:val="both"/>
        <w:rPr>
          <w:u w:val="single"/>
          <w:lang w:val="en-US"/>
        </w:rPr>
      </w:pPr>
      <w:r>
        <w:rPr>
          <w:lang w:val="en-US"/>
        </w:rPr>
        <w:t xml:space="preserve"> In our view, this same approach should be possible in case of advisory services, depending on the set-up of </w:t>
      </w:r>
      <w:r w:rsidR="00FF2244">
        <w:rPr>
          <w:lang w:val="en-US"/>
        </w:rPr>
        <w:t>such</w:t>
      </w:r>
      <w:r>
        <w:rPr>
          <w:lang w:val="en-US"/>
        </w:rPr>
        <w:t xml:space="preserve"> service. </w:t>
      </w:r>
      <w:r w:rsidR="00FF2244">
        <w:rPr>
          <w:lang w:val="en-US"/>
        </w:rPr>
        <w:t>If the client agrees to a certain model/certain investment strategy, also the sustainability preferences should be agreed upon at that same contract/service level</w:t>
      </w:r>
      <w:r w:rsidR="00E1736F">
        <w:rPr>
          <w:lang w:val="en-US"/>
        </w:rPr>
        <w:t xml:space="preserve"> and not at the level of each separate transaction.  </w:t>
      </w:r>
      <w:r w:rsidR="00B85C05">
        <w:rPr>
          <w:lang w:val="en-US"/>
        </w:rPr>
        <w:t xml:space="preserve">If such approach would not be allowed, matters will become overly </w:t>
      </w:r>
      <w:r w:rsidR="00B85C05" w:rsidRPr="00345876">
        <w:rPr>
          <w:lang w:val="en-US"/>
        </w:rPr>
        <w:t xml:space="preserve">complicated </w:t>
      </w:r>
      <w:r w:rsidR="00B85C05" w:rsidRPr="00F21707">
        <w:rPr>
          <w:lang w:val="en-US"/>
        </w:rPr>
        <w:t xml:space="preserve">and </w:t>
      </w:r>
      <w:r w:rsidR="001E21B6" w:rsidRPr="00F21707">
        <w:rPr>
          <w:lang w:val="en-US"/>
        </w:rPr>
        <w:t xml:space="preserve">risk  leading towards </w:t>
      </w:r>
      <w:r w:rsidR="00F31BF7" w:rsidRPr="00F21707">
        <w:rPr>
          <w:lang w:val="en-US"/>
        </w:rPr>
        <w:t>a</w:t>
      </w:r>
      <w:r w:rsidR="006D4A69" w:rsidRPr="00F21707">
        <w:rPr>
          <w:lang w:val="en-US"/>
        </w:rPr>
        <w:t>n impoverishment of the investment services offer</w:t>
      </w:r>
      <w:r w:rsidR="00F31BF7" w:rsidRPr="00F21707">
        <w:rPr>
          <w:lang w:val="en-US"/>
        </w:rPr>
        <w:t xml:space="preserve">  for certain types of clientele.</w:t>
      </w:r>
      <w:r w:rsidR="003B70FD" w:rsidRPr="00345876">
        <w:rPr>
          <w:lang w:val="en-US"/>
        </w:rPr>
        <w:t xml:space="preserve"> This is</w:t>
      </w:r>
      <w:r w:rsidR="003B70FD">
        <w:rPr>
          <w:lang w:val="en-US"/>
        </w:rPr>
        <w:t xml:space="preserve"> confirmed</w:t>
      </w:r>
      <w:r w:rsidR="00C66729">
        <w:rPr>
          <w:lang w:val="en-US"/>
        </w:rPr>
        <w:t xml:space="preserve"> in marginal 79</w:t>
      </w:r>
      <w:r w:rsidR="002718FC">
        <w:rPr>
          <w:lang w:val="en-US"/>
        </w:rPr>
        <w:t xml:space="preserve"> stating that “</w:t>
      </w:r>
      <w:r w:rsidR="002718FC" w:rsidRPr="00602DB0">
        <w:rPr>
          <w:i/>
          <w:iCs/>
          <w:lang w:val="en-US"/>
        </w:rPr>
        <w:t xml:space="preserve">once the range of suitable products has been identified following this assessment, in a second step the product or, with regard to portfolio management </w:t>
      </w:r>
      <w:r w:rsidR="002718FC" w:rsidRPr="00602DB0">
        <w:rPr>
          <w:i/>
          <w:iCs/>
          <w:u w:val="single"/>
          <w:lang w:val="en-US"/>
        </w:rPr>
        <w:t>or investment advice with a p</w:t>
      </w:r>
      <w:r w:rsidR="00602DB0" w:rsidRPr="00602DB0">
        <w:rPr>
          <w:i/>
          <w:iCs/>
          <w:u w:val="single"/>
          <w:lang w:val="en-US"/>
        </w:rPr>
        <w:t>ortfolio approach</w:t>
      </w:r>
      <w:r w:rsidR="00602DB0" w:rsidRPr="00602DB0">
        <w:rPr>
          <w:i/>
          <w:iCs/>
          <w:lang w:val="en-US"/>
        </w:rPr>
        <w:t xml:space="preserve">, </w:t>
      </w:r>
      <w:r w:rsidR="00602DB0" w:rsidRPr="00602DB0">
        <w:rPr>
          <w:i/>
          <w:iCs/>
          <w:u w:val="single"/>
          <w:lang w:val="en-US"/>
        </w:rPr>
        <w:t>investment strategy that fulfils the client’s sustainability preferences.</w:t>
      </w:r>
      <w:r w:rsidR="00602DB0" w:rsidRPr="00602DB0">
        <w:rPr>
          <w:lang w:val="en-US"/>
        </w:rPr>
        <w:t>”</w:t>
      </w:r>
    </w:p>
    <w:p w14:paraId="58B8CF20" w14:textId="77777777" w:rsidR="00DB2CF1" w:rsidRDefault="00DB2CF1" w:rsidP="008F5EE4">
      <w:pPr>
        <w:jc w:val="both"/>
        <w:rPr>
          <w:lang w:val="en-US"/>
        </w:rPr>
      </w:pPr>
    </w:p>
    <w:p w14:paraId="039BCB85" w14:textId="4165E2CA" w:rsidR="008F5EE4" w:rsidRPr="00BA0F3D" w:rsidRDefault="008F5EE4" w:rsidP="008F5EE4">
      <w:pPr>
        <w:jc w:val="both"/>
        <w:rPr>
          <w:b/>
          <w:bCs/>
          <w:lang w:val="en-US"/>
        </w:rPr>
      </w:pPr>
      <w:r w:rsidRPr="00BA0F3D">
        <w:rPr>
          <w:b/>
          <w:bCs/>
          <w:lang w:val="en-US"/>
        </w:rPr>
        <w:t>Q12. Do you agree with the approach outlined with regards to the situation where the client makes use of the possibility to adapt the sustainability preferences? Please also state the reasons for your answer.</w:t>
      </w:r>
    </w:p>
    <w:p w14:paraId="2E4103A1" w14:textId="5BBD4474" w:rsidR="008F5EE4" w:rsidRDefault="00C54377" w:rsidP="00C54377">
      <w:pPr>
        <w:jc w:val="both"/>
        <w:rPr>
          <w:lang w:val="en-US"/>
        </w:rPr>
      </w:pPr>
      <w:r>
        <w:rPr>
          <w:lang w:val="en-US"/>
        </w:rPr>
        <w:t>See our answer sub Q.11.</w:t>
      </w:r>
    </w:p>
    <w:p w14:paraId="06F7FAA0" w14:textId="77777777" w:rsidR="00F21707" w:rsidRDefault="00F21707" w:rsidP="00C54377">
      <w:pPr>
        <w:jc w:val="both"/>
        <w:rPr>
          <w:lang w:val="en-US"/>
        </w:rPr>
      </w:pPr>
    </w:p>
    <w:p w14:paraId="3302A781" w14:textId="52724A97" w:rsidR="00233693" w:rsidRPr="00F21707" w:rsidRDefault="00233693" w:rsidP="00C54377">
      <w:pPr>
        <w:jc w:val="both"/>
        <w:rPr>
          <w:b/>
          <w:bCs/>
          <w:lang w:val="en-US"/>
        </w:rPr>
      </w:pPr>
      <w:r w:rsidRPr="00F21707">
        <w:rPr>
          <w:b/>
          <w:bCs/>
          <w:lang w:val="en-US"/>
        </w:rPr>
        <w:t xml:space="preserve">How to deal with </w:t>
      </w:r>
      <w:r w:rsidR="008A4C06" w:rsidRPr="00F21707">
        <w:rPr>
          <w:b/>
          <w:bCs/>
          <w:lang w:val="en-US"/>
        </w:rPr>
        <w:t>adaptations at the transaction level going forward?</w:t>
      </w:r>
    </w:p>
    <w:p w14:paraId="05AD1668" w14:textId="7319774D" w:rsidR="00A80E9D" w:rsidRDefault="00F17D8B" w:rsidP="00C54377">
      <w:pPr>
        <w:jc w:val="both"/>
        <w:rPr>
          <w:lang w:val="en-US"/>
        </w:rPr>
      </w:pPr>
      <w:r>
        <w:rPr>
          <w:lang w:val="en-US"/>
        </w:rPr>
        <w:t xml:space="preserve">In addition it is not clear how to deal with adaptations </w:t>
      </w:r>
      <w:r w:rsidR="00E56CC2">
        <w:rPr>
          <w:lang w:val="en-US"/>
        </w:rPr>
        <w:t>at the</w:t>
      </w:r>
      <w:r w:rsidR="00C07E30">
        <w:rPr>
          <w:lang w:val="en-US"/>
        </w:rPr>
        <w:t xml:space="preserve"> transaction level going forward.  </w:t>
      </w:r>
    </w:p>
    <w:p w14:paraId="572B0C64" w14:textId="77777777" w:rsidR="00CA0251" w:rsidRDefault="00C07E30" w:rsidP="00A80E9D">
      <w:pPr>
        <w:jc w:val="both"/>
        <w:rPr>
          <w:lang w:val="en-US"/>
        </w:rPr>
      </w:pPr>
      <w:r>
        <w:rPr>
          <w:lang w:val="en-US"/>
        </w:rPr>
        <w:t xml:space="preserve">At the time of the transaction, </w:t>
      </w:r>
      <w:r w:rsidR="008A78D1">
        <w:rPr>
          <w:lang w:val="en-US"/>
        </w:rPr>
        <w:t xml:space="preserve">a statement stating that a </w:t>
      </w:r>
      <w:r w:rsidR="006032B7">
        <w:rPr>
          <w:lang w:val="en-US"/>
        </w:rPr>
        <w:t xml:space="preserve">certain transaction </w:t>
      </w:r>
      <w:r w:rsidR="00FD6446">
        <w:rPr>
          <w:lang w:val="en-US"/>
        </w:rPr>
        <w:t>is suitable, but not meeting a client’s sustainability preferences is feasible</w:t>
      </w:r>
      <w:r w:rsidR="00294170">
        <w:rPr>
          <w:lang w:val="en-US"/>
        </w:rPr>
        <w:t xml:space="preserve">, but then how are </w:t>
      </w:r>
      <w:r w:rsidR="00F607C4">
        <w:rPr>
          <w:lang w:val="en-US"/>
        </w:rPr>
        <w:t xml:space="preserve">firms supposed to </w:t>
      </w:r>
      <w:r w:rsidR="00D5358A">
        <w:rPr>
          <w:lang w:val="en-US"/>
        </w:rPr>
        <w:t>deal with this transactio</w:t>
      </w:r>
      <w:r w:rsidR="00CA0251">
        <w:rPr>
          <w:lang w:val="en-US"/>
        </w:rPr>
        <w:t xml:space="preserve">n specific deviation in for instance the following cases: </w:t>
      </w:r>
    </w:p>
    <w:p w14:paraId="4E6BC658" w14:textId="50D685E0" w:rsidR="00BA0F3D" w:rsidRDefault="00A7385F" w:rsidP="003E0D74">
      <w:pPr>
        <w:pStyle w:val="ListParagraph"/>
        <w:numPr>
          <w:ilvl w:val="0"/>
          <w:numId w:val="4"/>
        </w:numPr>
        <w:jc w:val="both"/>
        <w:rPr>
          <w:lang w:val="en-US"/>
        </w:rPr>
      </w:pPr>
      <w:r w:rsidRPr="006D3BAC">
        <w:rPr>
          <w:u w:val="single"/>
          <w:lang w:val="en-US"/>
        </w:rPr>
        <w:t xml:space="preserve">Advice </w:t>
      </w:r>
      <w:r w:rsidR="00AF6F0D" w:rsidRPr="006D3BAC">
        <w:rPr>
          <w:u w:val="single"/>
          <w:lang w:val="en-US"/>
        </w:rPr>
        <w:t>with portfolio approach</w:t>
      </w:r>
      <w:r w:rsidRPr="006D3BAC">
        <w:rPr>
          <w:u w:val="single"/>
          <w:lang w:val="en-US"/>
        </w:rPr>
        <w:t xml:space="preserve"> going forward:</w:t>
      </w:r>
      <w:r w:rsidR="00B67246">
        <w:rPr>
          <w:lang w:val="en-US"/>
        </w:rPr>
        <w:t xml:space="preserve"> as the </w:t>
      </w:r>
      <w:r w:rsidR="001B3925">
        <w:rPr>
          <w:lang w:val="en-US"/>
        </w:rPr>
        <w:t xml:space="preserve">transaction is not in line with </w:t>
      </w:r>
      <w:r w:rsidR="0053367F">
        <w:rPr>
          <w:lang w:val="en-US"/>
        </w:rPr>
        <w:t xml:space="preserve">the sustainability preferences of the client at general level, but an adaptation </w:t>
      </w:r>
      <w:r w:rsidR="00780497">
        <w:rPr>
          <w:lang w:val="en-US"/>
        </w:rPr>
        <w:t>was accepted at transaction level, how to deal with this</w:t>
      </w:r>
      <w:r w:rsidR="00A205AE">
        <w:rPr>
          <w:lang w:val="en-US"/>
        </w:rPr>
        <w:t xml:space="preserve"> at the occasion of</w:t>
      </w:r>
      <w:r w:rsidR="00780497">
        <w:rPr>
          <w:lang w:val="en-US"/>
        </w:rPr>
        <w:t xml:space="preserve"> the next </w:t>
      </w:r>
      <w:r w:rsidR="00A205AE">
        <w:rPr>
          <w:lang w:val="en-US"/>
        </w:rPr>
        <w:t xml:space="preserve"> investment </w:t>
      </w:r>
      <w:r w:rsidR="00780497">
        <w:rPr>
          <w:lang w:val="en-US"/>
        </w:rPr>
        <w:t xml:space="preserve">advice? </w:t>
      </w:r>
      <w:r w:rsidR="003E0D74">
        <w:rPr>
          <w:lang w:val="en-US"/>
        </w:rPr>
        <w:t xml:space="preserve">According to the </w:t>
      </w:r>
      <w:r w:rsidR="00AB06C8">
        <w:rPr>
          <w:lang w:val="en-US"/>
        </w:rPr>
        <w:t xml:space="preserve">general profile it should not </w:t>
      </w:r>
      <w:r w:rsidR="008B0084">
        <w:rPr>
          <w:lang w:val="en-US"/>
        </w:rPr>
        <w:t xml:space="preserve">be part of the ESG </w:t>
      </w:r>
      <w:proofErr w:type="spellStart"/>
      <w:r w:rsidR="008B0084">
        <w:rPr>
          <w:lang w:val="en-US"/>
        </w:rPr>
        <w:t>subportfolio</w:t>
      </w:r>
      <w:proofErr w:type="spellEnd"/>
      <w:r w:rsidR="008B0084">
        <w:rPr>
          <w:lang w:val="en-US"/>
        </w:rPr>
        <w:t xml:space="preserve">, but at transaction level the client nevertheless accepted </w:t>
      </w:r>
      <w:r w:rsidR="00F32199">
        <w:rPr>
          <w:lang w:val="en-US"/>
        </w:rPr>
        <w:t>the less</w:t>
      </w:r>
      <w:r w:rsidR="00B86E86">
        <w:rPr>
          <w:lang w:val="en-US"/>
        </w:rPr>
        <w:t>er ESG features of the financial instrument</w:t>
      </w:r>
      <w:r w:rsidR="00BA4902">
        <w:rPr>
          <w:lang w:val="en-US"/>
        </w:rPr>
        <w:t xml:space="preserve">. </w:t>
      </w:r>
      <w:r w:rsidR="003D1DAE">
        <w:rPr>
          <w:lang w:val="en-US"/>
        </w:rPr>
        <w:t>Logically this product should continue to be part of the ESG portfolio</w:t>
      </w:r>
      <w:r w:rsidR="0058392E">
        <w:rPr>
          <w:lang w:val="en-US"/>
        </w:rPr>
        <w:t xml:space="preserve"> (given the specific adaptation)</w:t>
      </w:r>
      <w:r w:rsidR="005E47C9">
        <w:rPr>
          <w:lang w:val="en-US"/>
        </w:rPr>
        <w:t xml:space="preserve">, rendering this </w:t>
      </w:r>
      <w:proofErr w:type="spellStart"/>
      <w:r w:rsidR="005E47C9">
        <w:rPr>
          <w:lang w:val="en-US"/>
        </w:rPr>
        <w:t>subportfolio</w:t>
      </w:r>
      <w:proofErr w:type="spellEnd"/>
      <w:r w:rsidR="0058392E">
        <w:rPr>
          <w:lang w:val="en-US"/>
        </w:rPr>
        <w:t xml:space="preserve"> however</w:t>
      </w:r>
      <w:r w:rsidR="005E47C9">
        <w:rPr>
          <w:lang w:val="en-US"/>
        </w:rPr>
        <w:t xml:space="preserve"> “less ESG”</w:t>
      </w:r>
      <w:r w:rsidR="00B35757">
        <w:rPr>
          <w:lang w:val="en-US"/>
        </w:rPr>
        <w:t xml:space="preserve"> than required on the basis of the general profile. </w:t>
      </w:r>
    </w:p>
    <w:p w14:paraId="601B4C81" w14:textId="20E17D3A" w:rsidR="0057731A" w:rsidRPr="0057731A" w:rsidRDefault="00D6410D" w:rsidP="00F21707">
      <w:pPr>
        <w:jc w:val="both"/>
        <w:rPr>
          <w:lang w:val="en-US"/>
        </w:rPr>
      </w:pPr>
      <w:r w:rsidRPr="00F21707">
        <w:rPr>
          <w:lang w:val="en-US"/>
        </w:rPr>
        <w:t>It will be a challenge to continuously track all this and have it reflected in the continuous suitability reporting</w:t>
      </w:r>
      <w:r w:rsidR="004373D6" w:rsidRPr="00F21707">
        <w:rPr>
          <w:lang w:val="en-US"/>
        </w:rPr>
        <w:t>.</w:t>
      </w:r>
      <w:r w:rsidR="004373D6">
        <w:rPr>
          <w:lang w:val="en-US"/>
        </w:rPr>
        <w:t xml:space="preserve"> </w:t>
      </w:r>
    </w:p>
    <w:p w14:paraId="0A86993A" w14:textId="77777777" w:rsidR="00BA0F3D" w:rsidRDefault="00BA0F3D" w:rsidP="008F5EE4">
      <w:pPr>
        <w:ind w:firstLine="708"/>
        <w:jc w:val="both"/>
        <w:rPr>
          <w:lang w:val="en-US"/>
        </w:rPr>
      </w:pPr>
    </w:p>
    <w:p w14:paraId="7FBBCE25" w14:textId="2C54207C" w:rsidR="008F5EE4" w:rsidRDefault="008F5EE4" w:rsidP="005C4123">
      <w:pPr>
        <w:jc w:val="both"/>
        <w:rPr>
          <w:b/>
          <w:bCs/>
          <w:lang w:val="en-US"/>
        </w:rPr>
      </w:pPr>
      <w:r w:rsidRPr="005C4123">
        <w:rPr>
          <w:b/>
          <w:bCs/>
          <w:lang w:val="en-US"/>
        </w:rPr>
        <w:t>Q13. Could you share views on operational approaches a firm could use when it does not have any financial instruments included in its product range that would meet the client’s sustainability preferences (i.e. for the adaptation of client’s preferences with respect to the suitability assessment in question/to the particular transaction and to inform the client of such situation in the suitability report)</w:t>
      </w:r>
    </w:p>
    <w:p w14:paraId="326F05D2" w14:textId="2073E6F8" w:rsidR="00700140" w:rsidRDefault="00700140" w:rsidP="005C4123">
      <w:pPr>
        <w:jc w:val="both"/>
        <w:rPr>
          <w:b/>
          <w:bCs/>
          <w:lang w:val="en-US"/>
        </w:rPr>
      </w:pPr>
    </w:p>
    <w:p w14:paraId="167FA325" w14:textId="39008DAA" w:rsidR="008F5EE4" w:rsidRDefault="00F824EF" w:rsidP="00044FBC">
      <w:pPr>
        <w:jc w:val="both"/>
        <w:rPr>
          <w:lang w:val="en-US"/>
        </w:rPr>
      </w:pPr>
      <w:r>
        <w:rPr>
          <w:lang w:val="en-US"/>
        </w:rPr>
        <w:t>See sub. Q11.</w:t>
      </w:r>
    </w:p>
    <w:p w14:paraId="407FD3EC" w14:textId="77777777" w:rsidR="000465FA" w:rsidRPr="00A442F9" w:rsidRDefault="000465FA" w:rsidP="000465FA">
      <w:pPr>
        <w:jc w:val="both"/>
        <w:rPr>
          <w:b/>
          <w:bCs/>
          <w:lang w:val="en-US"/>
        </w:rPr>
      </w:pPr>
      <w:r w:rsidRPr="00A442F9">
        <w:rPr>
          <w:b/>
          <w:bCs/>
          <w:lang w:val="en-US"/>
        </w:rPr>
        <w:t xml:space="preserve">Q14. Do you agree with the proposed approach for firms to be adopted in the case where a client does not express sustainability preferences, or do you believe that the supporting guideline should be more prescriptive? Please also state the reasons for your answer. </w:t>
      </w:r>
    </w:p>
    <w:p w14:paraId="02F1EDA3" w14:textId="77777777" w:rsidR="000465FA" w:rsidRPr="0007007C" w:rsidRDefault="000465FA" w:rsidP="000465FA">
      <w:pPr>
        <w:jc w:val="both"/>
        <w:rPr>
          <w:lang w:val="en-US"/>
        </w:rPr>
      </w:pPr>
    </w:p>
    <w:p w14:paraId="16364515" w14:textId="77777777" w:rsidR="000465FA" w:rsidRDefault="000465FA" w:rsidP="000465FA">
      <w:pPr>
        <w:jc w:val="both"/>
        <w:rPr>
          <w:lang w:val="en-US"/>
        </w:rPr>
      </w:pPr>
      <w:r>
        <w:rPr>
          <w:lang w:val="en-US"/>
        </w:rPr>
        <w:t xml:space="preserve">Yes. </w:t>
      </w:r>
    </w:p>
    <w:p w14:paraId="3B04F951" w14:textId="77777777" w:rsidR="000465FA" w:rsidRPr="0007007C" w:rsidRDefault="000465FA" w:rsidP="000465FA">
      <w:pPr>
        <w:jc w:val="both"/>
        <w:rPr>
          <w:lang w:val="en-US"/>
        </w:rPr>
      </w:pPr>
    </w:p>
    <w:p w14:paraId="48DD7C3B" w14:textId="77777777" w:rsidR="000465FA" w:rsidRPr="00A442F9" w:rsidRDefault="000465FA" w:rsidP="000465FA">
      <w:pPr>
        <w:jc w:val="both"/>
        <w:rPr>
          <w:b/>
          <w:bCs/>
          <w:lang w:val="en-US"/>
        </w:rPr>
      </w:pPr>
      <w:r w:rsidRPr="00A442F9">
        <w:rPr>
          <w:b/>
          <w:bCs/>
          <w:lang w:val="en-US"/>
        </w:rPr>
        <w:t>Q15. Do you agree with the proposed approach with regard to the possibility for clients to adapt their sustainability preferences in the case of portfolio approach? Do you envisage any other feasible alternative approaches? Please provide some examples.</w:t>
      </w:r>
    </w:p>
    <w:p w14:paraId="73F3BB2C" w14:textId="77777777" w:rsidR="000465FA" w:rsidRDefault="000465FA" w:rsidP="000465FA">
      <w:pPr>
        <w:jc w:val="both"/>
        <w:rPr>
          <w:lang w:val="en-US"/>
        </w:rPr>
      </w:pPr>
      <w:r>
        <w:rPr>
          <w:lang w:val="en-US"/>
        </w:rPr>
        <w:t>See Q11</w:t>
      </w:r>
    </w:p>
    <w:p w14:paraId="2A93EF9B" w14:textId="77777777" w:rsidR="00F54F58" w:rsidRDefault="00F54F58" w:rsidP="00044FBC">
      <w:pPr>
        <w:jc w:val="both"/>
        <w:rPr>
          <w:lang w:val="en-US"/>
        </w:rPr>
      </w:pPr>
    </w:p>
    <w:p w14:paraId="3EBDE3A0" w14:textId="40910DAC" w:rsidR="008F5EE4" w:rsidRPr="005C4123" w:rsidRDefault="008F5EE4" w:rsidP="005C4123">
      <w:pPr>
        <w:jc w:val="both"/>
        <w:rPr>
          <w:b/>
          <w:bCs/>
          <w:lang w:val="en-US"/>
        </w:rPr>
      </w:pPr>
      <w:r w:rsidRPr="005C4123">
        <w:rPr>
          <w:b/>
          <w:bCs/>
          <w:lang w:val="en-US"/>
        </w:rPr>
        <w:t>Q16. What measures do you believe that firms should implement to monitor situations where there is a significant occurrence of clients adapting their sustainability preferences? What type of initiatives do you envisage could be undertaken to address any issues detected as a result of this monitoring activity?</w:t>
      </w:r>
    </w:p>
    <w:p w14:paraId="1DB05DF2" w14:textId="1210CBDB" w:rsidR="008F5EE4" w:rsidRDefault="008F5EE4" w:rsidP="00044FBC">
      <w:pPr>
        <w:jc w:val="both"/>
        <w:rPr>
          <w:lang w:val="en-US"/>
        </w:rPr>
      </w:pPr>
    </w:p>
    <w:p w14:paraId="24084453" w14:textId="7D869710" w:rsidR="004C5122" w:rsidRPr="00F21707" w:rsidRDefault="00095CBD" w:rsidP="004C5122">
      <w:pPr>
        <w:spacing w:after="0" w:line="240" w:lineRule="atLeast"/>
        <w:contextualSpacing/>
        <w:jc w:val="both"/>
        <w:rPr>
          <w:rFonts w:ascii="Arial" w:eastAsia="Times New Roman" w:hAnsi="Arial" w:cs="Arial"/>
          <w:i/>
          <w:iCs/>
          <w:sz w:val="20"/>
          <w:szCs w:val="20"/>
          <w:lang w:val="en-US" w:eastAsia="fr-FR"/>
        </w:rPr>
      </w:pPr>
      <w:r w:rsidRPr="00F21707">
        <w:rPr>
          <w:lang w:val="en-US"/>
        </w:rPr>
        <w:t>Note that s</w:t>
      </w:r>
      <w:r w:rsidR="004C5122" w:rsidRPr="00F21707">
        <w:rPr>
          <w:rFonts w:ascii="Arial" w:eastAsia="Times New Roman" w:hAnsi="Arial" w:cs="Arial"/>
          <w:i/>
          <w:iCs/>
          <w:sz w:val="20"/>
          <w:szCs w:val="20"/>
          <w:lang w:val="en-US" w:eastAsia="fr-FR"/>
        </w:rPr>
        <w:t>ince it is very likely that, as a first step, investment firms’ offers will be less ambitious than client’s expectations, it is also very likely that the use of the possibility for the clients to adapt their sustainability preferences will be frequent.</w:t>
      </w:r>
    </w:p>
    <w:p w14:paraId="6C31E244" w14:textId="618DDCBA" w:rsidR="004C5122" w:rsidRPr="00F21707" w:rsidRDefault="004C5122" w:rsidP="004C5122">
      <w:pPr>
        <w:spacing w:after="0" w:line="240" w:lineRule="atLeast"/>
        <w:contextualSpacing/>
        <w:jc w:val="both"/>
        <w:rPr>
          <w:rFonts w:ascii="Arial" w:eastAsia="Times New Roman" w:hAnsi="Arial" w:cs="Arial"/>
          <w:i/>
          <w:iCs/>
          <w:sz w:val="20"/>
          <w:szCs w:val="20"/>
          <w:lang w:val="en-US" w:eastAsia="fr-FR"/>
        </w:rPr>
      </w:pPr>
    </w:p>
    <w:p w14:paraId="50C23ACC" w14:textId="1ABCE69E" w:rsidR="004C5122" w:rsidRPr="00F21707" w:rsidRDefault="004C5122" w:rsidP="004C5122">
      <w:pPr>
        <w:spacing w:after="0" w:line="240" w:lineRule="atLeast"/>
        <w:contextualSpacing/>
        <w:jc w:val="both"/>
        <w:rPr>
          <w:rFonts w:ascii="Arial" w:eastAsia="Times New Roman" w:hAnsi="Arial" w:cs="Arial"/>
          <w:i/>
          <w:iCs/>
          <w:sz w:val="20"/>
          <w:szCs w:val="20"/>
          <w:lang w:val="en-US" w:eastAsia="fr-FR"/>
        </w:rPr>
      </w:pPr>
      <w:r w:rsidRPr="00F21707">
        <w:rPr>
          <w:rFonts w:ascii="Arial" w:eastAsia="Times New Roman" w:hAnsi="Arial" w:cs="Arial"/>
          <w:i/>
          <w:iCs/>
          <w:sz w:val="20"/>
          <w:szCs w:val="20"/>
          <w:lang w:val="en-US" w:eastAsia="fr-FR"/>
        </w:rPr>
        <w:t xml:space="preserve">Therefore, </w:t>
      </w:r>
      <w:r w:rsidR="00095CBD" w:rsidRPr="00F21707">
        <w:rPr>
          <w:rFonts w:ascii="Arial" w:eastAsia="Times New Roman" w:hAnsi="Arial" w:cs="Arial"/>
          <w:i/>
          <w:iCs/>
          <w:sz w:val="20"/>
          <w:szCs w:val="20"/>
          <w:lang w:val="en-US" w:eastAsia="fr-FR"/>
        </w:rPr>
        <w:t>we</w:t>
      </w:r>
      <w:r w:rsidRPr="00F21707">
        <w:rPr>
          <w:rFonts w:ascii="Arial" w:eastAsia="Times New Roman" w:hAnsi="Arial" w:cs="Arial"/>
          <w:i/>
          <w:iCs/>
          <w:sz w:val="20"/>
          <w:szCs w:val="20"/>
          <w:lang w:val="en-US" w:eastAsia="fr-FR"/>
        </w:rPr>
        <w:t xml:space="preserve"> consider it is unnecessary and overly burdensome to impose right away a close monitoring on these cases.</w:t>
      </w:r>
    </w:p>
    <w:p w14:paraId="72278466" w14:textId="013839A6" w:rsidR="00A97480" w:rsidRDefault="00A97480" w:rsidP="00044FBC">
      <w:pPr>
        <w:jc w:val="both"/>
        <w:rPr>
          <w:lang w:val="en-US"/>
        </w:rPr>
      </w:pPr>
    </w:p>
    <w:p w14:paraId="3DF285FD" w14:textId="0082F635" w:rsidR="00A97480" w:rsidRPr="00654DDB" w:rsidRDefault="00A97480" w:rsidP="00A97480">
      <w:pPr>
        <w:pBdr>
          <w:top w:val="single" w:sz="4" w:space="1" w:color="auto"/>
          <w:left w:val="single" w:sz="4" w:space="4" w:color="auto"/>
          <w:bottom w:val="single" w:sz="4" w:space="1" w:color="auto"/>
          <w:right w:val="single" w:sz="4" w:space="4" w:color="auto"/>
        </w:pBdr>
        <w:shd w:val="clear" w:color="auto" w:fill="E2EFD9" w:themeFill="accent6" w:themeFillTint="33"/>
        <w:jc w:val="both"/>
        <w:rPr>
          <w:sz w:val="24"/>
          <w:szCs w:val="24"/>
          <w:u w:val="single"/>
          <w:lang w:val="en-US"/>
        </w:rPr>
      </w:pPr>
      <w:r w:rsidRPr="00654DDB">
        <w:rPr>
          <w:sz w:val="24"/>
          <w:szCs w:val="24"/>
          <w:u w:val="single"/>
          <w:lang w:val="en-US"/>
        </w:rPr>
        <w:t>Guideline 1</w:t>
      </w:r>
      <w:r w:rsidR="00D57510">
        <w:rPr>
          <w:sz w:val="24"/>
          <w:szCs w:val="24"/>
          <w:u w:val="single"/>
          <w:lang w:val="en-US"/>
        </w:rPr>
        <w:t>0 -  costs and benefits of switching investments</w:t>
      </w:r>
    </w:p>
    <w:p w14:paraId="01D70C95" w14:textId="7C58D609" w:rsidR="008F5EE4" w:rsidRPr="00BA669A" w:rsidRDefault="00D90906" w:rsidP="00044FBC">
      <w:pPr>
        <w:jc w:val="both"/>
        <w:rPr>
          <w:i/>
          <w:iCs/>
          <w:sz w:val="20"/>
          <w:szCs w:val="20"/>
          <w:lang w:val="en-US"/>
        </w:rPr>
      </w:pPr>
      <w:r w:rsidRPr="00BA669A">
        <w:rPr>
          <w:i/>
          <w:iCs/>
          <w:sz w:val="20"/>
          <w:szCs w:val="20"/>
          <w:lang w:val="en-US"/>
        </w:rPr>
        <w:t xml:space="preserve">97. When providing investment advice, a clear explanation of </w:t>
      </w:r>
      <w:r w:rsidRPr="00A7134B">
        <w:rPr>
          <w:i/>
          <w:iCs/>
          <w:sz w:val="20"/>
          <w:szCs w:val="20"/>
          <w:u w:val="single"/>
          <w:lang w:val="en-US"/>
        </w:rPr>
        <w:t>whether or not</w:t>
      </w:r>
      <w:r w:rsidRPr="00BA669A">
        <w:rPr>
          <w:i/>
          <w:iCs/>
          <w:sz w:val="20"/>
          <w:szCs w:val="20"/>
          <w:lang w:val="en-US"/>
        </w:rPr>
        <w:t xml:space="preserve"> the benefits of the recommended switch are greater than its costs</w:t>
      </w:r>
      <w:r w:rsidR="00BA669A" w:rsidRPr="00BA669A">
        <w:rPr>
          <w:i/>
          <w:iCs/>
          <w:sz w:val="20"/>
          <w:szCs w:val="20"/>
          <w:lang w:val="en-US"/>
        </w:rPr>
        <w:t xml:space="preserve"> should be included in the suitability report the firm has to provide to the retail client before the transaction is made. </w:t>
      </w:r>
    </w:p>
    <w:p w14:paraId="278660F6" w14:textId="42FECE6A" w:rsidR="00A97480" w:rsidRPr="00840E25" w:rsidRDefault="00BA669A" w:rsidP="00044FBC">
      <w:pPr>
        <w:jc w:val="both"/>
        <w:rPr>
          <w:b/>
          <w:bCs/>
          <w:lang w:val="en-US"/>
        </w:rPr>
      </w:pPr>
      <w:r>
        <w:rPr>
          <w:b/>
          <w:bCs/>
          <w:lang w:val="en-US"/>
        </w:rPr>
        <w:t xml:space="preserve">Q17. </w:t>
      </w:r>
      <w:r w:rsidRPr="00594700">
        <w:rPr>
          <w:b/>
          <w:bCs/>
          <w:lang w:val="en-US"/>
        </w:rPr>
        <w:t>Do you agree with the proposed amendment to supporting guideline 10? Please also state the reasons for your answer.</w:t>
      </w:r>
    </w:p>
    <w:p w14:paraId="422A71C4" w14:textId="77777777" w:rsidR="00EB6647" w:rsidRPr="00F21707" w:rsidRDefault="00EB6647" w:rsidP="00EB6647">
      <w:pPr>
        <w:jc w:val="both"/>
        <w:rPr>
          <w:lang w:val="en-US"/>
        </w:rPr>
      </w:pPr>
      <w:r w:rsidRPr="00F21707">
        <w:rPr>
          <w:lang w:val="en-US"/>
        </w:rPr>
        <w:t xml:space="preserve">I. Has there been a proper assessment of the need to reformulate the General Guideline N°10 and/or more generally, the level 2 Delegated Regulation on which it is based, in light of the new wording of the MiFID </w:t>
      </w:r>
      <w:proofErr w:type="spellStart"/>
      <w:r w:rsidRPr="00F21707">
        <w:rPr>
          <w:lang w:val="en-US"/>
        </w:rPr>
        <w:t>Quickfix</w:t>
      </w:r>
      <w:proofErr w:type="spellEnd"/>
      <w:r w:rsidRPr="00F21707">
        <w:rPr>
          <w:lang w:val="en-US"/>
        </w:rPr>
        <w:t xml:space="preserve"> ?  </w:t>
      </w:r>
    </w:p>
    <w:p w14:paraId="715B3C73" w14:textId="77777777" w:rsidR="00EB6647" w:rsidRPr="00F21707" w:rsidRDefault="00EB6647" w:rsidP="00EB6647">
      <w:pPr>
        <w:jc w:val="both"/>
        <w:rPr>
          <w:lang w:val="en-US"/>
        </w:rPr>
      </w:pPr>
      <w:r w:rsidRPr="00F21707">
        <w:rPr>
          <w:i/>
          <w:iCs/>
          <w:lang w:val="en-US"/>
        </w:rPr>
        <w:t xml:space="preserve">MiFID </w:t>
      </w:r>
      <w:proofErr w:type="spellStart"/>
      <w:r w:rsidRPr="00F21707">
        <w:rPr>
          <w:i/>
          <w:iCs/>
          <w:lang w:val="en-US"/>
        </w:rPr>
        <w:t>Quickfix</w:t>
      </w:r>
      <w:proofErr w:type="spellEnd"/>
      <w:r w:rsidRPr="00F21707">
        <w:rPr>
          <w:lang w:val="en-US"/>
        </w:rPr>
        <w:t xml:space="preserve"> is introducing changes to the </w:t>
      </w:r>
      <w:r w:rsidRPr="00F21707">
        <w:rPr>
          <w:u w:val="single"/>
          <w:lang w:val="en-US"/>
        </w:rPr>
        <w:t>Level 1</w:t>
      </w:r>
      <w:r w:rsidRPr="00F21707">
        <w:rPr>
          <w:lang w:val="en-US"/>
        </w:rPr>
        <w:t xml:space="preserve"> provisions. General Guideline n°10  (a level 3 rule) seems to result principally from Article 54§11 of Delegated Regulation 2017/565 (level 2 rule). This could mean that a firm may be required under ‘§94’ to demonstrate </w:t>
      </w:r>
      <w:r w:rsidRPr="00F21707">
        <w:rPr>
          <w:i/>
          <w:iCs/>
          <w:lang w:val="en-US"/>
        </w:rPr>
        <w:t>whether or not</w:t>
      </w:r>
      <w:r w:rsidRPr="00F21707">
        <w:rPr>
          <w:lang w:val="en-US"/>
        </w:rPr>
        <w:t xml:space="preserve"> the expected benefits of such a switch are greater than the costs.</w:t>
      </w:r>
    </w:p>
    <w:p w14:paraId="542AF639" w14:textId="77777777" w:rsidR="00EB6647" w:rsidRPr="00F21707" w:rsidRDefault="00EB6647" w:rsidP="00EB6647">
      <w:pPr>
        <w:jc w:val="both"/>
        <w:rPr>
          <w:lang w:val="en-US"/>
        </w:rPr>
      </w:pPr>
    </w:p>
    <w:p w14:paraId="0F34B8A9" w14:textId="77777777" w:rsidR="00EB6647" w:rsidRPr="00F21707" w:rsidRDefault="00EB6647" w:rsidP="00EB6647">
      <w:pPr>
        <w:jc w:val="both"/>
        <w:rPr>
          <w:lang w:val="en-US"/>
        </w:rPr>
      </w:pPr>
      <w:r w:rsidRPr="00F21707">
        <w:rPr>
          <w:lang w:val="en-US"/>
        </w:rPr>
        <w:t>II. The alignment with the new Article 25(2) of MiFID II does not as such materially change the supporting guideline. However, the new supporting guideline N°97 remains unclear and/or inconsistent and confusing, particularly when read in conjunction with other supporting guidelines or the General Guideline n°10. This makes it difficult to assess the manner in which suitability requirements on switches can be applied in practice.</w:t>
      </w:r>
    </w:p>
    <w:p w14:paraId="749CD799" w14:textId="77777777" w:rsidR="00EB6647" w:rsidRPr="00F21707" w:rsidRDefault="00EB6647" w:rsidP="00EB6647">
      <w:pPr>
        <w:jc w:val="both"/>
        <w:rPr>
          <w:lang w:val="en-US"/>
        </w:rPr>
      </w:pPr>
      <w:r w:rsidRPr="00F21707">
        <w:rPr>
          <w:lang w:val="en-US"/>
        </w:rPr>
        <w:t xml:space="preserve">1) The legal definition of a switch in the MiFID </w:t>
      </w:r>
      <w:proofErr w:type="spellStart"/>
      <w:r w:rsidRPr="00F21707">
        <w:rPr>
          <w:lang w:val="en-US"/>
        </w:rPr>
        <w:t>Quickfix</w:t>
      </w:r>
      <w:proofErr w:type="spellEnd"/>
      <w:r w:rsidRPr="00F21707">
        <w:rPr>
          <w:lang w:val="en-US"/>
        </w:rPr>
        <w:t xml:space="preserve"> directive was not further clarified in the Guidelines itself although one of the main findings of the CSA in 2020 was that there does not seem to be a common interpretation of what circumstances could be considered as a ‘switch’. </w:t>
      </w:r>
    </w:p>
    <w:p w14:paraId="40080F3A" w14:textId="77777777" w:rsidR="00EB6647" w:rsidRPr="00F21707" w:rsidRDefault="00EB6647" w:rsidP="00EB6647">
      <w:pPr>
        <w:jc w:val="both"/>
        <w:rPr>
          <w:lang w:val="en-US"/>
        </w:rPr>
      </w:pPr>
      <w:r w:rsidRPr="00F21707">
        <w:rPr>
          <w:lang w:val="en-US"/>
        </w:rPr>
        <w:t>Additional examples and clarifications and, to the extent possible, a more precise definition would be welcomed :</w:t>
      </w:r>
    </w:p>
    <w:p w14:paraId="103D0DA6" w14:textId="77777777" w:rsidR="00EB6647" w:rsidRPr="00F21707" w:rsidRDefault="00EB6647" w:rsidP="00EB6647">
      <w:pPr>
        <w:ind w:left="708"/>
        <w:jc w:val="both"/>
        <w:rPr>
          <w:lang w:val="en-US"/>
        </w:rPr>
      </w:pPr>
      <w:r w:rsidRPr="00F21707">
        <w:rPr>
          <w:lang w:val="en-US"/>
        </w:rPr>
        <w:t xml:space="preserve">a) A clearer definition of the switch perimeter could be: </w:t>
      </w:r>
    </w:p>
    <w:p w14:paraId="11414A29" w14:textId="77777777" w:rsidR="00EB6647" w:rsidRPr="00F21707" w:rsidRDefault="00EB6647" w:rsidP="00EB6647">
      <w:pPr>
        <w:ind w:left="708"/>
        <w:jc w:val="both"/>
        <w:rPr>
          <w:lang w:val="en-US"/>
        </w:rPr>
      </w:pPr>
      <w:r w:rsidRPr="00F21707">
        <w:rPr>
          <w:lang w:val="en-US"/>
        </w:rPr>
        <w:t>A switch occurs when it is the intention to combine multiple identified transactions at a given point in time or within a short timeframe. At the time the initial sale transaction is being decided or proposed, a sufficient link should exist between the sale and the purchase. For instance when they are simultaneously instructed. A purchase order should only be regarded if it is sufficiently connected to (a previous or envisaged) sale transaction, notably when the investment firm knows or cannot be reasonably ignorant about the purpose of the sale, which is a reinvestment of the proceeds in an identified financial instrument, at the time of the sale.</w:t>
      </w:r>
    </w:p>
    <w:p w14:paraId="10C6CADC" w14:textId="77777777" w:rsidR="00EB6647" w:rsidRPr="00F21707" w:rsidRDefault="00EB6647" w:rsidP="00EB6647">
      <w:pPr>
        <w:ind w:left="708"/>
        <w:jc w:val="both"/>
        <w:rPr>
          <w:lang w:val="en-US"/>
        </w:rPr>
      </w:pPr>
      <w:r w:rsidRPr="00F21707">
        <w:rPr>
          <w:lang w:val="en-US"/>
        </w:rPr>
        <w:t>b) Examples should clarify, amongst others:</w:t>
      </w:r>
    </w:p>
    <w:p w14:paraId="356103BC" w14:textId="77777777" w:rsidR="00EB6647" w:rsidRPr="00F21707" w:rsidRDefault="00EB6647" w:rsidP="00EB6647">
      <w:pPr>
        <w:ind w:left="708"/>
        <w:jc w:val="both"/>
        <w:rPr>
          <w:lang w:val="en-US"/>
        </w:rPr>
      </w:pPr>
      <w:r w:rsidRPr="00F21707">
        <w:rPr>
          <w:lang w:val="en-US"/>
        </w:rPr>
        <w:t>B.1. if and to what extent firms can make a marginal control on the fact that the benefits are greater than the costs when they recommend a switch.</w:t>
      </w:r>
    </w:p>
    <w:p w14:paraId="65D90468" w14:textId="77777777" w:rsidR="00EB6647" w:rsidRPr="00F21707" w:rsidRDefault="00EB6647" w:rsidP="00EB6647">
      <w:pPr>
        <w:ind w:left="708"/>
        <w:jc w:val="both"/>
        <w:rPr>
          <w:lang w:val="en-US"/>
        </w:rPr>
      </w:pPr>
      <w:r w:rsidRPr="00F21707">
        <w:rPr>
          <w:lang w:val="en-US"/>
        </w:rPr>
        <w:t xml:space="preserve">A marginal control has the benefit of taking into account the market uncertainties that are inherent to investments. </w:t>
      </w:r>
    </w:p>
    <w:p w14:paraId="518B0410" w14:textId="107D3B6A" w:rsidR="00EB6647" w:rsidRPr="00F21707" w:rsidRDefault="00EB6647" w:rsidP="00EB6647">
      <w:pPr>
        <w:ind w:left="708"/>
        <w:jc w:val="both"/>
        <w:rPr>
          <w:lang w:val="en-US"/>
        </w:rPr>
      </w:pPr>
      <w:r w:rsidRPr="00F21707">
        <w:rPr>
          <w:lang w:val="en-US"/>
        </w:rPr>
        <w:t xml:space="preserve">B.2 if and to what extent any </w:t>
      </w:r>
      <w:r w:rsidR="00943C31" w:rsidRPr="00F21707">
        <w:rPr>
          <w:lang w:val="en-US"/>
        </w:rPr>
        <w:t>qualitative</w:t>
      </w:r>
      <w:r w:rsidRPr="00F21707">
        <w:rPr>
          <w:lang w:val="en-US"/>
        </w:rPr>
        <w:t xml:space="preserve"> appreciation of suitability, as mentioned in supporting guideline §96, can be invoked and be appreciated in light of the costs of the switch. </w:t>
      </w:r>
    </w:p>
    <w:p w14:paraId="5D27C46F" w14:textId="77777777" w:rsidR="00EB6647" w:rsidRPr="00F21707" w:rsidRDefault="00EB6647" w:rsidP="00EB6647">
      <w:pPr>
        <w:pStyle w:val="ListParagraph"/>
        <w:numPr>
          <w:ilvl w:val="0"/>
          <w:numId w:val="54"/>
        </w:numPr>
        <w:jc w:val="both"/>
        <w:rPr>
          <w:lang w:val="en-US"/>
        </w:rPr>
      </w:pPr>
      <w:r w:rsidRPr="00F21707">
        <w:rPr>
          <w:lang w:val="en-US"/>
        </w:rPr>
        <w:t>How should the benefit of diversification, for instance in a portfolio approach or compared to a model portfolio, be compared with costs and charges, if the expected benefit cannot be quantified?</w:t>
      </w:r>
    </w:p>
    <w:p w14:paraId="59A7C25F" w14:textId="77777777" w:rsidR="00EB6647" w:rsidRPr="00F21707" w:rsidRDefault="00EB6647" w:rsidP="00EB6647">
      <w:pPr>
        <w:pStyle w:val="ListParagraph"/>
        <w:ind w:left="1068"/>
        <w:jc w:val="both"/>
        <w:rPr>
          <w:lang w:val="en-US"/>
        </w:rPr>
      </w:pPr>
    </w:p>
    <w:p w14:paraId="75B96347" w14:textId="6F72BC59" w:rsidR="00EB6647" w:rsidRPr="00F21707" w:rsidRDefault="00EB6647" w:rsidP="00DB3C4C">
      <w:pPr>
        <w:pStyle w:val="ListParagraph"/>
        <w:numPr>
          <w:ilvl w:val="0"/>
          <w:numId w:val="54"/>
        </w:numPr>
        <w:jc w:val="both"/>
        <w:rPr>
          <w:lang w:val="en-US"/>
        </w:rPr>
      </w:pPr>
      <w:r w:rsidRPr="00F21707">
        <w:rPr>
          <w:lang w:val="en-US"/>
        </w:rPr>
        <w:t xml:space="preserve">What about a change in client circumstances, its financial situation, its knowledge and experience, its investment appetite, its investment horizon </w:t>
      </w:r>
      <w:r w:rsidR="00F8124D" w:rsidRPr="00F21707">
        <w:rPr>
          <w:lang w:val="en-US"/>
        </w:rPr>
        <w:t>and</w:t>
      </w:r>
      <w:r w:rsidR="00AF09BF" w:rsidRPr="00F21707">
        <w:rPr>
          <w:lang w:val="en-US"/>
        </w:rPr>
        <w:t xml:space="preserve">, not the neglected, </w:t>
      </w:r>
      <w:r w:rsidR="00FA1807" w:rsidRPr="00F21707">
        <w:rPr>
          <w:lang w:val="en-US"/>
        </w:rPr>
        <w:t xml:space="preserve">its sustainability preferences. The introduction of the latter will in the years </w:t>
      </w:r>
      <w:r w:rsidR="003830A0" w:rsidRPr="00F21707">
        <w:rPr>
          <w:lang w:val="en-US"/>
        </w:rPr>
        <w:t xml:space="preserve">to come </w:t>
      </w:r>
      <w:r w:rsidR="00FA1807" w:rsidRPr="00F21707">
        <w:rPr>
          <w:lang w:val="en-US"/>
        </w:rPr>
        <w:t xml:space="preserve">trigger </w:t>
      </w:r>
      <w:r w:rsidR="003830A0" w:rsidRPr="00F21707">
        <w:rPr>
          <w:lang w:val="en-US"/>
        </w:rPr>
        <w:t>(</w:t>
      </w:r>
      <w:r w:rsidR="00FA1807" w:rsidRPr="00F21707">
        <w:rPr>
          <w:lang w:val="en-US"/>
        </w:rPr>
        <w:t>important</w:t>
      </w:r>
      <w:r w:rsidR="003830A0" w:rsidRPr="00F21707">
        <w:rPr>
          <w:lang w:val="en-US"/>
        </w:rPr>
        <w:t>)</w:t>
      </w:r>
      <w:r w:rsidR="00FA1807" w:rsidRPr="00F21707">
        <w:rPr>
          <w:lang w:val="en-US"/>
        </w:rPr>
        <w:t xml:space="preserve"> rebalancing of portfolios</w:t>
      </w:r>
      <w:r w:rsidR="00F06907" w:rsidRPr="00F21707">
        <w:rPr>
          <w:lang w:val="en-US"/>
        </w:rPr>
        <w:t xml:space="preserve">. </w:t>
      </w:r>
    </w:p>
    <w:p w14:paraId="034C517D" w14:textId="77777777" w:rsidR="00FA1807" w:rsidRPr="00F21707" w:rsidRDefault="00FA1807" w:rsidP="00F21707">
      <w:pPr>
        <w:pStyle w:val="ListParagraph"/>
        <w:ind w:left="1068"/>
        <w:jc w:val="both"/>
        <w:rPr>
          <w:lang w:val="en-US"/>
        </w:rPr>
      </w:pPr>
    </w:p>
    <w:p w14:paraId="64229DB1" w14:textId="77777777" w:rsidR="00EB6647" w:rsidRPr="00F21707" w:rsidRDefault="00EB6647" w:rsidP="00EB6647">
      <w:pPr>
        <w:pStyle w:val="ListParagraph"/>
        <w:numPr>
          <w:ilvl w:val="0"/>
          <w:numId w:val="54"/>
        </w:numPr>
        <w:jc w:val="both"/>
        <w:rPr>
          <w:lang w:val="en-US"/>
        </w:rPr>
      </w:pPr>
      <w:r w:rsidRPr="00F21707">
        <w:rPr>
          <w:lang w:val="en-US"/>
        </w:rPr>
        <w:t>Is it possible to justify a switch only for the purpose of hedging a particular risk and how would the cost-benefit in that case be applied ?</w:t>
      </w:r>
    </w:p>
    <w:p w14:paraId="1F0875BB" w14:textId="77777777" w:rsidR="00EB6647" w:rsidRPr="00F21707" w:rsidRDefault="00EB6647" w:rsidP="00EB6647">
      <w:pPr>
        <w:pStyle w:val="ListParagraph"/>
        <w:rPr>
          <w:lang w:val="en-US"/>
        </w:rPr>
      </w:pPr>
    </w:p>
    <w:p w14:paraId="22994606" w14:textId="77777777" w:rsidR="00EB6647" w:rsidRPr="00F21707" w:rsidRDefault="00EB6647" w:rsidP="00EB6647">
      <w:pPr>
        <w:pStyle w:val="ListParagraph"/>
        <w:numPr>
          <w:ilvl w:val="0"/>
          <w:numId w:val="54"/>
        </w:numPr>
        <w:jc w:val="both"/>
        <w:rPr>
          <w:lang w:val="en-US"/>
        </w:rPr>
      </w:pPr>
      <w:r w:rsidRPr="00F21707">
        <w:rPr>
          <w:lang w:val="en-US"/>
        </w:rPr>
        <w:t xml:space="preserve">Is it possible that the cost-benefit analysis should be applied only to investments within the same asset class?  </w:t>
      </w:r>
    </w:p>
    <w:p w14:paraId="6D202BC5" w14:textId="77777777" w:rsidR="00EB6647" w:rsidRPr="00F21707" w:rsidRDefault="00EB6647" w:rsidP="00EB6647">
      <w:pPr>
        <w:pStyle w:val="ListParagraph"/>
        <w:rPr>
          <w:lang w:val="en-US"/>
        </w:rPr>
      </w:pPr>
    </w:p>
    <w:p w14:paraId="063C0B5F" w14:textId="77777777" w:rsidR="00EB6647" w:rsidRPr="00F21707" w:rsidRDefault="00EB6647" w:rsidP="00EB6647">
      <w:pPr>
        <w:pStyle w:val="ListParagraph"/>
        <w:ind w:left="1068"/>
        <w:jc w:val="both"/>
        <w:rPr>
          <w:lang w:val="en-US"/>
        </w:rPr>
      </w:pPr>
      <w:r w:rsidRPr="00F21707">
        <w:rPr>
          <w:lang w:val="en-US"/>
        </w:rPr>
        <w:t>The strategic planning of asset allocation between different asset classes could for instance be justified on an assessment of the evolution in the financial markets, relevant indicators or benchmarks, statistical circumstances or a commercial approach and/or relate to a change in the investor profiling of the customer base.</w:t>
      </w:r>
    </w:p>
    <w:p w14:paraId="488CF714" w14:textId="77777777" w:rsidR="00EB6647" w:rsidRPr="00F21707" w:rsidRDefault="00EB6647" w:rsidP="00EB6647">
      <w:pPr>
        <w:pStyle w:val="ListParagraph"/>
        <w:ind w:left="1068"/>
        <w:jc w:val="both"/>
        <w:rPr>
          <w:lang w:val="en-US"/>
        </w:rPr>
      </w:pPr>
    </w:p>
    <w:p w14:paraId="62EFA39D" w14:textId="77777777" w:rsidR="00EB6647" w:rsidRPr="00F21707" w:rsidRDefault="00EB6647" w:rsidP="00EB6647">
      <w:pPr>
        <w:pStyle w:val="ListParagraph"/>
        <w:numPr>
          <w:ilvl w:val="0"/>
          <w:numId w:val="54"/>
        </w:numPr>
        <w:jc w:val="both"/>
        <w:rPr>
          <w:lang w:val="en-US"/>
        </w:rPr>
      </w:pPr>
      <w:r w:rsidRPr="00F21707">
        <w:rPr>
          <w:lang w:val="en-US"/>
        </w:rPr>
        <w:t>Is it possible to justify switches at the time of termination of the portfolio management agreement on the mere basis that existing products are not suited for positions in execution only?</w:t>
      </w:r>
    </w:p>
    <w:p w14:paraId="1E64A6B6" w14:textId="77777777" w:rsidR="00EB6647" w:rsidRPr="00F21707" w:rsidRDefault="00EB6647" w:rsidP="00EB6647">
      <w:pPr>
        <w:ind w:left="710"/>
        <w:jc w:val="both"/>
        <w:rPr>
          <w:lang w:val="en-US"/>
        </w:rPr>
      </w:pPr>
    </w:p>
    <w:p w14:paraId="165C6471" w14:textId="77777777" w:rsidR="00EB6647" w:rsidRPr="00F21707" w:rsidRDefault="00EB6647" w:rsidP="00EB6647">
      <w:pPr>
        <w:ind w:left="708"/>
        <w:rPr>
          <w:lang w:val="en-US"/>
        </w:rPr>
      </w:pPr>
      <w:r w:rsidRPr="00F21707">
        <w:rPr>
          <w:lang w:val="en-US"/>
        </w:rPr>
        <w:t>B.3.  if and to what extent any practical guidance can be provided</w:t>
      </w:r>
    </w:p>
    <w:p w14:paraId="71861219" w14:textId="77777777" w:rsidR="00EB6647" w:rsidRPr="00F21707" w:rsidRDefault="00EB6647" w:rsidP="00EB6647">
      <w:pPr>
        <w:pStyle w:val="ListParagraph"/>
        <w:numPr>
          <w:ilvl w:val="0"/>
          <w:numId w:val="54"/>
        </w:numPr>
        <w:jc w:val="both"/>
        <w:rPr>
          <w:lang w:val="en-US"/>
        </w:rPr>
      </w:pPr>
      <w:r w:rsidRPr="00F21707">
        <w:rPr>
          <w:lang w:val="en-US"/>
        </w:rPr>
        <w:t>Do you agree that a switch is normally not envisaged if the client is holding sufficient amount of cash on its investor account, as the purchase advice would be more related to the allocation of the cash than on the reinvestment of the sale proceeds?</w:t>
      </w:r>
    </w:p>
    <w:p w14:paraId="3F713B20" w14:textId="77777777" w:rsidR="00EB6647" w:rsidRPr="00F21707" w:rsidRDefault="00EB6647" w:rsidP="00EB6647">
      <w:pPr>
        <w:pStyle w:val="ListParagraph"/>
        <w:ind w:left="1068"/>
        <w:jc w:val="both"/>
        <w:rPr>
          <w:lang w:val="en-US"/>
        </w:rPr>
      </w:pPr>
    </w:p>
    <w:p w14:paraId="75F5FFC8" w14:textId="77777777" w:rsidR="00EB6647" w:rsidRPr="00F21707" w:rsidRDefault="00EB6647" w:rsidP="00EB6647">
      <w:pPr>
        <w:pStyle w:val="ListParagraph"/>
        <w:numPr>
          <w:ilvl w:val="0"/>
          <w:numId w:val="54"/>
        </w:numPr>
        <w:jc w:val="both"/>
        <w:rPr>
          <w:lang w:val="en-US"/>
        </w:rPr>
      </w:pPr>
      <w:r w:rsidRPr="00F21707">
        <w:rPr>
          <w:lang w:val="en-US"/>
        </w:rPr>
        <w:t xml:space="preserve">Are switches only or primarily focused on the full reinvestment of the net proceeds of the sale transaction? </w:t>
      </w:r>
    </w:p>
    <w:p w14:paraId="79628E98" w14:textId="77777777" w:rsidR="00EB6647" w:rsidRPr="00F21707" w:rsidRDefault="00EB6647" w:rsidP="00EB6647">
      <w:pPr>
        <w:pStyle w:val="ListParagraph"/>
        <w:ind w:left="1068"/>
        <w:jc w:val="both"/>
        <w:rPr>
          <w:lang w:val="en-US"/>
        </w:rPr>
      </w:pPr>
    </w:p>
    <w:p w14:paraId="55054FA2" w14:textId="77777777" w:rsidR="00EB6647" w:rsidRPr="00F21707" w:rsidRDefault="00EB6647" w:rsidP="00EB6647">
      <w:pPr>
        <w:pStyle w:val="ListParagraph"/>
        <w:numPr>
          <w:ilvl w:val="0"/>
          <w:numId w:val="54"/>
        </w:numPr>
        <w:jc w:val="both"/>
        <w:rPr>
          <w:lang w:val="en-US"/>
        </w:rPr>
      </w:pPr>
      <w:r w:rsidRPr="00F21707">
        <w:rPr>
          <w:lang w:val="en-US"/>
        </w:rPr>
        <w:t xml:space="preserve">Do we understand the new Supporting Guideline §97 correctly if we consider that it only applies when the firm recommends the switch, which does not seem to apply to one or more reactive investment advices that do not endorse the switch or that do not request advice on a switch itself? </w:t>
      </w:r>
    </w:p>
    <w:p w14:paraId="47CCE1C7" w14:textId="77777777" w:rsidR="00EB6647" w:rsidRPr="00F21707" w:rsidRDefault="00EB6647" w:rsidP="00EB6647">
      <w:pPr>
        <w:pStyle w:val="ListParagraph"/>
        <w:rPr>
          <w:lang w:val="en-US"/>
        </w:rPr>
      </w:pPr>
    </w:p>
    <w:p w14:paraId="19FE66A9" w14:textId="77777777" w:rsidR="00EB6647" w:rsidRPr="00F21707" w:rsidRDefault="00EB6647" w:rsidP="00EB6647">
      <w:pPr>
        <w:pStyle w:val="ListParagraph"/>
        <w:numPr>
          <w:ilvl w:val="0"/>
          <w:numId w:val="54"/>
        </w:numPr>
        <w:jc w:val="both"/>
        <w:rPr>
          <w:lang w:val="en-US"/>
        </w:rPr>
      </w:pPr>
      <w:r w:rsidRPr="00F21707">
        <w:rPr>
          <w:lang w:val="en-US"/>
        </w:rPr>
        <w:t xml:space="preserve">We think the new Supporting Guideline should not apply to any ad hoc investment advice on a sale transaction, unless this (initial) sale advice already envisages the actual selection of an alternative reinvestment? </w:t>
      </w:r>
    </w:p>
    <w:p w14:paraId="4FB5334A" w14:textId="77777777" w:rsidR="00EB6647" w:rsidRPr="00F21707" w:rsidRDefault="00EB6647" w:rsidP="00EB6647">
      <w:pPr>
        <w:pStyle w:val="ListParagraph"/>
        <w:rPr>
          <w:lang w:val="en-US"/>
        </w:rPr>
      </w:pPr>
    </w:p>
    <w:p w14:paraId="757D8C2D" w14:textId="77777777" w:rsidR="00EB6647" w:rsidRPr="00F21707" w:rsidRDefault="00EB6647" w:rsidP="00EB6647">
      <w:pPr>
        <w:pStyle w:val="ListParagraph"/>
        <w:numPr>
          <w:ilvl w:val="0"/>
          <w:numId w:val="54"/>
        </w:numPr>
        <w:jc w:val="both"/>
        <w:rPr>
          <w:lang w:val="en-US"/>
        </w:rPr>
      </w:pPr>
      <w:r w:rsidRPr="00F21707">
        <w:rPr>
          <w:lang w:val="en-US"/>
        </w:rPr>
        <w:t>A suitability report is a client-facing document that should highlight material aspects of the suitability considerations of the proposed transaction(s). It is not clear how all the assumptions underpinning an investment advice can be rendered sufficiently transparent and to what extent they affect the .</w:t>
      </w:r>
    </w:p>
    <w:p w14:paraId="6C778292" w14:textId="77777777" w:rsidR="00EB6647" w:rsidRPr="00F21707" w:rsidRDefault="00EB6647" w:rsidP="00EB6647">
      <w:pPr>
        <w:pStyle w:val="ListParagraph"/>
        <w:rPr>
          <w:lang w:val="en-US"/>
        </w:rPr>
      </w:pPr>
    </w:p>
    <w:p w14:paraId="3FD90E5B" w14:textId="77777777" w:rsidR="00EB6647" w:rsidRPr="00F21707" w:rsidRDefault="00EB6647" w:rsidP="00EB6647">
      <w:pPr>
        <w:pStyle w:val="ListParagraph"/>
        <w:numPr>
          <w:ilvl w:val="0"/>
          <w:numId w:val="54"/>
        </w:numPr>
        <w:jc w:val="both"/>
        <w:rPr>
          <w:lang w:val="en-US"/>
        </w:rPr>
      </w:pPr>
      <w:r w:rsidRPr="00F21707">
        <w:rPr>
          <w:lang w:val="en-US"/>
        </w:rPr>
        <w:t>If the suitability report envisages the entire reallocation of  a client portfolio or a combination of multiple buy and sell orders at the same time, it is difficult to consider on an individual basis whether each sale transaction is individually linked to another purchase transaction. Can this mean that the justification of the costs and benefits are formulated from a “portfolio’ point of view ?</w:t>
      </w:r>
    </w:p>
    <w:p w14:paraId="05088185" w14:textId="77777777" w:rsidR="00EB6647" w:rsidRDefault="00EB6647" w:rsidP="00EB6647">
      <w:pPr>
        <w:ind w:left="708"/>
        <w:jc w:val="both"/>
        <w:rPr>
          <w:color w:val="92D050"/>
          <w:lang w:val="en-US"/>
        </w:rPr>
      </w:pPr>
    </w:p>
    <w:p w14:paraId="325D713B" w14:textId="77777777" w:rsidR="00EB6647" w:rsidRPr="00F21707" w:rsidRDefault="00EB6647" w:rsidP="00EB6647">
      <w:pPr>
        <w:jc w:val="both"/>
        <w:rPr>
          <w:lang w:val="en-US"/>
        </w:rPr>
      </w:pPr>
      <w:r w:rsidRPr="00F21707">
        <w:rPr>
          <w:lang w:val="en-US"/>
        </w:rPr>
        <w:t xml:space="preserve">2)  Should the new Supporting Guideline N°97 not be further aligned with the wording in the General Guideline n°10? </w:t>
      </w:r>
    </w:p>
    <w:p w14:paraId="64C4207B" w14:textId="67D06D11" w:rsidR="00FD268B" w:rsidRPr="00E52574" w:rsidRDefault="00EB6647" w:rsidP="00EB6647">
      <w:pPr>
        <w:jc w:val="both"/>
        <w:rPr>
          <w:lang w:val="en-US"/>
        </w:rPr>
      </w:pPr>
      <w:r w:rsidRPr="00F21707">
        <w:rPr>
          <w:lang w:val="en-US"/>
        </w:rPr>
        <w:t xml:space="preserve">The </w:t>
      </w:r>
      <w:r w:rsidRPr="00F21707">
        <w:rPr>
          <w:u w:val="single"/>
          <w:lang w:val="en-US"/>
        </w:rPr>
        <w:t>reasonableness</w:t>
      </w:r>
      <w:r w:rsidRPr="00F21707">
        <w:rPr>
          <w:lang w:val="en-US"/>
        </w:rPr>
        <w:t xml:space="preserve"> of the assessment and the </w:t>
      </w:r>
      <w:r w:rsidRPr="00F21707">
        <w:rPr>
          <w:u w:val="single"/>
          <w:lang w:val="en-US"/>
        </w:rPr>
        <w:t>potentiality of the</w:t>
      </w:r>
      <w:r w:rsidRPr="00F21707">
        <w:rPr>
          <w:lang w:val="en-US"/>
        </w:rPr>
        <w:t xml:space="preserve"> benefits of the switch in the Supporting Guideline are currently not referenced in the Supporting Guideline n°97</w:t>
      </w:r>
      <w:r w:rsidR="00F21707" w:rsidRPr="00F21707">
        <w:rPr>
          <w:lang w:val="en-US"/>
        </w:rPr>
        <w:t xml:space="preserve"> and should in our view</w:t>
      </w:r>
      <w:r w:rsidR="00667A5D">
        <w:rPr>
          <w:lang w:val="en-US"/>
        </w:rPr>
        <w:t xml:space="preserve"> even</w:t>
      </w:r>
      <w:r w:rsidR="00F21707" w:rsidRPr="00F21707">
        <w:rPr>
          <w:lang w:val="en-US"/>
        </w:rPr>
        <w:t xml:space="preserve"> be emphasized</w:t>
      </w:r>
      <w:r w:rsidRPr="00F21707">
        <w:rPr>
          <w:lang w:val="en-US"/>
        </w:rPr>
        <w:t xml:space="preserve">. Given the fact that the ‘expected’ benefits may not be guaranteed, it should be clear that reasonable assumptions and/or their outcome may be affected by external factors or uncertainty and that an actual comparison with the costs of the switch may be difficult to demonstrate, let alone to clarify in any client document. </w:t>
      </w:r>
    </w:p>
    <w:p w14:paraId="513D7E45" w14:textId="77777777" w:rsidR="008F5EE4" w:rsidRPr="00F21707" w:rsidRDefault="008F5EE4" w:rsidP="00044FBC">
      <w:pPr>
        <w:jc w:val="both"/>
        <w:rPr>
          <w:lang w:val="en-US"/>
        </w:rPr>
      </w:pPr>
    </w:p>
    <w:p w14:paraId="2B650822" w14:textId="747A9B22" w:rsidR="003F2FF0" w:rsidRPr="00654DDB" w:rsidRDefault="008F5EE4" w:rsidP="00654DDB">
      <w:pPr>
        <w:pBdr>
          <w:top w:val="single" w:sz="4" w:space="1" w:color="auto"/>
          <w:left w:val="single" w:sz="4" w:space="4" w:color="auto"/>
          <w:bottom w:val="single" w:sz="4" w:space="1" w:color="auto"/>
          <w:right w:val="single" w:sz="4" w:space="4" w:color="auto"/>
        </w:pBdr>
        <w:shd w:val="clear" w:color="auto" w:fill="E2EFD9" w:themeFill="accent6" w:themeFillTint="33"/>
        <w:jc w:val="both"/>
        <w:rPr>
          <w:sz w:val="24"/>
          <w:szCs w:val="24"/>
          <w:u w:val="single"/>
          <w:lang w:val="en-US"/>
        </w:rPr>
      </w:pPr>
      <w:r w:rsidRPr="00654DDB">
        <w:rPr>
          <w:sz w:val="24"/>
          <w:szCs w:val="24"/>
          <w:u w:val="single"/>
          <w:lang w:val="en-US"/>
        </w:rPr>
        <w:t>G</w:t>
      </w:r>
      <w:r w:rsidR="00EA1E3F" w:rsidRPr="00654DDB">
        <w:rPr>
          <w:sz w:val="24"/>
          <w:szCs w:val="24"/>
          <w:u w:val="single"/>
          <w:lang w:val="en-US"/>
        </w:rPr>
        <w:t>uideline 11- qualifications of staff</w:t>
      </w:r>
    </w:p>
    <w:p w14:paraId="3922999B" w14:textId="62A494FB" w:rsidR="003F2FF0" w:rsidRPr="00161C59" w:rsidRDefault="00A13388" w:rsidP="00044FBC">
      <w:pPr>
        <w:jc w:val="both"/>
        <w:rPr>
          <w:i/>
          <w:iCs/>
          <w:sz w:val="20"/>
          <w:szCs w:val="20"/>
          <w:lang w:val="en-US"/>
        </w:rPr>
      </w:pPr>
      <w:r>
        <w:rPr>
          <w:i/>
          <w:iCs/>
          <w:sz w:val="20"/>
          <w:szCs w:val="20"/>
          <w:lang w:val="en-US"/>
        </w:rPr>
        <w:t xml:space="preserve">104. </w:t>
      </w:r>
      <w:r w:rsidR="003F2FF0" w:rsidRPr="00161C59">
        <w:rPr>
          <w:i/>
          <w:iCs/>
          <w:sz w:val="20"/>
          <w:szCs w:val="20"/>
          <w:lang w:val="en-US"/>
        </w:rPr>
        <w:t>Staff giving investment advice or information about financial instruments, structured deposits, investment services or ancillary services to clients on behalf of the firm (including when providing portfolio management) must possess the necessary knowledge and competence required under Article 25(1) of MiFID II (and specified further in ESMA Guidelines for the assessment of knowledge and competence), including with regard to the suitability assessment. Staff should also have the necessary knowledge and competence with regard to the criteria of the sustainability preferences as specified in Article 2(7) of the MiFID II Delegated Regulation and be able to explain to clients the different aspects in non-technical terms. To that effect, firms should give staff appropriate trainings.</w:t>
      </w:r>
    </w:p>
    <w:p w14:paraId="1BEB1EBD" w14:textId="260709A9" w:rsidR="003F2FF0" w:rsidRDefault="003F2FF0" w:rsidP="00044FBC">
      <w:pPr>
        <w:jc w:val="both"/>
        <w:rPr>
          <w:lang w:val="en-US"/>
        </w:rPr>
      </w:pPr>
    </w:p>
    <w:p w14:paraId="770A596E" w14:textId="2C66A676" w:rsidR="003F2FF0" w:rsidRPr="0070021C" w:rsidRDefault="00BC6BB7" w:rsidP="00044FBC">
      <w:pPr>
        <w:jc w:val="both"/>
        <w:rPr>
          <w:b/>
          <w:bCs/>
          <w:lang w:val="en-US"/>
        </w:rPr>
      </w:pPr>
      <w:r w:rsidRPr="0070021C">
        <w:rPr>
          <w:b/>
          <w:bCs/>
          <w:lang w:val="en-US"/>
        </w:rPr>
        <w:t xml:space="preserve">Q18. Do you agree with the </w:t>
      </w:r>
      <w:r w:rsidR="00EA2A7D" w:rsidRPr="0070021C">
        <w:rPr>
          <w:b/>
          <w:bCs/>
          <w:lang w:val="en-US"/>
        </w:rPr>
        <w:t xml:space="preserve">proposed amendment to supporting guideline 10? Please also state the </w:t>
      </w:r>
      <w:r w:rsidR="00E9317C" w:rsidRPr="0070021C">
        <w:rPr>
          <w:b/>
          <w:bCs/>
          <w:lang w:val="en-US"/>
        </w:rPr>
        <w:t>reasons for you</w:t>
      </w:r>
      <w:r w:rsidR="003964AE" w:rsidRPr="0070021C">
        <w:rPr>
          <w:b/>
          <w:bCs/>
          <w:lang w:val="en-US"/>
        </w:rPr>
        <w:t xml:space="preserve">r answer. </w:t>
      </w:r>
    </w:p>
    <w:p w14:paraId="5517A03F" w14:textId="78AAFFF1" w:rsidR="003F2FF0" w:rsidRDefault="006125C0" w:rsidP="00044FBC">
      <w:pPr>
        <w:jc w:val="both"/>
        <w:rPr>
          <w:lang w:val="en-US"/>
        </w:rPr>
      </w:pPr>
      <w:r>
        <w:rPr>
          <w:lang w:val="en-US"/>
        </w:rPr>
        <w:t>/</w:t>
      </w:r>
    </w:p>
    <w:p w14:paraId="022DF0CD" w14:textId="3CBC66D1" w:rsidR="006125C0" w:rsidRDefault="006125C0" w:rsidP="00044FBC">
      <w:pPr>
        <w:jc w:val="both"/>
        <w:rPr>
          <w:i/>
          <w:iCs/>
          <w:sz w:val="20"/>
          <w:szCs w:val="20"/>
          <w:lang w:val="en-US"/>
        </w:rPr>
      </w:pPr>
    </w:p>
    <w:p w14:paraId="22C13CC4" w14:textId="116B5601" w:rsidR="00077084" w:rsidRPr="00EF12AD" w:rsidRDefault="00077084" w:rsidP="00EF12AD">
      <w:pPr>
        <w:pBdr>
          <w:top w:val="single" w:sz="4" w:space="1" w:color="auto"/>
          <w:left w:val="single" w:sz="4" w:space="4" w:color="auto"/>
          <w:bottom w:val="single" w:sz="4" w:space="1" w:color="auto"/>
          <w:right w:val="single" w:sz="4" w:space="4" w:color="auto"/>
        </w:pBdr>
        <w:shd w:val="clear" w:color="auto" w:fill="E2EFD9" w:themeFill="accent6" w:themeFillTint="33"/>
        <w:jc w:val="both"/>
        <w:rPr>
          <w:sz w:val="24"/>
          <w:szCs w:val="24"/>
          <w:u w:val="single"/>
          <w:lang w:val="en-US"/>
        </w:rPr>
      </w:pPr>
      <w:r w:rsidRPr="00EF12AD">
        <w:rPr>
          <w:sz w:val="24"/>
          <w:szCs w:val="24"/>
          <w:u w:val="single"/>
          <w:lang w:val="en-US"/>
        </w:rPr>
        <w:t xml:space="preserve">Guideline 12 </w:t>
      </w:r>
      <w:r w:rsidR="00EF12AD" w:rsidRPr="00EF12AD">
        <w:rPr>
          <w:sz w:val="24"/>
          <w:szCs w:val="24"/>
          <w:u w:val="single"/>
          <w:lang w:val="en-US"/>
        </w:rPr>
        <w:t>–</w:t>
      </w:r>
      <w:r w:rsidRPr="00EF12AD">
        <w:rPr>
          <w:sz w:val="24"/>
          <w:szCs w:val="24"/>
          <w:u w:val="single"/>
          <w:lang w:val="en-US"/>
        </w:rPr>
        <w:t xml:space="preserve"> </w:t>
      </w:r>
      <w:r w:rsidR="00EF12AD">
        <w:rPr>
          <w:sz w:val="24"/>
          <w:szCs w:val="24"/>
          <w:u w:val="single"/>
          <w:lang w:val="en-US"/>
        </w:rPr>
        <w:t>r</w:t>
      </w:r>
      <w:r w:rsidR="00EF12AD" w:rsidRPr="00EF12AD">
        <w:rPr>
          <w:sz w:val="24"/>
          <w:szCs w:val="24"/>
          <w:u w:val="single"/>
          <w:lang w:val="en-US"/>
        </w:rPr>
        <w:t>ecord-keeping</w:t>
      </w:r>
    </w:p>
    <w:p w14:paraId="6100A46D" w14:textId="77777777" w:rsidR="00EB2C6C" w:rsidRDefault="006125C0" w:rsidP="00044FBC">
      <w:pPr>
        <w:jc w:val="both"/>
        <w:rPr>
          <w:i/>
          <w:iCs/>
          <w:sz w:val="20"/>
          <w:szCs w:val="20"/>
          <w:lang w:val="en-US"/>
        </w:rPr>
      </w:pPr>
      <w:r>
        <w:rPr>
          <w:i/>
          <w:iCs/>
          <w:sz w:val="20"/>
          <w:szCs w:val="20"/>
          <w:lang w:val="en-US"/>
        </w:rPr>
        <w:t xml:space="preserve">109. </w:t>
      </w:r>
      <w:r w:rsidR="003F2FF0" w:rsidRPr="0070021C">
        <w:rPr>
          <w:i/>
          <w:iCs/>
          <w:sz w:val="20"/>
          <w:szCs w:val="20"/>
          <w:lang w:val="en-US"/>
        </w:rPr>
        <w:t xml:space="preserve">Therefore, a firm is required to record all relevant information about the suitability assessment, such as information about the client (including how that information is used and interpreted to define the client’s risk profile), and information about financial instruments recommended to the client or purchased on the client’s behalf, as well as the suitability report provided to clients. Those records should include: </w:t>
      </w:r>
    </w:p>
    <w:p w14:paraId="4A37BAFC" w14:textId="65E8390A" w:rsidR="00EB2C6C" w:rsidRPr="00EB2C6C" w:rsidRDefault="003F2FF0" w:rsidP="00EB2C6C">
      <w:pPr>
        <w:pStyle w:val="ListParagraph"/>
        <w:numPr>
          <w:ilvl w:val="0"/>
          <w:numId w:val="2"/>
        </w:numPr>
        <w:jc w:val="both"/>
        <w:rPr>
          <w:i/>
          <w:iCs/>
          <w:sz w:val="20"/>
          <w:szCs w:val="20"/>
          <w:lang w:val="en-US"/>
        </w:rPr>
      </w:pPr>
      <w:r w:rsidRPr="00EB2C6C">
        <w:rPr>
          <w:i/>
          <w:iCs/>
          <w:sz w:val="20"/>
          <w:szCs w:val="20"/>
          <w:lang w:val="en-US"/>
        </w:rPr>
        <w:t xml:space="preserve">any changes made by the firm regarding the suitability assessment, in particular any change to the client’s investment risk profile; </w:t>
      </w:r>
    </w:p>
    <w:p w14:paraId="32359FBD" w14:textId="13DFBF39" w:rsidR="00EB2C6C" w:rsidRPr="00EB2C6C" w:rsidRDefault="003F2FF0" w:rsidP="00EB2C6C">
      <w:pPr>
        <w:pStyle w:val="ListParagraph"/>
        <w:numPr>
          <w:ilvl w:val="0"/>
          <w:numId w:val="2"/>
        </w:numPr>
        <w:jc w:val="both"/>
        <w:rPr>
          <w:i/>
          <w:iCs/>
          <w:sz w:val="20"/>
          <w:szCs w:val="20"/>
          <w:lang w:val="en-US"/>
        </w:rPr>
      </w:pPr>
      <w:r w:rsidRPr="00EB2C6C">
        <w:rPr>
          <w:i/>
          <w:iCs/>
          <w:sz w:val="20"/>
          <w:szCs w:val="20"/>
          <w:lang w:val="en-US"/>
        </w:rPr>
        <w:t xml:space="preserve">the types of financial instruments that fit that profile and the rationale for such an assessment, as well as any changes and the reasons for them. </w:t>
      </w:r>
    </w:p>
    <w:p w14:paraId="65A1A86F" w14:textId="4F5AA8B4" w:rsidR="003F2FF0" w:rsidRPr="00EB2C6C" w:rsidRDefault="003F2FF0" w:rsidP="00EB2C6C">
      <w:pPr>
        <w:pStyle w:val="ListParagraph"/>
        <w:numPr>
          <w:ilvl w:val="0"/>
          <w:numId w:val="2"/>
        </w:numPr>
        <w:jc w:val="both"/>
        <w:rPr>
          <w:i/>
          <w:iCs/>
          <w:sz w:val="20"/>
          <w:szCs w:val="20"/>
          <w:lang w:val="en-US"/>
        </w:rPr>
      </w:pPr>
      <w:r w:rsidRPr="00EB2C6C">
        <w:rPr>
          <w:i/>
          <w:iCs/>
          <w:sz w:val="20"/>
          <w:szCs w:val="20"/>
          <w:lang w:val="en-US"/>
        </w:rPr>
        <w:t xml:space="preserve">The situations where a client’s sustainability preferences are adapted in accordance with Article 54(10) of the MiFID II Delegated Regulation, </w:t>
      </w:r>
      <w:r w:rsidRPr="00C8309E">
        <w:rPr>
          <w:i/>
          <w:iCs/>
          <w:sz w:val="20"/>
          <w:szCs w:val="20"/>
          <w:u w:val="single"/>
          <w:lang w:val="en-US"/>
        </w:rPr>
        <w:t>including a clear explanation of the reasons for such adaption</w:t>
      </w:r>
      <w:r w:rsidRPr="00EB2C6C">
        <w:rPr>
          <w:i/>
          <w:iCs/>
          <w:sz w:val="20"/>
          <w:szCs w:val="20"/>
          <w:lang w:val="en-US"/>
        </w:rPr>
        <w:t>.</w:t>
      </w:r>
      <w:r w:rsidR="00BB51AA">
        <w:rPr>
          <w:i/>
          <w:iCs/>
          <w:sz w:val="20"/>
          <w:szCs w:val="20"/>
          <w:lang w:val="en-US"/>
        </w:rPr>
        <w:t xml:space="preserve"> (own underlining)</w:t>
      </w:r>
    </w:p>
    <w:p w14:paraId="009F42DC" w14:textId="58FF78D7" w:rsidR="003F2FF0" w:rsidRDefault="003F2FF0" w:rsidP="00044FBC">
      <w:pPr>
        <w:jc w:val="both"/>
        <w:rPr>
          <w:lang w:val="en-US"/>
        </w:rPr>
      </w:pPr>
    </w:p>
    <w:p w14:paraId="5BCBC704" w14:textId="32858168" w:rsidR="0049798D" w:rsidRPr="00594700" w:rsidRDefault="00594700" w:rsidP="00044FBC">
      <w:pPr>
        <w:jc w:val="both"/>
        <w:rPr>
          <w:b/>
          <w:bCs/>
          <w:lang w:val="en-US"/>
        </w:rPr>
      </w:pPr>
      <w:r>
        <w:rPr>
          <w:b/>
          <w:bCs/>
          <w:lang w:val="en-US"/>
        </w:rPr>
        <w:t xml:space="preserve">Q19. </w:t>
      </w:r>
      <w:r w:rsidR="0049798D" w:rsidRPr="00594700">
        <w:rPr>
          <w:b/>
          <w:bCs/>
          <w:lang w:val="en-US"/>
        </w:rPr>
        <w:t>Do you agree on the guidance provided on record keeping? Please also state the reasons for your answer.</w:t>
      </w:r>
    </w:p>
    <w:p w14:paraId="68976A06" w14:textId="75F978FA" w:rsidR="00B17C7A" w:rsidRPr="00E0405B" w:rsidRDefault="00D533E2" w:rsidP="63D6EC09">
      <w:pPr>
        <w:jc w:val="both"/>
        <w:rPr>
          <w:lang w:val="en-US"/>
        </w:rPr>
      </w:pPr>
      <w:r w:rsidRPr="63D6EC09">
        <w:rPr>
          <w:lang w:val="en-US"/>
        </w:rPr>
        <w:t>/</w:t>
      </w:r>
    </w:p>
    <w:p w14:paraId="6D95AEB4" w14:textId="77777777" w:rsidR="0077593B" w:rsidRPr="00E0405B" w:rsidRDefault="0077593B" w:rsidP="00044FBC">
      <w:pPr>
        <w:jc w:val="both"/>
        <w:rPr>
          <w:lang w:val="en-US"/>
        </w:rPr>
      </w:pPr>
    </w:p>
    <w:p w14:paraId="72D13733" w14:textId="0B177052" w:rsidR="0049798D" w:rsidRPr="00594700" w:rsidRDefault="00C317E6" w:rsidP="00044FBC">
      <w:pPr>
        <w:jc w:val="both"/>
        <w:rPr>
          <w:b/>
          <w:bCs/>
          <w:lang w:val="en-US"/>
        </w:rPr>
      </w:pPr>
      <w:r>
        <w:rPr>
          <w:b/>
          <w:bCs/>
          <w:lang w:val="en-US"/>
        </w:rPr>
        <w:t xml:space="preserve">Q20. </w:t>
      </w:r>
      <w:r w:rsidR="009672F1" w:rsidRPr="00594700">
        <w:rPr>
          <w:b/>
          <w:bCs/>
          <w:lang w:val="en-US"/>
        </w:rPr>
        <w:t>Do you agree on the alignment of the two sets of guidelines (where common provisions exist for the assessment of suitability and appropriateness)? Please also state the reasons for your answer.</w:t>
      </w:r>
    </w:p>
    <w:p w14:paraId="002E64FB" w14:textId="77777777" w:rsidR="00BA1F11" w:rsidRPr="00E52574" w:rsidRDefault="00BA1F11" w:rsidP="00BA1F11">
      <w:pPr>
        <w:jc w:val="both"/>
        <w:rPr>
          <w:lang w:val="en-US"/>
        </w:rPr>
      </w:pPr>
      <w:r w:rsidRPr="00E52574">
        <w:rPr>
          <w:lang w:val="en-US"/>
        </w:rPr>
        <w:t xml:space="preserve">The actual effectiveness and necessity of any additional changes to the existing suitability guidelines should be assessed on a case by case basis.   </w:t>
      </w:r>
    </w:p>
    <w:p w14:paraId="0EE49DD8" w14:textId="77777777" w:rsidR="00BA1F11" w:rsidRPr="00E52574" w:rsidRDefault="00BA1F11" w:rsidP="00BA1F11">
      <w:pPr>
        <w:jc w:val="both"/>
        <w:rPr>
          <w:lang w:val="en-US"/>
        </w:rPr>
      </w:pPr>
      <w:r w:rsidRPr="00E52574">
        <w:rPr>
          <w:lang w:val="en-US"/>
        </w:rPr>
        <w:t>Establishing a level playing field in this context is necessary, but only to the extent that common provisions apply for both the assessment of suitability and appropriateness. For instance when an alignment is established regarding the general principles related to the information requirements and reliability of information, the manner in which questions are formulated, the use of design features or the manner in which inconsistencies should be detected, staff training and record keeping.</w:t>
      </w:r>
    </w:p>
    <w:p w14:paraId="738824D5" w14:textId="77777777" w:rsidR="00BA1F11" w:rsidRPr="00E52574" w:rsidRDefault="00BA1F11" w:rsidP="00BA1F11">
      <w:pPr>
        <w:jc w:val="both"/>
        <w:rPr>
          <w:shd w:val="clear" w:color="auto" w:fill="FFFFFF"/>
          <w:lang w:val="en-US"/>
        </w:rPr>
      </w:pPr>
      <w:r w:rsidRPr="00E52574">
        <w:rPr>
          <w:lang w:val="en-US"/>
        </w:rPr>
        <w:t xml:space="preserve">The information to be collected about the elements mentioned in article 55 (1) of the Delegated Regulation (EU) 2017/565 may nevertheless differ, taking into account, when relevant, </w:t>
      </w:r>
      <w:r w:rsidRPr="00E52574">
        <w:rPr>
          <w:shd w:val="clear" w:color="auto" w:fill="FFFFFF"/>
          <w:lang w:val="en-US"/>
        </w:rPr>
        <w:t xml:space="preserve">the nature of the client, the nature and extent of the service to be provided and the type of product or transaction envisaged, including their complexity and the risks involved. This is for instance relevant for the extent of information collected about the client’s knowledge and experience (e.g. for portfolio management), the relevance and frequency of updating client information or the reliance on the product analysis conducted for the purpose of product governance requirements.  </w:t>
      </w:r>
    </w:p>
    <w:p w14:paraId="48FA04E2" w14:textId="77777777" w:rsidR="00BA1F11" w:rsidRPr="00E52574" w:rsidRDefault="00BA1F11" w:rsidP="00BA1F11">
      <w:pPr>
        <w:jc w:val="both"/>
        <w:rPr>
          <w:lang w:val="en-US"/>
        </w:rPr>
      </w:pPr>
      <w:r w:rsidRPr="00E52574">
        <w:rPr>
          <w:shd w:val="clear" w:color="auto" w:fill="FFFFFF"/>
          <w:lang w:val="en-US"/>
        </w:rPr>
        <w:t xml:space="preserve">Rules applicable to the effectiveness of warnings or the matching of appropriate products may differ from the approach applied to the suitability context. </w:t>
      </w:r>
      <w:r w:rsidRPr="00E52574">
        <w:rPr>
          <w:lang w:val="en-US"/>
        </w:rPr>
        <w:t xml:space="preserve">A tendency for overregulation should be avoided. </w:t>
      </w:r>
    </w:p>
    <w:p w14:paraId="13105241" w14:textId="74304008" w:rsidR="003F2FF0" w:rsidRPr="007050B8" w:rsidRDefault="003F2FF0" w:rsidP="00044FBC">
      <w:pPr>
        <w:jc w:val="both"/>
        <w:rPr>
          <w:lang w:val="en-US"/>
        </w:rPr>
      </w:pPr>
    </w:p>
    <w:p w14:paraId="7A156A7D" w14:textId="0C3CDFA8" w:rsidR="003F2FF0" w:rsidRPr="00594700" w:rsidRDefault="00C317E6" w:rsidP="00044FBC">
      <w:pPr>
        <w:jc w:val="both"/>
        <w:rPr>
          <w:b/>
          <w:bCs/>
          <w:lang w:val="en-US"/>
        </w:rPr>
      </w:pPr>
      <w:r>
        <w:rPr>
          <w:b/>
          <w:bCs/>
          <w:lang w:val="en-US"/>
        </w:rPr>
        <w:t xml:space="preserve">Q21. </w:t>
      </w:r>
      <w:r w:rsidR="009672F1" w:rsidRPr="00594700">
        <w:rPr>
          <w:b/>
          <w:bCs/>
          <w:lang w:val="en-US"/>
        </w:rPr>
        <w:t>Do you have any further comment or input on the draft guidelines?</w:t>
      </w:r>
    </w:p>
    <w:p w14:paraId="1B5497A3" w14:textId="46DF001A" w:rsidR="0085116A" w:rsidRPr="00E52574" w:rsidRDefault="00040B4C" w:rsidP="00044FBC">
      <w:pPr>
        <w:jc w:val="both"/>
        <w:rPr>
          <w:lang w:val="en-US"/>
        </w:rPr>
      </w:pPr>
      <w:r w:rsidRPr="00E52574">
        <w:rPr>
          <w:lang w:val="en-US"/>
        </w:rPr>
        <w:t xml:space="preserve">We understand that a client’s sustainability preferences </w:t>
      </w:r>
      <w:r w:rsidR="00CB00EA" w:rsidRPr="00E52574">
        <w:rPr>
          <w:lang w:val="en-US"/>
        </w:rPr>
        <w:t xml:space="preserve">only need to be updated </w:t>
      </w:r>
      <w:r w:rsidR="0060205B" w:rsidRPr="00E52574">
        <w:rPr>
          <w:lang w:val="en-US"/>
        </w:rPr>
        <w:t>at the occasion of the update of the general MiFID profile.</w:t>
      </w:r>
    </w:p>
    <w:p w14:paraId="465DF1BF" w14:textId="7F323947" w:rsidR="00EF7612" w:rsidRDefault="00EF7612" w:rsidP="00044FBC">
      <w:pPr>
        <w:jc w:val="both"/>
        <w:rPr>
          <w:lang w:val="en-US"/>
        </w:rPr>
      </w:pPr>
    </w:p>
    <w:p w14:paraId="0D72123A" w14:textId="618DDCBA" w:rsidR="00EF7612" w:rsidRPr="00594700" w:rsidRDefault="00C317E6" w:rsidP="00044FBC">
      <w:pPr>
        <w:jc w:val="both"/>
        <w:rPr>
          <w:b/>
          <w:bCs/>
          <w:lang w:val="en-US"/>
        </w:rPr>
      </w:pPr>
      <w:r>
        <w:rPr>
          <w:b/>
          <w:bCs/>
          <w:lang w:val="en-US"/>
        </w:rPr>
        <w:t>Q</w:t>
      </w:r>
      <w:r w:rsidR="005828FC">
        <w:rPr>
          <w:b/>
          <w:bCs/>
          <w:lang w:val="en-US"/>
        </w:rPr>
        <w:t xml:space="preserve">22. </w:t>
      </w:r>
      <w:r w:rsidR="00EF7612" w:rsidRPr="00594700">
        <w:rPr>
          <w:b/>
          <w:bCs/>
          <w:lang w:val="en-US"/>
        </w:rPr>
        <w:t>Do you have any comment on the list of good and poor practices annexed to the guidelines?</w:t>
      </w:r>
    </w:p>
    <w:p w14:paraId="5A582B5D" w14:textId="77777777" w:rsidR="003E0841" w:rsidRPr="00E52574" w:rsidRDefault="003E0841" w:rsidP="003E0841">
      <w:pPr>
        <w:jc w:val="both"/>
        <w:rPr>
          <w:lang w:val="en-US"/>
        </w:rPr>
      </w:pPr>
      <w:r w:rsidRPr="00E52574">
        <w:rPr>
          <w:lang w:val="en-US"/>
        </w:rPr>
        <w:t>We believe the examples of good and bad practices are not sufficiently detailed, when it comes to examples or clarifications of how the suitability requirements for switches should be applied.</w:t>
      </w:r>
    </w:p>
    <w:p w14:paraId="03847631" w14:textId="77777777" w:rsidR="003E0841" w:rsidRPr="00E52574" w:rsidRDefault="003E0841" w:rsidP="003E0841">
      <w:pPr>
        <w:jc w:val="both"/>
        <w:rPr>
          <w:lang w:val="en-US"/>
        </w:rPr>
      </w:pPr>
      <w:r w:rsidRPr="00E52574">
        <w:rPr>
          <w:lang w:val="en-US"/>
        </w:rPr>
        <w:t>1) The practice to identify the expected (excess) return for a switch, is overly emphasizing the quantitative impact of the switch compared to its underlying assumptions and uncertainties. Supporting Guideline N°96 demonstrates that the benefits are not necessarily quantifiable, numeric or at least they cannot be easily or immediately quantified or compared with the switching costs. Only a limited number of circumstances can be identified in which the benefits undisputedly outweigh the costs of the switch: when the costs would excessively outweigh the potential benefits or where the probability of an acceptable benefit would be negligible compared to the level of switch costs or the underlying assumptions. How can you reasonably compare the transaction costs with a change in a client’s financial situation, risk appetite or ESG preferences, and/or with the preferred liquidity percentage in a portfolio approach or the estimated or recent changes in product and/or market volatility?</w:t>
      </w:r>
    </w:p>
    <w:p w14:paraId="0BB6DC64" w14:textId="77777777" w:rsidR="003E0841" w:rsidRPr="00E52574" w:rsidRDefault="003E0841" w:rsidP="003E0841">
      <w:pPr>
        <w:jc w:val="both"/>
        <w:rPr>
          <w:lang w:val="en-US"/>
        </w:rPr>
      </w:pPr>
      <w:r w:rsidRPr="00E52574">
        <w:rPr>
          <w:lang w:val="en-US"/>
        </w:rPr>
        <w:t>2) Poor practices that include references such as ‘excessive’ are not quite clear.</w:t>
      </w:r>
    </w:p>
    <w:p w14:paraId="0131B0B7" w14:textId="77777777" w:rsidR="003E0841" w:rsidRPr="00E52574" w:rsidRDefault="003E0841" w:rsidP="003E0841">
      <w:pPr>
        <w:jc w:val="both"/>
        <w:rPr>
          <w:lang w:val="en-US"/>
        </w:rPr>
      </w:pPr>
      <w:r w:rsidRPr="00E52574">
        <w:rPr>
          <w:lang w:val="en-US"/>
        </w:rPr>
        <w:t>3) The poor practice for identifying post factum any circumvention of the suitability guidelines related to switches should be reformulated, for the following reasons:</w:t>
      </w:r>
    </w:p>
    <w:p w14:paraId="6A54FB6C" w14:textId="77777777" w:rsidR="003E0841" w:rsidRPr="00E52574" w:rsidRDefault="003E0841" w:rsidP="003E0841">
      <w:pPr>
        <w:pStyle w:val="ListParagraph"/>
        <w:numPr>
          <w:ilvl w:val="0"/>
          <w:numId w:val="53"/>
        </w:numPr>
        <w:jc w:val="both"/>
        <w:rPr>
          <w:lang w:val="en-US"/>
        </w:rPr>
      </w:pPr>
      <w:r w:rsidRPr="00E52574">
        <w:rPr>
          <w:lang w:val="en-US"/>
        </w:rPr>
        <w:t>A poor practice could be inadequate training on or monitoring of staff’s compliance with internal instructions and procedures applicable to switches or lack of review of complaints in that respect.</w:t>
      </w:r>
    </w:p>
    <w:p w14:paraId="593E5F1C" w14:textId="77777777" w:rsidR="003E0841" w:rsidRPr="00E52574" w:rsidRDefault="003E0841" w:rsidP="003E0841">
      <w:pPr>
        <w:pStyle w:val="ListParagraph"/>
        <w:jc w:val="both"/>
        <w:rPr>
          <w:lang w:val="en-US"/>
        </w:rPr>
      </w:pPr>
      <w:r w:rsidRPr="00E52574">
        <w:rPr>
          <w:lang w:val="en-US"/>
        </w:rPr>
        <w:t xml:space="preserve"> </w:t>
      </w:r>
    </w:p>
    <w:p w14:paraId="48D3AAA9" w14:textId="77777777" w:rsidR="003E0841" w:rsidRPr="00E52574" w:rsidRDefault="003E0841" w:rsidP="003E0841">
      <w:pPr>
        <w:pStyle w:val="ListParagraph"/>
        <w:numPr>
          <w:ilvl w:val="0"/>
          <w:numId w:val="53"/>
        </w:numPr>
        <w:jc w:val="both"/>
        <w:rPr>
          <w:lang w:val="en-US"/>
        </w:rPr>
      </w:pPr>
      <w:r w:rsidRPr="00E52574">
        <w:rPr>
          <w:lang w:val="en-US"/>
        </w:rPr>
        <w:t>Whether or not indicators are relied on, such as the size of the transaction or the short timeframe in which transactions have occurred, is less relevant.  This puts a larger burden on certain types of (larger) firms, taking into account their internal organization, its nature and complexity.</w:t>
      </w:r>
    </w:p>
    <w:p w14:paraId="7B46E80A" w14:textId="77777777" w:rsidR="003E0841" w:rsidRPr="00E52574" w:rsidRDefault="003E0841" w:rsidP="003E0841">
      <w:pPr>
        <w:pStyle w:val="ListParagraph"/>
        <w:jc w:val="both"/>
        <w:rPr>
          <w:lang w:val="en-US"/>
        </w:rPr>
      </w:pPr>
      <w:r w:rsidRPr="00E52574">
        <w:rPr>
          <w:lang w:val="en-US"/>
        </w:rPr>
        <w:t xml:space="preserve"> </w:t>
      </w:r>
    </w:p>
    <w:p w14:paraId="6A40AEE2" w14:textId="77777777" w:rsidR="003E0841" w:rsidRPr="00E52574" w:rsidRDefault="003E0841" w:rsidP="003E0841">
      <w:pPr>
        <w:pStyle w:val="ListParagraph"/>
        <w:numPr>
          <w:ilvl w:val="0"/>
          <w:numId w:val="53"/>
        </w:numPr>
        <w:jc w:val="both"/>
        <w:rPr>
          <w:lang w:val="en-US"/>
        </w:rPr>
      </w:pPr>
      <w:r w:rsidRPr="00E52574">
        <w:rPr>
          <w:lang w:val="en-US"/>
        </w:rPr>
        <w:t xml:space="preserve">The requirement to identify the costs and benefits of a switch is not intended to be carried out after an initial suitability assessment has been done. </w:t>
      </w:r>
    </w:p>
    <w:p w14:paraId="4E81F9A1" w14:textId="77777777" w:rsidR="003E0841" w:rsidRPr="00E52574" w:rsidRDefault="003E0841" w:rsidP="003E0841">
      <w:pPr>
        <w:pStyle w:val="ListParagraph"/>
        <w:jc w:val="both"/>
        <w:rPr>
          <w:lang w:val="en-US"/>
        </w:rPr>
      </w:pPr>
    </w:p>
    <w:p w14:paraId="6B52740C" w14:textId="722E3D0B" w:rsidR="003E0841" w:rsidRPr="00E52574" w:rsidRDefault="003E0841" w:rsidP="003E0841">
      <w:pPr>
        <w:pStyle w:val="ListParagraph"/>
        <w:jc w:val="both"/>
        <w:rPr>
          <w:lang w:val="en-US"/>
        </w:rPr>
      </w:pPr>
      <w:r w:rsidRPr="00E52574">
        <w:rPr>
          <w:lang w:val="en-US"/>
        </w:rPr>
        <w:t xml:space="preserve">If the investment firm or advisor is not informed, at the time of the initial sell advice, about the intention to reinvest the proceeds of the proposed sell transaction, on the one hand, and about </w:t>
      </w:r>
      <w:r w:rsidR="00F54F58">
        <w:rPr>
          <w:lang w:val="en-US"/>
        </w:rPr>
        <w:t xml:space="preserve">the </w:t>
      </w:r>
      <w:r w:rsidRPr="00E52574">
        <w:rPr>
          <w:lang w:val="en-US"/>
        </w:rPr>
        <w:t xml:space="preserve"> actual financial instrument in which a reinvestment is envisaged, on the other hand, it remains unlikely that any cost-benefit analysis could have been contemplated. No information would be available on</w:t>
      </w:r>
      <w:r w:rsidR="00914106">
        <w:rPr>
          <w:lang w:val="en-US"/>
        </w:rPr>
        <w:t xml:space="preserve"> the comparison bet</w:t>
      </w:r>
      <w:r w:rsidR="002D79D0">
        <w:rPr>
          <w:lang w:val="en-US"/>
        </w:rPr>
        <w:t>ween the switch</w:t>
      </w:r>
      <w:r w:rsidRPr="00E52574">
        <w:rPr>
          <w:lang w:val="en-US"/>
        </w:rPr>
        <w:t xml:space="preserve"> the costs and</w:t>
      </w:r>
      <w:r w:rsidR="002D79D0">
        <w:rPr>
          <w:lang w:val="en-US"/>
        </w:rPr>
        <w:t xml:space="preserve"> the</w:t>
      </w:r>
      <w:r w:rsidRPr="00E52574">
        <w:rPr>
          <w:lang w:val="en-US"/>
        </w:rPr>
        <w:t>/or reasonably expected return or any other benefit of the reinvestment</w:t>
      </w:r>
      <w:r w:rsidR="002D79D0">
        <w:rPr>
          <w:lang w:val="en-US"/>
        </w:rPr>
        <w:t xml:space="preserve">, on the one hand, and </w:t>
      </w:r>
      <w:proofErr w:type="spellStart"/>
      <w:r w:rsidR="002D79D0">
        <w:rPr>
          <w:lang w:val="en-US"/>
        </w:rPr>
        <w:t>maintening</w:t>
      </w:r>
      <w:proofErr w:type="spellEnd"/>
      <w:r w:rsidR="002D79D0">
        <w:rPr>
          <w:lang w:val="en-US"/>
        </w:rPr>
        <w:t xml:space="preserve"> a position in the already</w:t>
      </w:r>
      <w:r w:rsidR="006B3101">
        <w:rPr>
          <w:lang w:val="en-US"/>
        </w:rPr>
        <w:t xml:space="preserve"> sold financial instrument on the other hand</w:t>
      </w:r>
      <w:r w:rsidRPr="00E52574">
        <w:rPr>
          <w:lang w:val="en-US"/>
        </w:rPr>
        <w:t xml:space="preserve">.  </w:t>
      </w:r>
    </w:p>
    <w:p w14:paraId="553AD30A" w14:textId="77777777" w:rsidR="003E0841" w:rsidRPr="00E52574" w:rsidRDefault="003E0841" w:rsidP="003E0841">
      <w:pPr>
        <w:pStyle w:val="ListParagraph"/>
        <w:jc w:val="both"/>
        <w:rPr>
          <w:lang w:val="en-US"/>
        </w:rPr>
      </w:pPr>
    </w:p>
    <w:p w14:paraId="4CBF0903" w14:textId="77777777" w:rsidR="003E0841" w:rsidRPr="00E52574" w:rsidRDefault="003E0841" w:rsidP="003E0841">
      <w:pPr>
        <w:pStyle w:val="ListParagraph"/>
        <w:numPr>
          <w:ilvl w:val="0"/>
          <w:numId w:val="53"/>
        </w:numPr>
        <w:jc w:val="both"/>
        <w:rPr>
          <w:lang w:val="en-US"/>
        </w:rPr>
      </w:pPr>
      <w:r w:rsidRPr="00E52574">
        <w:rPr>
          <w:lang w:val="en-US"/>
        </w:rPr>
        <w:t xml:space="preserve">Subsequent controls as formulated by the poor practice could be overly burdensome </w:t>
      </w:r>
    </w:p>
    <w:p w14:paraId="57C9A4E2" w14:textId="77777777" w:rsidR="003E0841" w:rsidRPr="00E52574" w:rsidRDefault="003E0841" w:rsidP="003E0841">
      <w:pPr>
        <w:pStyle w:val="ListParagraph"/>
        <w:jc w:val="both"/>
        <w:rPr>
          <w:lang w:val="en-US"/>
        </w:rPr>
      </w:pPr>
    </w:p>
    <w:p w14:paraId="6DC76869" w14:textId="77777777" w:rsidR="003E0841" w:rsidRPr="00E52574" w:rsidRDefault="003E0841" w:rsidP="003E0841">
      <w:pPr>
        <w:pStyle w:val="ListParagraph"/>
        <w:numPr>
          <w:ilvl w:val="1"/>
          <w:numId w:val="53"/>
        </w:numPr>
        <w:jc w:val="both"/>
        <w:rPr>
          <w:lang w:val="en-US"/>
        </w:rPr>
      </w:pPr>
      <w:r w:rsidRPr="00E52574">
        <w:rPr>
          <w:lang w:val="en-US"/>
        </w:rPr>
        <w:t xml:space="preserve">Details about the motives of the reinvestment may simply not be available or may not have been recorded.  </w:t>
      </w:r>
    </w:p>
    <w:p w14:paraId="15FD7D15" w14:textId="77777777" w:rsidR="003E0841" w:rsidRPr="00E52574" w:rsidRDefault="003E0841" w:rsidP="003E0841">
      <w:pPr>
        <w:pStyle w:val="ListParagraph"/>
        <w:ind w:left="1440"/>
        <w:jc w:val="both"/>
        <w:rPr>
          <w:lang w:val="en-US"/>
        </w:rPr>
      </w:pPr>
    </w:p>
    <w:p w14:paraId="38B448B3" w14:textId="77777777" w:rsidR="003E0841" w:rsidRPr="00E52574" w:rsidRDefault="003E0841" w:rsidP="003E0841">
      <w:pPr>
        <w:pStyle w:val="ListParagraph"/>
        <w:numPr>
          <w:ilvl w:val="1"/>
          <w:numId w:val="53"/>
        </w:numPr>
        <w:jc w:val="both"/>
        <w:rPr>
          <w:lang w:val="en-US"/>
        </w:rPr>
      </w:pPr>
      <w:r w:rsidRPr="00E52574">
        <w:rPr>
          <w:lang w:val="en-US"/>
        </w:rPr>
        <w:t xml:space="preserve">What is, objectively spoken, a short time frame for these controls? </w:t>
      </w:r>
    </w:p>
    <w:p w14:paraId="7755CC19" w14:textId="77777777" w:rsidR="003E0841" w:rsidRPr="00E52574" w:rsidRDefault="003E0841" w:rsidP="003E0841">
      <w:pPr>
        <w:pStyle w:val="ListParagraph"/>
        <w:ind w:left="1080"/>
        <w:jc w:val="both"/>
        <w:rPr>
          <w:lang w:val="en-US"/>
        </w:rPr>
      </w:pPr>
    </w:p>
    <w:p w14:paraId="3183C974" w14:textId="77777777" w:rsidR="003E0841" w:rsidRPr="00E52574" w:rsidRDefault="003E0841" w:rsidP="003E0841">
      <w:pPr>
        <w:pStyle w:val="ListParagraph"/>
        <w:numPr>
          <w:ilvl w:val="1"/>
          <w:numId w:val="53"/>
        </w:numPr>
        <w:jc w:val="both"/>
        <w:rPr>
          <w:lang w:val="en-US"/>
        </w:rPr>
      </w:pPr>
      <w:r w:rsidRPr="00E52574">
        <w:rPr>
          <w:lang w:val="en-US"/>
        </w:rPr>
        <w:t>Article 25 (2) of MiFID nor the definition of a switch introduced by Directive (EU) 2021/338  states that the size of the subsequent transaction has to be taken into account.</w:t>
      </w:r>
    </w:p>
    <w:p w14:paraId="27D4300C" w14:textId="77777777" w:rsidR="003E0841" w:rsidRPr="00E52574" w:rsidRDefault="003E0841" w:rsidP="003E0841">
      <w:pPr>
        <w:pStyle w:val="ListParagraph"/>
        <w:rPr>
          <w:lang w:val="en-US"/>
        </w:rPr>
      </w:pPr>
    </w:p>
    <w:p w14:paraId="12440C16" w14:textId="77777777" w:rsidR="003E0841" w:rsidRPr="00E52574" w:rsidRDefault="003E0841" w:rsidP="003E0841">
      <w:pPr>
        <w:pStyle w:val="ListParagraph"/>
        <w:numPr>
          <w:ilvl w:val="1"/>
          <w:numId w:val="53"/>
        </w:numPr>
        <w:jc w:val="both"/>
        <w:rPr>
          <w:lang w:val="en-US"/>
        </w:rPr>
      </w:pPr>
      <w:r w:rsidRPr="00E52574">
        <w:rPr>
          <w:lang w:val="en-US"/>
        </w:rPr>
        <w:t xml:space="preserve">Retail investors may be triggered by inflation risk, in order to reinvest the proceeds of a previous transaction within a reasonable timeframe. </w:t>
      </w:r>
    </w:p>
    <w:p w14:paraId="227D1E17" w14:textId="3CD40C22" w:rsidR="007728E2" w:rsidRDefault="007728E2" w:rsidP="00836792">
      <w:pPr>
        <w:rPr>
          <w:lang w:val="en-US"/>
        </w:rPr>
      </w:pPr>
      <w:r>
        <w:rPr>
          <w:lang w:val="en-US"/>
        </w:rPr>
        <w:t>4)  equivalent products</w:t>
      </w:r>
    </w:p>
    <w:p w14:paraId="34F82AB4" w14:textId="77777777" w:rsidR="007728E2" w:rsidRDefault="007728E2" w:rsidP="007728E2">
      <w:pPr>
        <w:ind w:left="708"/>
        <w:rPr>
          <w:i/>
          <w:iCs/>
          <w:lang w:val="en-US"/>
        </w:rPr>
      </w:pPr>
      <w:r>
        <w:rPr>
          <w:i/>
          <w:iCs/>
          <w:lang w:val="en-US"/>
        </w:rPr>
        <w:t>Amended DR article 54.9. “Investment firms shall have in place, and be able to demonstrate that they have in place, adequate policies and procedures to ensure that they understand the nature features, including costs and risks of investment services and financial instruments selected for their clients, including any sustainability factors, and that they assess, while taking into account cost and complexity, whether equivalent investment services or financial instruments can meet their client’s profile.”</w:t>
      </w:r>
    </w:p>
    <w:p w14:paraId="2F8B1DC6" w14:textId="77777777" w:rsidR="007728E2" w:rsidRDefault="007728E2" w:rsidP="007728E2">
      <w:pPr>
        <w:rPr>
          <w:lang w:val="en-US"/>
        </w:rPr>
      </w:pPr>
      <w:r>
        <w:rPr>
          <w:lang w:val="en-US"/>
        </w:rPr>
        <w:t xml:space="preserve">In the public statement </w:t>
      </w:r>
      <w:hyperlink r:id="rId11" w:history="1">
        <w:r>
          <w:rPr>
            <w:rStyle w:val="Hyperlink"/>
            <w:lang w:val="en-US"/>
          </w:rPr>
          <w:t>esma35-43-2748_public_statement_on_2020_csa_on_suitability.pdf (europa.eu)</w:t>
        </w:r>
      </w:hyperlink>
      <w:r>
        <w:rPr>
          <w:lang w:val="en-US"/>
        </w:rPr>
        <w:t xml:space="preserve"> , ESMA also noticed some shortcomings in this area (main finding 9.), but no specific guideline or clarification is foreseen. </w:t>
      </w:r>
    </w:p>
    <w:p w14:paraId="0701FB5E" w14:textId="77777777" w:rsidR="007728E2" w:rsidRDefault="007728E2" w:rsidP="007728E2">
      <w:pPr>
        <w:rPr>
          <w:lang w:val="en-US"/>
        </w:rPr>
      </w:pPr>
      <w:r>
        <w:rPr>
          <w:lang w:val="en-US"/>
        </w:rPr>
        <w:t xml:space="preserve">It remains difficult today to have a common understanding of what are exactly “equivalent products”. </w:t>
      </w:r>
    </w:p>
    <w:p w14:paraId="35978BA0" w14:textId="77777777" w:rsidR="007728E2" w:rsidRPr="00D40DEE" w:rsidRDefault="007728E2" w:rsidP="00044FBC">
      <w:pPr>
        <w:jc w:val="both"/>
        <w:rPr>
          <w:lang w:val="en-US"/>
        </w:rPr>
      </w:pPr>
    </w:p>
    <w:p w14:paraId="59B8F551" w14:textId="27A813D9" w:rsidR="00C317E6" w:rsidRDefault="00C317E6" w:rsidP="00044FBC">
      <w:pPr>
        <w:jc w:val="both"/>
        <w:rPr>
          <w:lang w:val="en-US"/>
        </w:rPr>
      </w:pPr>
    </w:p>
    <w:p w14:paraId="760E2320" w14:textId="579E38DD" w:rsidR="00C317E6" w:rsidRPr="005828FC" w:rsidRDefault="005828FC" w:rsidP="00044FBC">
      <w:pPr>
        <w:jc w:val="both"/>
        <w:rPr>
          <w:b/>
          <w:bCs/>
          <w:lang w:val="en-US"/>
        </w:rPr>
      </w:pPr>
      <w:r w:rsidRPr="005828FC">
        <w:rPr>
          <w:b/>
          <w:bCs/>
          <w:lang w:val="en-US"/>
        </w:rPr>
        <w:t>Q23. What level of resources (financial and other) would be required to implement and comply with the guidelines (</w:t>
      </w:r>
      <w:proofErr w:type="spellStart"/>
      <w:r w:rsidRPr="005828FC">
        <w:rPr>
          <w:b/>
          <w:bCs/>
          <w:lang w:val="en-US"/>
        </w:rPr>
        <w:t>organisational</w:t>
      </w:r>
      <w:proofErr w:type="spellEnd"/>
      <w:r w:rsidRPr="005828FC">
        <w:rPr>
          <w:b/>
          <w:bCs/>
          <w:lang w:val="en-US"/>
        </w:rPr>
        <w:t xml:space="preserve">, IT costs, training costs, staff costs, etc., differentiated between one off and ongoing costs)? When answering this question, please also provide information about the size, internal </w:t>
      </w:r>
      <w:proofErr w:type="spellStart"/>
      <w:r w:rsidRPr="005828FC">
        <w:rPr>
          <w:b/>
          <w:bCs/>
          <w:lang w:val="en-US"/>
        </w:rPr>
        <w:t>organisation</w:t>
      </w:r>
      <w:proofErr w:type="spellEnd"/>
      <w:r w:rsidRPr="005828FC">
        <w:rPr>
          <w:b/>
          <w:bCs/>
          <w:lang w:val="en-US"/>
        </w:rPr>
        <w:t xml:space="preserve"> and the nature, scale and complexity of the activities of your institution, where relevant.</w:t>
      </w:r>
    </w:p>
    <w:p w14:paraId="53008D66" w14:textId="0C0E376A" w:rsidR="00C317E6" w:rsidRPr="00E52574" w:rsidRDefault="000C5202" w:rsidP="00044FBC">
      <w:pPr>
        <w:jc w:val="both"/>
        <w:rPr>
          <w:u w:val="single"/>
          <w:lang w:val="en-US"/>
        </w:rPr>
      </w:pPr>
      <w:r w:rsidRPr="00E52574">
        <w:rPr>
          <w:u w:val="single"/>
          <w:lang w:val="en-US"/>
        </w:rPr>
        <w:t>Some costs:</w:t>
      </w:r>
    </w:p>
    <w:p w14:paraId="6A25F8E7" w14:textId="3E2FBC50" w:rsidR="00A22B71" w:rsidRPr="00E52574" w:rsidRDefault="7631B75F" w:rsidP="2B785AA1">
      <w:pPr>
        <w:pStyle w:val="ListParagraph"/>
        <w:numPr>
          <w:ilvl w:val="0"/>
          <w:numId w:val="35"/>
        </w:numPr>
        <w:jc w:val="both"/>
        <w:rPr>
          <w:rFonts w:eastAsiaTheme="minorEastAsia"/>
          <w:lang w:val="en-US"/>
        </w:rPr>
      </w:pPr>
      <w:r w:rsidRPr="00E52574">
        <w:rPr>
          <w:lang w:val="en-US"/>
        </w:rPr>
        <w:t xml:space="preserve">Extra time to </w:t>
      </w:r>
      <w:r w:rsidR="04924AF4" w:rsidRPr="00E52574">
        <w:rPr>
          <w:lang w:val="en-US"/>
        </w:rPr>
        <w:t xml:space="preserve">explain &amp; gather </w:t>
      </w:r>
      <w:proofErr w:type="spellStart"/>
      <w:r w:rsidR="55D1B3B3" w:rsidRPr="00E52574">
        <w:rPr>
          <w:lang w:val="en-US"/>
        </w:rPr>
        <w:t>sustaianbility</w:t>
      </w:r>
      <w:proofErr w:type="spellEnd"/>
      <w:r w:rsidR="55D1B3B3" w:rsidRPr="00E52574">
        <w:rPr>
          <w:lang w:val="en-US"/>
        </w:rPr>
        <w:t xml:space="preserve"> </w:t>
      </w:r>
      <w:r w:rsidR="7923C9BA" w:rsidRPr="00E52574">
        <w:rPr>
          <w:lang w:val="en-US"/>
        </w:rPr>
        <w:t>preferences</w:t>
      </w:r>
    </w:p>
    <w:p w14:paraId="6EA11A4C" w14:textId="6EA86C01" w:rsidR="00A53E3E" w:rsidRPr="00E52574" w:rsidRDefault="4E28895D" w:rsidP="2B785AA1">
      <w:pPr>
        <w:pStyle w:val="ListParagraph"/>
        <w:numPr>
          <w:ilvl w:val="0"/>
          <w:numId w:val="35"/>
        </w:numPr>
        <w:jc w:val="both"/>
        <w:rPr>
          <w:lang w:val="en-US"/>
        </w:rPr>
      </w:pPr>
      <w:r w:rsidRPr="00E52574">
        <w:rPr>
          <w:lang w:val="en-US"/>
        </w:rPr>
        <w:t>Integrate sustainability preferences</w:t>
      </w:r>
      <w:r w:rsidR="4D5544D5" w:rsidRPr="00E52574">
        <w:rPr>
          <w:lang w:val="en-US"/>
        </w:rPr>
        <w:t xml:space="preserve"> for existing clients</w:t>
      </w:r>
    </w:p>
    <w:p w14:paraId="16163413" w14:textId="2DE251B7" w:rsidR="00A05532" w:rsidRPr="00E52574" w:rsidRDefault="44D8D5F7" w:rsidP="2B785AA1">
      <w:pPr>
        <w:pStyle w:val="ListParagraph"/>
        <w:numPr>
          <w:ilvl w:val="0"/>
          <w:numId w:val="35"/>
        </w:numPr>
        <w:jc w:val="both"/>
        <w:rPr>
          <w:lang w:val="en-US"/>
        </w:rPr>
      </w:pPr>
      <w:r w:rsidRPr="00E52574">
        <w:rPr>
          <w:lang w:val="en-US"/>
        </w:rPr>
        <w:t>Cost new questionna</w:t>
      </w:r>
      <w:r w:rsidR="00836792" w:rsidRPr="00E52574">
        <w:rPr>
          <w:lang w:val="en-US"/>
        </w:rPr>
        <w:t>ire</w:t>
      </w:r>
      <w:r w:rsidRPr="00E52574">
        <w:rPr>
          <w:lang w:val="en-US"/>
        </w:rPr>
        <w:t xml:space="preserve"> </w:t>
      </w:r>
      <w:r w:rsidR="2141C901" w:rsidRPr="00E52574">
        <w:rPr>
          <w:lang w:val="en-US"/>
        </w:rPr>
        <w:t>in all services</w:t>
      </w:r>
    </w:p>
    <w:p w14:paraId="7D3DB49A" w14:textId="77777777" w:rsidR="0024729D" w:rsidRDefault="52212E14" w:rsidP="2B785AA1">
      <w:pPr>
        <w:pStyle w:val="ListParagraph"/>
        <w:numPr>
          <w:ilvl w:val="0"/>
          <w:numId w:val="35"/>
        </w:numPr>
        <w:jc w:val="both"/>
        <w:rPr>
          <w:lang w:val="en-US"/>
        </w:rPr>
      </w:pPr>
      <w:r w:rsidRPr="00E52574">
        <w:rPr>
          <w:lang w:val="en-US"/>
        </w:rPr>
        <w:t xml:space="preserve">Cost new suitability test in all </w:t>
      </w:r>
      <w:r w:rsidR="6081C1A8" w:rsidRPr="00E52574">
        <w:rPr>
          <w:lang w:val="en-US"/>
        </w:rPr>
        <w:t>services</w:t>
      </w:r>
      <w:r w:rsidR="00943C31" w:rsidRPr="00E52574">
        <w:rPr>
          <w:lang w:val="en-US"/>
        </w:rPr>
        <w:t xml:space="preserve">; </w:t>
      </w:r>
    </w:p>
    <w:p w14:paraId="010DFDCD" w14:textId="77777777" w:rsidR="0024729D" w:rsidRDefault="0024729D" w:rsidP="2B785AA1">
      <w:pPr>
        <w:pStyle w:val="ListParagraph"/>
        <w:numPr>
          <w:ilvl w:val="0"/>
          <w:numId w:val="35"/>
        </w:numPr>
        <w:jc w:val="both"/>
        <w:rPr>
          <w:lang w:val="en-US"/>
        </w:rPr>
      </w:pPr>
      <w:r>
        <w:rPr>
          <w:lang w:val="en-US"/>
        </w:rPr>
        <w:t>Develop internal trainings (commercial and non-commercial staff)</w:t>
      </w:r>
    </w:p>
    <w:p w14:paraId="6C3589A9" w14:textId="4B4B8834" w:rsidR="006C6D69" w:rsidRPr="00E52574" w:rsidRDefault="0024729D" w:rsidP="2B785AA1">
      <w:pPr>
        <w:pStyle w:val="ListParagraph"/>
        <w:numPr>
          <w:ilvl w:val="0"/>
          <w:numId w:val="35"/>
        </w:numPr>
        <w:jc w:val="both"/>
        <w:rPr>
          <w:lang w:val="en-US"/>
        </w:rPr>
      </w:pPr>
      <w:r>
        <w:rPr>
          <w:lang w:val="en-US"/>
        </w:rPr>
        <w:t>New information packages for clients (</w:t>
      </w:r>
      <w:r w:rsidR="00943C31" w:rsidRPr="00E52574">
        <w:rPr>
          <w:lang w:val="en-US"/>
        </w:rPr>
        <w:t>education client</w:t>
      </w:r>
      <w:r>
        <w:rPr>
          <w:lang w:val="en-US"/>
        </w:rPr>
        <w:t>)</w:t>
      </w:r>
    </w:p>
    <w:p w14:paraId="403C0EA0" w14:textId="612E8F8F" w:rsidR="00032C96" w:rsidRPr="00E52574" w:rsidRDefault="00032C96" w:rsidP="2B785AA1">
      <w:pPr>
        <w:pStyle w:val="ListParagraph"/>
        <w:numPr>
          <w:ilvl w:val="0"/>
          <w:numId w:val="35"/>
        </w:numPr>
        <w:jc w:val="both"/>
        <w:rPr>
          <w:lang w:val="en-US"/>
        </w:rPr>
      </w:pPr>
      <w:r w:rsidRPr="00E52574">
        <w:rPr>
          <w:lang w:val="en-US"/>
        </w:rPr>
        <w:t xml:space="preserve">Cost </w:t>
      </w:r>
      <w:r w:rsidR="00DB4BC6" w:rsidRPr="00E52574">
        <w:rPr>
          <w:lang w:val="en-US"/>
        </w:rPr>
        <w:t xml:space="preserve">(ongoing) </w:t>
      </w:r>
      <w:r w:rsidRPr="00E52574">
        <w:rPr>
          <w:lang w:val="en-US"/>
        </w:rPr>
        <w:t>suitability report</w:t>
      </w:r>
    </w:p>
    <w:p w14:paraId="013660E0" w14:textId="1951F3DC" w:rsidR="59DF29AE" w:rsidRPr="00E52574" w:rsidRDefault="59DF29AE" w:rsidP="2B785AA1">
      <w:pPr>
        <w:pStyle w:val="ListParagraph"/>
        <w:numPr>
          <w:ilvl w:val="0"/>
          <w:numId w:val="35"/>
        </w:numPr>
        <w:jc w:val="both"/>
        <w:rPr>
          <w:lang w:val="en-US"/>
        </w:rPr>
      </w:pPr>
      <w:r w:rsidRPr="00E52574">
        <w:rPr>
          <w:lang w:val="en-US"/>
        </w:rPr>
        <w:t>Cost control</w:t>
      </w:r>
      <w:r w:rsidR="683FBD42" w:rsidRPr="00E52574">
        <w:rPr>
          <w:lang w:val="en-US"/>
        </w:rPr>
        <w:t xml:space="preserve"> preferences </w:t>
      </w:r>
      <w:r w:rsidR="0B91D34A" w:rsidRPr="00E52574">
        <w:rPr>
          <w:lang w:val="en-US"/>
        </w:rPr>
        <w:t xml:space="preserve">changes </w:t>
      </w:r>
      <w:proofErr w:type="spellStart"/>
      <w:r w:rsidR="0B91D34A" w:rsidRPr="00E52574">
        <w:rPr>
          <w:lang w:val="en-US"/>
        </w:rPr>
        <w:t>ect</w:t>
      </w:r>
      <w:proofErr w:type="spellEnd"/>
      <w:r w:rsidR="5CD13C09" w:rsidRPr="00E52574">
        <w:rPr>
          <w:lang w:val="en-US"/>
        </w:rPr>
        <w:t>.</w:t>
      </w:r>
    </w:p>
    <w:p w14:paraId="4680D87A" w14:textId="33B12042" w:rsidR="00CC25E3" w:rsidRPr="00E52574" w:rsidRDefault="78655676" w:rsidP="2B785AA1">
      <w:pPr>
        <w:pStyle w:val="ListParagraph"/>
        <w:numPr>
          <w:ilvl w:val="0"/>
          <w:numId w:val="35"/>
        </w:numPr>
        <w:jc w:val="both"/>
        <w:rPr>
          <w:lang w:val="en-US"/>
        </w:rPr>
      </w:pPr>
      <w:r w:rsidRPr="00E52574">
        <w:rPr>
          <w:lang w:val="en-US"/>
        </w:rPr>
        <w:t xml:space="preserve">Align DPM with </w:t>
      </w:r>
      <w:r w:rsidR="6DCA19C5" w:rsidRPr="00E52574">
        <w:rPr>
          <w:lang w:val="en-US"/>
        </w:rPr>
        <w:t>SFDR</w:t>
      </w:r>
      <w:r w:rsidR="64D42E92" w:rsidRPr="00E52574">
        <w:rPr>
          <w:lang w:val="en-US"/>
        </w:rPr>
        <w:t xml:space="preserve"> + </w:t>
      </w:r>
      <w:r w:rsidR="2B785AA1" w:rsidRPr="00E52574">
        <w:rPr>
          <w:lang w:val="en-US"/>
        </w:rPr>
        <w:t xml:space="preserve">ongoing </w:t>
      </w:r>
      <w:proofErr w:type="spellStart"/>
      <w:r w:rsidR="2B785AA1" w:rsidRPr="00E52574">
        <w:rPr>
          <w:lang w:val="en-US"/>
        </w:rPr>
        <w:t>reportings</w:t>
      </w:r>
      <w:proofErr w:type="spellEnd"/>
      <w:r w:rsidR="2B785AA1" w:rsidRPr="00E52574">
        <w:rPr>
          <w:lang w:val="en-US"/>
        </w:rPr>
        <w:t xml:space="preserve"> SFDR</w:t>
      </w:r>
    </w:p>
    <w:p w14:paraId="2404A22D" w14:textId="2392AEB3" w:rsidR="6DCA19C5" w:rsidRPr="00E52574" w:rsidRDefault="41FB94E0" w:rsidP="2B785AA1">
      <w:pPr>
        <w:pStyle w:val="ListParagraph"/>
        <w:numPr>
          <w:ilvl w:val="0"/>
          <w:numId w:val="35"/>
        </w:numPr>
        <w:jc w:val="both"/>
        <w:rPr>
          <w:lang w:val="en-US"/>
        </w:rPr>
      </w:pPr>
      <w:r w:rsidRPr="00E52574">
        <w:rPr>
          <w:lang w:val="en-US"/>
        </w:rPr>
        <w:t>Other elements (risk</w:t>
      </w:r>
      <w:r w:rsidR="3F634AB8" w:rsidRPr="00E52574">
        <w:rPr>
          <w:lang w:val="en-US"/>
        </w:rPr>
        <w:t xml:space="preserve">; </w:t>
      </w:r>
      <w:proofErr w:type="spellStart"/>
      <w:r w:rsidR="64D42E92" w:rsidRPr="00E52574">
        <w:rPr>
          <w:lang w:val="en-US"/>
        </w:rPr>
        <w:t>organisation</w:t>
      </w:r>
      <w:proofErr w:type="spellEnd"/>
      <w:r w:rsidRPr="00E52574">
        <w:rPr>
          <w:lang w:val="en-US"/>
        </w:rPr>
        <w:t xml:space="preserve"> </w:t>
      </w:r>
      <w:proofErr w:type="spellStart"/>
      <w:r w:rsidRPr="00E52574">
        <w:rPr>
          <w:lang w:val="en-US"/>
        </w:rPr>
        <w:t>ect</w:t>
      </w:r>
      <w:proofErr w:type="spellEnd"/>
      <w:r w:rsidR="654DAAE7" w:rsidRPr="00E52574">
        <w:rPr>
          <w:lang w:val="en-US"/>
        </w:rPr>
        <w:t>.?)</w:t>
      </w:r>
    </w:p>
    <w:p w14:paraId="4D44D4B4" w14:textId="69ED75D8" w:rsidR="00EC1D17" w:rsidRPr="00E52574" w:rsidRDefault="00EC1D17" w:rsidP="2B785AA1">
      <w:pPr>
        <w:pStyle w:val="ListParagraph"/>
        <w:numPr>
          <w:ilvl w:val="0"/>
          <w:numId w:val="35"/>
        </w:numPr>
        <w:jc w:val="both"/>
        <w:rPr>
          <w:lang w:val="en-US"/>
        </w:rPr>
      </w:pPr>
      <w:r w:rsidRPr="00E52574">
        <w:rPr>
          <w:lang w:val="en-US"/>
        </w:rPr>
        <w:t>Cost of storage</w:t>
      </w:r>
    </w:p>
    <w:p w14:paraId="4CAADACD" w14:textId="474281DC" w:rsidR="00806E24" w:rsidRPr="00E52574" w:rsidRDefault="00806E24" w:rsidP="2B785AA1">
      <w:pPr>
        <w:pStyle w:val="ListParagraph"/>
        <w:numPr>
          <w:ilvl w:val="0"/>
          <w:numId w:val="35"/>
        </w:numPr>
        <w:jc w:val="both"/>
        <w:rPr>
          <w:lang w:val="en-US"/>
        </w:rPr>
      </w:pPr>
      <w:r w:rsidRPr="00E52574">
        <w:rPr>
          <w:lang w:val="en-US"/>
        </w:rPr>
        <w:t>Rebalancing</w:t>
      </w:r>
      <w:r w:rsidR="00943C31" w:rsidRPr="00E52574">
        <w:rPr>
          <w:lang w:val="en-US"/>
        </w:rPr>
        <w:t xml:space="preserve">; monitoring ESG </w:t>
      </w:r>
      <w:proofErr w:type="spellStart"/>
      <w:r w:rsidR="00943C31" w:rsidRPr="00E52574">
        <w:rPr>
          <w:lang w:val="en-US"/>
        </w:rPr>
        <w:t>subportfolio</w:t>
      </w:r>
      <w:proofErr w:type="spellEnd"/>
    </w:p>
    <w:p w14:paraId="335F3209" w14:textId="3BE5FE5F" w:rsidR="00BA0DC2" w:rsidRPr="00E52574" w:rsidRDefault="00BA0DC2" w:rsidP="2B785AA1">
      <w:pPr>
        <w:pStyle w:val="ListParagraph"/>
        <w:numPr>
          <w:ilvl w:val="0"/>
          <w:numId w:val="35"/>
        </w:numPr>
        <w:jc w:val="both"/>
        <w:rPr>
          <w:lang w:val="en-US"/>
        </w:rPr>
      </w:pPr>
      <w:r w:rsidRPr="00E52574">
        <w:rPr>
          <w:lang w:val="en-US"/>
        </w:rPr>
        <w:t xml:space="preserve">Cost of </w:t>
      </w:r>
      <w:r w:rsidR="00B30454" w:rsidRPr="00E52574">
        <w:rPr>
          <w:lang w:val="en-US"/>
        </w:rPr>
        <w:t>implementing changing laws (social taxonomy, potential impact on ‘sustainability preferences definition’ and  SFDR RTS)</w:t>
      </w:r>
      <w:r w:rsidR="00836792" w:rsidRPr="00E52574">
        <w:rPr>
          <w:lang w:val="en-US"/>
        </w:rPr>
        <w:t xml:space="preserve">; </w:t>
      </w:r>
    </w:p>
    <w:p w14:paraId="72C08AC9" w14:textId="5F9922E0" w:rsidR="008974FF" w:rsidRPr="00E52574" w:rsidRDefault="008974FF" w:rsidP="00F21707">
      <w:pPr>
        <w:rPr>
          <w:lang w:val="en-US"/>
        </w:rPr>
      </w:pPr>
    </w:p>
    <w:p w14:paraId="10DBCDE9" w14:textId="7ABA8F34" w:rsidR="008974FF" w:rsidRPr="00E52574" w:rsidRDefault="008974FF" w:rsidP="00044FBC">
      <w:pPr>
        <w:jc w:val="both"/>
        <w:rPr>
          <w:lang w:val="en-US"/>
        </w:rPr>
      </w:pPr>
    </w:p>
    <w:sectPr w:rsidR="008974FF" w:rsidRPr="00E52574">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5216" w14:textId="77777777" w:rsidR="00F97195" w:rsidRDefault="00F97195" w:rsidP="00A017E9">
      <w:pPr>
        <w:spacing w:after="0" w:line="240" w:lineRule="auto"/>
      </w:pPr>
      <w:r>
        <w:separator/>
      </w:r>
    </w:p>
  </w:endnote>
  <w:endnote w:type="continuationSeparator" w:id="0">
    <w:p w14:paraId="3BD9626A" w14:textId="77777777" w:rsidR="00F97195" w:rsidRDefault="00F97195" w:rsidP="00A017E9">
      <w:pPr>
        <w:spacing w:after="0" w:line="240" w:lineRule="auto"/>
      </w:pPr>
      <w:r>
        <w:continuationSeparator/>
      </w:r>
    </w:p>
  </w:endnote>
  <w:endnote w:type="continuationNotice" w:id="1">
    <w:p w14:paraId="52DED5F7" w14:textId="77777777" w:rsidR="00F97195" w:rsidRDefault="00F97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F7C7" w14:textId="77777777" w:rsidR="00A017E9" w:rsidRDefault="00A017E9">
    <w:pPr>
      <w:pStyle w:val="Footer"/>
    </w:pPr>
    <w:r>
      <w:rPr>
        <w:noProof/>
      </w:rPr>
      <mc:AlternateContent>
        <mc:Choice Requires="wps">
          <w:drawing>
            <wp:anchor distT="0" distB="0" distL="0" distR="0" simplePos="0" relativeHeight="251658241" behindDoc="0" locked="0" layoutInCell="1" allowOverlap="1" wp14:anchorId="13A83A84" wp14:editId="37D98989">
              <wp:simplePos x="635" y="635"/>
              <wp:positionH relativeFrom="rightMargin">
                <wp:align>right</wp:align>
              </wp:positionH>
              <wp:positionV relativeFrom="paragraph">
                <wp:posOffset>635</wp:posOffset>
              </wp:positionV>
              <wp:extent cx="443865" cy="443865"/>
              <wp:effectExtent l="0" t="0" r="0" b="17145"/>
              <wp:wrapSquare wrapText="bothSides"/>
              <wp:docPr id="2" name="Text Box 2" descr="Classification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50352" w14:textId="77777777" w:rsidR="00A017E9" w:rsidRPr="00A017E9" w:rsidRDefault="00A017E9">
                          <w:pPr>
                            <w:rPr>
                              <w:rFonts w:ascii="Calibri" w:eastAsia="Calibri" w:hAnsi="Calibri" w:cs="Calibri"/>
                              <w:color w:val="0000FF"/>
                              <w:sz w:val="20"/>
                              <w:szCs w:val="20"/>
                            </w:rPr>
                          </w:pPr>
                          <w:r w:rsidRPr="00A017E9">
                            <w:rPr>
                              <w:rFonts w:ascii="Calibri" w:eastAsia="Calibri" w:hAnsi="Calibri" w:cs="Calibri"/>
                              <w:color w:val="0000FF"/>
                              <w:sz w:val="20"/>
                              <w:szCs w:val="20"/>
                            </w:rPr>
                            <w:t>Classification : Internal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3A83A84" id="_x0000_t202" coordsize="21600,21600" o:spt="202" path="m,l,21600r21600,l21600,xe">
              <v:stroke joinstyle="miter"/>
              <v:path gradientshapeok="t" o:connecttype="rect"/>
            </v:shapetype>
            <v:shape id="Text Box 2" o:spid="_x0000_s1026" type="#_x0000_t202" alt="Classification : Internal"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15850352" w14:textId="77777777" w:rsidR="00A017E9" w:rsidRPr="00A017E9" w:rsidRDefault="00A017E9">
                    <w:pPr>
                      <w:rPr>
                        <w:rFonts w:ascii="Calibri" w:eastAsia="Calibri" w:hAnsi="Calibri" w:cs="Calibri"/>
                        <w:color w:val="0000FF"/>
                        <w:sz w:val="20"/>
                        <w:szCs w:val="20"/>
                      </w:rPr>
                    </w:pPr>
                    <w:r w:rsidRPr="00A017E9">
                      <w:rPr>
                        <w:rFonts w:ascii="Calibri" w:eastAsia="Calibri" w:hAnsi="Calibri" w:cs="Calibri"/>
                        <w:color w:val="0000FF"/>
                        <w:sz w:val="20"/>
                        <w:szCs w:val="20"/>
                      </w:rPr>
                      <w:t>Classification :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771454"/>
      <w:docPartObj>
        <w:docPartGallery w:val="Page Numbers (Bottom of Page)"/>
        <w:docPartUnique/>
      </w:docPartObj>
    </w:sdtPr>
    <w:sdtEndPr>
      <w:rPr>
        <w:noProof/>
      </w:rPr>
    </w:sdtEndPr>
    <w:sdtContent>
      <w:p w14:paraId="721DFEFB" w14:textId="3FB6E086" w:rsidR="00053068" w:rsidRDefault="000530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645B3B" w14:textId="518EE618" w:rsidR="00A017E9" w:rsidRDefault="00A01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DBF9" w14:textId="77777777" w:rsidR="00A017E9" w:rsidRDefault="00A017E9">
    <w:pPr>
      <w:pStyle w:val="Footer"/>
    </w:pPr>
    <w:r>
      <w:rPr>
        <w:noProof/>
      </w:rPr>
      <mc:AlternateContent>
        <mc:Choice Requires="wps">
          <w:drawing>
            <wp:anchor distT="0" distB="0" distL="0" distR="0" simplePos="0" relativeHeight="251658240" behindDoc="0" locked="0" layoutInCell="1" allowOverlap="1" wp14:anchorId="7214A434" wp14:editId="1CEC4851">
              <wp:simplePos x="635" y="635"/>
              <wp:positionH relativeFrom="rightMargin">
                <wp:align>right</wp:align>
              </wp:positionH>
              <wp:positionV relativeFrom="paragraph">
                <wp:posOffset>635</wp:posOffset>
              </wp:positionV>
              <wp:extent cx="443865" cy="443865"/>
              <wp:effectExtent l="0" t="0" r="0" b="17145"/>
              <wp:wrapSquare wrapText="bothSides"/>
              <wp:docPr id="1" name="Text Box 1" descr="Classification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F14C8" w14:textId="77777777" w:rsidR="00A017E9" w:rsidRPr="00A017E9" w:rsidRDefault="00A017E9">
                          <w:pPr>
                            <w:rPr>
                              <w:rFonts w:ascii="Calibri" w:eastAsia="Calibri" w:hAnsi="Calibri" w:cs="Calibri"/>
                              <w:color w:val="0000FF"/>
                              <w:sz w:val="20"/>
                              <w:szCs w:val="20"/>
                            </w:rPr>
                          </w:pPr>
                          <w:r w:rsidRPr="00A017E9">
                            <w:rPr>
                              <w:rFonts w:ascii="Calibri" w:eastAsia="Calibri" w:hAnsi="Calibri" w:cs="Calibri"/>
                              <w:color w:val="0000FF"/>
                              <w:sz w:val="20"/>
                              <w:szCs w:val="20"/>
                            </w:rPr>
                            <w:t>Classification : Internal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214A434" id="_x0000_t202" coordsize="21600,21600" o:spt="202" path="m,l,21600r21600,l21600,xe">
              <v:stroke joinstyle="miter"/>
              <v:path gradientshapeok="t" o:connecttype="rect"/>
            </v:shapetype>
            <v:shape id="Text Box 1" o:spid="_x0000_s1027" type="#_x0000_t202" alt="Classification : Intern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2F9F14C8" w14:textId="77777777" w:rsidR="00A017E9" w:rsidRPr="00A017E9" w:rsidRDefault="00A017E9">
                    <w:pPr>
                      <w:rPr>
                        <w:rFonts w:ascii="Calibri" w:eastAsia="Calibri" w:hAnsi="Calibri" w:cs="Calibri"/>
                        <w:color w:val="0000FF"/>
                        <w:sz w:val="20"/>
                        <w:szCs w:val="20"/>
                      </w:rPr>
                    </w:pPr>
                    <w:r w:rsidRPr="00A017E9">
                      <w:rPr>
                        <w:rFonts w:ascii="Calibri" w:eastAsia="Calibri" w:hAnsi="Calibri" w:cs="Calibri"/>
                        <w:color w:val="0000FF"/>
                        <w:sz w:val="20"/>
                        <w:szCs w:val="20"/>
                      </w:rPr>
                      <w:t>Classification :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F600" w14:textId="77777777" w:rsidR="00F97195" w:rsidRDefault="00F97195" w:rsidP="00A017E9">
      <w:pPr>
        <w:spacing w:after="0" w:line="240" w:lineRule="auto"/>
      </w:pPr>
      <w:r>
        <w:separator/>
      </w:r>
    </w:p>
  </w:footnote>
  <w:footnote w:type="continuationSeparator" w:id="0">
    <w:p w14:paraId="61B4C044" w14:textId="77777777" w:rsidR="00F97195" w:rsidRDefault="00F97195" w:rsidP="00A017E9">
      <w:pPr>
        <w:spacing w:after="0" w:line="240" w:lineRule="auto"/>
      </w:pPr>
      <w:r>
        <w:continuationSeparator/>
      </w:r>
    </w:p>
  </w:footnote>
  <w:footnote w:type="continuationNotice" w:id="1">
    <w:p w14:paraId="48F72D87" w14:textId="77777777" w:rsidR="00F97195" w:rsidRDefault="00F97195">
      <w:pPr>
        <w:spacing w:after="0" w:line="240" w:lineRule="auto"/>
      </w:pPr>
    </w:p>
  </w:footnote>
  <w:footnote w:id="2">
    <w:p w14:paraId="3BBA11A2" w14:textId="1AFA555E" w:rsidR="00BF33A0" w:rsidRPr="00FA59D0" w:rsidRDefault="00BF33A0">
      <w:pPr>
        <w:pStyle w:val="FootnoteText"/>
        <w:rPr>
          <w:lang w:val="en-US"/>
        </w:rPr>
      </w:pPr>
      <w:r>
        <w:rPr>
          <w:rStyle w:val="FootnoteReference"/>
        </w:rPr>
        <w:footnoteRef/>
      </w:r>
      <w:r w:rsidRPr="00FA59D0">
        <w:rPr>
          <w:lang w:val="en-US"/>
        </w:rPr>
        <w:t xml:space="preserve"> Mar</w:t>
      </w:r>
      <w:r>
        <w:rPr>
          <w:lang w:val="en-US"/>
        </w:rPr>
        <w:t xml:space="preserve">ginal 8, </w:t>
      </w:r>
      <w:r w:rsidR="007665DD">
        <w:rPr>
          <w:lang w:val="en-US"/>
        </w:rPr>
        <w:t xml:space="preserve">section 2.1 </w:t>
      </w:r>
      <w:r w:rsidR="002F42AB">
        <w:rPr>
          <w:lang w:val="en-US"/>
        </w:rPr>
        <w:t>ESMA consultation.</w:t>
      </w:r>
    </w:p>
  </w:footnote>
  <w:footnote w:id="3">
    <w:p w14:paraId="6AA5293B" w14:textId="780A5930" w:rsidR="00951FFC" w:rsidRPr="00951FFC" w:rsidRDefault="00951FFC">
      <w:pPr>
        <w:pStyle w:val="FootnoteText"/>
        <w:rPr>
          <w:lang w:val="en-US"/>
        </w:rPr>
      </w:pPr>
      <w:r>
        <w:rPr>
          <w:rStyle w:val="FootnoteReference"/>
        </w:rPr>
        <w:footnoteRef/>
      </w:r>
      <w:r w:rsidRPr="00951FFC">
        <w:rPr>
          <w:lang w:val="en-US"/>
        </w:rPr>
        <w:t xml:space="preserve"> Preamble (6) MiFID ESG Delegated A</w:t>
      </w:r>
      <w:r>
        <w:rPr>
          <w:lang w:val="en-US"/>
        </w:rPr>
        <w:t>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9411" w14:textId="72923031" w:rsidR="00A017E9" w:rsidRPr="00026683" w:rsidRDefault="00A017E9" w:rsidP="00026683">
    <w:pPr>
      <w:pStyle w:val="Header"/>
      <w:jc w:val="center"/>
      <w:rPr>
        <w:b/>
        <w:bCs/>
        <w:i/>
        <w:i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4D0"/>
    <w:multiLevelType w:val="hybridMultilevel"/>
    <w:tmpl w:val="FFFFFFFF"/>
    <w:lvl w:ilvl="0" w:tplc="26DC0BEA">
      <w:start w:val="1"/>
      <w:numFmt w:val="bullet"/>
      <w:lvlText w:val="-"/>
      <w:lvlJc w:val="left"/>
      <w:pPr>
        <w:ind w:left="720" w:hanging="360"/>
      </w:pPr>
      <w:rPr>
        <w:rFonts w:ascii="Calibri" w:hAnsi="Calibri" w:hint="default"/>
      </w:rPr>
    </w:lvl>
    <w:lvl w:ilvl="1" w:tplc="4C4A397C">
      <w:start w:val="1"/>
      <w:numFmt w:val="bullet"/>
      <w:lvlText w:val="o"/>
      <w:lvlJc w:val="left"/>
      <w:pPr>
        <w:ind w:left="1440" w:hanging="360"/>
      </w:pPr>
      <w:rPr>
        <w:rFonts w:ascii="Courier New" w:hAnsi="Courier New" w:hint="default"/>
      </w:rPr>
    </w:lvl>
    <w:lvl w:ilvl="2" w:tplc="9FF4E8FC">
      <w:start w:val="1"/>
      <w:numFmt w:val="bullet"/>
      <w:lvlText w:val=""/>
      <w:lvlJc w:val="left"/>
      <w:pPr>
        <w:ind w:left="2160" w:hanging="360"/>
      </w:pPr>
      <w:rPr>
        <w:rFonts w:ascii="Wingdings" w:hAnsi="Wingdings" w:hint="default"/>
      </w:rPr>
    </w:lvl>
    <w:lvl w:ilvl="3" w:tplc="B9F698D2">
      <w:start w:val="1"/>
      <w:numFmt w:val="bullet"/>
      <w:lvlText w:val=""/>
      <w:lvlJc w:val="left"/>
      <w:pPr>
        <w:ind w:left="2880" w:hanging="360"/>
      </w:pPr>
      <w:rPr>
        <w:rFonts w:ascii="Symbol" w:hAnsi="Symbol" w:hint="default"/>
      </w:rPr>
    </w:lvl>
    <w:lvl w:ilvl="4" w:tplc="27C89598">
      <w:start w:val="1"/>
      <w:numFmt w:val="bullet"/>
      <w:lvlText w:val="o"/>
      <w:lvlJc w:val="left"/>
      <w:pPr>
        <w:ind w:left="3600" w:hanging="360"/>
      </w:pPr>
      <w:rPr>
        <w:rFonts w:ascii="Courier New" w:hAnsi="Courier New" w:hint="default"/>
      </w:rPr>
    </w:lvl>
    <w:lvl w:ilvl="5" w:tplc="5C88553A">
      <w:start w:val="1"/>
      <w:numFmt w:val="bullet"/>
      <w:lvlText w:val=""/>
      <w:lvlJc w:val="left"/>
      <w:pPr>
        <w:ind w:left="4320" w:hanging="360"/>
      </w:pPr>
      <w:rPr>
        <w:rFonts w:ascii="Wingdings" w:hAnsi="Wingdings" w:hint="default"/>
      </w:rPr>
    </w:lvl>
    <w:lvl w:ilvl="6" w:tplc="F244D76C">
      <w:start w:val="1"/>
      <w:numFmt w:val="bullet"/>
      <w:lvlText w:val=""/>
      <w:lvlJc w:val="left"/>
      <w:pPr>
        <w:ind w:left="5040" w:hanging="360"/>
      </w:pPr>
      <w:rPr>
        <w:rFonts w:ascii="Symbol" w:hAnsi="Symbol" w:hint="default"/>
      </w:rPr>
    </w:lvl>
    <w:lvl w:ilvl="7" w:tplc="F6FEF658">
      <w:start w:val="1"/>
      <w:numFmt w:val="bullet"/>
      <w:lvlText w:val="o"/>
      <w:lvlJc w:val="left"/>
      <w:pPr>
        <w:ind w:left="5760" w:hanging="360"/>
      </w:pPr>
      <w:rPr>
        <w:rFonts w:ascii="Courier New" w:hAnsi="Courier New" w:hint="default"/>
      </w:rPr>
    </w:lvl>
    <w:lvl w:ilvl="8" w:tplc="3EFEEF48">
      <w:start w:val="1"/>
      <w:numFmt w:val="bullet"/>
      <w:lvlText w:val=""/>
      <w:lvlJc w:val="left"/>
      <w:pPr>
        <w:ind w:left="6480" w:hanging="360"/>
      </w:pPr>
      <w:rPr>
        <w:rFonts w:ascii="Wingdings" w:hAnsi="Wingdings" w:hint="default"/>
      </w:rPr>
    </w:lvl>
  </w:abstractNum>
  <w:abstractNum w:abstractNumId="1" w15:restartNumberingAfterBreak="0">
    <w:nsid w:val="063E2309"/>
    <w:multiLevelType w:val="hybridMultilevel"/>
    <w:tmpl w:val="6D5E4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7E7B31"/>
    <w:multiLevelType w:val="hybridMultilevel"/>
    <w:tmpl w:val="AEF69E20"/>
    <w:lvl w:ilvl="0" w:tplc="C4C8B30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A4F1800"/>
    <w:multiLevelType w:val="hybridMultilevel"/>
    <w:tmpl w:val="FFFFFFFF"/>
    <w:lvl w:ilvl="0" w:tplc="E36EA3D4">
      <w:start w:val="1"/>
      <w:numFmt w:val="bullet"/>
      <w:lvlText w:val="-"/>
      <w:lvlJc w:val="left"/>
      <w:pPr>
        <w:ind w:left="720" w:hanging="360"/>
      </w:pPr>
      <w:rPr>
        <w:rFonts w:ascii="Calibri" w:hAnsi="Calibri" w:hint="default"/>
      </w:rPr>
    </w:lvl>
    <w:lvl w:ilvl="1" w:tplc="64F80EA0">
      <w:start w:val="1"/>
      <w:numFmt w:val="bullet"/>
      <w:lvlText w:val="o"/>
      <w:lvlJc w:val="left"/>
      <w:pPr>
        <w:ind w:left="1440" w:hanging="360"/>
      </w:pPr>
      <w:rPr>
        <w:rFonts w:ascii="Courier New" w:hAnsi="Courier New" w:hint="default"/>
      </w:rPr>
    </w:lvl>
    <w:lvl w:ilvl="2" w:tplc="7256EAE2">
      <w:start w:val="1"/>
      <w:numFmt w:val="bullet"/>
      <w:lvlText w:val=""/>
      <w:lvlJc w:val="left"/>
      <w:pPr>
        <w:ind w:left="2160" w:hanging="360"/>
      </w:pPr>
      <w:rPr>
        <w:rFonts w:ascii="Wingdings" w:hAnsi="Wingdings" w:hint="default"/>
      </w:rPr>
    </w:lvl>
    <w:lvl w:ilvl="3" w:tplc="8E305782">
      <w:start w:val="1"/>
      <w:numFmt w:val="bullet"/>
      <w:lvlText w:val=""/>
      <w:lvlJc w:val="left"/>
      <w:pPr>
        <w:ind w:left="2880" w:hanging="360"/>
      </w:pPr>
      <w:rPr>
        <w:rFonts w:ascii="Symbol" w:hAnsi="Symbol" w:hint="default"/>
      </w:rPr>
    </w:lvl>
    <w:lvl w:ilvl="4" w:tplc="861A2986">
      <w:start w:val="1"/>
      <w:numFmt w:val="bullet"/>
      <w:lvlText w:val="o"/>
      <w:lvlJc w:val="left"/>
      <w:pPr>
        <w:ind w:left="3600" w:hanging="360"/>
      </w:pPr>
      <w:rPr>
        <w:rFonts w:ascii="Courier New" w:hAnsi="Courier New" w:hint="default"/>
      </w:rPr>
    </w:lvl>
    <w:lvl w:ilvl="5" w:tplc="707CA5B6">
      <w:start w:val="1"/>
      <w:numFmt w:val="bullet"/>
      <w:lvlText w:val=""/>
      <w:lvlJc w:val="left"/>
      <w:pPr>
        <w:ind w:left="4320" w:hanging="360"/>
      </w:pPr>
      <w:rPr>
        <w:rFonts w:ascii="Wingdings" w:hAnsi="Wingdings" w:hint="default"/>
      </w:rPr>
    </w:lvl>
    <w:lvl w:ilvl="6" w:tplc="AD702056">
      <w:start w:val="1"/>
      <w:numFmt w:val="bullet"/>
      <w:lvlText w:val=""/>
      <w:lvlJc w:val="left"/>
      <w:pPr>
        <w:ind w:left="5040" w:hanging="360"/>
      </w:pPr>
      <w:rPr>
        <w:rFonts w:ascii="Symbol" w:hAnsi="Symbol" w:hint="default"/>
      </w:rPr>
    </w:lvl>
    <w:lvl w:ilvl="7" w:tplc="00422782">
      <w:start w:val="1"/>
      <w:numFmt w:val="bullet"/>
      <w:lvlText w:val="o"/>
      <w:lvlJc w:val="left"/>
      <w:pPr>
        <w:ind w:left="5760" w:hanging="360"/>
      </w:pPr>
      <w:rPr>
        <w:rFonts w:ascii="Courier New" w:hAnsi="Courier New" w:hint="default"/>
      </w:rPr>
    </w:lvl>
    <w:lvl w:ilvl="8" w:tplc="1BB68100">
      <w:start w:val="1"/>
      <w:numFmt w:val="bullet"/>
      <w:lvlText w:val=""/>
      <w:lvlJc w:val="left"/>
      <w:pPr>
        <w:ind w:left="6480" w:hanging="360"/>
      </w:pPr>
      <w:rPr>
        <w:rFonts w:ascii="Wingdings" w:hAnsi="Wingdings" w:hint="default"/>
      </w:rPr>
    </w:lvl>
  </w:abstractNum>
  <w:abstractNum w:abstractNumId="4" w15:restartNumberingAfterBreak="0">
    <w:nsid w:val="0C182FA5"/>
    <w:multiLevelType w:val="hybridMultilevel"/>
    <w:tmpl w:val="FFFFFFFF"/>
    <w:lvl w:ilvl="0" w:tplc="F1B407DE">
      <w:start w:val="1"/>
      <w:numFmt w:val="bullet"/>
      <w:lvlText w:val="-"/>
      <w:lvlJc w:val="left"/>
      <w:pPr>
        <w:ind w:left="720" w:hanging="360"/>
      </w:pPr>
      <w:rPr>
        <w:rFonts w:ascii="Calibri" w:hAnsi="Calibri" w:hint="default"/>
      </w:rPr>
    </w:lvl>
    <w:lvl w:ilvl="1" w:tplc="242ABDB8">
      <w:start w:val="1"/>
      <w:numFmt w:val="bullet"/>
      <w:lvlText w:val="o"/>
      <w:lvlJc w:val="left"/>
      <w:pPr>
        <w:ind w:left="1440" w:hanging="360"/>
      </w:pPr>
      <w:rPr>
        <w:rFonts w:ascii="Courier New" w:hAnsi="Courier New" w:hint="default"/>
      </w:rPr>
    </w:lvl>
    <w:lvl w:ilvl="2" w:tplc="B760952C">
      <w:start w:val="1"/>
      <w:numFmt w:val="bullet"/>
      <w:lvlText w:val=""/>
      <w:lvlJc w:val="left"/>
      <w:pPr>
        <w:ind w:left="2160" w:hanging="360"/>
      </w:pPr>
      <w:rPr>
        <w:rFonts w:ascii="Wingdings" w:hAnsi="Wingdings" w:hint="default"/>
      </w:rPr>
    </w:lvl>
    <w:lvl w:ilvl="3" w:tplc="3E92E358">
      <w:start w:val="1"/>
      <w:numFmt w:val="bullet"/>
      <w:lvlText w:val=""/>
      <w:lvlJc w:val="left"/>
      <w:pPr>
        <w:ind w:left="2880" w:hanging="360"/>
      </w:pPr>
      <w:rPr>
        <w:rFonts w:ascii="Symbol" w:hAnsi="Symbol" w:hint="default"/>
      </w:rPr>
    </w:lvl>
    <w:lvl w:ilvl="4" w:tplc="63E0DE08">
      <w:start w:val="1"/>
      <w:numFmt w:val="bullet"/>
      <w:lvlText w:val="o"/>
      <w:lvlJc w:val="left"/>
      <w:pPr>
        <w:ind w:left="3600" w:hanging="360"/>
      </w:pPr>
      <w:rPr>
        <w:rFonts w:ascii="Courier New" w:hAnsi="Courier New" w:hint="default"/>
      </w:rPr>
    </w:lvl>
    <w:lvl w:ilvl="5" w:tplc="8A10FB3E">
      <w:start w:val="1"/>
      <w:numFmt w:val="bullet"/>
      <w:lvlText w:val=""/>
      <w:lvlJc w:val="left"/>
      <w:pPr>
        <w:ind w:left="4320" w:hanging="360"/>
      </w:pPr>
      <w:rPr>
        <w:rFonts w:ascii="Wingdings" w:hAnsi="Wingdings" w:hint="default"/>
      </w:rPr>
    </w:lvl>
    <w:lvl w:ilvl="6" w:tplc="45AC67AA">
      <w:start w:val="1"/>
      <w:numFmt w:val="bullet"/>
      <w:lvlText w:val=""/>
      <w:lvlJc w:val="left"/>
      <w:pPr>
        <w:ind w:left="5040" w:hanging="360"/>
      </w:pPr>
      <w:rPr>
        <w:rFonts w:ascii="Symbol" w:hAnsi="Symbol" w:hint="default"/>
      </w:rPr>
    </w:lvl>
    <w:lvl w:ilvl="7" w:tplc="54165A70">
      <w:start w:val="1"/>
      <w:numFmt w:val="bullet"/>
      <w:lvlText w:val="o"/>
      <w:lvlJc w:val="left"/>
      <w:pPr>
        <w:ind w:left="5760" w:hanging="360"/>
      </w:pPr>
      <w:rPr>
        <w:rFonts w:ascii="Courier New" w:hAnsi="Courier New" w:hint="default"/>
      </w:rPr>
    </w:lvl>
    <w:lvl w:ilvl="8" w:tplc="F7BA3DBA">
      <w:start w:val="1"/>
      <w:numFmt w:val="bullet"/>
      <w:lvlText w:val=""/>
      <w:lvlJc w:val="left"/>
      <w:pPr>
        <w:ind w:left="6480" w:hanging="360"/>
      </w:pPr>
      <w:rPr>
        <w:rFonts w:ascii="Wingdings" w:hAnsi="Wingdings" w:hint="default"/>
      </w:rPr>
    </w:lvl>
  </w:abstractNum>
  <w:abstractNum w:abstractNumId="5" w15:restartNumberingAfterBreak="0">
    <w:nsid w:val="0D8F5C80"/>
    <w:multiLevelType w:val="hybridMultilevel"/>
    <w:tmpl w:val="53D219E6"/>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985D6C"/>
    <w:multiLevelType w:val="hybridMultilevel"/>
    <w:tmpl w:val="FFFFFFFF"/>
    <w:lvl w:ilvl="0" w:tplc="7D604F4C">
      <w:start w:val="1"/>
      <w:numFmt w:val="bullet"/>
      <w:lvlText w:val="-"/>
      <w:lvlJc w:val="left"/>
      <w:pPr>
        <w:ind w:left="720" w:hanging="360"/>
      </w:pPr>
      <w:rPr>
        <w:rFonts w:ascii="Calibri" w:hAnsi="Calibri" w:hint="default"/>
      </w:rPr>
    </w:lvl>
    <w:lvl w:ilvl="1" w:tplc="70585A02">
      <w:start w:val="1"/>
      <w:numFmt w:val="bullet"/>
      <w:lvlText w:val="o"/>
      <w:lvlJc w:val="left"/>
      <w:pPr>
        <w:ind w:left="1440" w:hanging="360"/>
      </w:pPr>
      <w:rPr>
        <w:rFonts w:ascii="Courier New" w:hAnsi="Courier New" w:hint="default"/>
      </w:rPr>
    </w:lvl>
    <w:lvl w:ilvl="2" w:tplc="6A222952">
      <w:start w:val="1"/>
      <w:numFmt w:val="bullet"/>
      <w:lvlText w:val=""/>
      <w:lvlJc w:val="left"/>
      <w:pPr>
        <w:ind w:left="2160" w:hanging="360"/>
      </w:pPr>
      <w:rPr>
        <w:rFonts w:ascii="Wingdings" w:hAnsi="Wingdings" w:hint="default"/>
      </w:rPr>
    </w:lvl>
    <w:lvl w:ilvl="3" w:tplc="A02AE13C">
      <w:start w:val="1"/>
      <w:numFmt w:val="bullet"/>
      <w:lvlText w:val=""/>
      <w:lvlJc w:val="left"/>
      <w:pPr>
        <w:ind w:left="2880" w:hanging="360"/>
      </w:pPr>
      <w:rPr>
        <w:rFonts w:ascii="Symbol" w:hAnsi="Symbol" w:hint="default"/>
      </w:rPr>
    </w:lvl>
    <w:lvl w:ilvl="4" w:tplc="5E2C3A6E">
      <w:start w:val="1"/>
      <w:numFmt w:val="bullet"/>
      <w:lvlText w:val="o"/>
      <w:lvlJc w:val="left"/>
      <w:pPr>
        <w:ind w:left="3600" w:hanging="360"/>
      </w:pPr>
      <w:rPr>
        <w:rFonts w:ascii="Courier New" w:hAnsi="Courier New" w:hint="default"/>
      </w:rPr>
    </w:lvl>
    <w:lvl w:ilvl="5" w:tplc="F6A6F024">
      <w:start w:val="1"/>
      <w:numFmt w:val="bullet"/>
      <w:lvlText w:val=""/>
      <w:lvlJc w:val="left"/>
      <w:pPr>
        <w:ind w:left="4320" w:hanging="360"/>
      </w:pPr>
      <w:rPr>
        <w:rFonts w:ascii="Wingdings" w:hAnsi="Wingdings" w:hint="default"/>
      </w:rPr>
    </w:lvl>
    <w:lvl w:ilvl="6" w:tplc="4894EA18">
      <w:start w:val="1"/>
      <w:numFmt w:val="bullet"/>
      <w:lvlText w:val=""/>
      <w:lvlJc w:val="left"/>
      <w:pPr>
        <w:ind w:left="5040" w:hanging="360"/>
      </w:pPr>
      <w:rPr>
        <w:rFonts w:ascii="Symbol" w:hAnsi="Symbol" w:hint="default"/>
      </w:rPr>
    </w:lvl>
    <w:lvl w:ilvl="7" w:tplc="5A561B1E">
      <w:start w:val="1"/>
      <w:numFmt w:val="bullet"/>
      <w:lvlText w:val="o"/>
      <w:lvlJc w:val="left"/>
      <w:pPr>
        <w:ind w:left="5760" w:hanging="360"/>
      </w:pPr>
      <w:rPr>
        <w:rFonts w:ascii="Courier New" w:hAnsi="Courier New" w:hint="default"/>
      </w:rPr>
    </w:lvl>
    <w:lvl w:ilvl="8" w:tplc="952ACF80">
      <w:start w:val="1"/>
      <w:numFmt w:val="bullet"/>
      <w:lvlText w:val=""/>
      <w:lvlJc w:val="left"/>
      <w:pPr>
        <w:ind w:left="6480" w:hanging="360"/>
      </w:pPr>
      <w:rPr>
        <w:rFonts w:ascii="Wingdings" w:hAnsi="Wingdings" w:hint="default"/>
      </w:rPr>
    </w:lvl>
  </w:abstractNum>
  <w:abstractNum w:abstractNumId="7" w15:restartNumberingAfterBreak="0">
    <w:nsid w:val="117E3E84"/>
    <w:multiLevelType w:val="hybridMultilevel"/>
    <w:tmpl w:val="FFFFFFFF"/>
    <w:lvl w:ilvl="0" w:tplc="392A4EEA">
      <w:start w:val="1"/>
      <w:numFmt w:val="bullet"/>
      <w:lvlText w:val="-"/>
      <w:lvlJc w:val="left"/>
      <w:pPr>
        <w:ind w:left="720" w:hanging="360"/>
      </w:pPr>
      <w:rPr>
        <w:rFonts w:ascii="Calibri" w:hAnsi="Calibri" w:hint="default"/>
      </w:rPr>
    </w:lvl>
    <w:lvl w:ilvl="1" w:tplc="D80CBC54">
      <w:start w:val="1"/>
      <w:numFmt w:val="bullet"/>
      <w:lvlText w:val="o"/>
      <w:lvlJc w:val="left"/>
      <w:pPr>
        <w:ind w:left="1440" w:hanging="360"/>
      </w:pPr>
      <w:rPr>
        <w:rFonts w:ascii="Courier New" w:hAnsi="Courier New" w:hint="default"/>
      </w:rPr>
    </w:lvl>
    <w:lvl w:ilvl="2" w:tplc="9CC0ECDA">
      <w:start w:val="1"/>
      <w:numFmt w:val="bullet"/>
      <w:lvlText w:val=""/>
      <w:lvlJc w:val="left"/>
      <w:pPr>
        <w:ind w:left="2160" w:hanging="360"/>
      </w:pPr>
      <w:rPr>
        <w:rFonts w:ascii="Wingdings" w:hAnsi="Wingdings" w:hint="default"/>
      </w:rPr>
    </w:lvl>
    <w:lvl w:ilvl="3" w:tplc="012A2B20">
      <w:start w:val="1"/>
      <w:numFmt w:val="bullet"/>
      <w:lvlText w:val=""/>
      <w:lvlJc w:val="left"/>
      <w:pPr>
        <w:ind w:left="2880" w:hanging="360"/>
      </w:pPr>
      <w:rPr>
        <w:rFonts w:ascii="Symbol" w:hAnsi="Symbol" w:hint="default"/>
      </w:rPr>
    </w:lvl>
    <w:lvl w:ilvl="4" w:tplc="B2FE2F6E">
      <w:start w:val="1"/>
      <w:numFmt w:val="bullet"/>
      <w:lvlText w:val="o"/>
      <w:lvlJc w:val="left"/>
      <w:pPr>
        <w:ind w:left="3600" w:hanging="360"/>
      </w:pPr>
      <w:rPr>
        <w:rFonts w:ascii="Courier New" w:hAnsi="Courier New" w:hint="default"/>
      </w:rPr>
    </w:lvl>
    <w:lvl w:ilvl="5" w:tplc="FD9E2458">
      <w:start w:val="1"/>
      <w:numFmt w:val="bullet"/>
      <w:lvlText w:val=""/>
      <w:lvlJc w:val="left"/>
      <w:pPr>
        <w:ind w:left="4320" w:hanging="360"/>
      </w:pPr>
      <w:rPr>
        <w:rFonts w:ascii="Wingdings" w:hAnsi="Wingdings" w:hint="default"/>
      </w:rPr>
    </w:lvl>
    <w:lvl w:ilvl="6" w:tplc="8FAC523A">
      <w:start w:val="1"/>
      <w:numFmt w:val="bullet"/>
      <w:lvlText w:val=""/>
      <w:lvlJc w:val="left"/>
      <w:pPr>
        <w:ind w:left="5040" w:hanging="360"/>
      </w:pPr>
      <w:rPr>
        <w:rFonts w:ascii="Symbol" w:hAnsi="Symbol" w:hint="default"/>
      </w:rPr>
    </w:lvl>
    <w:lvl w:ilvl="7" w:tplc="EBFE0518">
      <w:start w:val="1"/>
      <w:numFmt w:val="bullet"/>
      <w:lvlText w:val="o"/>
      <w:lvlJc w:val="left"/>
      <w:pPr>
        <w:ind w:left="5760" w:hanging="360"/>
      </w:pPr>
      <w:rPr>
        <w:rFonts w:ascii="Courier New" w:hAnsi="Courier New" w:hint="default"/>
      </w:rPr>
    </w:lvl>
    <w:lvl w:ilvl="8" w:tplc="E7FE8EFC">
      <w:start w:val="1"/>
      <w:numFmt w:val="bullet"/>
      <w:lvlText w:val=""/>
      <w:lvlJc w:val="left"/>
      <w:pPr>
        <w:ind w:left="6480" w:hanging="360"/>
      </w:pPr>
      <w:rPr>
        <w:rFonts w:ascii="Wingdings" w:hAnsi="Wingdings" w:hint="default"/>
      </w:rPr>
    </w:lvl>
  </w:abstractNum>
  <w:abstractNum w:abstractNumId="8" w15:restartNumberingAfterBreak="0">
    <w:nsid w:val="1275509C"/>
    <w:multiLevelType w:val="hybridMultilevel"/>
    <w:tmpl w:val="FFFFFFFF"/>
    <w:lvl w:ilvl="0" w:tplc="8B5818C0">
      <w:start w:val="1"/>
      <w:numFmt w:val="bullet"/>
      <w:lvlText w:val="-"/>
      <w:lvlJc w:val="left"/>
      <w:pPr>
        <w:ind w:left="720" w:hanging="360"/>
      </w:pPr>
      <w:rPr>
        <w:rFonts w:ascii="Calibri" w:hAnsi="Calibri" w:hint="default"/>
      </w:rPr>
    </w:lvl>
    <w:lvl w:ilvl="1" w:tplc="E86051EC">
      <w:start w:val="1"/>
      <w:numFmt w:val="bullet"/>
      <w:lvlText w:val="o"/>
      <w:lvlJc w:val="left"/>
      <w:pPr>
        <w:ind w:left="1440" w:hanging="360"/>
      </w:pPr>
      <w:rPr>
        <w:rFonts w:ascii="Courier New" w:hAnsi="Courier New" w:hint="default"/>
      </w:rPr>
    </w:lvl>
    <w:lvl w:ilvl="2" w:tplc="1A3252A2">
      <w:start w:val="1"/>
      <w:numFmt w:val="bullet"/>
      <w:lvlText w:val=""/>
      <w:lvlJc w:val="left"/>
      <w:pPr>
        <w:ind w:left="2160" w:hanging="360"/>
      </w:pPr>
      <w:rPr>
        <w:rFonts w:ascii="Wingdings" w:hAnsi="Wingdings" w:hint="default"/>
      </w:rPr>
    </w:lvl>
    <w:lvl w:ilvl="3" w:tplc="83189C18">
      <w:start w:val="1"/>
      <w:numFmt w:val="bullet"/>
      <w:lvlText w:val=""/>
      <w:lvlJc w:val="left"/>
      <w:pPr>
        <w:ind w:left="2880" w:hanging="360"/>
      </w:pPr>
      <w:rPr>
        <w:rFonts w:ascii="Symbol" w:hAnsi="Symbol" w:hint="default"/>
      </w:rPr>
    </w:lvl>
    <w:lvl w:ilvl="4" w:tplc="D556D754">
      <w:start w:val="1"/>
      <w:numFmt w:val="bullet"/>
      <w:lvlText w:val="o"/>
      <w:lvlJc w:val="left"/>
      <w:pPr>
        <w:ind w:left="3600" w:hanging="360"/>
      </w:pPr>
      <w:rPr>
        <w:rFonts w:ascii="Courier New" w:hAnsi="Courier New" w:hint="default"/>
      </w:rPr>
    </w:lvl>
    <w:lvl w:ilvl="5" w:tplc="5232E188">
      <w:start w:val="1"/>
      <w:numFmt w:val="bullet"/>
      <w:lvlText w:val=""/>
      <w:lvlJc w:val="left"/>
      <w:pPr>
        <w:ind w:left="4320" w:hanging="360"/>
      </w:pPr>
      <w:rPr>
        <w:rFonts w:ascii="Wingdings" w:hAnsi="Wingdings" w:hint="default"/>
      </w:rPr>
    </w:lvl>
    <w:lvl w:ilvl="6" w:tplc="BC3848E4">
      <w:start w:val="1"/>
      <w:numFmt w:val="bullet"/>
      <w:lvlText w:val=""/>
      <w:lvlJc w:val="left"/>
      <w:pPr>
        <w:ind w:left="5040" w:hanging="360"/>
      </w:pPr>
      <w:rPr>
        <w:rFonts w:ascii="Symbol" w:hAnsi="Symbol" w:hint="default"/>
      </w:rPr>
    </w:lvl>
    <w:lvl w:ilvl="7" w:tplc="D0BA2A72">
      <w:start w:val="1"/>
      <w:numFmt w:val="bullet"/>
      <w:lvlText w:val="o"/>
      <w:lvlJc w:val="left"/>
      <w:pPr>
        <w:ind w:left="5760" w:hanging="360"/>
      </w:pPr>
      <w:rPr>
        <w:rFonts w:ascii="Courier New" w:hAnsi="Courier New" w:hint="default"/>
      </w:rPr>
    </w:lvl>
    <w:lvl w:ilvl="8" w:tplc="A8AC74B4">
      <w:start w:val="1"/>
      <w:numFmt w:val="bullet"/>
      <w:lvlText w:val=""/>
      <w:lvlJc w:val="left"/>
      <w:pPr>
        <w:ind w:left="6480" w:hanging="360"/>
      </w:pPr>
      <w:rPr>
        <w:rFonts w:ascii="Wingdings" w:hAnsi="Wingdings" w:hint="default"/>
      </w:rPr>
    </w:lvl>
  </w:abstractNum>
  <w:abstractNum w:abstractNumId="9" w15:restartNumberingAfterBreak="0">
    <w:nsid w:val="127B3B97"/>
    <w:multiLevelType w:val="hybridMultilevel"/>
    <w:tmpl w:val="FFFFFFFF"/>
    <w:lvl w:ilvl="0" w:tplc="8E909A68">
      <w:start w:val="1"/>
      <w:numFmt w:val="bullet"/>
      <w:lvlText w:val="-"/>
      <w:lvlJc w:val="left"/>
      <w:pPr>
        <w:ind w:left="720" w:hanging="360"/>
      </w:pPr>
      <w:rPr>
        <w:rFonts w:ascii="Calibri" w:hAnsi="Calibri" w:hint="default"/>
      </w:rPr>
    </w:lvl>
    <w:lvl w:ilvl="1" w:tplc="0EB0BDD2">
      <w:start w:val="1"/>
      <w:numFmt w:val="bullet"/>
      <w:lvlText w:val="o"/>
      <w:lvlJc w:val="left"/>
      <w:pPr>
        <w:ind w:left="1440" w:hanging="360"/>
      </w:pPr>
      <w:rPr>
        <w:rFonts w:ascii="Courier New" w:hAnsi="Courier New" w:hint="default"/>
      </w:rPr>
    </w:lvl>
    <w:lvl w:ilvl="2" w:tplc="C05AC9F6">
      <w:start w:val="1"/>
      <w:numFmt w:val="bullet"/>
      <w:lvlText w:val=""/>
      <w:lvlJc w:val="left"/>
      <w:pPr>
        <w:ind w:left="2160" w:hanging="360"/>
      </w:pPr>
      <w:rPr>
        <w:rFonts w:ascii="Wingdings" w:hAnsi="Wingdings" w:hint="default"/>
      </w:rPr>
    </w:lvl>
    <w:lvl w:ilvl="3" w:tplc="A1027B74">
      <w:start w:val="1"/>
      <w:numFmt w:val="bullet"/>
      <w:lvlText w:val=""/>
      <w:lvlJc w:val="left"/>
      <w:pPr>
        <w:ind w:left="2880" w:hanging="360"/>
      </w:pPr>
      <w:rPr>
        <w:rFonts w:ascii="Symbol" w:hAnsi="Symbol" w:hint="default"/>
      </w:rPr>
    </w:lvl>
    <w:lvl w:ilvl="4" w:tplc="A61C090A">
      <w:start w:val="1"/>
      <w:numFmt w:val="bullet"/>
      <w:lvlText w:val="o"/>
      <w:lvlJc w:val="left"/>
      <w:pPr>
        <w:ind w:left="3600" w:hanging="360"/>
      </w:pPr>
      <w:rPr>
        <w:rFonts w:ascii="Courier New" w:hAnsi="Courier New" w:hint="default"/>
      </w:rPr>
    </w:lvl>
    <w:lvl w:ilvl="5" w:tplc="16BA29D2">
      <w:start w:val="1"/>
      <w:numFmt w:val="bullet"/>
      <w:lvlText w:val=""/>
      <w:lvlJc w:val="left"/>
      <w:pPr>
        <w:ind w:left="4320" w:hanging="360"/>
      </w:pPr>
      <w:rPr>
        <w:rFonts w:ascii="Wingdings" w:hAnsi="Wingdings" w:hint="default"/>
      </w:rPr>
    </w:lvl>
    <w:lvl w:ilvl="6" w:tplc="DFFAF846">
      <w:start w:val="1"/>
      <w:numFmt w:val="bullet"/>
      <w:lvlText w:val=""/>
      <w:lvlJc w:val="left"/>
      <w:pPr>
        <w:ind w:left="5040" w:hanging="360"/>
      </w:pPr>
      <w:rPr>
        <w:rFonts w:ascii="Symbol" w:hAnsi="Symbol" w:hint="default"/>
      </w:rPr>
    </w:lvl>
    <w:lvl w:ilvl="7" w:tplc="5F720F32">
      <w:start w:val="1"/>
      <w:numFmt w:val="bullet"/>
      <w:lvlText w:val="o"/>
      <w:lvlJc w:val="left"/>
      <w:pPr>
        <w:ind w:left="5760" w:hanging="360"/>
      </w:pPr>
      <w:rPr>
        <w:rFonts w:ascii="Courier New" w:hAnsi="Courier New" w:hint="default"/>
      </w:rPr>
    </w:lvl>
    <w:lvl w:ilvl="8" w:tplc="4518008C">
      <w:start w:val="1"/>
      <w:numFmt w:val="bullet"/>
      <w:lvlText w:val=""/>
      <w:lvlJc w:val="left"/>
      <w:pPr>
        <w:ind w:left="6480" w:hanging="360"/>
      </w:pPr>
      <w:rPr>
        <w:rFonts w:ascii="Wingdings" w:hAnsi="Wingdings" w:hint="default"/>
      </w:rPr>
    </w:lvl>
  </w:abstractNum>
  <w:abstractNum w:abstractNumId="10" w15:restartNumberingAfterBreak="0">
    <w:nsid w:val="12A622E0"/>
    <w:multiLevelType w:val="hybridMultilevel"/>
    <w:tmpl w:val="8D80EE40"/>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76C4BCF"/>
    <w:multiLevelType w:val="hybridMultilevel"/>
    <w:tmpl w:val="FFFFFFFF"/>
    <w:lvl w:ilvl="0" w:tplc="1C2ADC88">
      <w:start w:val="1"/>
      <w:numFmt w:val="bullet"/>
      <w:lvlText w:val="-"/>
      <w:lvlJc w:val="left"/>
      <w:pPr>
        <w:ind w:left="720" w:hanging="360"/>
      </w:pPr>
      <w:rPr>
        <w:rFonts w:ascii="Calibri" w:hAnsi="Calibri" w:hint="default"/>
      </w:rPr>
    </w:lvl>
    <w:lvl w:ilvl="1" w:tplc="FDC41232">
      <w:start w:val="1"/>
      <w:numFmt w:val="bullet"/>
      <w:lvlText w:val="o"/>
      <w:lvlJc w:val="left"/>
      <w:pPr>
        <w:ind w:left="1440" w:hanging="360"/>
      </w:pPr>
      <w:rPr>
        <w:rFonts w:ascii="Courier New" w:hAnsi="Courier New" w:hint="default"/>
      </w:rPr>
    </w:lvl>
    <w:lvl w:ilvl="2" w:tplc="86086FCA">
      <w:start w:val="1"/>
      <w:numFmt w:val="bullet"/>
      <w:lvlText w:val=""/>
      <w:lvlJc w:val="left"/>
      <w:pPr>
        <w:ind w:left="2160" w:hanging="360"/>
      </w:pPr>
      <w:rPr>
        <w:rFonts w:ascii="Wingdings" w:hAnsi="Wingdings" w:hint="default"/>
      </w:rPr>
    </w:lvl>
    <w:lvl w:ilvl="3" w:tplc="37CA95CC">
      <w:start w:val="1"/>
      <w:numFmt w:val="bullet"/>
      <w:lvlText w:val=""/>
      <w:lvlJc w:val="left"/>
      <w:pPr>
        <w:ind w:left="2880" w:hanging="360"/>
      </w:pPr>
      <w:rPr>
        <w:rFonts w:ascii="Symbol" w:hAnsi="Symbol" w:hint="default"/>
      </w:rPr>
    </w:lvl>
    <w:lvl w:ilvl="4" w:tplc="2042F090">
      <w:start w:val="1"/>
      <w:numFmt w:val="bullet"/>
      <w:lvlText w:val="o"/>
      <w:lvlJc w:val="left"/>
      <w:pPr>
        <w:ind w:left="3600" w:hanging="360"/>
      </w:pPr>
      <w:rPr>
        <w:rFonts w:ascii="Courier New" w:hAnsi="Courier New" w:hint="default"/>
      </w:rPr>
    </w:lvl>
    <w:lvl w:ilvl="5" w:tplc="5C28FC82">
      <w:start w:val="1"/>
      <w:numFmt w:val="bullet"/>
      <w:lvlText w:val=""/>
      <w:lvlJc w:val="left"/>
      <w:pPr>
        <w:ind w:left="4320" w:hanging="360"/>
      </w:pPr>
      <w:rPr>
        <w:rFonts w:ascii="Wingdings" w:hAnsi="Wingdings" w:hint="default"/>
      </w:rPr>
    </w:lvl>
    <w:lvl w:ilvl="6" w:tplc="B984AEE2">
      <w:start w:val="1"/>
      <w:numFmt w:val="bullet"/>
      <w:lvlText w:val=""/>
      <w:lvlJc w:val="left"/>
      <w:pPr>
        <w:ind w:left="5040" w:hanging="360"/>
      </w:pPr>
      <w:rPr>
        <w:rFonts w:ascii="Symbol" w:hAnsi="Symbol" w:hint="default"/>
      </w:rPr>
    </w:lvl>
    <w:lvl w:ilvl="7" w:tplc="BFACA80A">
      <w:start w:val="1"/>
      <w:numFmt w:val="bullet"/>
      <w:lvlText w:val="o"/>
      <w:lvlJc w:val="left"/>
      <w:pPr>
        <w:ind w:left="5760" w:hanging="360"/>
      </w:pPr>
      <w:rPr>
        <w:rFonts w:ascii="Courier New" w:hAnsi="Courier New" w:hint="default"/>
      </w:rPr>
    </w:lvl>
    <w:lvl w:ilvl="8" w:tplc="340E7222">
      <w:start w:val="1"/>
      <w:numFmt w:val="bullet"/>
      <w:lvlText w:val=""/>
      <w:lvlJc w:val="left"/>
      <w:pPr>
        <w:ind w:left="6480" w:hanging="360"/>
      </w:pPr>
      <w:rPr>
        <w:rFonts w:ascii="Wingdings" w:hAnsi="Wingdings" w:hint="default"/>
      </w:rPr>
    </w:lvl>
  </w:abstractNum>
  <w:abstractNum w:abstractNumId="12" w15:restartNumberingAfterBreak="0">
    <w:nsid w:val="194518D4"/>
    <w:multiLevelType w:val="hybridMultilevel"/>
    <w:tmpl w:val="FFFFFFFF"/>
    <w:lvl w:ilvl="0" w:tplc="5846DF16">
      <w:start w:val="1"/>
      <w:numFmt w:val="bullet"/>
      <w:lvlText w:val="-"/>
      <w:lvlJc w:val="left"/>
      <w:pPr>
        <w:ind w:left="720" w:hanging="360"/>
      </w:pPr>
      <w:rPr>
        <w:rFonts w:ascii="Calibri" w:hAnsi="Calibri" w:hint="default"/>
      </w:rPr>
    </w:lvl>
    <w:lvl w:ilvl="1" w:tplc="D4CE809E">
      <w:start w:val="1"/>
      <w:numFmt w:val="bullet"/>
      <w:lvlText w:val="o"/>
      <w:lvlJc w:val="left"/>
      <w:pPr>
        <w:ind w:left="1440" w:hanging="360"/>
      </w:pPr>
      <w:rPr>
        <w:rFonts w:ascii="Courier New" w:hAnsi="Courier New" w:hint="default"/>
      </w:rPr>
    </w:lvl>
    <w:lvl w:ilvl="2" w:tplc="D2C69968">
      <w:start w:val="1"/>
      <w:numFmt w:val="bullet"/>
      <w:lvlText w:val=""/>
      <w:lvlJc w:val="left"/>
      <w:pPr>
        <w:ind w:left="2160" w:hanging="360"/>
      </w:pPr>
      <w:rPr>
        <w:rFonts w:ascii="Wingdings" w:hAnsi="Wingdings" w:hint="default"/>
      </w:rPr>
    </w:lvl>
    <w:lvl w:ilvl="3" w:tplc="CE48207A">
      <w:start w:val="1"/>
      <w:numFmt w:val="bullet"/>
      <w:lvlText w:val=""/>
      <w:lvlJc w:val="left"/>
      <w:pPr>
        <w:ind w:left="2880" w:hanging="360"/>
      </w:pPr>
      <w:rPr>
        <w:rFonts w:ascii="Symbol" w:hAnsi="Symbol" w:hint="default"/>
      </w:rPr>
    </w:lvl>
    <w:lvl w:ilvl="4" w:tplc="2E364140">
      <w:start w:val="1"/>
      <w:numFmt w:val="bullet"/>
      <w:lvlText w:val="o"/>
      <w:lvlJc w:val="left"/>
      <w:pPr>
        <w:ind w:left="3600" w:hanging="360"/>
      </w:pPr>
      <w:rPr>
        <w:rFonts w:ascii="Courier New" w:hAnsi="Courier New" w:hint="default"/>
      </w:rPr>
    </w:lvl>
    <w:lvl w:ilvl="5" w:tplc="C00C0EDE">
      <w:start w:val="1"/>
      <w:numFmt w:val="bullet"/>
      <w:lvlText w:val=""/>
      <w:lvlJc w:val="left"/>
      <w:pPr>
        <w:ind w:left="4320" w:hanging="360"/>
      </w:pPr>
      <w:rPr>
        <w:rFonts w:ascii="Wingdings" w:hAnsi="Wingdings" w:hint="default"/>
      </w:rPr>
    </w:lvl>
    <w:lvl w:ilvl="6" w:tplc="A9CA1F08">
      <w:start w:val="1"/>
      <w:numFmt w:val="bullet"/>
      <w:lvlText w:val=""/>
      <w:lvlJc w:val="left"/>
      <w:pPr>
        <w:ind w:left="5040" w:hanging="360"/>
      </w:pPr>
      <w:rPr>
        <w:rFonts w:ascii="Symbol" w:hAnsi="Symbol" w:hint="default"/>
      </w:rPr>
    </w:lvl>
    <w:lvl w:ilvl="7" w:tplc="F9EEB8A0">
      <w:start w:val="1"/>
      <w:numFmt w:val="bullet"/>
      <w:lvlText w:val="o"/>
      <w:lvlJc w:val="left"/>
      <w:pPr>
        <w:ind w:left="5760" w:hanging="360"/>
      </w:pPr>
      <w:rPr>
        <w:rFonts w:ascii="Courier New" w:hAnsi="Courier New" w:hint="default"/>
      </w:rPr>
    </w:lvl>
    <w:lvl w:ilvl="8" w:tplc="8944590A">
      <w:start w:val="1"/>
      <w:numFmt w:val="bullet"/>
      <w:lvlText w:val=""/>
      <w:lvlJc w:val="left"/>
      <w:pPr>
        <w:ind w:left="6480" w:hanging="360"/>
      </w:pPr>
      <w:rPr>
        <w:rFonts w:ascii="Wingdings" w:hAnsi="Wingdings" w:hint="default"/>
      </w:rPr>
    </w:lvl>
  </w:abstractNum>
  <w:abstractNum w:abstractNumId="13" w15:restartNumberingAfterBreak="0">
    <w:nsid w:val="1A0863EE"/>
    <w:multiLevelType w:val="hybridMultilevel"/>
    <w:tmpl w:val="D04A4AF4"/>
    <w:lvl w:ilvl="0" w:tplc="CD523E34">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A160711"/>
    <w:multiLevelType w:val="hybridMultilevel"/>
    <w:tmpl w:val="31E0A4D4"/>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B8333CB"/>
    <w:multiLevelType w:val="hybridMultilevel"/>
    <w:tmpl w:val="C38207C2"/>
    <w:lvl w:ilvl="0" w:tplc="636A6792">
      <w:start w:val="4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0673547"/>
    <w:multiLevelType w:val="hybridMultilevel"/>
    <w:tmpl w:val="FFFFFFFF"/>
    <w:lvl w:ilvl="0" w:tplc="217E3D06">
      <w:start w:val="1"/>
      <w:numFmt w:val="bullet"/>
      <w:lvlText w:val="-"/>
      <w:lvlJc w:val="left"/>
      <w:pPr>
        <w:ind w:left="720" w:hanging="360"/>
      </w:pPr>
      <w:rPr>
        <w:rFonts w:ascii="Calibri" w:hAnsi="Calibri" w:hint="default"/>
      </w:rPr>
    </w:lvl>
    <w:lvl w:ilvl="1" w:tplc="68063FAC">
      <w:start w:val="1"/>
      <w:numFmt w:val="bullet"/>
      <w:lvlText w:val="o"/>
      <w:lvlJc w:val="left"/>
      <w:pPr>
        <w:ind w:left="1440" w:hanging="360"/>
      </w:pPr>
      <w:rPr>
        <w:rFonts w:ascii="Courier New" w:hAnsi="Courier New" w:hint="default"/>
      </w:rPr>
    </w:lvl>
    <w:lvl w:ilvl="2" w:tplc="26FE2C68">
      <w:start w:val="1"/>
      <w:numFmt w:val="bullet"/>
      <w:lvlText w:val=""/>
      <w:lvlJc w:val="left"/>
      <w:pPr>
        <w:ind w:left="2160" w:hanging="360"/>
      </w:pPr>
      <w:rPr>
        <w:rFonts w:ascii="Wingdings" w:hAnsi="Wingdings" w:hint="default"/>
      </w:rPr>
    </w:lvl>
    <w:lvl w:ilvl="3" w:tplc="1C46F6C2">
      <w:start w:val="1"/>
      <w:numFmt w:val="bullet"/>
      <w:lvlText w:val=""/>
      <w:lvlJc w:val="left"/>
      <w:pPr>
        <w:ind w:left="2880" w:hanging="360"/>
      </w:pPr>
      <w:rPr>
        <w:rFonts w:ascii="Symbol" w:hAnsi="Symbol" w:hint="default"/>
      </w:rPr>
    </w:lvl>
    <w:lvl w:ilvl="4" w:tplc="078A993C">
      <w:start w:val="1"/>
      <w:numFmt w:val="bullet"/>
      <w:lvlText w:val="o"/>
      <w:lvlJc w:val="left"/>
      <w:pPr>
        <w:ind w:left="3600" w:hanging="360"/>
      </w:pPr>
      <w:rPr>
        <w:rFonts w:ascii="Courier New" w:hAnsi="Courier New" w:hint="default"/>
      </w:rPr>
    </w:lvl>
    <w:lvl w:ilvl="5" w:tplc="3956253C">
      <w:start w:val="1"/>
      <w:numFmt w:val="bullet"/>
      <w:lvlText w:val=""/>
      <w:lvlJc w:val="left"/>
      <w:pPr>
        <w:ind w:left="4320" w:hanging="360"/>
      </w:pPr>
      <w:rPr>
        <w:rFonts w:ascii="Wingdings" w:hAnsi="Wingdings" w:hint="default"/>
      </w:rPr>
    </w:lvl>
    <w:lvl w:ilvl="6" w:tplc="DF16FAC4">
      <w:start w:val="1"/>
      <w:numFmt w:val="bullet"/>
      <w:lvlText w:val=""/>
      <w:lvlJc w:val="left"/>
      <w:pPr>
        <w:ind w:left="5040" w:hanging="360"/>
      </w:pPr>
      <w:rPr>
        <w:rFonts w:ascii="Symbol" w:hAnsi="Symbol" w:hint="default"/>
      </w:rPr>
    </w:lvl>
    <w:lvl w:ilvl="7" w:tplc="BDCE1BFA">
      <w:start w:val="1"/>
      <w:numFmt w:val="bullet"/>
      <w:lvlText w:val="o"/>
      <w:lvlJc w:val="left"/>
      <w:pPr>
        <w:ind w:left="5760" w:hanging="360"/>
      </w:pPr>
      <w:rPr>
        <w:rFonts w:ascii="Courier New" w:hAnsi="Courier New" w:hint="default"/>
      </w:rPr>
    </w:lvl>
    <w:lvl w:ilvl="8" w:tplc="91363A42">
      <w:start w:val="1"/>
      <w:numFmt w:val="bullet"/>
      <w:lvlText w:val=""/>
      <w:lvlJc w:val="left"/>
      <w:pPr>
        <w:ind w:left="6480" w:hanging="360"/>
      </w:pPr>
      <w:rPr>
        <w:rFonts w:ascii="Wingdings" w:hAnsi="Wingdings" w:hint="default"/>
      </w:rPr>
    </w:lvl>
  </w:abstractNum>
  <w:abstractNum w:abstractNumId="17" w15:restartNumberingAfterBreak="0">
    <w:nsid w:val="21B7295F"/>
    <w:multiLevelType w:val="hybridMultilevel"/>
    <w:tmpl w:val="7CEE4B5C"/>
    <w:lvl w:ilvl="0" w:tplc="483CBC6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3DE3751"/>
    <w:multiLevelType w:val="hybridMultilevel"/>
    <w:tmpl w:val="FFFFFFFF"/>
    <w:lvl w:ilvl="0" w:tplc="AA8A1D42">
      <w:start w:val="1"/>
      <w:numFmt w:val="bullet"/>
      <w:lvlText w:val="-"/>
      <w:lvlJc w:val="left"/>
      <w:pPr>
        <w:ind w:left="720" w:hanging="360"/>
      </w:pPr>
      <w:rPr>
        <w:rFonts w:ascii="Calibri" w:hAnsi="Calibri" w:hint="default"/>
      </w:rPr>
    </w:lvl>
    <w:lvl w:ilvl="1" w:tplc="BE34774C">
      <w:start w:val="1"/>
      <w:numFmt w:val="bullet"/>
      <w:lvlText w:val="o"/>
      <w:lvlJc w:val="left"/>
      <w:pPr>
        <w:ind w:left="1440" w:hanging="360"/>
      </w:pPr>
      <w:rPr>
        <w:rFonts w:ascii="Courier New" w:hAnsi="Courier New" w:hint="default"/>
      </w:rPr>
    </w:lvl>
    <w:lvl w:ilvl="2" w:tplc="25B4BBF8">
      <w:start w:val="1"/>
      <w:numFmt w:val="bullet"/>
      <w:lvlText w:val=""/>
      <w:lvlJc w:val="left"/>
      <w:pPr>
        <w:ind w:left="2160" w:hanging="360"/>
      </w:pPr>
      <w:rPr>
        <w:rFonts w:ascii="Wingdings" w:hAnsi="Wingdings" w:hint="default"/>
      </w:rPr>
    </w:lvl>
    <w:lvl w:ilvl="3" w:tplc="9A16C8AC">
      <w:start w:val="1"/>
      <w:numFmt w:val="bullet"/>
      <w:lvlText w:val=""/>
      <w:lvlJc w:val="left"/>
      <w:pPr>
        <w:ind w:left="2880" w:hanging="360"/>
      </w:pPr>
      <w:rPr>
        <w:rFonts w:ascii="Symbol" w:hAnsi="Symbol" w:hint="default"/>
      </w:rPr>
    </w:lvl>
    <w:lvl w:ilvl="4" w:tplc="135E6C70">
      <w:start w:val="1"/>
      <w:numFmt w:val="bullet"/>
      <w:lvlText w:val="o"/>
      <w:lvlJc w:val="left"/>
      <w:pPr>
        <w:ind w:left="3600" w:hanging="360"/>
      </w:pPr>
      <w:rPr>
        <w:rFonts w:ascii="Courier New" w:hAnsi="Courier New" w:hint="default"/>
      </w:rPr>
    </w:lvl>
    <w:lvl w:ilvl="5" w:tplc="67E09730">
      <w:start w:val="1"/>
      <w:numFmt w:val="bullet"/>
      <w:lvlText w:val=""/>
      <w:lvlJc w:val="left"/>
      <w:pPr>
        <w:ind w:left="4320" w:hanging="360"/>
      </w:pPr>
      <w:rPr>
        <w:rFonts w:ascii="Wingdings" w:hAnsi="Wingdings" w:hint="default"/>
      </w:rPr>
    </w:lvl>
    <w:lvl w:ilvl="6" w:tplc="A2AE8E48">
      <w:start w:val="1"/>
      <w:numFmt w:val="bullet"/>
      <w:lvlText w:val=""/>
      <w:lvlJc w:val="left"/>
      <w:pPr>
        <w:ind w:left="5040" w:hanging="360"/>
      </w:pPr>
      <w:rPr>
        <w:rFonts w:ascii="Symbol" w:hAnsi="Symbol" w:hint="default"/>
      </w:rPr>
    </w:lvl>
    <w:lvl w:ilvl="7" w:tplc="080AAF06">
      <w:start w:val="1"/>
      <w:numFmt w:val="bullet"/>
      <w:lvlText w:val="o"/>
      <w:lvlJc w:val="left"/>
      <w:pPr>
        <w:ind w:left="5760" w:hanging="360"/>
      </w:pPr>
      <w:rPr>
        <w:rFonts w:ascii="Courier New" w:hAnsi="Courier New" w:hint="default"/>
      </w:rPr>
    </w:lvl>
    <w:lvl w:ilvl="8" w:tplc="F864C472">
      <w:start w:val="1"/>
      <w:numFmt w:val="bullet"/>
      <w:lvlText w:val=""/>
      <w:lvlJc w:val="left"/>
      <w:pPr>
        <w:ind w:left="6480" w:hanging="360"/>
      </w:pPr>
      <w:rPr>
        <w:rFonts w:ascii="Wingdings" w:hAnsi="Wingdings" w:hint="default"/>
      </w:rPr>
    </w:lvl>
  </w:abstractNum>
  <w:abstractNum w:abstractNumId="19" w15:restartNumberingAfterBreak="0">
    <w:nsid w:val="28157875"/>
    <w:multiLevelType w:val="hybridMultilevel"/>
    <w:tmpl w:val="FFFFFFFF"/>
    <w:lvl w:ilvl="0" w:tplc="C686AFE4">
      <w:start w:val="1"/>
      <w:numFmt w:val="bullet"/>
      <w:lvlText w:val="-"/>
      <w:lvlJc w:val="left"/>
      <w:pPr>
        <w:ind w:left="720" w:hanging="360"/>
      </w:pPr>
      <w:rPr>
        <w:rFonts w:ascii="Calibri" w:hAnsi="Calibri" w:hint="default"/>
      </w:rPr>
    </w:lvl>
    <w:lvl w:ilvl="1" w:tplc="28F6E024">
      <w:start w:val="1"/>
      <w:numFmt w:val="bullet"/>
      <w:lvlText w:val="o"/>
      <w:lvlJc w:val="left"/>
      <w:pPr>
        <w:ind w:left="1440" w:hanging="360"/>
      </w:pPr>
      <w:rPr>
        <w:rFonts w:ascii="Courier New" w:hAnsi="Courier New" w:hint="default"/>
      </w:rPr>
    </w:lvl>
    <w:lvl w:ilvl="2" w:tplc="78BE96DC">
      <w:start w:val="1"/>
      <w:numFmt w:val="bullet"/>
      <w:lvlText w:val=""/>
      <w:lvlJc w:val="left"/>
      <w:pPr>
        <w:ind w:left="2160" w:hanging="360"/>
      </w:pPr>
      <w:rPr>
        <w:rFonts w:ascii="Wingdings" w:hAnsi="Wingdings" w:hint="default"/>
      </w:rPr>
    </w:lvl>
    <w:lvl w:ilvl="3" w:tplc="F8884000">
      <w:start w:val="1"/>
      <w:numFmt w:val="bullet"/>
      <w:lvlText w:val=""/>
      <w:lvlJc w:val="left"/>
      <w:pPr>
        <w:ind w:left="2880" w:hanging="360"/>
      </w:pPr>
      <w:rPr>
        <w:rFonts w:ascii="Symbol" w:hAnsi="Symbol" w:hint="default"/>
      </w:rPr>
    </w:lvl>
    <w:lvl w:ilvl="4" w:tplc="B4A487A8">
      <w:start w:val="1"/>
      <w:numFmt w:val="bullet"/>
      <w:lvlText w:val="o"/>
      <w:lvlJc w:val="left"/>
      <w:pPr>
        <w:ind w:left="3600" w:hanging="360"/>
      </w:pPr>
      <w:rPr>
        <w:rFonts w:ascii="Courier New" w:hAnsi="Courier New" w:hint="default"/>
      </w:rPr>
    </w:lvl>
    <w:lvl w:ilvl="5" w:tplc="A760B04C">
      <w:start w:val="1"/>
      <w:numFmt w:val="bullet"/>
      <w:lvlText w:val=""/>
      <w:lvlJc w:val="left"/>
      <w:pPr>
        <w:ind w:left="4320" w:hanging="360"/>
      </w:pPr>
      <w:rPr>
        <w:rFonts w:ascii="Wingdings" w:hAnsi="Wingdings" w:hint="default"/>
      </w:rPr>
    </w:lvl>
    <w:lvl w:ilvl="6" w:tplc="EE1422A8">
      <w:start w:val="1"/>
      <w:numFmt w:val="bullet"/>
      <w:lvlText w:val=""/>
      <w:lvlJc w:val="left"/>
      <w:pPr>
        <w:ind w:left="5040" w:hanging="360"/>
      </w:pPr>
      <w:rPr>
        <w:rFonts w:ascii="Symbol" w:hAnsi="Symbol" w:hint="default"/>
      </w:rPr>
    </w:lvl>
    <w:lvl w:ilvl="7" w:tplc="D57CAFE8">
      <w:start w:val="1"/>
      <w:numFmt w:val="bullet"/>
      <w:lvlText w:val="o"/>
      <w:lvlJc w:val="left"/>
      <w:pPr>
        <w:ind w:left="5760" w:hanging="360"/>
      </w:pPr>
      <w:rPr>
        <w:rFonts w:ascii="Courier New" w:hAnsi="Courier New" w:hint="default"/>
      </w:rPr>
    </w:lvl>
    <w:lvl w:ilvl="8" w:tplc="C4BA9CA8">
      <w:start w:val="1"/>
      <w:numFmt w:val="bullet"/>
      <w:lvlText w:val=""/>
      <w:lvlJc w:val="left"/>
      <w:pPr>
        <w:ind w:left="6480" w:hanging="360"/>
      </w:pPr>
      <w:rPr>
        <w:rFonts w:ascii="Wingdings" w:hAnsi="Wingdings" w:hint="default"/>
      </w:rPr>
    </w:lvl>
  </w:abstractNum>
  <w:abstractNum w:abstractNumId="20" w15:restartNumberingAfterBreak="0">
    <w:nsid w:val="29F13C2B"/>
    <w:multiLevelType w:val="hybridMultilevel"/>
    <w:tmpl w:val="FFFFFFFF"/>
    <w:lvl w:ilvl="0" w:tplc="E084B560">
      <w:start w:val="1"/>
      <w:numFmt w:val="bullet"/>
      <w:lvlText w:val="-"/>
      <w:lvlJc w:val="left"/>
      <w:pPr>
        <w:ind w:left="720" w:hanging="360"/>
      </w:pPr>
      <w:rPr>
        <w:rFonts w:ascii="Calibri" w:hAnsi="Calibri" w:hint="default"/>
      </w:rPr>
    </w:lvl>
    <w:lvl w:ilvl="1" w:tplc="B7166246">
      <w:start w:val="1"/>
      <w:numFmt w:val="bullet"/>
      <w:lvlText w:val="o"/>
      <w:lvlJc w:val="left"/>
      <w:pPr>
        <w:ind w:left="1440" w:hanging="360"/>
      </w:pPr>
      <w:rPr>
        <w:rFonts w:ascii="Courier New" w:hAnsi="Courier New" w:hint="default"/>
      </w:rPr>
    </w:lvl>
    <w:lvl w:ilvl="2" w:tplc="8146006C">
      <w:start w:val="1"/>
      <w:numFmt w:val="bullet"/>
      <w:lvlText w:val=""/>
      <w:lvlJc w:val="left"/>
      <w:pPr>
        <w:ind w:left="2160" w:hanging="360"/>
      </w:pPr>
      <w:rPr>
        <w:rFonts w:ascii="Wingdings" w:hAnsi="Wingdings" w:hint="default"/>
      </w:rPr>
    </w:lvl>
    <w:lvl w:ilvl="3" w:tplc="7E8EB41E">
      <w:start w:val="1"/>
      <w:numFmt w:val="bullet"/>
      <w:lvlText w:val=""/>
      <w:lvlJc w:val="left"/>
      <w:pPr>
        <w:ind w:left="2880" w:hanging="360"/>
      </w:pPr>
      <w:rPr>
        <w:rFonts w:ascii="Symbol" w:hAnsi="Symbol" w:hint="default"/>
      </w:rPr>
    </w:lvl>
    <w:lvl w:ilvl="4" w:tplc="57F6146E">
      <w:start w:val="1"/>
      <w:numFmt w:val="bullet"/>
      <w:lvlText w:val="o"/>
      <w:lvlJc w:val="left"/>
      <w:pPr>
        <w:ind w:left="3600" w:hanging="360"/>
      </w:pPr>
      <w:rPr>
        <w:rFonts w:ascii="Courier New" w:hAnsi="Courier New" w:hint="default"/>
      </w:rPr>
    </w:lvl>
    <w:lvl w:ilvl="5" w:tplc="1E2E1D3C">
      <w:start w:val="1"/>
      <w:numFmt w:val="bullet"/>
      <w:lvlText w:val=""/>
      <w:lvlJc w:val="left"/>
      <w:pPr>
        <w:ind w:left="4320" w:hanging="360"/>
      </w:pPr>
      <w:rPr>
        <w:rFonts w:ascii="Wingdings" w:hAnsi="Wingdings" w:hint="default"/>
      </w:rPr>
    </w:lvl>
    <w:lvl w:ilvl="6" w:tplc="F578A928">
      <w:start w:val="1"/>
      <w:numFmt w:val="bullet"/>
      <w:lvlText w:val=""/>
      <w:lvlJc w:val="left"/>
      <w:pPr>
        <w:ind w:left="5040" w:hanging="360"/>
      </w:pPr>
      <w:rPr>
        <w:rFonts w:ascii="Symbol" w:hAnsi="Symbol" w:hint="default"/>
      </w:rPr>
    </w:lvl>
    <w:lvl w:ilvl="7" w:tplc="0DEC8E76">
      <w:start w:val="1"/>
      <w:numFmt w:val="bullet"/>
      <w:lvlText w:val="o"/>
      <w:lvlJc w:val="left"/>
      <w:pPr>
        <w:ind w:left="5760" w:hanging="360"/>
      </w:pPr>
      <w:rPr>
        <w:rFonts w:ascii="Courier New" w:hAnsi="Courier New" w:hint="default"/>
      </w:rPr>
    </w:lvl>
    <w:lvl w:ilvl="8" w:tplc="B0600988">
      <w:start w:val="1"/>
      <w:numFmt w:val="bullet"/>
      <w:lvlText w:val=""/>
      <w:lvlJc w:val="left"/>
      <w:pPr>
        <w:ind w:left="6480" w:hanging="360"/>
      </w:pPr>
      <w:rPr>
        <w:rFonts w:ascii="Wingdings" w:hAnsi="Wingdings" w:hint="default"/>
      </w:rPr>
    </w:lvl>
  </w:abstractNum>
  <w:abstractNum w:abstractNumId="21" w15:restartNumberingAfterBreak="0">
    <w:nsid w:val="2E220037"/>
    <w:multiLevelType w:val="hybridMultilevel"/>
    <w:tmpl w:val="649AF4E0"/>
    <w:lvl w:ilvl="0" w:tplc="0DDAA6CC">
      <w:start w:val="1"/>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2EAA5BBD"/>
    <w:multiLevelType w:val="hybridMultilevel"/>
    <w:tmpl w:val="FFFFFFFF"/>
    <w:lvl w:ilvl="0" w:tplc="3224D838">
      <w:start w:val="1"/>
      <w:numFmt w:val="bullet"/>
      <w:lvlText w:val="-"/>
      <w:lvlJc w:val="left"/>
      <w:pPr>
        <w:ind w:left="720" w:hanging="360"/>
      </w:pPr>
      <w:rPr>
        <w:rFonts w:ascii="Calibri" w:hAnsi="Calibri" w:hint="default"/>
      </w:rPr>
    </w:lvl>
    <w:lvl w:ilvl="1" w:tplc="5BFAFBD4">
      <w:start w:val="1"/>
      <w:numFmt w:val="bullet"/>
      <w:lvlText w:val="o"/>
      <w:lvlJc w:val="left"/>
      <w:pPr>
        <w:ind w:left="1440" w:hanging="360"/>
      </w:pPr>
      <w:rPr>
        <w:rFonts w:ascii="Courier New" w:hAnsi="Courier New" w:hint="default"/>
      </w:rPr>
    </w:lvl>
    <w:lvl w:ilvl="2" w:tplc="92428DD2">
      <w:start w:val="1"/>
      <w:numFmt w:val="bullet"/>
      <w:lvlText w:val=""/>
      <w:lvlJc w:val="left"/>
      <w:pPr>
        <w:ind w:left="2160" w:hanging="360"/>
      </w:pPr>
      <w:rPr>
        <w:rFonts w:ascii="Wingdings" w:hAnsi="Wingdings" w:hint="default"/>
      </w:rPr>
    </w:lvl>
    <w:lvl w:ilvl="3" w:tplc="3B20B46E">
      <w:start w:val="1"/>
      <w:numFmt w:val="bullet"/>
      <w:lvlText w:val=""/>
      <w:lvlJc w:val="left"/>
      <w:pPr>
        <w:ind w:left="2880" w:hanging="360"/>
      </w:pPr>
      <w:rPr>
        <w:rFonts w:ascii="Symbol" w:hAnsi="Symbol" w:hint="default"/>
      </w:rPr>
    </w:lvl>
    <w:lvl w:ilvl="4" w:tplc="628CFE1C">
      <w:start w:val="1"/>
      <w:numFmt w:val="bullet"/>
      <w:lvlText w:val="o"/>
      <w:lvlJc w:val="left"/>
      <w:pPr>
        <w:ind w:left="3600" w:hanging="360"/>
      </w:pPr>
      <w:rPr>
        <w:rFonts w:ascii="Courier New" w:hAnsi="Courier New" w:hint="default"/>
      </w:rPr>
    </w:lvl>
    <w:lvl w:ilvl="5" w:tplc="3BAA3902">
      <w:start w:val="1"/>
      <w:numFmt w:val="bullet"/>
      <w:lvlText w:val=""/>
      <w:lvlJc w:val="left"/>
      <w:pPr>
        <w:ind w:left="4320" w:hanging="360"/>
      </w:pPr>
      <w:rPr>
        <w:rFonts w:ascii="Wingdings" w:hAnsi="Wingdings" w:hint="default"/>
      </w:rPr>
    </w:lvl>
    <w:lvl w:ilvl="6" w:tplc="64DA90DE">
      <w:start w:val="1"/>
      <w:numFmt w:val="bullet"/>
      <w:lvlText w:val=""/>
      <w:lvlJc w:val="left"/>
      <w:pPr>
        <w:ind w:left="5040" w:hanging="360"/>
      </w:pPr>
      <w:rPr>
        <w:rFonts w:ascii="Symbol" w:hAnsi="Symbol" w:hint="default"/>
      </w:rPr>
    </w:lvl>
    <w:lvl w:ilvl="7" w:tplc="05968CF6">
      <w:start w:val="1"/>
      <w:numFmt w:val="bullet"/>
      <w:lvlText w:val="o"/>
      <w:lvlJc w:val="left"/>
      <w:pPr>
        <w:ind w:left="5760" w:hanging="360"/>
      </w:pPr>
      <w:rPr>
        <w:rFonts w:ascii="Courier New" w:hAnsi="Courier New" w:hint="default"/>
      </w:rPr>
    </w:lvl>
    <w:lvl w:ilvl="8" w:tplc="29E0F754">
      <w:start w:val="1"/>
      <w:numFmt w:val="bullet"/>
      <w:lvlText w:val=""/>
      <w:lvlJc w:val="left"/>
      <w:pPr>
        <w:ind w:left="6480" w:hanging="360"/>
      </w:pPr>
      <w:rPr>
        <w:rFonts w:ascii="Wingdings" w:hAnsi="Wingdings" w:hint="default"/>
      </w:rPr>
    </w:lvl>
  </w:abstractNum>
  <w:abstractNum w:abstractNumId="23" w15:restartNumberingAfterBreak="0">
    <w:nsid w:val="33904E87"/>
    <w:multiLevelType w:val="hybridMultilevel"/>
    <w:tmpl w:val="B02E711C"/>
    <w:lvl w:ilvl="0" w:tplc="3B7A2CA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3C83C79"/>
    <w:multiLevelType w:val="hybridMultilevel"/>
    <w:tmpl w:val="71EE2364"/>
    <w:lvl w:ilvl="0" w:tplc="080C0017">
      <w:start w:val="1"/>
      <w:numFmt w:val="low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3E47504"/>
    <w:multiLevelType w:val="hybridMultilevel"/>
    <w:tmpl w:val="0652B4AE"/>
    <w:lvl w:ilvl="0" w:tplc="07D00CF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3F86C7C"/>
    <w:multiLevelType w:val="hybridMultilevel"/>
    <w:tmpl w:val="8F542894"/>
    <w:lvl w:ilvl="0" w:tplc="A1A49B48">
      <w:start w:val="79"/>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A4B11D1"/>
    <w:multiLevelType w:val="hybridMultilevel"/>
    <w:tmpl w:val="FFFFFFFF"/>
    <w:lvl w:ilvl="0" w:tplc="7BD4FE9A">
      <w:start w:val="1"/>
      <w:numFmt w:val="bullet"/>
      <w:lvlText w:val="-"/>
      <w:lvlJc w:val="left"/>
      <w:pPr>
        <w:ind w:left="720" w:hanging="360"/>
      </w:pPr>
      <w:rPr>
        <w:rFonts w:ascii="Calibri" w:hAnsi="Calibri" w:hint="default"/>
      </w:rPr>
    </w:lvl>
    <w:lvl w:ilvl="1" w:tplc="EA986BAE">
      <w:start w:val="1"/>
      <w:numFmt w:val="bullet"/>
      <w:lvlText w:val="o"/>
      <w:lvlJc w:val="left"/>
      <w:pPr>
        <w:ind w:left="1440" w:hanging="360"/>
      </w:pPr>
      <w:rPr>
        <w:rFonts w:ascii="Courier New" w:hAnsi="Courier New" w:hint="default"/>
      </w:rPr>
    </w:lvl>
    <w:lvl w:ilvl="2" w:tplc="895061B8">
      <w:start w:val="1"/>
      <w:numFmt w:val="bullet"/>
      <w:lvlText w:val=""/>
      <w:lvlJc w:val="left"/>
      <w:pPr>
        <w:ind w:left="2160" w:hanging="360"/>
      </w:pPr>
      <w:rPr>
        <w:rFonts w:ascii="Wingdings" w:hAnsi="Wingdings" w:hint="default"/>
      </w:rPr>
    </w:lvl>
    <w:lvl w:ilvl="3" w:tplc="682CEAE2">
      <w:start w:val="1"/>
      <w:numFmt w:val="bullet"/>
      <w:lvlText w:val=""/>
      <w:lvlJc w:val="left"/>
      <w:pPr>
        <w:ind w:left="2880" w:hanging="360"/>
      </w:pPr>
      <w:rPr>
        <w:rFonts w:ascii="Symbol" w:hAnsi="Symbol" w:hint="default"/>
      </w:rPr>
    </w:lvl>
    <w:lvl w:ilvl="4" w:tplc="8A824022">
      <w:start w:val="1"/>
      <w:numFmt w:val="bullet"/>
      <w:lvlText w:val="o"/>
      <w:lvlJc w:val="left"/>
      <w:pPr>
        <w:ind w:left="3600" w:hanging="360"/>
      </w:pPr>
      <w:rPr>
        <w:rFonts w:ascii="Courier New" w:hAnsi="Courier New" w:hint="default"/>
      </w:rPr>
    </w:lvl>
    <w:lvl w:ilvl="5" w:tplc="C9C4013E">
      <w:start w:val="1"/>
      <w:numFmt w:val="bullet"/>
      <w:lvlText w:val=""/>
      <w:lvlJc w:val="left"/>
      <w:pPr>
        <w:ind w:left="4320" w:hanging="360"/>
      </w:pPr>
      <w:rPr>
        <w:rFonts w:ascii="Wingdings" w:hAnsi="Wingdings" w:hint="default"/>
      </w:rPr>
    </w:lvl>
    <w:lvl w:ilvl="6" w:tplc="EA5683DE">
      <w:start w:val="1"/>
      <w:numFmt w:val="bullet"/>
      <w:lvlText w:val=""/>
      <w:lvlJc w:val="left"/>
      <w:pPr>
        <w:ind w:left="5040" w:hanging="360"/>
      </w:pPr>
      <w:rPr>
        <w:rFonts w:ascii="Symbol" w:hAnsi="Symbol" w:hint="default"/>
      </w:rPr>
    </w:lvl>
    <w:lvl w:ilvl="7" w:tplc="8062920C">
      <w:start w:val="1"/>
      <w:numFmt w:val="bullet"/>
      <w:lvlText w:val="o"/>
      <w:lvlJc w:val="left"/>
      <w:pPr>
        <w:ind w:left="5760" w:hanging="360"/>
      </w:pPr>
      <w:rPr>
        <w:rFonts w:ascii="Courier New" w:hAnsi="Courier New" w:hint="default"/>
      </w:rPr>
    </w:lvl>
    <w:lvl w:ilvl="8" w:tplc="83082BD2">
      <w:start w:val="1"/>
      <w:numFmt w:val="bullet"/>
      <w:lvlText w:val=""/>
      <w:lvlJc w:val="left"/>
      <w:pPr>
        <w:ind w:left="6480" w:hanging="360"/>
      </w:pPr>
      <w:rPr>
        <w:rFonts w:ascii="Wingdings" w:hAnsi="Wingdings" w:hint="default"/>
      </w:rPr>
    </w:lvl>
  </w:abstractNum>
  <w:abstractNum w:abstractNumId="28" w15:restartNumberingAfterBreak="0">
    <w:nsid w:val="3ECC5430"/>
    <w:multiLevelType w:val="hybridMultilevel"/>
    <w:tmpl w:val="FFFFFFFF"/>
    <w:lvl w:ilvl="0" w:tplc="FC2E11E4">
      <w:start w:val="1"/>
      <w:numFmt w:val="bullet"/>
      <w:lvlText w:val="-"/>
      <w:lvlJc w:val="left"/>
      <w:pPr>
        <w:ind w:left="720" w:hanging="360"/>
      </w:pPr>
      <w:rPr>
        <w:rFonts w:ascii="Calibri" w:hAnsi="Calibri" w:hint="default"/>
      </w:rPr>
    </w:lvl>
    <w:lvl w:ilvl="1" w:tplc="9C1AFB7E">
      <w:start w:val="1"/>
      <w:numFmt w:val="bullet"/>
      <w:lvlText w:val="o"/>
      <w:lvlJc w:val="left"/>
      <w:pPr>
        <w:ind w:left="1440" w:hanging="360"/>
      </w:pPr>
      <w:rPr>
        <w:rFonts w:ascii="Courier New" w:hAnsi="Courier New" w:hint="default"/>
      </w:rPr>
    </w:lvl>
    <w:lvl w:ilvl="2" w:tplc="B914DF6C">
      <w:start w:val="1"/>
      <w:numFmt w:val="bullet"/>
      <w:lvlText w:val=""/>
      <w:lvlJc w:val="left"/>
      <w:pPr>
        <w:ind w:left="2160" w:hanging="360"/>
      </w:pPr>
      <w:rPr>
        <w:rFonts w:ascii="Wingdings" w:hAnsi="Wingdings" w:hint="default"/>
      </w:rPr>
    </w:lvl>
    <w:lvl w:ilvl="3" w:tplc="BF0CCB0E">
      <w:start w:val="1"/>
      <w:numFmt w:val="bullet"/>
      <w:lvlText w:val=""/>
      <w:lvlJc w:val="left"/>
      <w:pPr>
        <w:ind w:left="2880" w:hanging="360"/>
      </w:pPr>
      <w:rPr>
        <w:rFonts w:ascii="Symbol" w:hAnsi="Symbol" w:hint="default"/>
      </w:rPr>
    </w:lvl>
    <w:lvl w:ilvl="4" w:tplc="781437D2">
      <w:start w:val="1"/>
      <w:numFmt w:val="bullet"/>
      <w:lvlText w:val="o"/>
      <w:lvlJc w:val="left"/>
      <w:pPr>
        <w:ind w:left="3600" w:hanging="360"/>
      </w:pPr>
      <w:rPr>
        <w:rFonts w:ascii="Courier New" w:hAnsi="Courier New" w:hint="default"/>
      </w:rPr>
    </w:lvl>
    <w:lvl w:ilvl="5" w:tplc="DF48889C">
      <w:start w:val="1"/>
      <w:numFmt w:val="bullet"/>
      <w:lvlText w:val=""/>
      <w:lvlJc w:val="left"/>
      <w:pPr>
        <w:ind w:left="4320" w:hanging="360"/>
      </w:pPr>
      <w:rPr>
        <w:rFonts w:ascii="Wingdings" w:hAnsi="Wingdings" w:hint="default"/>
      </w:rPr>
    </w:lvl>
    <w:lvl w:ilvl="6" w:tplc="510835CC">
      <w:start w:val="1"/>
      <w:numFmt w:val="bullet"/>
      <w:lvlText w:val=""/>
      <w:lvlJc w:val="left"/>
      <w:pPr>
        <w:ind w:left="5040" w:hanging="360"/>
      </w:pPr>
      <w:rPr>
        <w:rFonts w:ascii="Symbol" w:hAnsi="Symbol" w:hint="default"/>
      </w:rPr>
    </w:lvl>
    <w:lvl w:ilvl="7" w:tplc="2BFCE76E">
      <w:start w:val="1"/>
      <w:numFmt w:val="bullet"/>
      <w:lvlText w:val="o"/>
      <w:lvlJc w:val="left"/>
      <w:pPr>
        <w:ind w:left="5760" w:hanging="360"/>
      </w:pPr>
      <w:rPr>
        <w:rFonts w:ascii="Courier New" w:hAnsi="Courier New" w:hint="default"/>
      </w:rPr>
    </w:lvl>
    <w:lvl w:ilvl="8" w:tplc="F8009B3A">
      <w:start w:val="1"/>
      <w:numFmt w:val="bullet"/>
      <w:lvlText w:val=""/>
      <w:lvlJc w:val="left"/>
      <w:pPr>
        <w:ind w:left="6480" w:hanging="360"/>
      </w:pPr>
      <w:rPr>
        <w:rFonts w:ascii="Wingdings" w:hAnsi="Wingdings" w:hint="default"/>
      </w:rPr>
    </w:lvl>
  </w:abstractNum>
  <w:abstractNum w:abstractNumId="29" w15:restartNumberingAfterBreak="0">
    <w:nsid w:val="413F4BA0"/>
    <w:multiLevelType w:val="hybridMultilevel"/>
    <w:tmpl w:val="A3E61708"/>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4AA00D2"/>
    <w:multiLevelType w:val="hybridMultilevel"/>
    <w:tmpl w:val="FFFFFFFF"/>
    <w:lvl w:ilvl="0" w:tplc="2AD0DB20">
      <w:start w:val="1"/>
      <w:numFmt w:val="bullet"/>
      <w:lvlText w:val="-"/>
      <w:lvlJc w:val="left"/>
      <w:pPr>
        <w:ind w:left="720" w:hanging="360"/>
      </w:pPr>
      <w:rPr>
        <w:rFonts w:ascii="Calibri" w:hAnsi="Calibri" w:hint="default"/>
      </w:rPr>
    </w:lvl>
    <w:lvl w:ilvl="1" w:tplc="EBE8E0D8">
      <w:start w:val="1"/>
      <w:numFmt w:val="bullet"/>
      <w:lvlText w:val="o"/>
      <w:lvlJc w:val="left"/>
      <w:pPr>
        <w:ind w:left="1440" w:hanging="360"/>
      </w:pPr>
      <w:rPr>
        <w:rFonts w:ascii="Courier New" w:hAnsi="Courier New" w:hint="default"/>
      </w:rPr>
    </w:lvl>
    <w:lvl w:ilvl="2" w:tplc="60E2126A">
      <w:start w:val="1"/>
      <w:numFmt w:val="bullet"/>
      <w:lvlText w:val=""/>
      <w:lvlJc w:val="left"/>
      <w:pPr>
        <w:ind w:left="2160" w:hanging="360"/>
      </w:pPr>
      <w:rPr>
        <w:rFonts w:ascii="Wingdings" w:hAnsi="Wingdings" w:hint="default"/>
      </w:rPr>
    </w:lvl>
    <w:lvl w:ilvl="3" w:tplc="C7C45B48">
      <w:start w:val="1"/>
      <w:numFmt w:val="bullet"/>
      <w:lvlText w:val=""/>
      <w:lvlJc w:val="left"/>
      <w:pPr>
        <w:ind w:left="2880" w:hanging="360"/>
      </w:pPr>
      <w:rPr>
        <w:rFonts w:ascii="Symbol" w:hAnsi="Symbol" w:hint="default"/>
      </w:rPr>
    </w:lvl>
    <w:lvl w:ilvl="4" w:tplc="535A34FE">
      <w:start w:val="1"/>
      <w:numFmt w:val="bullet"/>
      <w:lvlText w:val="o"/>
      <w:lvlJc w:val="left"/>
      <w:pPr>
        <w:ind w:left="3600" w:hanging="360"/>
      </w:pPr>
      <w:rPr>
        <w:rFonts w:ascii="Courier New" w:hAnsi="Courier New" w:hint="default"/>
      </w:rPr>
    </w:lvl>
    <w:lvl w:ilvl="5" w:tplc="49EA2144">
      <w:start w:val="1"/>
      <w:numFmt w:val="bullet"/>
      <w:lvlText w:val=""/>
      <w:lvlJc w:val="left"/>
      <w:pPr>
        <w:ind w:left="4320" w:hanging="360"/>
      </w:pPr>
      <w:rPr>
        <w:rFonts w:ascii="Wingdings" w:hAnsi="Wingdings" w:hint="default"/>
      </w:rPr>
    </w:lvl>
    <w:lvl w:ilvl="6" w:tplc="756082F8">
      <w:start w:val="1"/>
      <w:numFmt w:val="bullet"/>
      <w:lvlText w:val=""/>
      <w:lvlJc w:val="left"/>
      <w:pPr>
        <w:ind w:left="5040" w:hanging="360"/>
      </w:pPr>
      <w:rPr>
        <w:rFonts w:ascii="Symbol" w:hAnsi="Symbol" w:hint="default"/>
      </w:rPr>
    </w:lvl>
    <w:lvl w:ilvl="7" w:tplc="C92E7866">
      <w:start w:val="1"/>
      <w:numFmt w:val="bullet"/>
      <w:lvlText w:val="o"/>
      <w:lvlJc w:val="left"/>
      <w:pPr>
        <w:ind w:left="5760" w:hanging="360"/>
      </w:pPr>
      <w:rPr>
        <w:rFonts w:ascii="Courier New" w:hAnsi="Courier New" w:hint="default"/>
      </w:rPr>
    </w:lvl>
    <w:lvl w:ilvl="8" w:tplc="7F6CE4E2">
      <w:start w:val="1"/>
      <w:numFmt w:val="bullet"/>
      <w:lvlText w:val=""/>
      <w:lvlJc w:val="left"/>
      <w:pPr>
        <w:ind w:left="6480" w:hanging="360"/>
      </w:pPr>
      <w:rPr>
        <w:rFonts w:ascii="Wingdings" w:hAnsi="Wingdings" w:hint="default"/>
      </w:rPr>
    </w:lvl>
  </w:abstractNum>
  <w:abstractNum w:abstractNumId="31" w15:restartNumberingAfterBreak="0">
    <w:nsid w:val="45B5796F"/>
    <w:multiLevelType w:val="hybridMultilevel"/>
    <w:tmpl w:val="FFFFFFFF"/>
    <w:lvl w:ilvl="0" w:tplc="C7B03082">
      <w:start w:val="1"/>
      <w:numFmt w:val="bullet"/>
      <w:lvlText w:val="-"/>
      <w:lvlJc w:val="left"/>
      <w:pPr>
        <w:ind w:left="720" w:hanging="360"/>
      </w:pPr>
      <w:rPr>
        <w:rFonts w:ascii="Calibri" w:hAnsi="Calibri" w:hint="default"/>
      </w:rPr>
    </w:lvl>
    <w:lvl w:ilvl="1" w:tplc="438CAFC0">
      <w:start w:val="1"/>
      <w:numFmt w:val="bullet"/>
      <w:lvlText w:val="o"/>
      <w:lvlJc w:val="left"/>
      <w:pPr>
        <w:ind w:left="1440" w:hanging="360"/>
      </w:pPr>
      <w:rPr>
        <w:rFonts w:ascii="Courier New" w:hAnsi="Courier New" w:hint="default"/>
      </w:rPr>
    </w:lvl>
    <w:lvl w:ilvl="2" w:tplc="DA4665CC">
      <w:start w:val="1"/>
      <w:numFmt w:val="bullet"/>
      <w:lvlText w:val=""/>
      <w:lvlJc w:val="left"/>
      <w:pPr>
        <w:ind w:left="2160" w:hanging="360"/>
      </w:pPr>
      <w:rPr>
        <w:rFonts w:ascii="Wingdings" w:hAnsi="Wingdings" w:hint="default"/>
      </w:rPr>
    </w:lvl>
    <w:lvl w:ilvl="3" w:tplc="B9EE5056">
      <w:start w:val="1"/>
      <w:numFmt w:val="bullet"/>
      <w:lvlText w:val=""/>
      <w:lvlJc w:val="left"/>
      <w:pPr>
        <w:ind w:left="2880" w:hanging="360"/>
      </w:pPr>
      <w:rPr>
        <w:rFonts w:ascii="Symbol" w:hAnsi="Symbol" w:hint="default"/>
      </w:rPr>
    </w:lvl>
    <w:lvl w:ilvl="4" w:tplc="5ADC29C2">
      <w:start w:val="1"/>
      <w:numFmt w:val="bullet"/>
      <w:lvlText w:val="o"/>
      <w:lvlJc w:val="left"/>
      <w:pPr>
        <w:ind w:left="3600" w:hanging="360"/>
      </w:pPr>
      <w:rPr>
        <w:rFonts w:ascii="Courier New" w:hAnsi="Courier New" w:hint="default"/>
      </w:rPr>
    </w:lvl>
    <w:lvl w:ilvl="5" w:tplc="6E762E2A">
      <w:start w:val="1"/>
      <w:numFmt w:val="bullet"/>
      <w:lvlText w:val=""/>
      <w:lvlJc w:val="left"/>
      <w:pPr>
        <w:ind w:left="4320" w:hanging="360"/>
      </w:pPr>
      <w:rPr>
        <w:rFonts w:ascii="Wingdings" w:hAnsi="Wingdings" w:hint="default"/>
      </w:rPr>
    </w:lvl>
    <w:lvl w:ilvl="6" w:tplc="523AD83C">
      <w:start w:val="1"/>
      <w:numFmt w:val="bullet"/>
      <w:lvlText w:val=""/>
      <w:lvlJc w:val="left"/>
      <w:pPr>
        <w:ind w:left="5040" w:hanging="360"/>
      </w:pPr>
      <w:rPr>
        <w:rFonts w:ascii="Symbol" w:hAnsi="Symbol" w:hint="default"/>
      </w:rPr>
    </w:lvl>
    <w:lvl w:ilvl="7" w:tplc="34ECBF16">
      <w:start w:val="1"/>
      <w:numFmt w:val="bullet"/>
      <w:lvlText w:val="o"/>
      <w:lvlJc w:val="left"/>
      <w:pPr>
        <w:ind w:left="5760" w:hanging="360"/>
      </w:pPr>
      <w:rPr>
        <w:rFonts w:ascii="Courier New" w:hAnsi="Courier New" w:hint="default"/>
      </w:rPr>
    </w:lvl>
    <w:lvl w:ilvl="8" w:tplc="472CB256">
      <w:start w:val="1"/>
      <w:numFmt w:val="bullet"/>
      <w:lvlText w:val=""/>
      <w:lvlJc w:val="left"/>
      <w:pPr>
        <w:ind w:left="6480" w:hanging="360"/>
      </w:pPr>
      <w:rPr>
        <w:rFonts w:ascii="Wingdings" w:hAnsi="Wingdings" w:hint="default"/>
      </w:rPr>
    </w:lvl>
  </w:abstractNum>
  <w:abstractNum w:abstractNumId="32" w15:restartNumberingAfterBreak="0">
    <w:nsid w:val="4E3D370E"/>
    <w:multiLevelType w:val="hybridMultilevel"/>
    <w:tmpl w:val="916E9D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00925BD"/>
    <w:multiLevelType w:val="hybridMultilevel"/>
    <w:tmpl w:val="28800CD2"/>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2246D20"/>
    <w:multiLevelType w:val="hybridMultilevel"/>
    <w:tmpl w:val="53D219E6"/>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7DF5208"/>
    <w:multiLevelType w:val="hybridMultilevel"/>
    <w:tmpl w:val="FFFFFFFF"/>
    <w:lvl w:ilvl="0" w:tplc="83942368">
      <w:start w:val="1"/>
      <w:numFmt w:val="bullet"/>
      <w:lvlText w:val="-"/>
      <w:lvlJc w:val="left"/>
      <w:pPr>
        <w:ind w:left="720" w:hanging="360"/>
      </w:pPr>
      <w:rPr>
        <w:rFonts w:ascii="Calibri" w:hAnsi="Calibri" w:hint="default"/>
      </w:rPr>
    </w:lvl>
    <w:lvl w:ilvl="1" w:tplc="D0E6A0DA">
      <w:start w:val="1"/>
      <w:numFmt w:val="bullet"/>
      <w:lvlText w:val="o"/>
      <w:lvlJc w:val="left"/>
      <w:pPr>
        <w:ind w:left="1440" w:hanging="360"/>
      </w:pPr>
      <w:rPr>
        <w:rFonts w:ascii="Courier New" w:hAnsi="Courier New" w:hint="default"/>
      </w:rPr>
    </w:lvl>
    <w:lvl w:ilvl="2" w:tplc="6842187A">
      <w:start w:val="1"/>
      <w:numFmt w:val="bullet"/>
      <w:lvlText w:val=""/>
      <w:lvlJc w:val="left"/>
      <w:pPr>
        <w:ind w:left="2160" w:hanging="360"/>
      </w:pPr>
      <w:rPr>
        <w:rFonts w:ascii="Wingdings" w:hAnsi="Wingdings" w:hint="default"/>
      </w:rPr>
    </w:lvl>
    <w:lvl w:ilvl="3" w:tplc="82E4E0E8">
      <w:start w:val="1"/>
      <w:numFmt w:val="bullet"/>
      <w:lvlText w:val=""/>
      <w:lvlJc w:val="left"/>
      <w:pPr>
        <w:ind w:left="2880" w:hanging="360"/>
      </w:pPr>
      <w:rPr>
        <w:rFonts w:ascii="Symbol" w:hAnsi="Symbol" w:hint="default"/>
      </w:rPr>
    </w:lvl>
    <w:lvl w:ilvl="4" w:tplc="BA00429A">
      <w:start w:val="1"/>
      <w:numFmt w:val="bullet"/>
      <w:lvlText w:val="o"/>
      <w:lvlJc w:val="left"/>
      <w:pPr>
        <w:ind w:left="3600" w:hanging="360"/>
      </w:pPr>
      <w:rPr>
        <w:rFonts w:ascii="Courier New" w:hAnsi="Courier New" w:hint="default"/>
      </w:rPr>
    </w:lvl>
    <w:lvl w:ilvl="5" w:tplc="62CA53FC">
      <w:start w:val="1"/>
      <w:numFmt w:val="bullet"/>
      <w:lvlText w:val=""/>
      <w:lvlJc w:val="left"/>
      <w:pPr>
        <w:ind w:left="4320" w:hanging="360"/>
      </w:pPr>
      <w:rPr>
        <w:rFonts w:ascii="Wingdings" w:hAnsi="Wingdings" w:hint="default"/>
      </w:rPr>
    </w:lvl>
    <w:lvl w:ilvl="6" w:tplc="4A18FB12">
      <w:start w:val="1"/>
      <w:numFmt w:val="bullet"/>
      <w:lvlText w:val=""/>
      <w:lvlJc w:val="left"/>
      <w:pPr>
        <w:ind w:left="5040" w:hanging="360"/>
      </w:pPr>
      <w:rPr>
        <w:rFonts w:ascii="Symbol" w:hAnsi="Symbol" w:hint="default"/>
      </w:rPr>
    </w:lvl>
    <w:lvl w:ilvl="7" w:tplc="83FCF59A">
      <w:start w:val="1"/>
      <w:numFmt w:val="bullet"/>
      <w:lvlText w:val="o"/>
      <w:lvlJc w:val="left"/>
      <w:pPr>
        <w:ind w:left="5760" w:hanging="360"/>
      </w:pPr>
      <w:rPr>
        <w:rFonts w:ascii="Courier New" w:hAnsi="Courier New" w:hint="default"/>
      </w:rPr>
    </w:lvl>
    <w:lvl w:ilvl="8" w:tplc="DA104770">
      <w:start w:val="1"/>
      <w:numFmt w:val="bullet"/>
      <w:lvlText w:val=""/>
      <w:lvlJc w:val="left"/>
      <w:pPr>
        <w:ind w:left="6480" w:hanging="360"/>
      </w:pPr>
      <w:rPr>
        <w:rFonts w:ascii="Wingdings" w:hAnsi="Wingdings" w:hint="default"/>
      </w:rPr>
    </w:lvl>
  </w:abstractNum>
  <w:abstractNum w:abstractNumId="36" w15:restartNumberingAfterBreak="0">
    <w:nsid w:val="58ED3901"/>
    <w:multiLevelType w:val="hybridMultilevel"/>
    <w:tmpl w:val="FFFFFFFF"/>
    <w:lvl w:ilvl="0" w:tplc="5A04D46A">
      <w:start w:val="1"/>
      <w:numFmt w:val="bullet"/>
      <w:lvlText w:val="-"/>
      <w:lvlJc w:val="left"/>
      <w:pPr>
        <w:ind w:left="720" w:hanging="360"/>
      </w:pPr>
      <w:rPr>
        <w:rFonts w:ascii="Calibri" w:hAnsi="Calibri" w:hint="default"/>
      </w:rPr>
    </w:lvl>
    <w:lvl w:ilvl="1" w:tplc="8EC8127C">
      <w:start w:val="1"/>
      <w:numFmt w:val="bullet"/>
      <w:lvlText w:val="o"/>
      <w:lvlJc w:val="left"/>
      <w:pPr>
        <w:ind w:left="1440" w:hanging="360"/>
      </w:pPr>
      <w:rPr>
        <w:rFonts w:ascii="Courier New" w:hAnsi="Courier New" w:hint="default"/>
      </w:rPr>
    </w:lvl>
    <w:lvl w:ilvl="2" w:tplc="6218B700">
      <w:start w:val="1"/>
      <w:numFmt w:val="bullet"/>
      <w:lvlText w:val=""/>
      <w:lvlJc w:val="left"/>
      <w:pPr>
        <w:ind w:left="2160" w:hanging="360"/>
      </w:pPr>
      <w:rPr>
        <w:rFonts w:ascii="Wingdings" w:hAnsi="Wingdings" w:hint="default"/>
      </w:rPr>
    </w:lvl>
    <w:lvl w:ilvl="3" w:tplc="2E225BE8">
      <w:start w:val="1"/>
      <w:numFmt w:val="bullet"/>
      <w:lvlText w:val=""/>
      <w:lvlJc w:val="left"/>
      <w:pPr>
        <w:ind w:left="2880" w:hanging="360"/>
      </w:pPr>
      <w:rPr>
        <w:rFonts w:ascii="Symbol" w:hAnsi="Symbol" w:hint="default"/>
      </w:rPr>
    </w:lvl>
    <w:lvl w:ilvl="4" w:tplc="6E60C2B4">
      <w:start w:val="1"/>
      <w:numFmt w:val="bullet"/>
      <w:lvlText w:val="o"/>
      <w:lvlJc w:val="left"/>
      <w:pPr>
        <w:ind w:left="3600" w:hanging="360"/>
      </w:pPr>
      <w:rPr>
        <w:rFonts w:ascii="Courier New" w:hAnsi="Courier New" w:hint="default"/>
      </w:rPr>
    </w:lvl>
    <w:lvl w:ilvl="5" w:tplc="3056BA66">
      <w:start w:val="1"/>
      <w:numFmt w:val="bullet"/>
      <w:lvlText w:val=""/>
      <w:lvlJc w:val="left"/>
      <w:pPr>
        <w:ind w:left="4320" w:hanging="360"/>
      </w:pPr>
      <w:rPr>
        <w:rFonts w:ascii="Wingdings" w:hAnsi="Wingdings" w:hint="default"/>
      </w:rPr>
    </w:lvl>
    <w:lvl w:ilvl="6" w:tplc="50D6BA16">
      <w:start w:val="1"/>
      <w:numFmt w:val="bullet"/>
      <w:lvlText w:val=""/>
      <w:lvlJc w:val="left"/>
      <w:pPr>
        <w:ind w:left="5040" w:hanging="360"/>
      </w:pPr>
      <w:rPr>
        <w:rFonts w:ascii="Symbol" w:hAnsi="Symbol" w:hint="default"/>
      </w:rPr>
    </w:lvl>
    <w:lvl w:ilvl="7" w:tplc="8C2608A6">
      <w:start w:val="1"/>
      <w:numFmt w:val="bullet"/>
      <w:lvlText w:val="o"/>
      <w:lvlJc w:val="left"/>
      <w:pPr>
        <w:ind w:left="5760" w:hanging="360"/>
      </w:pPr>
      <w:rPr>
        <w:rFonts w:ascii="Courier New" w:hAnsi="Courier New" w:hint="default"/>
      </w:rPr>
    </w:lvl>
    <w:lvl w:ilvl="8" w:tplc="0D7A5380">
      <w:start w:val="1"/>
      <w:numFmt w:val="bullet"/>
      <w:lvlText w:val=""/>
      <w:lvlJc w:val="left"/>
      <w:pPr>
        <w:ind w:left="6480" w:hanging="360"/>
      </w:pPr>
      <w:rPr>
        <w:rFonts w:ascii="Wingdings" w:hAnsi="Wingdings" w:hint="default"/>
      </w:rPr>
    </w:lvl>
  </w:abstractNum>
  <w:abstractNum w:abstractNumId="37" w15:restartNumberingAfterBreak="0">
    <w:nsid w:val="5A4D79C7"/>
    <w:multiLevelType w:val="hybridMultilevel"/>
    <w:tmpl w:val="53D219E6"/>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A79175C"/>
    <w:multiLevelType w:val="hybridMultilevel"/>
    <w:tmpl w:val="FFFFFFFF"/>
    <w:lvl w:ilvl="0" w:tplc="A70621C6">
      <w:start w:val="1"/>
      <w:numFmt w:val="bullet"/>
      <w:lvlText w:val="-"/>
      <w:lvlJc w:val="left"/>
      <w:pPr>
        <w:ind w:left="720" w:hanging="360"/>
      </w:pPr>
      <w:rPr>
        <w:rFonts w:ascii="Calibri" w:hAnsi="Calibri" w:hint="default"/>
      </w:rPr>
    </w:lvl>
    <w:lvl w:ilvl="1" w:tplc="1FF2F29E">
      <w:start w:val="1"/>
      <w:numFmt w:val="bullet"/>
      <w:lvlText w:val="o"/>
      <w:lvlJc w:val="left"/>
      <w:pPr>
        <w:ind w:left="1440" w:hanging="360"/>
      </w:pPr>
      <w:rPr>
        <w:rFonts w:ascii="Courier New" w:hAnsi="Courier New" w:hint="default"/>
      </w:rPr>
    </w:lvl>
    <w:lvl w:ilvl="2" w:tplc="3F921FF4">
      <w:start w:val="1"/>
      <w:numFmt w:val="bullet"/>
      <w:lvlText w:val=""/>
      <w:lvlJc w:val="left"/>
      <w:pPr>
        <w:ind w:left="2160" w:hanging="360"/>
      </w:pPr>
      <w:rPr>
        <w:rFonts w:ascii="Wingdings" w:hAnsi="Wingdings" w:hint="default"/>
      </w:rPr>
    </w:lvl>
    <w:lvl w:ilvl="3" w:tplc="3A16CA66">
      <w:start w:val="1"/>
      <w:numFmt w:val="bullet"/>
      <w:lvlText w:val=""/>
      <w:lvlJc w:val="left"/>
      <w:pPr>
        <w:ind w:left="2880" w:hanging="360"/>
      </w:pPr>
      <w:rPr>
        <w:rFonts w:ascii="Symbol" w:hAnsi="Symbol" w:hint="default"/>
      </w:rPr>
    </w:lvl>
    <w:lvl w:ilvl="4" w:tplc="589CF122">
      <w:start w:val="1"/>
      <w:numFmt w:val="bullet"/>
      <w:lvlText w:val="o"/>
      <w:lvlJc w:val="left"/>
      <w:pPr>
        <w:ind w:left="3600" w:hanging="360"/>
      </w:pPr>
      <w:rPr>
        <w:rFonts w:ascii="Courier New" w:hAnsi="Courier New" w:hint="default"/>
      </w:rPr>
    </w:lvl>
    <w:lvl w:ilvl="5" w:tplc="3FB43EBA">
      <w:start w:val="1"/>
      <w:numFmt w:val="bullet"/>
      <w:lvlText w:val=""/>
      <w:lvlJc w:val="left"/>
      <w:pPr>
        <w:ind w:left="4320" w:hanging="360"/>
      </w:pPr>
      <w:rPr>
        <w:rFonts w:ascii="Wingdings" w:hAnsi="Wingdings" w:hint="default"/>
      </w:rPr>
    </w:lvl>
    <w:lvl w:ilvl="6" w:tplc="D6D8D4B0">
      <w:start w:val="1"/>
      <w:numFmt w:val="bullet"/>
      <w:lvlText w:val=""/>
      <w:lvlJc w:val="left"/>
      <w:pPr>
        <w:ind w:left="5040" w:hanging="360"/>
      </w:pPr>
      <w:rPr>
        <w:rFonts w:ascii="Symbol" w:hAnsi="Symbol" w:hint="default"/>
      </w:rPr>
    </w:lvl>
    <w:lvl w:ilvl="7" w:tplc="167E1E6E">
      <w:start w:val="1"/>
      <w:numFmt w:val="bullet"/>
      <w:lvlText w:val="o"/>
      <w:lvlJc w:val="left"/>
      <w:pPr>
        <w:ind w:left="5760" w:hanging="360"/>
      </w:pPr>
      <w:rPr>
        <w:rFonts w:ascii="Courier New" w:hAnsi="Courier New" w:hint="default"/>
      </w:rPr>
    </w:lvl>
    <w:lvl w:ilvl="8" w:tplc="C366CCEA">
      <w:start w:val="1"/>
      <w:numFmt w:val="bullet"/>
      <w:lvlText w:val=""/>
      <w:lvlJc w:val="left"/>
      <w:pPr>
        <w:ind w:left="6480" w:hanging="360"/>
      </w:pPr>
      <w:rPr>
        <w:rFonts w:ascii="Wingdings" w:hAnsi="Wingdings" w:hint="default"/>
      </w:rPr>
    </w:lvl>
  </w:abstractNum>
  <w:abstractNum w:abstractNumId="39" w15:restartNumberingAfterBreak="0">
    <w:nsid w:val="5B2F7522"/>
    <w:multiLevelType w:val="hybridMultilevel"/>
    <w:tmpl w:val="FFFFFFFF"/>
    <w:lvl w:ilvl="0" w:tplc="E18E999A">
      <w:start w:val="1"/>
      <w:numFmt w:val="bullet"/>
      <w:lvlText w:val="-"/>
      <w:lvlJc w:val="left"/>
      <w:pPr>
        <w:ind w:left="720" w:hanging="360"/>
      </w:pPr>
      <w:rPr>
        <w:rFonts w:ascii="Calibri" w:hAnsi="Calibri" w:hint="default"/>
      </w:rPr>
    </w:lvl>
    <w:lvl w:ilvl="1" w:tplc="0E96E750">
      <w:start w:val="1"/>
      <w:numFmt w:val="bullet"/>
      <w:lvlText w:val="o"/>
      <w:lvlJc w:val="left"/>
      <w:pPr>
        <w:ind w:left="1440" w:hanging="360"/>
      </w:pPr>
      <w:rPr>
        <w:rFonts w:ascii="Courier New" w:hAnsi="Courier New" w:hint="default"/>
      </w:rPr>
    </w:lvl>
    <w:lvl w:ilvl="2" w:tplc="A036D4D0">
      <w:start w:val="1"/>
      <w:numFmt w:val="bullet"/>
      <w:lvlText w:val=""/>
      <w:lvlJc w:val="left"/>
      <w:pPr>
        <w:ind w:left="2160" w:hanging="360"/>
      </w:pPr>
      <w:rPr>
        <w:rFonts w:ascii="Wingdings" w:hAnsi="Wingdings" w:hint="default"/>
      </w:rPr>
    </w:lvl>
    <w:lvl w:ilvl="3" w:tplc="E264B1E8">
      <w:start w:val="1"/>
      <w:numFmt w:val="bullet"/>
      <w:lvlText w:val=""/>
      <w:lvlJc w:val="left"/>
      <w:pPr>
        <w:ind w:left="2880" w:hanging="360"/>
      </w:pPr>
      <w:rPr>
        <w:rFonts w:ascii="Symbol" w:hAnsi="Symbol" w:hint="default"/>
      </w:rPr>
    </w:lvl>
    <w:lvl w:ilvl="4" w:tplc="A2A89208">
      <w:start w:val="1"/>
      <w:numFmt w:val="bullet"/>
      <w:lvlText w:val="o"/>
      <w:lvlJc w:val="left"/>
      <w:pPr>
        <w:ind w:left="3600" w:hanging="360"/>
      </w:pPr>
      <w:rPr>
        <w:rFonts w:ascii="Courier New" w:hAnsi="Courier New" w:hint="default"/>
      </w:rPr>
    </w:lvl>
    <w:lvl w:ilvl="5" w:tplc="B8065790">
      <w:start w:val="1"/>
      <w:numFmt w:val="bullet"/>
      <w:lvlText w:val=""/>
      <w:lvlJc w:val="left"/>
      <w:pPr>
        <w:ind w:left="4320" w:hanging="360"/>
      </w:pPr>
      <w:rPr>
        <w:rFonts w:ascii="Wingdings" w:hAnsi="Wingdings" w:hint="default"/>
      </w:rPr>
    </w:lvl>
    <w:lvl w:ilvl="6" w:tplc="9A1A4F12">
      <w:start w:val="1"/>
      <w:numFmt w:val="bullet"/>
      <w:lvlText w:val=""/>
      <w:lvlJc w:val="left"/>
      <w:pPr>
        <w:ind w:left="5040" w:hanging="360"/>
      </w:pPr>
      <w:rPr>
        <w:rFonts w:ascii="Symbol" w:hAnsi="Symbol" w:hint="default"/>
      </w:rPr>
    </w:lvl>
    <w:lvl w:ilvl="7" w:tplc="C40695D6">
      <w:start w:val="1"/>
      <w:numFmt w:val="bullet"/>
      <w:lvlText w:val="o"/>
      <w:lvlJc w:val="left"/>
      <w:pPr>
        <w:ind w:left="5760" w:hanging="360"/>
      </w:pPr>
      <w:rPr>
        <w:rFonts w:ascii="Courier New" w:hAnsi="Courier New" w:hint="default"/>
      </w:rPr>
    </w:lvl>
    <w:lvl w:ilvl="8" w:tplc="990CD9FA">
      <w:start w:val="1"/>
      <w:numFmt w:val="bullet"/>
      <w:lvlText w:val=""/>
      <w:lvlJc w:val="left"/>
      <w:pPr>
        <w:ind w:left="6480" w:hanging="360"/>
      </w:pPr>
      <w:rPr>
        <w:rFonts w:ascii="Wingdings" w:hAnsi="Wingdings" w:hint="default"/>
      </w:rPr>
    </w:lvl>
  </w:abstractNum>
  <w:abstractNum w:abstractNumId="40" w15:restartNumberingAfterBreak="0">
    <w:nsid w:val="5D3507CF"/>
    <w:multiLevelType w:val="hybridMultilevel"/>
    <w:tmpl w:val="FFFFFFFF"/>
    <w:lvl w:ilvl="0" w:tplc="7EE82E80">
      <w:start w:val="1"/>
      <w:numFmt w:val="bullet"/>
      <w:lvlText w:val="-"/>
      <w:lvlJc w:val="left"/>
      <w:pPr>
        <w:ind w:left="720" w:hanging="360"/>
      </w:pPr>
      <w:rPr>
        <w:rFonts w:ascii="Calibri" w:hAnsi="Calibri" w:hint="default"/>
      </w:rPr>
    </w:lvl>
    <w:lvl w:ilvl="1" w:tplc="43DE040A">
      <w:start w:val="1"/>
      <w:numFmt w:val="bullet"/>
      <w:lvlText w:val="o"/>
      <w:lvlJc w:val="left"/>
      <w:pPr>
        <w:ind w:left="1440" w:hanging="360"/>
      </w:pPr>
      <w:rPr>
        <w:rFonts w:ascii="Courier New" w:hAnsi="Courier New" w:hint="default"/>
      </w:rPr>
    </w:lvl>
    <w:lvl w:ilvl="2" w:tplc="652232D6">
      <w:start w:val="1"/>
      <w:numFmt w:val="bullet"/>
      <w:lvlText w:val=""/>
      <w:lvlJc w:val="left"/>
      <w:pPr>
        <w:ind w:left="2160" w:hanging="360"/>
      </w:pPr>
      <w:rPr>
        <w:rFonts w:ascii="Wingdings" w:hAnsi="Wingdings" w:hint="default"/>
      </w:rPr>
    </w:lvl>
    <w:lvl w:ilvl="3" w:tplc="957A0B34">
      <w:start w:val="1"/>
      <w:numFmt w:val="bullet"/>
      <w:lvlText w:val=""/>
      <w:lvlJc w:val="left"/>
      <w:pPr>
        <w:ind w:left="2880" w:hanging="360"/>
      </w:pPr>
      <w:rPr>
        <w:rFonts w:ascii="Symbol" w:hAnsi="Symbol" w:hint="default"/>
      </w:rPr>
    </w:lvl>
    <w:lvl w:ilvl="4" w:tplc="03B828A4">
      <w:start w:val="1"/>
      <w:numFmt w:val="bullet"/>
      <w:lvlText w:val="o"/>
      <w:lvlJc w:val="left"/>
      <w:pPr>
        <w:ind w:left="3600" w:hanging="360"/>
      </w:pPr>
      <w:rPr>
        <w:rFonts w:ascii="Courier New" w:hAnsi="Courier New" w:hint="default"/>
      </w:rPr>
    </w:lvl>
    <w:lvl w:ilvl="5" w:tplc="7C14A2FE">
      <w:start w:val="1"/>
      <w:numFmt w:val="bullet"/>
      <w:lvlText w:val=""/>
      <w:lvlJc w:val="left"/>
      <w:pPr>
        <w:ind w:left="4320" w:hanging="360"/>
      </w:pPr>
      <w:rPr>
        <w:rFonts w:ascii="Wingdings" w:hAnsi="Wingdings" w:hint="default"/>
      </w:rPr>
    </w:lvl>
    <w:lvl w:ilvl="6" w:tplc="78FA8E5A">
      <w:start w:val="1"/>
      <w:numFmt w:val="bullet"/>
      <w:lvlText w:val=""/>
      <w:lvlJc w:val="left"/>
      <w:pPr>
        <w:ind w:left="5040" w:hanging="360"/>
      </w:pPr>
      <w:rPr>
        <w:rFonts w:ascii="Symbol" w:hAnsi="Symbol" w:hint="default"/>
      </w:rPr>
    </w:lvl>
    <w:lvl w:ilvl="7" w:tplc="918668B0">
      <w:start w:val="1"/>
      <w:numFmt w:val="bullet"/>
      <w:lvlText w:val="o"/>
      <w:lvlJc w:val="left"/>
      <w:pPr>
        <w:ind w:left="5760" w:hanging="360"/>
      </w:pPr>
      <w:rPr>
        <w:rFonts w:ascii="Courier New" w:hAnsi="Courier New" w:hint="default"/>
      </w:rPr>
    </w:lvl>
    <w:lvl w:ilvl="8" w:tplc="AD3ED608">
      <w:start w:val="1"/>
      <w:numFmt w:val="bullet"/>
      <w:lvlText w:val=""/>
      <w:lvlJc w:val="left"/>
      <w:pPr>
        <w:ind w:left="6480" w:hanging="360"/>
      </w:pPr>
      <w:rPr>
        <w:rFonts w:ascii="Wingdings" w:hAnsi="Wingdings" w:hint="default"/>
      </w:rPr>
    </w:lvl>
  </w:abstractNum>
  <w:abstractNum w:abstractNumId="41" w15:restartNumberingAfterBreak="0">
    <w:nsid w:val="61106864"/>
    <w:multiLevelType w:val="hybridMultilevel"/>
    <w:tmpl w:val="FFFFFFFF"/>
    <w:lvl w:ilvl="0" w:tplc="2CC87F48">
      <w:start w:val="1"/>
      <w:numFmt w:val="bullet"/>
      <w:lvlText w:val="-"/>
      <w:lvlJc w:val="left"/>
      <w:pPr>
        <w:ind w:left="720" w:hanging="360"/>
      </w:pPr>
      <w:rPr>
        <w:rFonts w:ascii="Calibri" w:hAnsi="Calibri" w:hint="default"/>
      </w:rPr>
    </w:lvl>
    <w:lvl w:ilvl="1" w:tplc="4B1A97C6">
      <w:start w:val="1"/>
      <w:numFmt w:val="bullet"/>
      <w:lvlText w:val="o"/>
      <w:lvlJc w:val="left"/>
      <w:pPr>
        <w:ind w:left="1440" w:hanging="360"/>
      </w:pPr>
      <w:rPr>
        <w:rFonts w:ascii="Courier New" w:hAnsi="Courier New" w:hint="default"/>
      </w:rPr>
    </w:lvl>
    <w:lvl w:ilvl="2" w:tplc="29261448">
      <w:start w:val="1"/>
      <w:numFmt w:val="bullet"/>
      <w:lvlText w:val=""/>
      <w:lvlJc w:val="left"/>
      <w:pPr>
        <w:ind w:left="2160" w:hanging="360"/>
      </w:pPr>
      <w:rPr>
        <w:rFonts w:ascii="Wingdings" w:hAnsi="Wingdings" w:hint="default"/>
      </w:rPr>
    </w:lvl>
    <w:lvl w:ilvl="3" w:tplc="6764FDA4">
      <w:start w:val="1"/>
      <w:numFmt w:val="bullet"/>
      <w:lvlText w:val=""/>
      <w:lvlJc w:val="left"/>
      <w:pPr>
        <w:ind w:left="2880" w:hanging="360"/>
      </w:pPr>
      <w:rPr>
        <w:rFonts w:ascii="Symbol" w:hAnsi="Symbol" w:hint="default"/>
      </w:rPr>
    </w:lvl>
    <w:lvl w:ilvl="4" w:tplc="4440ADE8">
      <w:start w:val="1"/>
      <w:numFmt w:val="bullet"/>
      <w:lvlText w:val="o"/>
      <w:lvlJc w:val="left"/>
      <w:pPr>
        <w:ind w:left="3600" w:hanging="360"/>
      </w:pPr>
      <w:rPr>
        <w:rFonts w:ascii="Courier New" w:hAnsi="Courier New" w:hint="default"/>
      </w:rPr>
    </w:lvl>
    <w:lvl w:ilvl="5" w:tplc="2AD8137C">
      <w:start w:val="1"/>
      <w:numFmt w:val="bullet"/>
      <w:lvlText w:val=""/>
      <w:lvlJc w:val="left"/>
      <w:pPr>
        <w:ind w:left="4320" w:hanging="360"/>
      </w:pPr>
      <w:rPr>
        <w:rFonts w:ascii="Wingdings" w:hAnsi="Wingdings" w:hint="default"/>
      </w:rPr>
    </w:lvl>
    <w:lvl w:ilvl="6" w:tplc="F35837FA">
      <w:start w:val="1"/>
      <w:numFmt w:val="bullet"/>
      <w:lvlText w:val=""/>
      <w:lvlJc w:val="left"/>
      <w:pPr>
        <w:ind w:left="5040" w:hanging="360"/>
      </w:pPr>
      <w:rPr>
        <w:rFonts w:ascii="Symbol" w:hAnsi="Symbol" w:hint="default"/>
      </w:rPr>
    </w:lvl>
    <w:lvl w:ilvl="7" w:tplc="EF6CC306">
      <w:start w:val="1"/>
      <w:numFmt w:val="bullet"/>
      <w:lvlText w:val="o"/>
      <w:lvlJc w:val="left"/>
      <w:pPr>
        <w:ind w:left="5760" w:hanging="360"/>
      </w:pPr>
      <w:rPr>
        <w:rFonts w:ascii="Courier New" w:hAnsi="Courier New" w:hint="default"/>
      </w:rPr>
    </w:lvl>
    <w:lvl w:ilvl="8" w:tplc="7474062E">
      <w:start w:val="1"/>
      <w:numFmt w:val="bullet"/>
      <w:lvlText w:val=""/>
      <w:lvlJc w:val="left"/>
      <w:pPr>
        <w:ind w:left="6480" w:hanging="360"/>
      </w:pPr>
      <w:rPr>
        <w:rFonts w:ascii="Wingdings" w:hAnsi="Wingdings" w:hint="default"/>
      </w:rPr>
    </w:lvl>
  </w:abstractNum>
  <w:abstractNum w:abstractNumId="42" w15:restartNumberingAfterBreak="0">
    <w:nsid w:val="623B452B"/>
    <w:multiLevelType w:val="hybridMultilevel"/>
    <w:tmpl w:val="FFFFFFFF"/>
    <w:lvl w:ilvl="0" w:tplc="8446152C">
      <w:start w:val="1"/>
      <w:numFmt w:val="bullet"/>
      <w:lvlText w:val="-"/>
      <w:lvlJc w:val="left"/>
      <w:pPr>
        <w:ind w:left="720" w:hanging="360"/>
      </w:pPr>
      <w:rPr>
        <w:rFonts w:ascii="Calibri" w:hAnsi="Calibri" w:hint="default"/>
      </w:rPr>
    </w:lvl>
    <w:lvl w:ilvl="1" w:tplc="93EA1128">
      <w:start w:val="1"/>
      <w:numFmt w:val="bullet"/>
      <w:lvlText w:val="o"/>
      <w:lvlJc w:val="left"/>
      <w:pPr>
        <w:ind w:left="1440" w:hanging="360"/>
      </w:pPr>
      <w:rPr>
        <w:rFonts w:ascii="Courier New" w:hAnsi="Courier New" w:hint="default"/>
      </w:rPr>
    </w:lvl>
    <w:lvl w:ilvl="2" w:tplc="7818A542">
      <w:start w:val="1"/>
      <w:numFmt w:val="bullet"/>
      <w:lvlText w:val=""/>
      <w:lvlJc w:val="left"/>
      <w:pPr>
        <w:ind w:left="2160" w:hanging="360"/>
      </w:pPr>
      <w:rPr>
        <w:rFonts w:ascii="Wingdings" w:hAnsi="Wingdings" w:hint="default"/>
      </w:rPr>
    </w:lvl>
    <w:lvl w:ilvl="3" w:tplc="55A03066">
      <w:start w:val="1"/>
      <w:numFmt w:val="bullet"/>
      <w:lvlText w:val=""/>
      <w:lvlJc w:val="left"/>
      <w:pPr>
        <w:ind w:left="2880" w:hanging="360"/>
      </w:pPr>
      <w:rPr>
        <w:rFonts w:ascii="Symbol" w:hAnsi="Symbol" w:hint="default"/>
      </w:rPr>
    </w:lvl>
    <w:lvl w:ilvl="4" w:tplc="FF96E51C">
      <w:start w:val="1"/>
      <w:numFmt w:val="bullet"/>
      <w:lvlText w:val="o"/>
      <w:lvlJc w:val="left"/>
      <w:pPr>
        <w:ind w:left="3600" w:hanging="360"/>
      </w:pPr>
      <w:rPr>
        <w:rFonts w:ascii="Courier New" w:hAnsi="Courier New" w:hint="default"/>
      </w:rPr>
    </w:lvl>
    <w:lvl w:ilvl="5" w:tplc="EB721DAC">
      <w:start w:val="1"/>
      <w:numFmt w:val="bullet"/>
      <w:lvlText w:val=""/>
      <w:lvlJc w:val="left"/>
      <w:pPr>
        <w:ind w:left="4320" w:hanging="360"/>
      </w:pPr>
      <w:rPr>
        <w:rFonts w:ascii="Wingdings" w:hAnsi="Wingdings" w:hint="default"/>
      </w:rPr>
    </w:lvl>
    <w:lvl w:ilvl="6" w:tplc="D298A420">
      <w:start w:val="1"/>
      <w:numFmt w:val="bullet"/>
      <w:lvlText w:val=""/>
      <w:lvlJc w:val="left"/>
      <w:pPr>
        <w:ind w:left="5040" w:hanging="360"/>
      </w:pPr>
      <w:rPr>
        <w:rFonts w:ascii="Symbol" w:hAnsi="Symbol" w:hint="default"/>
      </w:rPr>
    </w:lvl>
    <w:lvl w:ilvl="7" w:tplc="004E1F5A">
      <w:start w:val="1"/>
      <w:numFmt w:val="bullet"/>
      <w:lvlText w:val="o"/>
      <w:lvlJc w:val="left"/>
      <w:pPr>
        <w:ind w:left="5760" w:hanging="360"/>
      </w:pPr>
      <w:rPr>
        <w:rFonts w:ascii="Courier New" w:hAnsi="Courier New" w:hint="default"/>
      </w:rPr>
    </w:lvl>
    <w:lvl w:ilvl="8" w:tplc="46B01A76">
      <w:start w:val="1"/>
      <w:numFmt w:val="bullet"/>
      <w:lvlText w:val=""/>
      <w:lvlJc w:val="left"/>
      <w:pPr>
        <w:ind w:left="6480" w:hanging="360"/>
      </w:pPr>
      <w:rPr>
        <w:rFonts w:ascii="Wingdings" w:hAnsi="Wingdings" w:hint="default"/>
      </w:rPr>
    </w:lvl>
  </w:abstractNum>
  <w:abstractNum w:abstractNumId="43" w15:restartNumberingAfterBreak="0">
    <w:nsid w:val="64F54BFD"/>
    <w:multiLevelType w:val="hybridMultilevel"/>
    <w:tmpl w:val="FFFFFFFF"/>
    <w:lvl w:ilvl="0" w:tplc="DDE41FF2">
      <w:start w:val="1"/>
      <w:numFmt w:val="bullet"/>
      <w:lvlText w:val="-"/>
      <w:lvlJc w:val="left"/>
      <w:pPr>
        <w:ind w:left="720" w:hanging="360"/>
      </w:pPr>
      <w:rPr>
        <w:rFonts w:ascii="Calibri" w:hAnsi="Calibri" w:hint="default"/>
      </w:rPr>
    </w:lvl>
    <w:lvl w:ilvl="1" w:tplc="F50EAD90">
      <w:start w:val="1"/>
      <w:numFmt w:val="bullet"/>
      <w:lvlText w:val="o"/>
      <w:lvlJc w:val="left"/>
      <w:pPr>
        <w:ind w:left="1440" w:hanging="360"/>
      </w:pPr>
      <w:rPr>
        <w:rFonts w:ascii="Courier New" w:hAnsi="Courier New" w:hint="default"/>
      </w:rPr>
    </w:lvl>
    <w:lvl w:ilvl="2" w:tplc="FF4EEF0E">
      <w:start w:val="1"/>
      <w:numFmt w:val="bullet"/>
      <w:lvlText w:val=""/>
      <w:lvlJc w:val="left"/>
      <w:pPr>
        <w:ind w:left="2160" w:hanging="360"/>
      </w:pPr>
      <w:rPr>
        <w:rFonts w:ascii="Wingdings" w:hAnsi="Wingdings" w:hint="default"/>
      </w:rPr>
    </w:lvl>
    <w:lvl w:ilvl="3" w:tplc="7BF03838">
      <w:start w:val="1"/>
      <w:numFmt w:val="bullet"/>
      <w:lvlText w:val=""/>
      <w:lvlJc w:val="left"/>
      <w:pPr>
        <w:ind w:left="2880" w:hanging="360"/>
      </w:pPr>
      <w:rPr>
        <w:rFonts w:ascii="Symbol" w:hAnsi="Symbol" w:hint="default"/>
      </w:rPr>
    </w:lvl>
    <w:lvl w:ilvl="4" w:tplc="30A8F3D8">
      <w:start w:val="1"/>
      <w:numFmt w:val="bullet"/>
      <w:lvlText w:val="o"/>
      <w:lvlJc w:val="left"/>
      <w:pPr>
        <w:ind w:left="3600" w:hanging="360"/>
      </w:pPr>
      <w:rPr>
        <w:rFonts w:ascii="Courier New" w:hAnsi="Courier New" w:hint="default"/>
      </w:rPr>
    </w:lvl>
    <w:lvl w:ilvl="5" w:tplc="4710C326">
      <w:start w:val="1"/>
      <w:numFmt w:val="bullet"/>
      <w:lvlText w:val=""/>
      <w:lvlJc w:val="left"/>
      <w:pPr>
        <w:ind w:left="4320" w:hanging="360"/>
      </w:pPr>
      <w:rPr>
        <w:rFonts w:ascii="Wingdings" w:hAnsi="Wingdings" w:hint="default"/>
      </w:rPr>
    </w:lvl>
    <w:lvl w:ilvl="6" w:tplc="0748A8B6">
      <w:start w:val="1"/>
      <w:numFmt w:val="bullet"/>
      <w:lvlText w:val=""/>
      <w:lvlJc w:val="left"/>
      <w:pPr>
        <w:ind w:left="5040" w:hanging="360"/>
      </w:pPr>
      <w:rPr>
        <w:rFonts w:ascii="Symbol" w:hAnsi="Symbol" w:hint="default"/>
      </w:rPr>
    </w:lvl>
    <w:lvl w:ilvl="7" w:tplc="F3CEC386">
      <w:start w:val="1"/>
      <w:numFmt w:val="bullet"/>
      <w:lvlText w:val="o"/>
      <w:lvlJc w:val="left"/>
      <w:pPr>
        <w:ind w:left="5760" w:hanging="360"/>
      </w:pPr>
      <w:rPr>
        <w:rFonts w:ascii="Courier New" w:hAnsi="Courier New" w:hint="default"/>
      </w:rPr>
    </w:lvl>
    <w:lvl w:ilvl="8" w:tplc="5C943504">
      <w:start w:val="1"/>
      <w:numFmt w:val="bullet"/>
      <w:lvlText w:val=""/>
      <w:lvlJc w:val="left"/>
      <w:pPr>
        <w:ind w:left="6480" w:hanging="360"/>
      </w:pPr>
      <w:rPr>
        <w:rFonts w:ascii="Wingdings" w:hAnsi="Wingdings" w:hint="default"/>
      </w:rPr>
    </w:lvl>
  </w:abstractNum>
  <w:abstractNum w:abstractNumId="44" w15:restartNumberingAfterBreak="0">
    <w:nsid w:val="6B421B88"/>
    <w:multiLevelType w:val="hybridMultilevel"/>
    <w:tmpl w:val="FFFFFFFF"/>
    <w:lvl w:ilvl="0" w:tplc="C17C6398">
      <w:start w:val="1"/>
      <w:numFmt w:val="bullet"/>
      <w:lvlText w:val="-"/>
      <w:lvlJc w:val="left"/>
      <w:pPr>
        <w:ind w:left="720" w:hanging="360"/>
      </w:pPr>
      <w:rPr>
        <w:rFonts w:ascii="Calibri" w:hAnsi="Calibri" w:hint="default"/>
      </w:rPr>
    </w:lvl>
    <w:lvl w:ilvl="1" w:tplc="4B92A876">
      <w:start w:val="1"/>
      <w:numFmt w:val="bullet"/>
      <w:lvlText w:val="o"/>
      <w:lvlJc w:val="left"/>
      <w:pPr>
        <w:ind w:left="1440" w:hanging="360"/>
      </w:pPr>
      <w:rPr>
        <w:rFonts w:ascii="Courier New" w:hAnsi="Courier New" w:hint="default"/>
      </w:rPr>
    </w:lvl>
    <w:lvl w:ilvl="2" w:tplc="2DD004CE">
      <w:start w:val="1"/>
      <w:numFmt w:val="bullet"/>
      <w:lvlText w:val=""/>
      <w:lvlJc w:val="left"/>
      <w:pPr>
        <w:ind w:left="2160" w:hanging="360"/>
      </w:pPr>
      <w:rPr>
        <w:rFonts w:ascii="Wingdings" w:hAnsi="Wingdings" w:hint="default"/>
      </w:rPr>
    </w:lvl>
    <w:lvl w:ilvl="3" w:tplc="D0922816">
      <w:start w:val="1"/>
      <w:numFmt w:val="bullet"/>
      <w:lvlText w:val=""/>
      <w:lvlJc w:val="left"/>
      <w:pPr>
        <w:ind w:left="2880" w:hanging="360"/>
      </w:pPr>
      <w:rPr>
        <w:rFonts w:ascii="Symbol" w:hAnsi="Symbol" w:hint="default"/>
      </w:rPr>
    </w:lvl>
    <w:lvl w:ilvl="4" w:tplc="3524F3B2">
      <w:start w:val="1"/>
      <w:numFmt w:val="bullet"/>
      <w:lvlText w:val="o"/>
      <w:lvlJc w:val="left"/>
      <w:pPr>
        <w:ind w:left="3600" w:hanging="360"/>
      </w:pPr>
      <w:rPr>
        <w:rFonts w:ascii="Courier New" w:hAnsi="Courier New" w:hint="default"/>
      </w:rPr>
    </w:lvl>
    <w:lvl w:ilvl="5" w:tplc="AE103C9C">
      <w:start w:val="1"/>
      <w:numFmt w:val="bullet"/>
      <w:lvlText w:val=""/>
      <w:lvlJc w:val="left"/>
      <w:pPr>
        <w:ind w:left="4320" w:hanging="360"/>
      </w:pPr>
      <w:rPr>
        <w:rFonts w:ascii="Wingdings" w:hAnsi="Wingdings" w:hint="default"/>
      </w:rPr>
    </w:lvl>
    <w:lvl w:ilvl="6" w:tplc="A2B8DCF6">
      <w:start w:val="1"/>
      <w:numFmt w:val="bullet"/>
      <w:lvlText w:val=""/>
      <w:lvlJc w:val="left"/>
      <w:pPr>
        <w:ind w:left="5040" w:hanging="360"/>
      </w:pPr>
      <w:rPr>
        <w:rFonts w:ascii="Symbol" w:hAnsi="Symbol" w:hint="default"/>
      </w:rPr>
    </w:lvl>
    <w:lvl w:ilvl="7" w:tplc="588A0BA4">
      <w:start w:val="1"/>
      <w:numFmt w:val="bullet"/>
      <w:lvlText w:val="o"/>
      <w:lvlJc w:val="left"/>
      <w:pPr>
        <w:ind w:left="5760" w:hanging="360"/>
      </w:pPr>
      <w:rPr>
        <w:rFonts w:ascii="Courier New" w:hAnsi="Courier New" w:hint="default"/>
      </w:rPr>
    </w:lvl>
    <w:lvl w:ilvl="8" w:tplc="E36EA948">
      <w:start w:val="1"/>
      <w:numFmt w:val="bullet"/>
      <w:lvlText w:val=""/>
      <w:lvlJc w:val="left"/>
      <w:pPr>
        <w:ind w:left="6480" w:hanging="360"/>
      </w:pPr>
      <w:rPr>
        <w:rFonts w:ascii="Wingdings" w:hAnsi="Wingdings" w:hint="default"/>
      </w:rPr>
    </w:lvl>
  </w:abstractNum>
  <w:abstractNum w:abstractNumId="45" w15:restartNumberingAfterBreak="0">
    <w:nsid w:val="6B8F10B0"/>
    <w:multiLevelType w:val="hybridMultilevel"/>
    <w:tmpl w:val="FFFFFFFF"/>
    <w:lvl w:ilvl="0" w:tplc="C9C8B882">
      <w:start w:val="1"/>
      <w:numFmt w:val="bullet"/>
      <w:lvlText w:val="-"/>
      <w:lvlJc w:val="left"/>
      <w:pPr>
        <w:ind w:left="720" w:hanging="360"/>
      </w:pPr>
      <w:rPr>
        <w:rFonts w:ascii="Calibri" w:hAnsi="Calibri" w:hint="default"/>
      </w:rPr>
    </w:lvl>
    <w:lvl w:ilvl="1" w:tplc="ED2C6414">
      <w:start w:val="1"/>
      <w:numFmt w:val="bullet"/>
      <w:lvlText w:val="o"/>
      <w:lvlJc w:val="left"/>
      <w:pPr>
        <w:ind w:left="1440" w:hanging="360"/>
      </w:pPr>
      <w:rPr>
        <w:rFonts w:ascii="Courier New" w:hAnsi="Courier New" w:hint="default"/>
      </w:rPr>
    </w:lvl>
    <w:lvl w:ilvl="2" w:tplc="DC486CB0">
      <w:start w:val="1"/>
      <w:numFmt w:val="bullet"/>
      <w:lvlText w:val=""/>
      <w:lvlJc w:val="left"/>
      <w:pPr>
        <w:ind w:left="2160" w:hanging="360"/>
      </w:pPr>
      <w:rPr>
        <w:rFonts w:ascii="Wingdings" w:hAnsi="Wingdings" w:hint="default"/>
      </w:rPr>
    </w:lvl>
    <w:lvl w:ilvl="3" w:tplc="0A76A072">
      <w:start w:val="1"/>
      <w:numFmt w:val="bullet"/>
      <w:lvlText w:val=""/>
      <w:lvlJc w:val="left"/>
      <w:pPr>
        <w:ind w:left="2880" w:hanging="360"/>
      </w:pPr>
      <w:rPr>
        <w:rFonts w:ascii="Symbol" w:hAnsi="Symbol" w:hint="default"/>
      </w:rPr>
    </w:lvl>
    <w:lvl w:ilvl="4" w:tplc="D708C518">
      <w:start w:val="1"/>
      <w:numFmt w:val="bullet"/>
      <w:lvlText w:val="o"/>
      <w:lvlJc w:val="left"/>
      <w:pPr>
        <w:ind w:left="3600" w:hanging="360"/>
      </w:pPr>
      <w:rPr>
        <w:rFonts w:ascii="Courier New" w:hAnsi="Courier New" w:hint="default"/>
      </w:rPr>
    </w:lvl>
    <w:lvl w:ilvl="5" w:tplc="BFCC7CAA">
      <w:start w:val="1"/>
      <w:numFmt w:val="bullet"/>
      <w:lvlText w:val=""/>
      <w:lvlJc w:val="left"/>
      <w:pPr>
        <w:ind w:left="4320" w:hanging="360"/>
      </w:pPr>
      <w:rPr>
        <w:rFonts w:ascii="Wingdings" w:hAnsi="Wingdings" w:hint="default"/>
      </w:rPr>
    </w:lvl>
    <w:lvl w:ilvl="6" w:tplc="030E8592">
      <w:start w:val="1"/>
      <w:numFmt w:val="bullet"/>
      <w:lvlText w:val=""/>
      <w:lvlJc w:val="left"/>
      <w:pPr>
        <w:ind w:left="5040" w:hanging="360"/>
      </w:pPr>
      <w:rPr>
        <w:rFonts w:ascii="Symbol" w:hAnsi="Symbol" w:hint="default"/>
      </w:rPr>
    </w:lvl>
    <w:lvl w:ilvl="7" w:tplc="9AE27B0C">
      <w:start w:val="1"/>
      <w:numFmt w:val="bullet"/>
      <w:lvlText w:val="o"/>
      <w:lvlJc w:val="left"/>
      <w:pPr>
        <w:ind w:left="5760" w:hanging="360"/>
      </w:pPr>
      <w:rPr>
        <w:rFonts w:ascii="Courier New" w:hAnsi="Courier New" w:hint="default"/>
      </w:rPr>
    </w:lvl>
    <w:lvl w:ilvl="8" w:tplc="0CB850FA">
      <w:start w:val="1"/>
      <w:numFmt w:val="bullet"/>
      <w:lvlText w:val=""/>
      <w:lvlJc w:val="left"/>
      <w:pPr>
        <w:ind w:left="6480" w:hanging="360"/>
      </w:pPr>
      <w:rPr>
        <w:rFonts w:ascii="Wingdings" w:hAnsi="Wingdings" w:hint="default"/>
      </w:rPr>
    </w:lvl>
  </w:abstractNum>
  <w:abstractNum w:abstractNumId="46" w15:restartNumberingAfterBreak="0">
    <w:nsid w:val="6C222241"/>
    <w:multiLevelType w:val="hybridMultilevel"/>
    <w:tmpl w:val="28800CD2"/>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6F2529D6"/>
    <w:multiLevelType w:val="hybridMultilevel"/>
    <w:tmpl w:val="FFFFFFFF"/>
    <w:lvl w:ilvl="0" w:tplc="51B4C554">
      <w:start w:val="1"/>
      <w:numFmt w:val="bullet"/>
      <w:lvlText w:val="-"/>
      <w:lvlJc w:val="left"/>
      <w:pPr>
        <w:ind w:left="720" w:hanging="360"/>
      </w:pPr>
      <w:rPr>
        <w:rFonts w:ascii="Calibri" w:hAnsi="Calibri" w:hint="default"/>
      </w:rPr>
    </w:lvl>
    <w:lvl w:ilvl="1" w:tplc="B55C328E">
      <w:start w:val="1"/>
      <w:numFmt w:val="bullet"/>
      <w:lvlText w:val="o"/>
      <w:lvlJc w:val="left"/>
      <w:pPr>
        <w:ind w:left="1440" w:hanging="360"/>
      </w:pPr>
      <w:rPr>
        <w:rFonts w:ascii="Courier New" w:hAnsi="Courier New" w:hint="default"/>
      </w:rPr>
    </w:lvl>
    <w:lvl w:ilvl="2" w:tplc="FF76F244">
      <w:start w:val="1"/>
      <w:numFmt w:val="bullet"/>
      <w:lvlText w:val=""/>
      <w:lvlJc w:val="left"/>
      <w:pPr>
        <w:ind w:left="2160" w:hanging="360"/>
      </w:pPr>
      <w:rPr>
        <w:rFonts w:ascii="Wingdings" w:hAnsi="Wingdings" w:hint="default"/>
      </w:rPr>
    </w:lvl>
    <w:lvl w:ilvl="3" w:tplc="AA1EB734">
      <w:start w:val="1"/>
      <w:numFmt w:val="bullet"/>
      <w:lvlText w:val=""/>
      <w:lvlJc w:val="left"/>
      <w:pPr>
        <w:ind w:left="2880" w:hanging="360"/>
      </w:pPr>
      <w:rPr>
        <w:rFonts w:ascii="Symbol" w:hAnsi="Symbol" w:hint="default"/>
      </w:rPr>
    </w:lvl>
    <w:lvl w:ilvl="4" w:tplc="F5FE9EBE">
      <w:start w:val="1"/>
      <w:numFmt w:val="bullet"/>
      <w:lvlText w:val="o"/>
      <w:lvlJc w:val="left"/>
      <w:pPr>
        <w:ind w:left="3600" w:hanging="360"/>
      </w:pPr>
      <w:rPr>
        <w:rFonts w:ascii="Courier New" w:hAnsi="Courier New" w:hint="default"/>
      </w:rPr>
    </w:lvl>
    <w:lvl w:ilvl="5" w:tplc="456CC0D2">
      <w:start w:val="1"/>
      <w:numFmt w:val="bullet"/>
      <w:lvlText w:val=""/>
      <w:lvlJc w:val="left"/>
      <w:pPr>
        <w:ind w:left="4320" w:hanging="360"/>
      </w:pPr>
      <w:rPr>
        <w:rFonts w:ascii="Wingdings" w:hAnsi="Wingdings" w:hint="default"/>
      </w:rPr>
    </w:lvl>
    <w:lvl w:ilvl="6" w:tplc="E7EAADFA">
      <w:start w:val="1"/>
      <w:numFmt w:val="bullet"/>
      <w:lvlText w:val=""/>
      <w:lvlJc w:val="left"/>
      <w:pPr>
        <w:ind w:left="5040" w:hanging="360"/>
      </w:pPr>
      <w:rPr>
        <w:rFonts w:ascii="Symbol" w:hAnsi="Symbol" w:hint="default"/>
      </w:rPr>
    </w:lvl>
    <w:lvl w:ilvl="7" w:tplc="F6A004EE">
      <w:start w:val="1"/>
      <w:numFmt w:val="bullet"/>
      <w:lvlText w:val="o"/>
      <w:lvlJc w:val="left"/>
      <w:pPr>
        <w:ind w:left="5760" w:hanging="360"/>
      </w:pPr>
      <w:rPr>
        <w:rFonts w:ascii="Courier New" w:hAnsi="Courier New" w:hint="default"/>
      </w:rPr>
    </w:lvl>
    <w:lvl w:ilvl="8" w:tplc="8CE0FF70">
      <w:start w:val="1"/>
      <w:numFmt w:val="bullet"/>
      <w:lvlText w:val=""/>
      <w:lvlJc w:val="left"/>
      <w:pPr>
        <w:ind w:left="6480" w:hanging="360"/>
      </w:pPr>
      <w:rPr>
        <w:rFonts w:ascii="Wingdings" w:hAnsi="Wingdings" w:hint="default"/>
      </w:rPr>
    </w:lvl>
  </w:abstractNum>
  <w:abstractNum w:abstractNumId="48" w15:restartNumberingAfterBreak="0">
    <w:nsid w:val="72B2757F"/>
    <w:multiLevelType w:val="hybridMultilevel"/>
    <w:tmpl w:val="2A5A0D9C"/>
    <w:lvl w:ilvl="0" w:tplc="69B48D9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74C869CC"/>
    <w:multiLevelType w:val="hybridMultilevel"/>
    <w:tmpl w:val="8D80EE40"/>
    <w:lvl w:ilvl="0" w:tplc="2C341A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76671924"/>
    <w:multiLevelType w:val="hybridMultilevel"/>
    <w:tmpl w:val="AAE24A6A"/>
    <w:lvl w:ilvl="0" w:tplc="7D4E867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A4458E8"/>
    <w:multiLevelType w:val="hybridMultilevel"/>
    <w:tmpl w:val="013A6196"/>
    <w:lvl w:ilvl="0" w:tplc="069AB02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494CBC"/>
    <w:multiLevelType w:val="hybridMultilevel"/>
    <w:tmpl w:val="D04A4AF4"/>
    <w:lvl w:ilvl="0" w:tplc="CD523E34">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7D027C43"/>
    <w:multiLevelType w:val="hybridMultilevel"/>
    <w:tmpl w:val="FFFFFFFF"/>
    <w:lvl w:ilvl="0" w:tplc="F938A4F6">
      <w:start w:val="1"/>
      <w:numFmt w:val="bullet"/>
      <w:lvlText w:val="-"/>
      <w:lvlJc w:val="left"/>
      <w:pPr>
        <w:ind w:left="720" w:hanging="360"/>
      </w:pPr>
      <w:rPr>
        <w:rFonts w:ascii="Calibri" w:hAnsi="Calibri" w:hint="default"/>
      </w:rPr>
    </w:lvl>
    <w:lvl w:ilvl="1" w:tplc="194E1E44">
      <w:start w:val="1"/>
      <w:numFmt w:val="bullet"/>
      <w:lvlText w:val="o"/>
      <w:lvlJc w:val="left"/>
      <w:pPr>
        <w:ind w:left="1440" w:hanging="360"/>
      </w:pPr>
      <w:rPr>
        <w:rFonts w:ascii="Courier New" w:hAnsi="Courier New" w:hint="default"/>
      </w:rPr>
    </w:lvl>
    <w:lvl w:ilvl="2" w:tplc="67C6A4CA">
      <w:start w:val="1"/>
      <w:numFmt w:val="bullet"/>
      <w:lvlText w:val=""/>
      <w:lvlJc w:val="left"/>
      <w:pPr>
        <w:ind w:left="2160" w:hanging="360"/>
      </w:pPr>
      <w:rPr>
        <w:rFonts w:ascii="Wingdings" w:hAnsi="Wingdings" w:hint="default"/>
      </w:rPr>
    </w:lvl>
    <w:lvl w:ilvl="3" w:tplc="6F988796">
      <w:start w:val="1"/>
      <w:numFmt w:val="bullet"/>
      <w:lvlText w:val=""/>
      <w:lvlJc w:val="left"/>
      <w:pPr>
        <w:ind w:left="2880" w:hanging="360"/>
      </w:pPr>
      <w:rPr>
        <w:rFonts w:ascii="Symbol" w:hAnsi="Symbol" w:hint="default"/>
      </w:rPr>
    </w:lvl>
    <w:lvl w:ilvl="4" w:tplc="EF624912">
      <w:start w:val="1"/>
      <w:numFmt w:val="bullet"/>
      <w:lvlText w:val="o"/>
      <w:lvlJc w:val="left"/>
      <w:pPr>
        <w:ind w:left="3600" w:hanging="360"/>
      </w:pPr>
      <w:rPr>
        <w:rFonts w:ascii="Courier New" w:hAnsi="Courier New" w:hint="default"/>
      </w:rPr>
    </w:lvl>
    <w:lvl w:ilvl="5" w:tplc="B9C2D294">
      <w:start w:val="1"/>
      <w:numFmt w:val="bullet"/>
      <w:lvlText w:val=""/>
      <w:lvlJc w:val="left"/>
      <w:pPr>
        <w:ind w:left="4320" w:hanging="360"/>
      </w:pPr>
      <w:rPr>
        <w:rFonts w:ascii="Wingdings" w:hAnsi="Wingdings" w:hint="default"/>
      </w:rPr>
    </w:lvl>
    <w:lvl w:ilvl="6" w:tplc="13C6D1F4">
      <w:start w:val="1"/>
      <w:numFmt w:val="bullet"/>
      <w:lvlText w:val=""/>
      <w:lvlJc w:val="left"/>
      <w:pPr>
        <w:ind w:left="5040" w:hanging="360"/>
      </w:pPr>
      <w:rPr>
        <w:rFonts w:ascii="Symbol" w:hAnsi="Symbol" w:hint="default"/>
      </w:rPr>
    </w:lvl>
    <w:lvl w:ilvl="7" w:tplc="15E09DB0">
      <w:start w:val="1"/>
      <w:numFmt w:val="bullet"/>
      <w:lvlText w:val="o"/>
      <w:lvlJc w:val="left"/>
      <w:pPr>
        <w:ind w:left="5760" w:hanging="360"/>
      </w:pPr>
      <w:rPr>
        <w:rFonts w:ascii="Courier New" w:hAnsi="Courier New" w:hint="default"/>
      </w:rPr>
    </w:lvl>
    <w:lvl w:ilvl="8" w:tplc="D3DC5EC2">
      <w:start w:val="1"/>
      <w:numFmt w:val="bullet"/>
      <w:lvlText w:val=""/>
      <w:lvlJc w:val="left"/>
      <w:pPr>
        <w:ind w:left="6480" w:hanging="360"/>
      </w:pPr>
      <w:rPr>
        <w:rFonts w:ascii="Wingdings" w:hAnsi="Wingdings" w:hint="default"/>
      </w:rPr>
    </w:lvl>
  </w:abstractNum>
  <w:num w:numId="1" w16cid:durableId="60566213">
    <w:abstractNumId w:val="1"/>
  </w:num>
  <w:num w:numId="2" w16cid:durableId="444232295">
    <w:abstractNumId w:val="50"/>
  </w:num>
  <w:num w:numId="3" w16cid:durableId="2045135685">
    <w:abstractNumId w:val="25"/>
  </w:num>
  <w:num w:numId="4" w16cid:durableId="1406878411">
    <w:abstractNumId w:val="26"/>
  </w:num>
  <w:num w:numId="5" w16cid:durableId="1215045317">
    <w:abstractNumId w:val="32"/>
  </w:num>
  <w:num w:numId="6" w16cid:durableId="1121269379">
    <w:abstractNumId w:val="19"/>
  </w:num>
  <w:num w:numId="7" w16cid:durableId="1486972231">
    <w:abstractNumId w:val="53"/>
  </w:num>
  <w:num w:numId="8" w16cid:durableId="2082289915">
    <w:abstractNumId w:val="38"/>
  </w:num>
  <w:num w:numId="9" w16cid:durableId="1003239743">
    <w:abstractNumId w:val="39"/>
  </w:num>
  <w:num w:numId="10" w16cid:durableId="1933583262">
    <w:abstractNumId w:val="9"/>
  </w:num>
  <w:num w:numId="11" w16cid:durableId="326514694">
    <w:abstractNumId w:val="28"/>
  </w:num>
  <w:num w:numId="12" w16cid:durableId="763919732">
    <w:abstractNumId w:val="40"/>
  </w:num>
  <w:num w:numId="13" w16cid:durableId="1834640291">
    <w:abstractNumId w:val="45"/>
  </w:num>
  <w:num w:numId="14" w16cid:durableId="884103057">
    <w:abstractNumId w:val="27"/>
  </w:num>
  <w:num w:numId="15" w16cid:durableId="410782857">
    <w:abstractNumId w:val="6"/>
  </w:num>
  <w:num w:numId="16" w16cid:durableId="1180387796">
    <w:abstractNumId w:val="20"/>
  </w:num>
  <w:num w:numId="17" w16cid:durableId="1162307821">
    <w:abstractNumId w:val="31"/>
  </w:num>
  <w:num w:numId="18" w16cid:durableId="11761199">
    <w:abstractNumId w:val="16"/>
  </w:num>
  <w:num w:numId="19" w16cid:durableId="1685741871">
    <w:abstractNumId w:val="36"/>
  </w:num>
  <w:num w:numId="20" w16cid:durableId="1088697528">
    <w:abstractNumId w:val="12"/>
  </w:num>
  <w:num w:numId="21" w16cid:durableId="460147662">
    <w:abstractNumId w:val="18"/>
  </w:num>
  <w:num w:numId="22" w16cid:durableId="2049986835">
    <w:abstractNumId w:val="41"/>
  </w:num>
  <w:num w:numId="23" w16cid:durableId="320080397">
    <w:abstractNumId w:val="35"/>
  </w:num>
  <w:num w:numId="24" w16cid:durableId="14693176">
    <w:abstractNumId w:val="44"/>
  </w:num>
  <w:num w:numId="25" w16cid:durableId="1083338608">
    <w:abstractNumId w:val="7"/>
  </w:num>
  <w:num w:numId="26" w16cid:durableId="1046879322">
    <w:abstractNumId w:val="11"/>
  </w:num>
  <w:num w:numId="27" w16cid:durableId="1702241232">
    <w:abstractNumId w:val="3"/>
  </w:num>
  <w:num w:numId="28" w16cid:durableId="1705254919">
    <w:abstractNumId w:val="4"/>
  </w:num>
  <w:num w:numId="29" w16cid:durableId="1874726994">
    <w:abstractNumId w:val="47"/>
  </w:num>
  <w:num w:numId="30" w16cid:durableId="1817066662">
    <w:abstractNumId w:val="0"/>
  </w:num>
  <w:num w:numId="31" w16cid:durableId="651328032">
    <w:abstractNumId w:val="8"/>
  </w:num>
  <w:num w:numId="32" w16cid:durableId="92098104">
    <w:abstractNumId w:val="22"/>
  </w:num>
  <w:num w:numId="33" w16cid:durableId="912550823">
    <w:abstractNumId w:val="43"/>
  </w:num>
  <w:num w:numId="34" w16cid:durableId="828982696">
    <w:abstractNumId w:val="42"/>
  </w:num>
  <w:num w:numId="35" w16cid:durableId="1378314933">
    <w:abstractNumId w:val="30"/>
  </w:num>
  <w:num w:numId="36" w16cid:durableId="862742359">
    <w:abstractNumId w:val="23"/>
  </w:num>
  <w:num w:numId="37" w16cid:durableId="1625162449">
    <w:abstractNumId w:val="52"/>
  </w:num>
  <w:num w:numId="38" w16cid:durableId="1405179217">
    <w:abstractNumId w:val="48"/>
  </w:num>
  <w:num w:numId="39" w16cid:durableId="46993642">
    <w:abstractNumId w:val="17"/>
  </w:num>
  <w:num w:numId="40" w16cid:durableId="1579242356">
    <w:abstractNumId w:val="33"/>
  </w:num>
  <w:num w:numId="41" w16cid:durableId="1821999098">
    <w:abstractNumId w:val="46"/>
  </w:num>
  <w:num w:numId="42" w16cid:durableId="586573725">
    <w:abstractNumId w:val="5"/>
  </w:num>
  <w:num w:numId="43" w16cid:durableId="1572234864">
    <w:abstractNumId w:val="34"/>
  </w:num>
  <w:num w:numId="44" w16cid:durableId="815218030">
    <w:abstractNumId w:val="37"/>
  </w:num>
  <w:num w:numId="45" w16cid:durableId="2136949012">
    <w:abstractNumId w:val="10"/>
  </w:num>
  <w:num w:numId="46" w16cid:durableId="1958830344">
    <w:abstractNumId w:val="49"/>
  </w:num>
  <w:num w:numId="47" w16cid:durableId="608850874">
    <w:abstractNumId w:val="14"/>
  </w:num>
  <w:num w:numId="48" w16cid:durableId="696739057">
    <w:abstractNumId w:val="29"/>
  </w:num>
  <w:num w:numId="49" w16cid:durableId="961688051">
    <w:abstractNumId w:val="13"/>
  </w:num>
  <w:num w:numId="50" w16cid:durableId="819348577">
    <w:abstractNumId w:val="24"/>
  </w:num>
  <w:num w:numId="51" w16cid:durableId="566500511">
    <w:abstractNumId w:val="51"/>
  </w:num>
  <w:num w:numId="52" w16cid:durableId="1957832124">
    <w:abstractNumId w:val="2"/>
  </w:num>
  <w:num w:numId="53" w16cid:durableId="537205921">
    <w:abstractNumId w:val="15"/>
  </w:num>
  <w:num w:numId="54" w16cid:durableId="116840578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E9"/>
    <w:rsid w:val="00000913"/>
    <w:rsid w:val="00000E6C"/>
    <w:rsid w:val="0000117C"/>
    <w:rsid w:val="00004358"/>
    <w:rsid w:val="00004590"/>
    <w:rsid w:val="000051D6"/>
    <w:rsid w:val="00005DBF"/>
    <w:rsid w:val="00007894"/>
    <w:rsid w:val="00007F77"/>
    <w:rsid w:val="00010929"/>
    <w:rsid w:val="00010E7D"/>
    <w:rsid w:val="0001386A"/>
    <w:rsid w:val="00013BC2"/>
    <w:rsid w:val="00013EBE"/>
    <w:rsid w:val="000143AF"/>
    <w:rsid w:val="00015317"/>
    <w:rsid w:val="00015841"/>
    <w:rsid w:val="00022A4A"/>
    <w:rsid w:val="00026683"/>
    <w:rsid w:val="00026752"/>
    <w:rsid w:val="00027528"/>
    <w:rsid w:val="0002784A"/>
    <w:rsid w:val="00027CD1"/>
    <w:rsid w:val="0003078C"/>
    <w:rsid w:val="00031B3A"/>
    <w:rsid w:val="00032195"/>
    <w:rsid w:val="00032264"/>
    <w:rsid w:val="000326E0"/>
    <w:rsid w:val="00032C96"/>
    <w:rsid w:val="00033955"/>
    <w:rsid w:val="00036DA1"/>
    <w:rsid w:val="0004039F"/>
    <w:rsid w:val="00040776"/>
    <w:rsid w:val="00040B4C"/>
    <w:rsid w:val="00042467"/>
    <w:rsid w:val="00042DA6"/>
    <w:rsid w:val="00043053"/>
    <w:rsid w:val="0004370E"/>
    <w:rsid w:val="00043E2A"/>
    <w:rsid w:val="00044FBC"/>
    <w:rsid w:val="00045C1B"/>
    <w:rsid w:val="000465FA"/>
    <w:rsid w:val="00047EFB"/>
    <w:rsid w:val="00052805"/>
    <w:rsid w:val="000529A7"/>
    <w:rsid w:val="00053068"/>
    <w:rsid w:val="0005594D"/>
    <w:rsid w:val="00056AEA"/>
    <w:rsid w:val="00056E69"/>
    <w:rsid w:val="0005759D"/>
    <w:rsid w:val="00063BAF"/>
    <w:rsid w:val="000656E0"/>
    <w:rsid w:val="000732A4"/>
    <w:rsid w:val="0007370D"/>
    <w:rsid w:val="000737CF"/>
    <w:rsid w:val="00073A05"/>
    <w:rsid w:val="00077084"/>
    <w:rsid w:val="00077A45"/>
    <w:rsid w:val="0008089C"/>
    <w:rsid w:val="00082266"/>
    <w:rsid w:val="000828C8"/>
    <w:rsid w:val="00082F77"/>
    <w:rsid w:val="000843EF"/>
    <w:rsid w:val="00084791"/>
    <w:rsid w:val="00085AFC"/>
    <w:rsid w:val="00090A32"/>
    <w:rsid w:val="000924EC"/>
    <w:rsid w:val="00092A9B"/>
    <w:rsid w:val="000934DB"/>
    <w:rsid w:val="00093BC8"/>
    <w:rsid w:val="0009440F"/>
    <w:rsid w:val="00095CBD"/>
    <w:rsid w:val="00096969"/>
    <w:rsid w:val="000A25E2"/>
    <w:rsid w:val="000A25EF"/>
    <w:rsid w:val="000B2BAD"/>
    <w:rsid w:val="000B2DF0"/>
    <w:rsid w:val="000B5E65"/>
    <w:rsid w:val="000B6A6F"/>
    <w:rsid w:val="000C0DC7"/>
    <w:rsid w:val="000C0FAA"/>
    <w:rsid w:val="000C116B"/>
    <w:rsid w:val="000C22C1"/>
    <w:rsid w:val="000C2AF2"/>
    <w:rsid w:val="000C4856"/>
    <w:rsid w:val="000C4B09"/>
    <w:rsid w:val="000C5202"/>
    <w:rsid w:val="000C5C5F"/>
    <w:rsid w:val="000C71CC"/>
    <w:rsid w:val="000D11D1"/>
    <w:rsid w:val="000D13DC"/>
    <w:rsid w:val="000D31C5"/>
    <w:rsid w:val="000D5005"/>
    <w:rsid w:val="000D6F11"/>
    <w:rsid w:val="000D7328"/>
    <w:rsid w:val="000D7F54"/>
    <w:rsid w:val="000E0248"/>
    <w:rsid w:val="000E36CC"/>
    <w:rsid w:val="000E5A7B"/>
    <w:rsid w:val="000E6C40"/>
    <w:rsid w:val="000F13D2"/>
    <w:rsid w:val="000F1F48"/>
    <w:rsid w:val="000F2985"/>
    <w:rsid w:val="000F29D2"/>
    <w:rsid w:val="000F553E"/>
    <w:rsid w:val="000F5DA8"/>
    <w:rsid w:val="000F6257"/>
    <w:rsid w:val="00100066"/>
    <w:rsid w:val="00101040"/>
    <w:rsid w:val="00101685"/>
    <w:rsid w:val="00101EBE"/>
    <w:rsid w:val="001117CE"/>
    <w:rsid w:val="00112DFA"/>
    <w:rsid w:val="00113C64"/>
    <w:rsid w:val="00114289"/>
    <w:rsid w:val="0011563A"/>
    <w:rsid w:val="00122E6E"/>
    <w:rsid w:val="0012530E"/>
    <w:rsid w:val="00125918"/>
    <w:rsid w:val="00127B19"/>
    <w:rsid w:val="001317A5"/>
    <w:rsid w:val="00131916"/>
    <w:rsid w:val="00132123"/>
    <w:rsid w:val="00132CBE"/>
    <w:rsid w:val="001330C4"/>
    <w:rsid w:val="0013449A"/>
    <w:rsid w:val="001348C5"/>
    <w:rsid w:val="00143058"/>
    <w:rsid w:val="00143AAE"/>
    <w:rsid w:val="001461F8"/>
    <w:rsid w:val="00147688"/>
    <w:rsid w:val="001503E8"/>
    <w:rsid w:val="0015505E"/>
    <w:rsid w:val="00157D9B"/>
    <w:rsid w:val="00157FE8"/>
    <w:rsid w:val="00160F5D"/>
    <w:rsid w:val="00161C59"/>
    <w:rsid w:val="0016244F"/>
    <w:rsid w:val="001628C5"/>
    <w:rsid w:val="001628C9"/>
    <w:rsid w:val="00166CA2"/>
    <w:rsid w:val="0017355F"/>
    <w:rsid w:val="00173F93"/>
    <w:rsid w:val="001756E0"/>
    <w:rsid w:val="00175E35"/>
    <w:rsid w:val="00182E2E"/>
    <w:rsid w:val="0018434C"/>
    <w:rsid w:val="00185360"/>
    <w:rsid w:val="00185A3F"/>
    <w:rsid w:val="0019008A"/>
    <w:rsid w:val="0019049A"/>
    <w:rsid w:val="0019091B"/>
    <w:rsid w:val="001928C2"/>
    <w:rsid w:val="00193666"/>
    <w:rsid w:val="00196B73"/>
    <w:rsid w:val="00196C8D"/>
    <w:rsid w:val="00196C9E"/>
    <w:rsid w:val="00196F91"/>
    <w:rsid w:val="00197C55"/>
    <w:rsid w:val="001A22D0"/>
    <w:rsid w:val="001A4163"/>
    <w:rsid w:val="001A6BD0"/>
    <w:rsid w:val="001A7EA9"/>
    <w:rsid w:val="001B1078"/>
    <w:rsid w:val="001B17C1"/>
    <w:rsid w:val="001B1A4C"/>
    <w:rsid w:val="001B2A65"/>
    <w:rsid w:val="001B3925"/>
    <w:rsid w:val="001B4BC6"/>
    <w:rsid w:val="001B5105"/>
    <w:rsid w:val="001B591D"/>
    <w:rsid w:val="001B64BF"/>
    <w:rsid w:val="001B6A0A"/>
    <w:rsid w:val="001B7CC9"/>
    <w:rsid w:val="001C5210"/>
    <w:rsid w:val="001C584C"/>
    <w:rsid w:val="001C7195"/>
    <w:rsid w:val="001D06A7"/>
    <w:rsid w:val="001D0BC9"/>
    <w:rsid w:val="001D2CF7"/>
    <w:rsid w:val="001D49FE"/>
    <w:rsid w:val="001D6EF3"/>
    <w:rsid w:val="001D7DB8"/>
    <w:rsid w:val="001D7E27"/>
    <w:rsid w:val="001E04EA"/>
    <w:rsid w:val="001E1EA7"/>
    <w:rsid w:val="001E21B6"/>
    <w:rsid w:val="001E259E"/>
    <w:rsid w:val="001E31D0"/>
    <w:rsid w:val="001E35E8"/>
    <w:rsid w:val="001E3DF2"/>
    <w:rsid w:val="001E6642"/>
    <w:rsid w:val="001E6F48"/>
    <w:rsid w:val="001E7034"/>
    <w:rsid w:val="001F184E"/>
    <w:rsid w:val="001F2675"/>
    <w:rsid w:val="001F2F79"/>
    <w:rsid w:val="001F30C7"/>
    <w:rsid w:val="001F4B07"/>
    <w:rsid w:val="001F787D"/>
    <w:rsid w:val="00201408"/>
    <w:rsid w:val="00203008"/>
    <w:rsid w:val="00204170"/>
    <w:rsid w:val="00204A6F"/>
    <w:rsid w:val="00205EFD"/>
    <w:rsid w:val="002070CE"/>
    <w:rsid w:val="00207E2A"/>
    <w:rsid w:val="002117FC"/>
    <w:rsid w:val="00211C9A"/>
    <w:rsid w:val="00211F91"/>
    <w:rsid w:val="002122B1"/>
    <w:rsid w:val="00212744"/>
    <w:rsid w:val="002129DC"/>
    <w:rsid w:val="00213220"/>
    <w:rsid w:val="002152BF"/>
    <w:rsid w:val="00216C4B"/>
    <w:rsid w:val="00217F4B"/>
    <w:rsid w:val="00223053"/>
    <w:rsid w:val="002233CA"/>
    <w:rsid w:val="00223C2D"/>
    <w:rsid w:val="00225DD0"/>
    <w:rsid w:val="0022657D"/>
    <w:rsid w:val="0023265C"/>
    <w:rsid w:val="00232955"/>
    <w:rsid w:val="00232F0C"/>
    <w:rsid w:val="00232FBB"/>
    <w:rsid w:val="00233693"/>
    <w:rsid w:val="00234040"/>
    <w:rsid w:val="00237224"/>
    <w:rsid w:val="00240552"/>
    <w:rsid w:val="00240E9E"/>
    <w:rsid w:val="00243E89"/>
    <w:rsid w:val="00244668"/>
    <w:rsid w:val="00245DB1"/>
    <w:rsid w:val="00246140"/>
    <w:rsid w:val="0024729D"/>
    <w:rsid w:val="0025235F"/>
    <w:rsid w:val="00254731"/>
    <w:rsid w:val="00254B07"/>
    <w:rsid w:val="00260960"/>
    <w:rsid w:val="00260ACE"/>
    <w:rsid w:val="002616EC"/>
    <w:rsid w:val="00262BA7"/>
    <w:rsid w:val="00262E4C"/>
    <w:rsid w:val="0026524C"/>
    <w:rsid w:val="0026625A"/>
    <w:rsid w:val="002718FC"/>
    <w:rsid w:val="0027220C"/>
    <w:rsid w:val="00273A36"/>
    <w:rsid w:val="00273FD2"/>
    <w:rsid w:val="00274A94"/>
    <w:rsid w:val="00275CD7"/>
    <w:rsid w:val="002760F9"/>
    <w:rsid w:val="00276212"/>
    <w:rsid w:val="0027661F"/>
    <w:rsid w:val="002829D3"/>
    <w:rsid w:val="002836C0"/>
    <w:rsid w:val="002836D1"/>
    <w:rsid w:val="00284A97"/>
    <w:rsid w:val="00286661"/>
    <w:rsid w:val="0029013C"/>
    <w:rsid w:val="002935FC"/>
    <w:rsid w:val="00293EE4"/>
    <w:rsid w:val="00294170"/>
    <w:rsid w:val="00294CDF"/>
    <w:rsid w:val="00294EDB"/>
    <w:rsid w:val="00295789"/>
    <w:rsid w:val="00296CDE"/>
    <w:rsid w:val="00297EFC"/>
    <w:rsid w:val="002A404E"/>
    <w:rsid w:val="002A4E41"/>
    <w:rsid w:val="002A580C"/>
    <w:rsid w:val="002A733B"/>
    <w:rsid w:val="002A7C0D"/>
    <w:rsid w:val="002A7E84"/>
    <w:rsid w:val="002B00EF"/>
    <w:rsid w:val="002B07D7"/>
    <w:rsid w:val="002B14B7"/>
    <w:rsid w:val="002B37AD"/>
    <w:rsid w:val="002B4017"/>
    <w:rsid w:val="002B73B5"/>
    <w:rsid w:val="002C0CDB"/>
    <w:rsid w:val="002C1722"/>
    <w:rsid w:val="002C662D"/>
    <w:rsid w:val="002C6EB6"/>
    <w:rsid w:val="002D1E5D"/>
    <w:rsid w:val="002D2960"/>
    <w:rsid w:val="002D34BD"/>
    <w:rsid w:val="002D4322"/>
    <w:rsid w:val="002D55EC"/>
    <w:rsid w:val="002D5A48"/>
    <w:rsid w:val="002D7119"/>
    <w:rsid w:val="002D79D0"/>
    <w:rsid w:val="002E2749"/>
    <w:rsid w:val="002E3046"/>
    <w:rsid w:val="002E3D50"/>
    <w:rsid w:val="002E4247"/>
    <w:rsid w:val="002E4F03"/>
    <w:rsid w:val="002E50A6"/>
    <w:rsid w:val="002F001A"/>
    <w:rsid w:val="002F145B"/>
    <w:rsid w:val="002F22FE"/>
    <w:rsid w:val="002F315C"/>
    <w:rsid w:val="002F42AB"/>
    <w:rsid w:val="002F4C26"/>
    <w:rsid w:val="002F78AA"/>
    <w:rsid w:val="00300B77"/>
    <w:rsid w:val="00300D06"/>
    <w:rsid w:val="003044C1"/>
    <w:rsid w:val="00304B3C"/>
    <w:rsid w:val="00304B66"/>
    <w:rsid w:val="003074A5"/>
    <w:rsid w:val="00310697"/>
    <w:rsid w:val="00311CF4"/>
    <w:rsid w:val="00312240"/>
    <w:rsid w:val="003126CA"/>
    <w:rsid w:val="00312D7F"/>
    <w:rsid w:val="003146D9"/>
    <w:rsid w:val="00315244"/>
    <w:rsid w:val="00315A8A"/>
    <w:rsid w:val="00315FBD"/>
    <w:rsid w:val="00317884"/>
    <w:rsid w:val="00321ED6"/>
    <w:rsid w:val="00322F4D"/>
    <w:rsid w:val="00322FA0"/>
    <w:rsid w:val="00323111"/>
    <w:rsid w:val="00323246"/>
    <w:rsid w:val="00324CE8"/>
    <w:rsid w:val="0032511E"/>
    <w:rsid w:val="0032562F"/>
    <w:rsid w:val="003256BB"/>
    <w:rsid w:val="00325B71"/>
    <w:rsid w:val="00325D88"/>
    <w:rsid w:val="00325FA2"/>
    <w:rsid w:val="003261D5"/>
    <w:rsid w:val="00326C88"/>
    <w:rsid w:val="0032760D"/>
    <w:rsid w:val="003308F5"/>
    <w:rsid w:val="00331C13"/>
    <w:rsid w:val="00332C0B"/>
    <w:rsid w:val="003337A6"/>
    <w:rsid w:val="00335AF0"/>
    <w:rsid w:val="00335BFB"/>
    <w:rsid w:val="003402DA"/>
    <w:rsid w:val="00345876"/>
    <w:rsid w:val="003506C9"/>
    <w:rsid w:val="0035176F"/>
    <w:rsid w:val="003537B2"/>
    <w:rsid w:val="00354349"/>
    <w:rsid w:val="00354442"/>
    <w:rsid w:val="00354E19"/>
    <w:rsid w:val="003558C1"/>
    <w:rsid w:val="00356F21"/>
    <w:rsid w:val="00357BFD"/>
    <w:rsid w:val="003636E2"/>
    <w:rsid w:val="003640A4"/>
    <w:rsid w:val="00364725"/>
    <w:rsid w:val="00364C9B"/>
    <w:rsid w:val="00365881"/>
    <w:rsid w:val="003704FF"/>
    <w:rsid w:val="00370E26"/>
    <w:rsid w:val="00371361"/>
    <w:rsid w:val="00374887"/>
    <w:rsid w:val="003764AB"/>
    <w:rsid w:val="00376737"/>
    <w:rsid w:val="0037686E"/>
    <w:rsid w:val="0037771D"/>
    <w:rsid w:val="003830A0"/>
    <w:rsid w:val="00391F3D"/>
    <w:rsid w:val="00394828"/>
    <w:rsid w:val="003964AE"/>
    <w:rsid w:val="003A1A08"/>
    <w:rsid w:val="003A21FF"/>
    <w:rsid w:val="003A3457"/>
    <w:rsid w:val="003A4A84"/>
    <w:rsid w:val="003A77CB"/>
    <w:rsid w:val="003A7E04"/>
    <w:rsid w:val="003B10A3"/>
    <w:rsid w:val="003B4606"/>
    <w:rsid w:val="003B56C0"/>
    <w:rsid w:val="003B70FD"/>
    <w:rsid w:val="003B7EC3"/>
    <w:rsid w:val="003C0494"/>
    <w:rsid w:val="003C1151"/>
    <w:rsid w:val="003C4362"/>
    <w:rsid w:val="003C5972"/>
    <w:rsid w:val="003C7E27"/>
    <w:rsid w:val="003D05EA"/>
    <w:rsid w:val="003D1DAE"/>
    <w:rsid w:val="003D4CC4"/>
    <w:rsid w:val="003D7C72"/>
    <w:rsid w:val="003E0841"/>
    <w:rsid w:val="003E0850"/>
    <w:rsid w:val="003E0BEE"/>
    <w:rsid w:val="003E0D74"/>
    <w:rsid w:val="003E2FBC"/>
    <w:rsid w:val="003E3035"/>
    <w:rsid w:val="003E40BF"/>
    <w:rsid w:val="003E4505"/>
    <w:rsid w:val="003E5EE1"/>
    <w:rsid w:val="003E7E08"/>
    <w:rsid w:val="003F0125"/>
    <w:rsid w:val="003F2601"/>
    <w:rsid w:val="003F2B99"/>
    <w:rsid w:val="003F2FF0"/>
    <w:rsid w:val="003F4B78"/>
    <w:rsid w:val="003F4E8D"/>
    <w:rsid w:val="003F6183"/>
    <w:rsid w:val="004007AC"/>
    <w:rsid w:val="0040163E"/>
    <w:rsid w:val="0040205C"/>
    <w:rsid w:val="00404E2A"/>
    <w:rsid w:val="0040611B"/>
    <w:rsid w:val="0040617C"/>
    <w:rsid w:val="00407846"/>
    <w:rsid w:val="00410BA7"/>
    <w:rsid w:val="00410DBD"/>
    <w:rsid w:val="0041288C"/>
    <w:rsid w:val="004143D6"/>
    <w:rsid w:val="00415C20"/>
    <w:rsid w:val="00421191"/>
    <w:rsid w:val="0042190B"/>
    <w:rsid w:val="00423055"/>
    <w:rsid w:val="0042433A"/>
    <w:rsid w:val="00434D90"/>
    <w:rsid w:val="004373D6"/>
    <w:rsid w:val="00440BE8"/>
    <w:rsid w:val="00440D63"/>
    <w:rsid w:val="00441857"/>
    <w:rsid w:val="00441B45"/>
    <w:rsid w:val="004454C2"/>
    <w:rsid w:val="004464FF"/>
    <w:rsid w:val="004476FD"/>
    <w:rsid w:val="004513FE"/>
    <w:rsid w:val="004548D7"/>
    <w:rsid w:val="004551B1"/>
    <w:rsid w:val="0045630B"/>
    <w:rsid w:val="0046150A"/>
    <w:rsid w:val="00462444"/>
    <w:rsid w:val="004635CF"/>
    <w:rsid w:val="00463B54"/>
    <w:rsid w:val="0046406D"/>
    <w:rsid w:val="0046437C"/>
    <w:rsid w:val="00467936"/>
    <w:rsid w:val="00467A33"/>
    <w:rsid w:val="00467E74"/>
    <w:rsid w:val="004719AB"/>
    <w:rsid w:val="00472671"/>
    <w:rsid w:val="00472B59"/>
    <w:rsid w:val="00473A23"/>
    <w:rsid w:val="004755E8"/>
    <w:rsid w:val="0047692D"/>
    <w:rsid w:val="00477833"/>
    <w:rsid w:val="00483525"/>
    <w:rsid w:val="004850DE"/>
    <w:rsid w:val="00485908"/>
    <w:rsid w:val="004906D6"/>
    <w:rsid w:val="00490949"/>
    <w:rsid w:val="00490B88"/>
    <w:rsid w:val="004935A1"/>
    <w:rsid w:val="00495243"/>
    <w:rsid w:val="00495517"/>
    <w:rsid w:val="0049798D"/>
    <w:rsid w:val="004A049B"/>
    <w:rsid w:val="004A2CA6"/>
    <w:rsid w:val="004A70F0"/>
    <w:rsid w:val="004B1D8D"/>
    <w:rsid w:val="004B2F2B"/>
    <w:rsid w:val="004B3403"/>
    <w:rsid w:val="004B4941"/>
    <w:rsid w:val="004C0942"/>
    <w:rsid w:val="004C250A"/>
    <w:rsid w:val="004C2D62"/>
    <w:rsid w:val="004C3568"/>
    <w:rsid w:val="004C5122"/>
    <w:rsid w:val="004C5661"/>
    <w:rsid w:val="004C6699"/>
    <w:rsid w:val="004C6D28"/>
    <w:rsid w:val="004D1AF7"/>
    <w:rsid w:val="004D2249"/>
    <w:rsid w:val="004D262B"/>
    <w:rsid w:val="004D28C2"/>
    <w:rsid w:val="004D5D1A"/>
    <w:rsid w:val="004D684D"/>
    <w:rsid w:val="004D712D"/>
    <w:rsid w:val="004E0031"/>
    <w:rsid w:val="004E0751"/>
    <w:rsid w:val="004E0E1A"/>
    <w:rsid w:val="004E2A39"/>
    <w:rsid w:val="004E355D"/>
    <w:rsid w:val="004E6939"/>
    <w:rsid w:val="004E76F7"/>
    <w:rsid w:val="004F4781"/>
    <w:rsid w:val="004F5AE2"/>
    <w:rsid w:val="004F6776"/>
    <w:rsid w:val="004F7779"/>
    <w:rsid w:val="00503344"/>
    <w:rsid w:val="00503803"/>
    <w:rsid w:val="00503D18"/>
    <w:rsid w:val="00506C60"/>
    <w:rsid w:val="00511794"/>
    <w:rsid w:val="005120C4"/>
    <w:rsid w:val="00514A31"/>
    <w:rsid w:val="005153F2"/>
    <w:rsid w:val="005156E3"/>
    <w:rsid w:val="005200F8"/>
    <w:rsid w:val="005248FD"/>
    <w:rsid w:val="0052619D"/>
    <w:rsid w:val="00526C55"/>
    <w:rsid w:val="0053345B"/>
    <w:rsid w:val="0053367F"/>
    <w:rsid w:val="00533FA6"/>
    <w:rsid w:val="005342F4"/>
    <w:rsid w:val="00535760"/>
    <w:rsid w:val="0053586F"/>
    <w:rsid w:val="0053653C"/>
    <w:rsid w:val="00540DC6"/>
    <w:rsid w:val="005412A3"/>
    <w:rsid w:val="0054141A"/>
    <w:rsid w:val="005424AB"/>
    <w:rsid w:val="005436D5"/>
    <w:rsid w:val="00543CF0"/>
    <w:rsid w:val="0054519C"/>
    <w:rsid w:val="00547883"/>
    <w:rsid w:val="00551757"/>
    <w:rsid w:val="0055257D"/>
    <w:rsid w:val="00552C35"/>
    <w:rsid w:val="0055424A"/>
    <w:rsid w:val="005550D3"/>
    <w:rsid w:val="00556376"/>
    <w:rsid w:val="0055683D"/>
    <w:rsid w:val="0055718A"/>
    <w:rsid w:val="00560178"/>
    <w:rsid w:val="00561157"/>
    <w:rsid w:val="00561364"/>
    <w:rsid w:val="00561819"/>
    <w:rsid w:val="00565FB2"/>
    <w:rsid w:val="00566A66"/>
    <w:rsid w:val="00567ADD"/>
    <w:rsid w:val="00570086"/>
    <w:rsid w:val="005708AF"/>
    <w:rsid w:val="00575706"/>
    <w:rsid w:val="00575934"/>
    <w:rsid w:val="0057731A"/>
    <w:rsid w:val="005775BC"/>
    <w:rsid w:val="0057781E"/>
    <w:rsid w:val="00580ED2"/>
    <w:rsid w:val="005827E3"/>
    <w:rsid w:val="005828FC"/>
    <w:rsid w:val="0058392E"/>
    <w:rsid w:val="00583CC8"/>
    <w:rsid w:val="00584F3A"/>
    <w:rsid w:val="0058522B"/>
    <w:rsid w:val="0058581C"/>
    <w:rsid w:val="00585CFA"/>
    <w:rsid w:val="0058654C"/>
    <w:rsid w:val="00587728"/>
    <w:rsid w:val="0059320E"/>
    <w:rsid w:val="00594700"/>
    <w:rsid w:val="00594D21"/>
    <w:rsid w:val="005A08E6"/>
    <w:rsid w:val="005A0BEA"/>
    <w:rsid w:val="005A1987"/>
    <w:rsid w:val="005A26EA"/>
    <w:rsid w:val="005A6345"/>
    <w:rsid w:val="005B2AE6"/>
    <w:rsid w:val="005B2F5D"/>
    <w:rsid w:val="005B3930"/>
    <w:rsid w:val="005B5E0C"/>
    <w:rsid w:val="005B6485"/>
    <w:rsid w:val="005B677E"/>
    <w:rsid w:val="005B6BEC"/>
    <w:rsid w:val="005C0C1A"/>
    <w:rsid w:val="005C218A"/>
    <w:rsid w:val="005C4123"/>
    <w:rsid w:val="005C4F2D"/>
    <w:rsid w:val="005C6329"/>
    <w:rsid w:val="005C77A0"/>
    <w:rsid w:val="005D12CF"/>
    <w:rsid w:val="005D199F"/>
    <w:rsid w:val="005D38AE"/>
    <w:rsid w:val="005D49DB"/>
    <w:rsid w:val="005D7B28"/>
    <w:rsid w:val="005E0EDB"/>
    <w:rsid w:val="005E15EC"/>
    <w:rsid w:val="005E220A"/>
    <w:rsid w:val="005E2C4B"/>
    <w:rsid w:val="005E47C9"/>
    <w:rsid w:val="005E59D6"/>
    <w:rsid w:val="005E5CEA"/>
    <w:rsid w:val="005E768C"/>
    <w:rsid w:val="005F03A1"/>
    <w:rsid w:val="005F07BE"/>
    <w:rsid w:val="005F0DF0"/>
    <w:rsid w:val="005F2A69"/>
    <w:rsid w:val="005F3080"/>
    <w:rsid w:val="005F55DF"/>
    <w:rsid w:val="005F65C5"/>
    <w:rsid w:val="005F7C79"/>
    <w:rsid w:val="0060005D"/>
    <w:rsid w:val="006013E3"/>
    <w:rsid w:val="00601728"/>
    <w:rsid w:val="0060205B"/>
    <w:rsid w:val="00602DB0"/>
    <w:rsid w:val="006032B7"/>
    <w:rsid w:val="00604B3A"/>
    <w:rsid w:val="0060531F"/>
    <w:rsid w:val="00605352"/>
    <w:rsid w:val="00611126"/>
    <w:rsid w:val="006125C0"/>
    <w:rsid w:val="00615F80"/>
    <w:rsid w:val="00621CC4"/>
    <w:rsid w:val="0062264B"/>
    <w:rsid w:val="00623B03"/>
    <w:rsid w:val="00623C7D"/>
    <w:rsid w:val="00625353"/>
    <w:rsid w:val="006253DE"/>
    <w:rsid w:val="00625DE7"/>
    <w:rsid w:val="0063386E"/>
    <w:rsid w:val="00635F30"/>
    <w:rsid w:val="00637018"/>
    <w:rsid w:val="006371B9"/>
    <w:rsid w:val="0064118C"/>
    <w:rsid w:val="00641FEE"/>
    <w:rsid w:val="006421B7"/>
    <w:rsid w:val="00643B0E"/>
    <w:rsid w:val="00645DE8"/>
    <w:rsid w:val="0064649D"/>
    <w:rsid w:val="006471B4"/>
    <w:rsid w:val="006475CD"/>
    <w:rsid w:val="0065092F"/>
    <w:rsid w:val="00651ED0"/>
    <w:rsid w:val="006523A0"/>
    <w:rsid w:val="00653567"/>
    <w:rsid w:val="0065392A"/>
    <w:rsid w:val="00654DDB"/>
    <w:rsid w:val="006550BB"/>
    <w:rsid w:val="00655243"/>
    <w:rsid w:val="00655BE9"/>
    <w:rsid w:val="00657057"/>
    <w:rsid w:val="00661BDF"/>
    <w:rsid w:val="006659AF"/>
    <w:rsid w:val="00667A5D"/>
    <w:rsid w:val="00670C6F"/>
    <w:rsid w:val="00671916"/>
    <w:rsid w:val="006725DA"/>
    <w:rsid w:val="00672BD7"/>
    <w:rsid w:val="00672BD8"/>
    <w:rsid w:val="00673859"/>
    <w:rsid w:val="006749ED"/>
    <w:rsid w:val="0068014B"/>
    <w:rsid w:val="00680816"/>
    <w:rsid w:val="006813C9"/>
    <w:rsid w:val="006818C4"/>
    <w:rsid w:val="00681C83"/>
    <w:rsid w:val="006859CF"/>
    <w:rsid w:val="00685BD5"/>
    <w:rsid w:val="0069008F"/>
    <w:rsid w:val="00691D31"/>
    <w:rsid w:val="00692335"/>
    <w:rsid w:val="0069312E"/>
    <w:rsid w:val="006A2D25"/>
    <w:rsid w:val="006A33EA"/>
    <w:rsid w:val="006A60A5"/>
    <w:rsid w:val="006B1F27"/>
    <w:rsid w:val="006B2BB2"/>
    <w:rsid w:val="006B3101"/>
    <w:rsid w:val="006B32C8"/>
    <w:rsid w:val="006B429B"/>
    <w:rsid w:val="006B49D4"/>
    <w:rsid w:val="006B6371"/>
    <w:rsid w:val="006C1D8E"/>
    <w:rsid w:val="006C4233"/>
    <w:rsid w:val="006C6D69"/>
    <w:rsid w:val="006C6EBF"/>
    <w:rsid w:val="006D0FBD"/>
    <w:rsid w:val="006D1394"/>
    <w:rsid w:val="006D179E"/>
    <w:rsid w:val="006D3BAC"/>
    <w:rsid w:val="006D4A69"/>
    <w:rsid w:val="006D5B69"/>
    <w:rsid w:val="006D5D1F"/>
    <w:rsid w:val="006D657C"/>
    <w:rsid w:val="006D7339"/>
    <w:rsid w:val="006E13A2"/>
    <w:rsid w:val="006E172E"/>
    <w:rsid w:val="006E3FFC"/>
    <w:rsid w:val="006E5AF0"/>
    <w:rsid w:val="006F346D"/>
    <w:rsid w:val="00700140"/>
    <w:rsid w:val="0070021C"/>
    <w:rsid w:val="00704437"/>
    <w:rsid w:val="007044A7"/>
    <w:rsid w:val="007050B8"/>
    <w:rsid w:val="007060F5"/>
    <w:rsid w:val="007062B7"/>
    <w:rsid w:val="00711A1F"/>
    <w:rsid w:val="007132CE"/>
    <w:rsid w:val="007157E1"/>
    <w:rsid w:val="007168D6"/>
    <w:rsid w:val="00716D0D"/>
    <w:rsid w:val="00716D5D"/>
    <w:rsid w:val="00717E5A"/>
    <w:rsid w:val="00717F4A"/>
    <w:rsid w:val="00720765"/>
    <w:rsid w:val="007219CF"/>
    <w:rsid w:val="00721F82"/>
    <w:rsid w:val="007222E3"/>
    <w:rsid w:val="00722400"/>
    <w:rsid w:val="007227DB"/>
    <w:rsid w:val="00723212"/>
    <w:rsid w:val="007260D6"/>
    <w:rsid w:val="00726E24"/>
    <w:rsid w:val="00727735"/>
    <w:rsid w:val="0073065B"/>
    <w:rsid w:val="00732FF2"/>
    <w:rsid w:val="0073438E"/>
    <w:rsid w:val="00734AA1"/>
    <w:rsid w:val="007356FF"/>
    <w:rsid w:val="00737FA9"/>
    <w:rsid w:val="00740349"/>
    <w:rsid w:val="00741C59"/>
    <w:rsid w:val="00743362"/>
    <w:rsid w:val="00743C59"/>
    <w:rsid w:val="00745049"/>
    <w:rsid w:val="0074589D"/>
    <w:rsid w:val="00750F10"/>
    <w:rsid w:val="007514F2"/>
    <w:rsid w:val="007523CB"/>
    <w:rsid w:val="0075483C"/>
    <w:rsid w:val="00754E86"/>
    <w:rsid w:val="00757B26"/>
    <w:rsid w:val="00762EB2"/>
    <w:rsid w:val="0076618C"/>
    <w:rsid w:val="007665DD"/>
    <w:rsid w:val="00771105"/>
    <w:rsid w:val="007728E2"/>
    <w:rsid w:val="00774886"/>
    <w:rsid w:val="0077593B"/>
    <w:rsid w:val="00780497"/>
    <w:rsid w:val="007813D8"/>
    <w:rsid w:val="00782737"/>
    <w:rsid w:val="00784C07"/>
    <w:rsid w:val="00784E48"/>
    <w:rsid w:val="00785737"/>
    <w:rsid w:val="00787A2C"/>
    <w:rsid w:val="00790626"/>
    <w:rsid w:val="00790A37"/>
    <w:rsid w:val="007912ED"/>
    <w:rsid w:val="007923D5"/>
    <w:rsid w:val="00795B29"/>
    <w:rsid w:val="00796B9E"/>
    <w:rsid w:val="00796DBC"/>
    <w:rsid w:val="007A0C84"/>
    <w:rsid w:val="007A0CC6"/>
    <w:rsid w:val="007A1468"/>
    <w:rsid w:val="007A1647"/>
    <w:rsid w:val="007A294A"/>
    <w:rsid w:val="007A3299"/>
    <w:rsid w:val="007A4B83"/>
    <w:rsid w:val="007A6E68"/>
    <w:rsid w:val="007B0D43"/>
    <w:rsid w:val="007B1E7F"/>
    <w:rsid w:val="007B27EF"/>
    <w:rsid w:val="007B448A"/>
    <w:rsid w:val="007B5169"/>
    <w:rsid w:val="007B66F2"/>
    <w:rsid w:val="007B68FD"/>
    <w:rsid w:val="007B6CA3"/>
    <w:rsid w:val="007C18E0"/>
    <w:rsid w:val="007C1F43"/>
    <w:rsid w:val="007C2176"/>
    <w:rsid w:val="007C335C"/>
    <w:rsid w:val="007C4D23"/>
    <w:rsid w:val="007D41DB"/>
    <w:rsid w:val="007D474B"/>
    <w:rsid w:val="007D4F9C"/>
    <w:rsid w:val="007D5839"/>
    <w:rsid w:val="007D59F2"/>
    <w:rsid w:val="007D7EDD"/>
    <w:rsid w:val="007E10FB"/>
    <w:rsid w:val="007E3B87"/>
    <w:rsid w:val="007E3CAC"/>
    <w:rsid w:val="007E3DF6"/>
    <w:rsid w:val="007E716E"/>
    <w:rsid w:val="007E7C87"/>
    <w:rsid w:val="007F0F96"/>
    <w:rsid w:val="007F19D2"/>
    <w:rsid w:val="007F39D1"/>
    <w:rsid w:val="007F3F0A"/>
    <w:rsid w:val="007F76AD"/>
    <w:rsid w:val="007F7EA1"/>
    <w:rsid w:val="00803A93"/>
    <w:rsid w:val="008041AB"/>
    <w:rsid w:val="00806E24"/>
    <w:rsid w:val="00807310"/>
    <w:rsid w:val="00811BAE"/>
    <w:rsid w:val="0081255C"/>
    <w:rsid w:val="0081304C"/>
    <w:rsid w:val="008162AB"/>
    <w:rsid w:val="00817503"/>
    <w:rsid w:val="00820A36"/>
    <w:rsid w:val="00821757"/>
    <w:rsid w:val="00821D84"/>
    <w:rsid w:val="0082335E"/>
    <w:rsid w:val="0082463C"/>
    <w:rsid w:val="00824938"/>
    <w:rsid w:val="00826227"/>
    <w:rsid w:val="00826239"/>
    <w:rsid w:val="00827B14"/>
    <w:rsid w:val="00830BE1"/>
    <w:rsid w:val="00831607"/>
    <w:rsid w:val="0083271F"/>
    <w:rsid w:val="008336F4"/>
    <w:rsid w:val="00835D97"/>
    <w:rsid w:val="00836792"/>
    <w:rsid w:val="00836E92"/>
    <w:rsid w:val="00836EFF"/>
    <w:rsid w:val="0084009C"/>
    <w:rsid w:val="00840E25"/>
    <w:rsid w:val="00842FB1"/>
    <w:rsid w:val="0084375D"/>
    <w:rsid w:val="008467DF"/>
    <w:rsid w:val="0085116A"/>
    <w:rsid w:val="00851368"/>
    <w:rsid w:val="008550BC"/>
    <w:rsid w:val="00855372"/>
    <w:rsid w:val="00856AD7"/>
    <w:rsid w:val="00857ADD"/>
    <w:rsid w:val="00857B65"/>
    <w:rsid w:val="008601B5"/>
    <w:rsid w:val="00860B5D"/>
    <w:rsid w:val="00862AA5"/>
    <w:rsid w:val="008634E0"/>
    <w:rsid w:val="00863E3F"/>
    <w:rsid w:val="008642C3"/>
    <w:rsid w:val="008651B9"/>
    <w:rsid w:val="008658AE"/>
    <w:rsid w:val="00866033"/>
    <w:rsid w:val="00872660"/>
    <w:rsid w:val="00872D55"/>
    <w:rsid w:val="0087318A"/>
    <w:rsid w:val="00874098"/>
    <w:rsid w:val="0087433B"/>
    <w:rsid w:val="00874C46"/>
    <w:rsid w:val="0087561E"/>
    <w:rsid w:val="008768B3"/>
    <w:rsid w:val="00877524"/>
    <w:rsid w:val="00877809"/>
    <w:rsid w:val="008808D6"/>
    <w:rsid w:val="00880A2A"/>
    <w:rsid w:val="00881652"/>
    <w:rsid w:val="00881D43"/>
    <w:rsid w:val="0088413B"/>
    <w:rsid w:val="008852D7"/>
    <w:rsid w:val="00890F6A"/>
    <w:rsid w:val="00891C69"/>
    <w:rsid w:val="0089225B"/>
    <w:rsid w:val="008966E9"/>
    <w:rsid w:val="008974FF"/>
    <w:rsid w:val="008A0119"/>
    <w:rsid w:val="008A048B"/>
    <w:rsid w:val="008A148D"/>
    <w:rsid w:val="008A16E5"/>
    <w:rsid w:val="008A293A"/>
    <w:rsid w:val="008A3DD4"/>
    <w:rsid w:val="008A3E93"/>
    <w:rsid w:val="008A4A46"/>
    <w:rsid w:val="008A4C06"/>
    <w:rsid w:val="008A5D38"/>
    <w:rsid w:val="008A73AC"/>
    <w:rsid w:val="008A782A"/>
    <w:rsid w:val="008A78D1"/>
    <w:rsid w:val="008B0084"/>
    <w:rsid w:val="008B300D"/>
    <w:rsid w:val="008B3B62"/>
    <w:rsid w:val="008B54B1"/>
    <w:rsid w:val="008B5818"/>
    <w:rsid w:val="008C1619"/>
    <w:rsid w:val="008C3349"/>
    <w:rsid w:val="008C362E"/>
    <w:rsid w:val="008C3B7D"/>
    <w:rsid w:val="008C4136"/>
    <w:rsid w:val="008C5843"/>
    <w:rsid w:val="008C692E"/>
    <w:rsid w:val="008C72C7"/>
    <w:rsid w:val="008C75DB"/>
    <w:rsid w:val="008D0A86"/>
    <w:rsid w:val="008D3E6A"/>
    <w:rsid w:val="008D44F7"/>
    <w:rsid w:val="008D4FDF"/>
    <w:rsid w:val="008D5232"/>
    <w:rsid w:val="008D69EB"/>
    <w:rsid w:val="008D75DA"/>
    <w:rsid w:val="008E56D6"/>
    <w:rsid w:val="008E6067"/>
    <w:rsid w:val="008F2104"/>
    <w:rsid w:val="008F386C"/>
    <w:rsid w:val="008F4877"/>
    <w:rsid w:val="008F4AB8"/>
    <w:rsid w:val="008F580E"/>
    <w:rsid w:val="008F5EE4"/>
    <w:rsid w:val="008F701A"/>
    <w:rsid w:val="008F7862"/>
    <w:rsid w:val="008F7993"/>
    <w:rsid w:val="009014A1"/>
    <w:rsid w:val="00902677"/>
    <w:rsid w:val="009034C8"/>
    <w:rsid w:val="009049CA"/>
    <w:rsid w:val="00904B70"/>
    <w:rsid w:val="0090557E"/>
    <w:rsid w:val="00907295"/>
    <w:rsid w:val="00907F7C"/>
    <w:rsid w:val="00910F06"/>
    <w:rsid w:val="00912258"/>
    <w:rsid w:val="00912A91"/>
    <w:rsid w:val="009136A2"/>
    <w:rsid w:val="00914106"/>
    <w:rsid w:val="0091411D"/>
    <w:rsid w:val="0092050D"/>
    <w:rsid w:val="00920A0F"/>
    <w:rsid w:val="00920EC4"/>
    <w:rsid w:val="009266BB"/>
    <w:rsid w:val="009271B5"/>
    <w:rsid w:val="00927779"/>
    <w:rsid w:val="00933085"/>
    <w:rsid w:val="00933DA8"/>
    <w:rsid w:val="00935E20"/>
    <w:rsid w:val="0093619E"/>
    <w:rsid w:val="00936399"/>
    <w:rsid w:val="00940C43"/>
    <w:rsid w:val="00941DD6"/>
    <w:rsid w:val="0094269B"/>
    <w:rsid w:val="00943C31"/>
    <w:rsid w:val="00945CF3"/>
    <w:rsid w:val="00945D0E"/>
    <w:rsid w:val="009463D8"/>
    <w:rsid w:val="009467C9"/>
    <w:rsid w:val="00951E14"/>
    <w:rsid w:val="00951FFC"/>
    <w:rsid w:val="00953E92"/>
    <w:rsid w:val="0095465E"/>
    <w:rsid w:val="00957958"/>
    <w:rsid w:val="009608D5"/>
    <w:rsid w:val="00961C4E"/>
    <w:rsid w:val="00962C93"/>
    <w:rsid w:val="00965117"/>
    <w:rsid w:val="00965A7A"/>
    <w:rsid w:val="00965DF1"/>
    <w:rsid w:val="009672F1"/>
    <w:rsid w:val="009700D8"/>
    <w:rsid w:val="009705D2"/>
    <w:rsid w:val="00970634"/>
    <w:rsid w:val="00970CB8"/>
    <w:rsid w:val="00977288"/>
    <w:rsid w:val="00977322"/>
    <w:rsid w:val="0098163E"/>
    <w:rsid w:val="009863B8"/>
    <w:rsid w:val="009865CF"/>
    <w:rsid w:val="009903C5"/>
    <w:rsid w:val="0099172E"/>
    <w:rsid w:val="00992DB2"/>
    <w:rsid w:val="009931AB"/>
    <w:rsid w:val="009947FC"/>
    <w:rsid w:val="00996109"/>
    <w:rsid w:val="009968BB"/>
    <w:rsid w:val="00996A32"/>
    <w:rsid w:val="00996C54"/>
    <w:rsid w:val="0099747C"/>
    <w:rsid w:val="009A29E7"/>
    <w:rsid w:val="009A3BED"/>
    <w:rsid w:val="009A4B2D"/>
    <w:rsid w:val="009A509A"/>
    <w:rsid w:val="009A5611"/>
    <w:rsid w:val="009A71BE"/>
    <w:rsid w:val="009B0159"/>
    <w:rsid w:val="009B1112"/>
    <w:rsid w:val="009B3B59"/>
    <w:rsid w:val="009B5510"/>
    <w:rsid w:val="009B66EE"/>
    <w:rsid w:val="009B6DA2"/>
    <w:rsid w:val="009B7FBB"/>
    <w:rsid w:val="009C3228"/>
    <w:rsid w:val="009C54E1"/>
    <w:rsid w:val="009C57EC"/>
    <w:rsid w:val="009C5D51"/>
    <w:rsid w:val="009D2DBB"/>
    <w:rsid w:val="009D313D"/>
    <w:rsid w:val="009D3551"/>
    <w:rsid w:val="009D35D8"/>
    <w:rsid w:val="009D5AE4"/>
    <w:rsid w:val="009E1693"/>
    <w:rsid w:val="009E2FDD"/>
    <w:rsid w:val="009E49CD"/>
    <w:rsid w:val="009E698A"/>
    <w:rsid w:val="009E73C8"/>
    <w:rsid w:val="009F023A"/>
    <w:rsid w:val="009F3C56"/>
    <w:rsid w:val="009F4109"/>
    <w:rsid w:val="009F5C28"/>
    <w:rsid w:val="00A017E9"/>
    <w:rsid w:val="00A01EB3"/>
    <w:rsid w:val="00A025CD"/>
    <w:rsid w:val="00A043FF"/>
    <w:rsid w:val="00A048B3"/>
    <w:rsid w:val="00A05532"/>
    <w:rsid w:val="00A06C32"/>
    <w:rsid w:val="00A07934"/>
    <w:rsid w:val="00A1061B"/>
    <w:rsid w:val="00A1142E"/>
    <w:rsid w:val="00A13388"/>
    <w:rsid w:val="00A13436"/>
    <w:rsid w:val="00A13BD3"/>
    <w:rsid w:val="00A13F37"/>
    <w:rsid w:val="00A1404B"/>
    <w:rsid w:val="00A16187"/>
    <w:rsid w:val="00A165BB"/>
    <w:rsid w:val="00A17E8A"/>
    <w:rsid w:val="00A202FF"/>
    <w:rsid w:val="00A205AE"/>
    <w:rsid w:val="00A21A6D"/>
    <w:rsid w:val="00A22B71"/>
    <w:rsid w:val="00A23608"/>
    <w:rsid w:val="00A23B13"/>
    <w:rsid w:val="00A2435E"/>
    <w:rsid w:val="00A25498"/>
    <w:rsid w:val="00A25B1D"/>
    <w:rsid w:val="00A26514"/>
    <w:rsid w:val="00A27BBC"/>
    <w:rsid w:val="00A32F71"/>
    <w:rsid w:val="00A354D3"/>
    <w:rsid w:val="00A365C1"/>
    <w:rsid w:val="00A41BAE"/>
    <w:rsid w:val="00A41DBF"/>
    <w:rsid w:val="00A43DF3"/>
    <w:rsid w:val="00A43FF2"/>
    <w:rsid w:val="00A447A9"/>
    <w:rsid w:val="00A45F6B"/>
    <w:rsid w:val="00A46DC3"/>
    <w:rsid w:val="00A47975"/>
    <w:rsid w:val="00A50267"/>
    <w:rsid w:val="00A504D2"/>
    <w:rsid w:val="00A53E3E"/>
    <w:rsid w:val="00A5569B"/>
    <w:rsid w:val="00A55D5C"/>
    <w:rsid w:val="00A604FE"/>
    <w:rsid w:val="00A60B6B"/>
    <w:rsid w:val="00A61C97"/>
    <w:rsid w:val="00A6235C"/>
    <w:rsid w:val="00A64940"/>
    <w:rsid w:val="00A64B66"/>
    <w:rsid w:val="00A64C08"/>
    <w:rsid w:val="00A65857"/>
    <w:rsid w:val="00A65E8A"/>
    <w:rsid w:val="00A660EC"/>
    <w:rsid w:val="00A663CD"/>
    <w:rsid w:val="00A706B5"/>
    <w:rsid w:val="00A70814"/>
    <w:rsid w:val="00A7134B"/>
    <w:rsid w:val="00A715DE"/>
    <w:rsid w:val="00A72EEF"/>
    <w:rsid w:val="00A7385F"/>
    <w:rsid w:val="00A758F6"/>
    <w:rsid w:val="00A77CBD"/>
    <w:rsid w:val="00A8028E"/>
    <w:rsid w:val="00A80AE8"/>
    <w:rsid w:val="00A80E9D"/>
    <w:rsid w:val="00A823A1"/>
    <w:rsid w:val="00A84A05"/>
    <w:rsid w:val="00A869E8"/>
    <w:rsid w:val="00A91284"/>
    <w:rsid w:val="00A93B63"/>
    <w:rsid w:val="00A97480"/>
    <w:rsid w:val="00AA05C1"/>
    <w:rsid w:val="00AA0C5A"/>
    <w:rsid w:val="00AA209E"/>
    <w:rsid w:val="00AA307F"/>
    <w:rsid w:val="00AA4F0A"/>
    <w:rsid w:val="00AA507E"/>
    <w:rsid w:val="00AA603A"/>
    <w:rsid w:val="00AA7270"/>
    <w:rsid w:val="00AB06C8"/>
    <w:rsid w:val="00AB1059"/>
    <w:rsid w:val="00AB1AE0"/>
    <w:rsid w:val="00AB2FA9"/>
    <w:rsid w:val="00AB560C"/>
    <w:rsid w:val="00AB5D11"/>
    <w:rsid w:val="00AB68FF"/>
    <w:rsid w:val="00AC05CE"/>
    <w:rsid w:val="00AC104C"/>
    <w:rsid w:val="00AC3B50"/>
    <w:rsid w:val="00AC46C4"/>
    <w:rsid w:val="00AC5CDD"/>
    <w:rsid w:val="00AC69B9"/>
    <w:rsid w:val="00AC7C57"/>
    <w:rsid w:val="00AD0DB5"/>
    <w:rsid w:val="00AD1EE3"/>
    <w:rsid w:val="00AD4C61"/>
    <w:rsid w:val="00AD5B19"/>
    <w:rsid w:val="00AD62D7"/>
    <w:rsid w:val="00AD6D99"/>
    <w:rsid w:val="00AE078B"/>
    <w:rsid w:val="00AE1AAE"/>
    <w:rsid w:val="00AE1AF0"/>
    <w:rsid w:val="00AE3941"/>
    <w:rsid w:val="00AE5B43"/>
    <w:rsid w:val="00AE5C35"/>
    <w:rsid w:val="00AE6300"/>
    <w:rsid w:val="00AF09BF"/>
    <w:rsid w:val="00AF11FD"/>
    <w:rsid w:val="00AF1CAB"/>
    <w:rsid w:val="00AF3210"/>
    <w:rsid w:val="00AF3B67"/>
    <w:rsid w:val="00AF423E"/>
    <w:rsid w:val="00AF6CC6"/>
    <w:rsid w:val="00AF6F0D"/>
    <w:rsid w:val="00B005F7"/>
    <w:rsid w:val="00B03AAC"/>
    <w:rsid w:val="00B04BDF"/>
    <w:rsid w:val="00B06775"/>
    <w:rsid w:val="00B06A09"/>
    <w:rsid w:val="00B075CC"/>
    <w:rsid w:val="00B11164"/>
    <w:rsid w:val="00B1189A"/>
    <w:rsid w:val="00B11DBC"/>
    <w:rsid w:val="00B1477C"/>
    <w:rsid w:val="00B14D64"/>
    <w:rsid w:val="00B15F12"/>
    <w:rsid w:val="00B1642A"/>
    <w:rsid w:val="00B16BC9"/>
    <w:rsid w:val="00B16DC7"/>
    <w:rsid w:val="00B17C7A"/>
    <w:rsid w:val="00B207FA"/>
    <w:rsid w:val="00B21364"/>
    <w:rsid w:val="00B2172C"/>
    <w:rsid w:val="00B21908"/>
    <w:rsid w:val="00B24ADF"/>
    <w:rsid w:val="00B252AC"/>
    <w:rsid w:val="00B265DE"/>
    <w:rsid w:val="00B27C40"/>
    <w:rsid w:val="00B27C58"/>
    <w:rsid w:val="00B30454"/>
    <w:rsid w:val="00B30998"/>
    <w:rsid w:val="00B31740"/>
    <w:rsid w:val="00B31A9C"/>
    <w:rsid w:val="00B32BAF"/>
    <w:rsid w:val="00B34D55"/>
    <w:rsid w:val="00B35757"/>
    <w:rsid w:val="00B3595E"/>
    <w:rsid w:val="00B409D5"/>
    <w:rsid w:val="00B41892"/>
    <w:rsid w:val="00B42041"/>
    <w:rsid w:val="00B421A4"/>
    <w:rsid w:val="00B438AA"/>
    <w:rsid w:val="00B464ED"/>
    <w:rsid w:val="00B51C0F"/>
    <w:rsid w:val="00B51DBF"/>
    <w:rsid w:val="00B5598E"/>
    <w:rsid w:val="00B60813"/>
    <w:rsid w:val="00B60BD7"/>
    <w:rsid w:val="00B61D93"/>
    <w:rsid w:val="00B62188"/>
    <w:rsid w:val="00B638F7"/>
    <w:rsid w:val="00B63D8D"/>
    <w:rsid w:val="00B645E5"/>
    <w:rsid w:val="00B662BF"/>
    <w:rsid w:val="00B666BB"/>
    <w:rsid w:val="00B67246"/>
    <w:rsid w:val="00B67E2F"/>
    <w:rsid w:val="00B703F2"/>
    <w:rsid w:val="00B74760"/>
    <w:rsid w:val="00B75B55"/>
    <w:rsid w:val="00B76859"/>
    <w:rsid w:val="00B76966"/>
    <w:rsid w:val="00B8371A"/>
    <w:rsid w:val="00B85C05"/>
    <w:rsid w:val="00B86E86"/>
    <w:rsid w:val="00B86F51"/>
    <w:rsid w:val="00B87ED2"/>
    <w:rsid w:val="00B921EA"/>
    <w:rsid w:val="00B92E07"/>
    <w:rsid w:val="00B93167"/>
    <w:rsid w:val="00B9422A"/>
    <w:rsid w:val="00B94383"/>
    <w:rsid w:val="00B95B12"/>
    <w:rsid w:val="00B95FB1"/>
    <w:rsid w:val="00B96FBA"/>
    <w:rsid w:val="00BA0DC2"/>
    <w:rsid w:val="00BA0F3D"/>
    <w:rsid w:val="00BA1D92"/>
    <w:rsid w:val="00BA1F11"/>
    <w:rsid w:val="00BA25BC"/>
    <w:rsid w:val="00BA2790"/>
    <w:rsid w:val="00BA3282"/>
    <w:rsid w:val="00BA4902"/>
    <w:rsid w:val="00BA4EBA"/>
    <w:rsid w:val="00BA669A"/>
    <w:rsid w:val="00BA6779"/>
    <w:rsid w:val="00BA6B9D"/>
    <w:rsid w:val="00BA6C13"/>
    <w:rsid w:val="00BA7C27"/>
    <w:rsid w:val="00BA7DA4"/>
    <w:rsid w:val="00BB51AA"/>
    <w:rsid w:val="00BB5A02"/>
    <w:rsid w:val="00BB5A36"/>
    <w:rsid w:val="00BC2ABE"/>
    <w:rsid w:val="00BC3433"/>
    <w:rsid w:val="00BC3F0F"/>
    <w:rsid w:val="00BC6BB7"/>
    <w:rsid w:val="00BD096B"/>
    <w:rsid w:val="00BD25AE"/>
    <w:rsid w:val="00BD46AF"/>
    <w:rsid w:val="00BD6002"/>
    <w:rsid w:val="00BD74DC"/>
    <w:rsid w:val="00BD7C96"/>
    <w:rsid w:val="00BE03C1"/>
    <w:rsid w:val="00BE0408"/>
    <w:rsid w:val="00BE0E19"/>
    <w:rsid w:val="00BE29CF"/>
    <w:rsid w:val="00BE391A"/>
    <w:rsid w:val="00BE3A1C"/>
    <w:rsid w:val="00BE5761"/>
    <w:rsid w:val="00BE60F5"/>
    <w:rsid w:val="00BE7735"/>
    <w:rsid w:val="00BF18FA"/>
    <w:rsid w:val="00BF33A0"/>
    <w:rsid w:val="00BF34C9"/>
    <w:rsid w:val="00BF3895"/>
    <w:rsid w:val="00BF3D85"/>
    <w:rsid w:val="00BF5FDE"/>
    <w:rsid w:val="00BF6346"/>
    <w:rsid w:val="00BF77A7"/>
    <w:rsid w:val="00C01C8B"/>
    <w:rsid w:val="00C02196"/>
    <w:rsid w:val="00C031BD"/>
    <w:rsid w:val="00C04765"/>
    <w:rsid w:val="00C05036"/>
    <w:rsid w:val="00C0762E"/>
    <w:rsid w:val="00C07E30"/>
    <w:rsid w:val="00C10FF7"/>
    <w:rsid w:val="00C155CE"/>
    <w:rsid w:val="00C20DD7"/>
    <w:rsid w:val="00C254DC"/>
    <w:rsid w:val="00C25DE0"/>
    <w:rsid w:val="00C264D3"/>
    <w:rsid w:val="00C271FB"/>
    <w:rsid w:val="00C3040A"/>
    <w:rsid w:val="00C3042E"/>
    <w:rsid w:val="00C304B6"/>
    <w:rsid w:val="00C3089F"/>
    <w:rsid w:val="00C308A1"/>
    <w:rsid w:val="00C317E6"/>
    <w:rsid w:val="00C338E7"/>
    <w:rsid w:val="00C34B71"/>
    <w:rsid w:val="00C361BC"/>
    <w:rsid w:val="00C376F3"/>
    <w:rsid w:val="00C40C14"/>
    <w:rsid w:val="00C40CAD"/>
    <w:rsid w:val="00C417F2"/>
    <w:rsid w:val="00C41A13"/>
    <w:rsid w:val="00C43A48"/>
    <w:rsid w:val="00C45A0A"/>
    <w:rsid w:val="00C46BDA"/>
    <w:rsid w:val="00C51A82"/>
    <w:rsid w:val="00C51AAE"/>
    <w:rsid w:val="00C54377"/>
    <w:rsid w:val="00C543C4"/>
    <w:rsid w:val="00C54BDE"/>
    <w:rsid w:val="00C57353"/>
    <w:rsid w:val="00C5762E"/>
    <w:rsid w:val="00C579F3"/>
    <w:rsid w:val="00C60B2A"/>
    <w:rsid w:val="00C60F24"/>
    <w:rsid w:val="00C61CC6"/>
    <w:rsid w:val="00C624A2"/>
    <w:rsid w:val="00C62E79"/>
    <w:rsid w:val="00C647FB"/>
    <w:rsid w:val="00C64F01"/>
    <w:rsid w:val="00C66181"/>
    <w:rsid w:val="00C66729"/>
    <w:rsid w:val="00C70673"/>
    <w:rsid w:val="00C70F6A"/>
    <w:rsid w:val="00C7322E"/>
    <w:rsid w:val="00C733B9"/>
    <w:rsid w:val="00C73D44"/>
    <w:rsid w:val="00C7402A"/>
    <w:rsid w:val="00C74503"/>
    <w:rsid w:val="00C75FC3"/>
    <w:rsid w:val="00C76C83"/>
    <w:rsid w:val="00C81361"/>
    <w:rsid w:val="00C8309E"/>
    <w:rsid w:val="00C847B4"/>
    <w:rsid w:val="00C8481A"/>
    <w:rsid w:val="00C84DE1"/>
    <w:rsid w:val="00C85544"/>
    <w:rsid w:val="00C86835"/>
    <w:rsid w:val="00C90CCE"/>
    <w:rsid w:val="00C91E24"/>
    <w:rsid w:val="00C9390D"/>
    <w:rsid w:val="00C94CB8"/>
    <w:rsid w:val="00C94E31"/>
    <w:rsid w:val="00C97525"/>
    <w:rsid w:val="00CA0251"/>
    <w:rsid w:val="00CA02CF"/>
    <w:rsid w:val="00CA1381"/>
    <w:rsid w:val="00CA1F6B"/>
    <w:rsid w:val="00CA4056"/>
    <w:rsid w:val="00CA798B"/>
    <w:rsid w:val="00CB00EA"/>
    <w:rsid w:val="00CB2931"/>
    <w:rsid w:val="00CB2CFC"/>
    <w:rsid w:val="00CB3A7A"/>
    <w:rsid w:val="00CB5B2E"/>
    <w:rsid w:val="00CB68DD"/>
    <w:rsid w:val="00CB6E29"/>
    <w:rsid w:val="00CC0FFD"/>
    <w:rsid w:val="00CC25E3"/>
    <w:rsid w:val="00CC2D5E"/>
    <w:rsid w:val="00CC428A"/>
    <w:rsid w:val="00CC562C"/>
    <w:rsid w:val="00CC59AA"/>
    <w:rsid w:val="00CD1D92"/>
    <w:rsid w:val="00CD55C6"/>
    <w:rsid w:val="00CD64E9"/>
    <w:rsid w:val="00CD6771"/>
    <w:rsid w:val="00CD7954"/>
    <w:rsid w:val="00CE08AD"/>
    <w:rsid w:val="00CE12B3"/>
    <w:rsid w:val="00CE1D30"/>
    <w:rsid w:val="00CE2710"/>
    <w:rsid w:val="00CE3376"/>
    <w:rsid w:val="00CE34D8"/>
    <w:rsid w:val="00CE44E1"/>
    <w:rsid w:val="00CE62BE"/>
    <w:rsid w:val="00CF118C"/>
    <w:rsid w:val="00CF3B14"/>
    <w:rsid w:val="00CF3C0F"/>
    <w:rsid w:val="00CF3C3D"/>
    <w:rsid w:val="00CF4F5E"/>
    <w:rsid w:val="00CF4FB0"/>
    <w:rsid w:val="00D02551"/>
    <w:rsid w:val="00D02987"/>
    <w:rsid w:val="00D051B1"/>
    <w:rsid w:val="00D05222"/>
    <w:rsid w:val="00D0546B"/>
    <w:rsid w:val="00D06E7D"/>
    <w:rsid w:val="00D07AA8"/>
    <w:rsid w:val="00D10F7E"/>
    <w:rsid w:val="00D11363"/>
    <w:rsid w:val="00D114FA"/>
    <w:rsid w:val="00D142D2"/>
    <w:rsid w:val="00D14382"/>
    <w:rsid w:val="00D14CC1"/>
    <w:rsid w:val="00D15B2E"/>
    <w:rsid w:val="00D15C90"/>
    <w:rsid w:val="00D2221C"/>
    <w:rsid w:val="00D25AC1"/>
    <w:rsid w:val="00D27CD4"/>
    <w:rsid w:val="00D31CAF"/>
    <w:rsid w:val="00D31E2D"/>
    <w:rsid w:val="00D323CD"/>
    <w:rsid w:val="00D337B1"/>
    <w:rsid w:val="00D33BFD"/>
    <w:rsid w:val="00D33D09"/>
    <w:rsid w:val="00D34C29"/>
    <w:rsid w:val="00D36568"/>
    <w:rsid w:val="00D40DEE"/>
    <w:rsid w:val="00D425DD"/>
    <w:rsid w:val="00D42CD0"/>
    <w:rsid w:val="00D43899"/>
    <w:rsid w:val="00D44C45"/>
    <w:rsid w:val="00D45669"/>
    <w:rsid w:val="00D46463"/>
    <w:rsid w:val="00D477DF"/>
    <w:rsid w:val="00D50267"/>
    <w:rsid w:val="00D533E2"/>
    <w:rsid w:val="00D5358A"/>
    <w:rsid w:val="00D53C89"/>
    <w:rsid w:val="00D546A5"/>
    <w:rsid w:val="00D55130"/>
    <w:rsid w:val="00D57510"/>
    <w:rsid w:val="00D57F6F"/>
    <w:rsid w:val="00D609DF"/>
    <w:rsid w:val="00D63C45"/>
    <w:rsid w:val="00D6410D"/>
    <w:rsid w:val="00D6494F"/>
    <w:rsid w:val="00D649BC"/>
    <w:rsid w:val="00D64AB2"/>
    <w:rsid w:val="00D67437"/>
    <w:rsid w:val="00D70695"/>
    <w:rsid w:val="00D70964"/>
    <w:rsid w:val="00D728EF"/>
    <w:rsid w:val="00D72E8E"/>
    <w:rsid w:val="00D7425E"/>
    <w:rsid w:val="00D76BB4"/>
    <w:rsid w:val="00D774E5"/>
    <w:rsid w:val="00D80552"/>
    <w:rsid w:val="00D80647"/>
    <w:rsid w:val="00D810C1"/>
    <w:rsid w:val="00D81517"/>
    <w:rsid w:val="00D815DF"/>
    <w:rsid w:val="00D819BF"/>
    <w:rsid w:val="00D82C98"/>
    <w:rsid w:val="00D835E2"/>
    <w:rsid w:val="00D868C2"/>
    <w:rsid w:val="00D8765F"/>
    <w:rsid w:val="00D87B9B"/>
    <w:rsid w:val="00D90906"/>
    <w:rsid w:val="00D90FF1"/>
    <w:rsid w:val="00D93781"/>
    <w:rsid w:val="00D93B85"/>
    <w:rsid w:val="00D942DF"/>
    <w:rsid w:val="00D94992"/>
    <w:rsid w:val="00D94A64"/>
    <w:rsid w:val="00D95936"/>
    <w:rsid w:val="00D96919"/>
    <w:rsid w:val="00D9776B"/>
    <w:rsid w:val="00DA2212"/>
    <w:rsid w:val="00DA4233"/>
    <w:rsid w:val="00DA6560"/>
    <w:rsid w:val="00DA6DCA"/>
    <w:rsid w:val="00DA7159"/>
    <w:rsid w:val="00DB1653"/>
    <w:rsid w:val="00DB209D"/>
    <w:rsid w:val="00DB25AE"/>
    <w:rsid w:val="00DB2CF1"/>
    <w:rsid w:val="00DB4BC6"/>
    <w:rsid w:val="00DB554C"/>
    <w:rsid w:val="00DC181E"/>
    <w:rsid w:val="00DC3046"/>
    <w:rsid w:val="00DC5514"/>
    <w:rsid w:val="00DC55DC"/>
    <w:rsid w:val="00DC6692"/>
    <w:rsid w:val="00DC6EC9"/>
    <w:rsid w:val="00DC772B"/>
    <w:rsid w:val="00DD04EF"/>
    <w:rsid w:val="00DD2E7D"/>
    <w:rsid w:val="00DE30BB"/>
    <w:rsid w:val="00DE340F"/>
    <w:rsid w:val="00DE3B23"/>
    <w:rsid w:val="00DE5442"/>
    <w:rsid w:val="00DE5E21"/>
    <w:rsid w:val="00DF09C9"/>
    <w:rsid w:val="00DF20FE"/>
    <w:rsid w:val="00DF38D9"/>
    <w:rsid w:val="00DF4057"/>
    <w:rsid w:val="00DF4801"/>
    <w:rsid w:val="00DF48B0"/>
    <w:rsid w:val="00DF4CA6"/>
    <w:rsid w:val="00E01C9C"/>
    <w:rsid w:val="00E0405B"/>
    <w:rsid w:val="00E04B2D"/>
    <w:rsid w:val="00E05291"/>
    <w:rsid w:val="00E11066"/>
    <w:rsid w:val="00E11456"/>
    <w:rsid w:val="00E1595D"/>
    <w:rsid w:val="00E16011"/>
    <w:rsid w:val="00E1736F"/>
    <w:rsid w:val="00E21DF6"/>
    <w:rsid w:val="00E2692E"/>
    <w:rsid w:val="00E2785C"/>
    <w:rsid w:val="00E300F0"/>
    <w:rsid w:val="00E31205"/>
    <w:rsid w:val="00E31208"/>
    <w:rsid w:val="00E36B46"/>
    <w:rsid w:val="00E374C2"/>
    <w:rsid w:val="00E412D8"/>
    <w:rsid w:val="00E42A4E"/>
    <w:rsid w:val="00E42E3B"/>
    <w:rsid w:val="00E43C10"/>
    <w:rsid w:val="00E440A1"/>
    <w:rsid w:val="00E44723"/>
    <w:rsid w:val="00E44D21"/>
    <w:rsid w:val="00E45D2A"/>
    <w:rsid w:val="00E45E05"/>
    <w:rsid w:val="00E466A7"/>
    <w:rsid w:val="00E46EF6"/>
    <w:rsid w:val="00E47175"/>
    <w:rsid w:val="00E47428"/>
    <w:rsid w:val="00E502CC"/>
    <w:rsid w:val="00E52574"/>
    <w:rsid w:val="00E52C17"/>
    <w:rsid w:val="00E53806"/>
    <w:rsid w:val="00E55D1E"/>
    <w:rsid w:val="00E56CC2"/>
    <w:rsid w:val="00E572D3"/>
    <w:rsid w:val="00E614E0"/>
    <w:rsid w:val="00E6179C"/>
    <w:rsid w:val="00E61B1E"/>
    <w:rsid w:val="00E630F1"/>
    <w:rsid w:val="00E63890"/>
    <w:rsid w:val="00E6477E"/>
    <w:rsid w:val="00E65625"/>
    <w:rsid w:val="00E65BC6"/>
    <w:rsid w:val="00E6632F"/>
    <w:rsid w:val="00E6669D"/>
    <w:rsid w:val="00E66A04"/>
    <w:rsid w:val="00E72458"/>
    <w:rsid w:val="00E73045"/>
    <w:rsid w:val="00E748E0"/>
    <w:rsid w:val="00E81621"/>
    <w:rsid w:val="00E81E9C"/>
    <w:rsid w:val="00E82B81"/>
    <w:rsid w:val="00E82F8B"/>
    <w:rsid w:val="00E84906"/>
    <w:rsid w:val="00E84D75"/>
    <w:rsid w:val="00E85A84"/>
    <w:rsid w:val="00E9317C"/>
    <w:rsid w:val="00E965F6"/>
    <w:rsid w:val="00E96FDC"/>
    <w:rsid w:val="00E97268"/>
    <w:rsid w:val="00EA1E3F"/>
    <w:rsid w:val="00EA2A7D"/>
    <w:rsid w:val="00EA2EC7"/>
    <w:rsid w:val="00EA3F64"/>
    <w:rsid w:val="00EA5B3D"/>
    <w:rsid w:val="00EA5C01"/>
    <w:rsid w:val="00EA7761"/>
    <w:rsid w:val="00EA77C0"/>
    <w:rsid w:val="00EB04FB"/>
    <w:rsid w:val="00EB2C6C"/>
    <w:rsid w:val="00EB4EEE"/>
    <w:rsid w:val="00EB5AB2"/>
    <w:rsid w:val="00EB5EC9"/>
    <w:rsid w:val="00EB5EE7"/>
    <w:rsid w:val="00EB6647"/>
    <w:rsid w:val="00EB6C78"/>
    <w:rsid w:val="00EB6F8A"/>
    <w:rsid w:val="00EB7675"/>
    <w:rsid w:val="00EC1D17"/>
    <w:rsid w:val="00EC2D8B"/>
    <w:rsid w:val="00EC3B17"/>
    <w:rsid w:val="00EC3C69"/>
    <w:rsid w:val="00EC60B5"/>
    <w:rsid w:val="00ED0103"/>
    <w:rsid w:val="00ED0665"/>
    <w:rsid w:val="00ED09A9"/>
    <w:rsid w:val="00ED0FFB"/>
    <w:rsid w:val="00ED27C3"/>
    <w:rsid w:val="00ED4877"/>
    <w:rsid w:val="00ED4C03"/>
    <w:rsid w:val="00ED589A"/>
    <w:rsid w:val="00ED6896"/>
    <w:rsid w:val="00ED68F7"/>
    <w:rsid w:val="00ED6C2B"/>
    <w:rsid w:val="00ED7195"/>
    <w:rsid w:val="00EE1747"/>
    <w:rsid w:val="00EE1B16"/>
    <w:rsid w:val="00EE4319"/>
    <w:rsid w:val="00EF0BAD"/>
    <w:rsid w:val="00EF0F9F"/>
    <w:rsid w:val="00EF0FF5"/>
    <w:rsid w:val="00EF12AD"/>
    <w:rsid w:val="00EF1C0F"/>
    <w:rsid w:val="00EF5214"/>
    <w:rsid w:val="00EF6B65"/>
    <w:rsid w:val="00EF7169"/>
    <w:rsid w:val="00EF7612"/>
    <w:rsid w:val="00F00A41"/>
    <w:rsid w:val="00F0166E"/>
    <w:rsid w:val="00F02D6E"/>
    <w:rsid w:val="00F0364B"/>
    <w:rsid w:val="00F06907"/>
    <w:rsid w:val="00F070FA"/>
    <w:rsid w:val="00F107B2"/>
    <w:rsid w:val="00F108B5"/>
    <w:rsid w:val="00F11941"/>
    <w:rsid w:val="00F11BB8"/>
    <w:rsid w:val="00F1205F"/>
    <w:rsid w:val="00F16D55"/>
    <w:rsid w:val="00F178E7"/>
    <w:rsid w:val="00F17D8B"/>
    <w:rsid w:val="00F2038E"/>
    <w:rsid w:val="00F21707"/>
    <w:rsid w:val="00F236B7"/>
    <w:rsid w:val="00F23912"/>
    <w:rsid w:val="00F24392"/>
    <w:rsid w:val="00F243C6"/>
    <w:rsid w:val="00F24CA1"/>
    <w:rsid w:val="00F24E0B"/>
    <w:rsid w:val="00F251C9"/>
    <w:rsid w:val="00F26210"/>
    <w:rsid w:val="00F301D8"/>
    <w:rsid w:val="00F31BF7"/>
    <w:rsid w:val="00F32199"/>
    <w:rsid w:val="00F33C67"/>
    <w:rsid w:val="00F34B2E"/>
    <w:rsid w:val="00F358E1"/>
    <w:rsid w:val="00F359B9"/>
    <w:rsid w:val="00F43FB2"/>
    <w:rsid w:val="00F45288"/>
    <w:rsid w:val="00F50E9E"/>
    <w:rsid w:val="00F531DA"/>
    <w:rsid w:val="00F5387C"/>
    <w:rsid w:val="00F54F58"/>
    <w:rsid w:val="00F5580D"/>
    <w:rsid w:val="00F55960"/>
    <w:rsid w:val="00F55FF7"/>
    <w:rsid w:val="00F56AAD"/>
    <w:rsid w:val="00F57B1D"/>
    <w:rsid w:val="00F607C4"/>
    <w:rsid w:val="00F60C05"/>
    <w:rsid w:val="00F67188"/>
    <w:rsid w:val="00F6724E"/>
    <w:rsid w:val="00F70601"/>
    <w:rsid w:val="00F73ADF"/>
    <w:rsid w:val="00F753FB"/>
    <w:rsid w:val="00F76715"/>
    <w:rsid w:val="00F8031C"/>
    <w:rsid w:val="00F8124D"/>
    <w:rsid w:val="00F8168D"/>
    <w:rsid w:val="00F82110"/>
    <w:rsid w:val="00F824EF"/>
    <w:rsid w:val="00F832C8"/>
    <w:rsid w:val="00F8369B"/>
    <w:rsid w:val="00F85ACD"/>
    <w:rsid w:val="00F86B44"/>
    <w:rsid w:val="00F871A8"/>
    <w:rsid w:val="00F958B1"/>
    <w:rsid w:val="00F97195"/>
    <w:rsid w:val="00F976E9"/>
    <w:rsid w:val="00FA0066"/>
    <w:rsid w:val="00FA1807"/>
    <w:rsid w:val="00FA1D38"/>
    <w:rsid w:val="00FA2DAF"/>
    <w:rsid w:val="00FA3CA6"/>
    <w:rsid w:val="00FA401F"/>
    <w:rsid w:val="00FA40BD"/>
    <w:rsid w:val="00FA54B4"/>
    <w:rsid w:val="00FA59D0"/>
    <w:rsid w:val="00FA69E3"/>
    <w:rsid w:val="00FB0C06"/>
    <w:rsid w:val="00FB1E6F"/>
    <w:rsid w:val="00FB5EC8"/>
    <w:rsid w:val="00FB5FA3"/>
    <w:rsid w:val="00FB5FAB"/>
    <w:rsid w:val="00FC2621"/>
    <w:rsid w:val="00FC2AD3"/>
    <w:rsid w:val="00FC549A"/>
    <w:rsid w:val="00FC552C"/>
    <w:rsid w:val="00FC79D0"/>
    <w:rsid w:val="00FD268B"/>
    <w:rsid w:val="00FD28DF"/>
    <w:rsid w:val="00FD6446"/>
    <w:rsid w:val="00FE110D"/>
    <w:rsid w:val="00FE1883"/>
    <w:rsid w:val="00FE1E23"/>
    <w:rsid w:val="00FE4C61"/>
    <w:rsid w:val="00FE5ECC"/>
    <w:rsid w:val="00FF1FA4"/>
    <w:rsid w:val="00FF2244"/>
    <w:rsid w:val="00FF6679"/>
    <w:rsid w:val="00FF7CF7"/>
    <w:rsid w:val="00FF7D85"/>
    <w:rsid w:val="013A601F"/>
    <w:rsid w:val="01B248DD"/>
    <w:rsid w:val="0243BE9F"/>
    <w:rsid w:val="02FE50CB"/>
    <w:rsid w:val="04596FFC"/>
    <w:rsid w:val="04795568"/>
    <w:rsid w:val="04924AF4"/>
    <w:rsid w:val="0562CE7C"/>
    <w:rsid w:val="07E90860"/>
    <w:rsid w:val="080ECEA6"/>
    <w:rsid w:val="08413D88"/>
    <w:rsid w:val="092B4D88"/>
    <w:rsid w:val="0985488C"/>
    <w:rsid w:val="0A9AB7DF"/>
    <w:rsid w:val="0ACDA9AE"/>
    <w:rsid w:val="0B18F905"/>
    <w:rsid w:val="0B91D34A"/>
    <w:rsid w:val="0BB2F356"/>
    <w:rsid w:val="0BD868F4"/>
    <w:rsid w:val="0C47D571"/>
    <w:rsid w:val="0C7C47F1"/>
    <w:rsid w:val="0E366AB3"/>
    <w:rsid w:val="0E70A3F3"/>
    <w:rsid w:val="10078AC3"/>
    <w:rsid w:val="103C1029"/>
    <w:rsid w:val="105966F7"/>
    <w:rsid w:val="105F5B44"/>
    <w:rsid w:val="10A984EB"/>
    <w:rsid w:val="10B4A86F"/>
    <w:rsid w:val="10CEB4DB"/>
    <w:rsid w:val="1137C71D"/>
    <w:rsid w:val="12393228"/>
    <w:rsid w:val="1245D093"/>
    <w:rsid w:val="12991655"/>
    <w:rsid w:val="13578999"/>
    <w:rsid w:val="1499CEC1"/>
    <w:rsid w:val="14B7E428"/>
    <w:rsid w:val="1576576C"/>
    <w:rsid w:val="1577F46F"/>
    <w:rsid w:val="16C37DEB"/>
    <w:rsid w:val="17770FD8"/>
    <w:rsid w:val="17E53A7F"/>
    <w:rsid w:val="1808859A"/>
    <w:rsid w:val="18895702"/>
    <w:rsid w:val="18D795EA"/>
    <w:rsid w:val="18FB4B73"/>
    <w:rsid w:val="19A9C6A5"/>
    <w:rsid w:val="1AF4A3A8"/>
    <w:rsid w:val="1B00B3EF"/>
    <w:rsid w:val="1B5CC2B7"/>
    <w:rsid w:val="1BC25B3E"/>
    <w:rsid w:val="1C3D3614"/>
    <w:rsid w:val="1CF9B795"/>
    <w:rsid w:val="1D72452B"/>
    <w:rsid w:val="1DC95F35"/>
    <w:rsid w:val="1DF2C64A"/>
    <w:rsid w:val="1EA97ED9"/>
    <w:rsid w:val="1F4D04DF"/>
    <w:rsid w:val="1F4E65A5"/>
    <w:rsid w:val="1F6FACD2"/>
    <w:rsid w:val="20266561"/>
    <w:rsid w:val="203875A5"/>
    <w:rsid w:val="2141C901"/>
    <w:rsid w:val="2168DD5A"/>
    <w:rsid w:val="21E226DE"/>
    <w:rsid w:val="223B8041"/>
    <w:rsid w:val="225A0478"/>
    <w:rsid w:val="22FDD093"/>
    <w:rsid w:val="23A3D1F3"/>
    <w:rsid w:val="23EEF199"/>
    <w:rsid w:val="243FF753"/>
    <w:rsid w:val="2478D24B"/>
    <w:rsid w:val="2572898B"/>
    <w:rsid w:val="2607C917"/>
    <w:rsid w:val="2640A12E"/>
    <w:rsid w:val="264E20CC"/>
    <w:rsid w:val="266324E1"/>
    <w:rsid w:val="268AC502"/>
    <w:rsid w:val="26B2722D"/>
    <w:rsid w:val="26F826E7"/>
    <w:rsid w:val="278260CB"/>
    <w:rsid w:val="27947C68"/>
    <w:rsid w:val="28864846"/>
    <w:rsid w:val="28CCDDF0"/>
    <w:rsid w:val="2944BB8A"/>
    <w:rsid w:val="29614783"/>
    <w:rsid w:val="299D7AD2"/>
    <w:rsid w:val="299E83BD"/>
    <w:rsid w:val="29EA3942"/>
    <w:rsid w:val="2AD67356"/>
    <w:rsid w:val="2ADE2E0B"/>
    <w:rsid w:val="2B2228DB"/>
    <w:rsid w:val="2B785AA1"/>
    <w:rsid w:val="2C5F4304"/>
    <w:rsid w:val="2CDC4B9D"/>
    <w:rsid w:val="2DC5C4B1"/>
    <w:rsid w:val="2E124384"/>
    <w:rsid w:val="2E966E5F"/>
    <w:rsid w:val="2FB8C0AD"/>
    <w:rsid w:val="30FE6192"/>
    <w:rsid w:val="312B5F14"/>
    <w:rsid w:val="31E83EC1"/>
    <w:rsid w:val="32CBDDAE"/>
    <w:rsid w:val="33B1201D"/>
    <w:rsid w:val="33DF4EE6"/>
    <w:rsid w:val="34BF58BA"/>
    <w:rsid w:val="34DA511C"/>
    <w:rsid w:val="351F480B"/>
    <w:rsid w:val="3558BA7B"/>
    <w:rsid w:val="35796ABC"/>
    <w:rsid w:val="3642338F"/>
    <w:rsid w:val="368D13A7"/>
    <w:rsid w:val="36A99FA0"/>
    <w:rsid w:val="36AE33B3"/>
    <w:rsid w:val="36FAB286"/>
    <w:rsid w:val="373785CE"/>
    <w:rsid w:val="3746C495"/>
    <w:rsid w:val="37F104A3"/>
    <w:rsid w:val="381A0453"/>
    <w:rsid w:val="384ACCD6"/>
    <w:rsid w:val="3857E4EC"/>
    <w:rsid w:val="3905E7A2"/>
    <w:rsid w:val="39A63A5B"/>
    <w:rsid w:val="39E53CFD"/>
    <w:rsid w:val="3AD4BD54"/>
    <w:rsid w:val="3B208C84"/>
    <w:rsid w:val="3B5313BD"/>
    <w:rsid w:val="3B9118B9"/>
    <w:rsid w:val="3C17702A"/>
    <w:rsid w:val="3C81C804"/>
    <w:rsid w:val="3DE5F31A"/>
    <w:rsid w:val="3DEE1EE5"/>
    <w:rsid w:val="3F231AAD"/>
    <w:rsid w:val="3F634AB8"/>
    <w:rsid w:val="401157A5"/>
    <w:rsid w:val="40E6EFD6"/>
    <w:rsid w:val="41AA8DAA"/>
    <w:rsid w:val="41B0B4C8"/>
    <w:rsid w:val="41F86E7B"/>
    <w:rsid w:val="41FB94E0"/>
    <w:rsid w:val="420BB32F"/>
    <w:rsid w:val="42C1C2D9"/>
    <w:rsid w:val="42E11C7D"/>
    <w:rsid w:val="43787B68"/>
    <w:rsid w:val="438A8BAC"/>
    <w:rsid w:val="43F68BD0"/>
    <w:rsid w:val="445F3169"/>
    <w:rsid w:val="44BAF361"/>
    <w:rsid w:val="44D8D5F7"/>
    <w:rsid w:val="45B3D534"/>
    <w:rsid w:val="45BC96A0"/>
    <w:rsid w:val="46519837"/>
    <w:rsid w:val="46BEFA1C"/>
    <w:rsid w:val="478D0E1A"/>
    <w:rsid w:val="47AD05BC"/>
    <w:rsid w:val="480B89AF"/>
    <w:rsid w:val="484B233D"/>
    <w:rsid w:val="4976F809"/>
    <w:rsid w:val="49BB2F35"/>
    <w:rsid w:val="49C14B2F"/>
    <w:rsid w:val="4A48739D"/>
    <w:rsid w:val="4A9F1817"/>
    <w:rsid w:val="4AE897F5"/>
    <w:rsid w:val="4D225E2A"/>
    <w:rsid w:val="4D5544D5"/>
    <w:rsid w:val="4D9088D1"/>
    <w:rsid w:val="4DF5A2B2"/>
    <w:rsid w:val="4E28895D"/>
    <w:rsid w:val="4EE6FCA1"/>
    <w:rsid w:val="4FC98549"/>
    <w:rsid w:val="5122566D"/>
    <w:rsid w:val="5164598B"/>
    <w:rsid w:val="5171D5BC"/>
    <w:rsid w:val="5210FA67"/>
    <w:rsid w:val="52212E14"/>
    <w:rsid w:val="522D7B55"/>
    <w:rsid w:val="52BB97A4"/>
    <w:rsid w:val="52F4729C"/>
    <w:rsid w:val="541DC805"/>
    <w:rsid w:val="5430F648"/>
    <w:rsid w:val="55D1B3B3"/>
    <w:rsid w:val="56ABB6D1"/>
    <w:rsid w:val="56F8A1C1"/>
    <w:rsid w:val="56FBFF6E"/>
    <w:rsid w:val="5746DF86"/>
    <w:rsid w:val="58AA3996"/>
    <w:rsid w:val="58AAD082"/>
    <w:rsid w:val="59DF29AE"/>
    <w:rsid w:val="5A25BF58"/>
    <w:rsid w:val="5A38F1E1"/>
    <w:rsid w:val="5A3F610F"/>
    <w:rsid w:val="5A9D9CF2"/>
    <w:rsid w:val="5B9CE2DD"/>
    <w:rsid w:val="5CD13C09"/>
    <w:rsid w:val="5CD2DAC4"/>
    <w:rsid w:val="5DBBB0B0"/>
    <w:rsid w:val="5F07AEBA"/>
    <w:rsid w:val="5F2925A5"/>
    <w:rsid w:val="5F33775D"/>
    <w:rsid w:val="5FBEF8D2"/>
    <w:rsid w:val="6081C1A8"/>
    <w:rsid w:val="60A37F1B"/>
    <w:rsid w:val="60F255DF"/>
    <w:rsid w:val="617B78E8"/>
    <w:rsid w:val="6198CFB6"/>
    <w:rsid w:val="61A4DFFD"/>
    <w:rsid w:val="61D36F77"/>
    <w:rsid w:val="620E1D9A"/>
    <w:rsid w:val="6210B874"/>
    <w:rsid w:val="624D167C"/>
    <w:rsid w:val="62B10B2D"/>
    <w:rsid w:val="62BA27A3"/>
    <w:rsid w:val="62BEE3CE"/>
    <w:rsid w:val="63789AE7"/>
    <w:rsid w:val="639F714B"/>
    <w:rsid w:val="63D6EC09"/>
    <w:rsid w:val="64295F29"/>
    <w:rsid w:val="643A01FC"/>
    <w:rsid w:val="645C83C9"/>
    <w:rsid w:val="64D42E92"/>
    <w:rsid w:val="64EBE05B"/>
    <w:rsid w:val="654DAAE7"/>
    <w:rsid w:val="655570C0"/>
    <w:rsid w:val="65944091"/>
    <w:rsid w:val="65D93780"/>
    <w:rsid w:val="66B19BE3"/>
    <w:rsid w:val="676E1775"/>
    <w:rsid w:val="683FBD42"/>
    <w:rsid w:val="692544DF"/>
    <w:rsid w:val="69CEB40E"/>
    <w:rsid w:val="6A5A3583"/>
    <w:rsid w:val="6BA1DDC3"/>
    <w:rsid w:val="6C9851D6"/>
    <w:rsid w:val="6CA5528A"/>
    <w:rsid w:val="6CE9FA21"/>
    <w:rsid w:val="6D7C9ED3"/>
    <w:rsid w:val="6D8BB516"/>
    <w:rsid w:val="6DCA19C5"/>
    <w:rsid w:val="6E3AADFC"/>
    <w:rsid w:val="6E3BB427"/>
    <w:rsid w:val="6EFA8155"/>
    <w:rsid w:val="6FC7D98C"/>
    <w:rsid w:val="7065FD3F"/>
    <w:rsid w:val="708DCE64"/>
    <w:rsid w:val="714CD894"/>
    <w:rsid w:val="71DF4A75"/>
    <w:rsid w:val="72244164"/>
    <w:rsid w:val="72CEF12C"/>
    <w:rsid w:val="730BF2E2"/>
    <w:rsid w:val="73D4B133"/>
    <w:rsid w:val="74B66F92"/>
    <w:rsid w:val="753D3547"/>
    <w:rsid w:val="7545B9B9"/>
    <w:rsid w:val="7613A1F8"/>
    <w:rsid w:val="7631B75F"/>
    <w:rsid w:val="768A8E0B"/>
    <w:rsid w:val="77BB7F66"/>
    <w:rsid w:val="77F96176"/>
    <w:rsid w:val="78655676"/>
    <w:rsid w:val="78EB200C"/>
    <w:rsid w:val="7923C9BA"/>
    <w:rsid w:val="79523326"/>
    <w:rsid w:val="79A92F35"/>
    <w:rsid w:val="79E0A9F3"/>
    <w:rsid w:val="7AB8B4D3"/>
    <w:rsid w:val="7BA1BD8C"/>
    <w:rsid w:val="7BF3B6F9"/>
    <w:rsid w:val="7C1D96CA"/>
    <w:rsid w:val="7C61919A"/>
    <w:rsid w:val="7D525FC1"/>
    <w:rsid w:val="7D77D55F"/>
    <w:rsid w:val="7DC0167F"/>
    <w:rsid w:val="7DFE9B14"/>
    <w:rsid w:val="7E1BB45C"/>
    <w:rsid w:val="7EEE61F8"/>
    <w:rsid w:val="7F5EF5A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54C7"/>
  <w15:chartTrackingRefBased/>
  <w15:docId w15:val="{06F2833F-F8D0-4B66-973C-1759D550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7E9"/>
  </w:style>
  <w:style w:type="paragraph" w:styleId="Footer">
    <w:name w:val="footer"/>
    <w:basedOn w:val="Normal"/>
    <w:link w:val="FooterChar"/>
    <w:uiPriority w:val="99"/>
    <w:unhideWhenUsed/>
    <w:rsid w:val="00A01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7E9"/>
  </w:style>
  <w:style w:type="paragraph" w:styleId="ListParagraph">
    <w:name w:val="List Paragraph"/>
    <w:aliases w:val="Paragraphe EI,Paragraphe de liste1,EC,List Paragraph_Sections"/>
    <w:basedOn w:val="Normal"/>
    <w:link w:val="ListParagraphChar"/>
    <w:uiPriority w:val="34"/>
    <w:qFormat/>
    <w:rsid w:val="00B645E5"/>
    <w:pPr>
      <w:ind w:left="720"/>
      <w:contextualSpacing/>
    </w:pPr>
  </w:style>
  <w:style w:type="paragraph" w:styleId="FootnoteText">
    <w:name w:val="footnote text"/>
    <w:basedOn w:val="Normal"/>
    <w:link w:val="FootnoteTextChar"/>
    <w:uiPriority w:val="99"/>
    <w:semiHidden/>
    <w:unhideWhenUsed/>
    <w:rsid w:val="00951F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FFC"/>
    <w:rPr>
      <w:sz w:val="20"/>
      <w:szCs w:val="20"/>
    </w:rPr>
  </w:style>
  <w:style w:type="character" w:styleId="FootnoteReference">
    <w:name w:val="footnote reference"/>
    <w:basedOn w:val="DefaultParagraphFont"/>
    <w:uiPriority w:val="99"/>
    <w:semiHidden/>
    <w:unhideWhenUsed/>
    <w:rsid w:val="00951FFC"/>
    <w:rPr>
      <w:vertAlign w:val="superscript"/>
    </w:rPr>
  </w:style>
  <w:style w:type="paragraph" w:styleId="BalloonText">
    <w:name w:val="Balloon Text"/>
    <w:basedOn w:val="Normal"/>
    <w:link w:val="BalloonTextChar"/>
    <w:uiPriority w:val="99"/>
    <w:semiHidden/>
    <w:unhideWhenUsed/>
    <w:rsid w:val="00467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A33"/>
    <w:rPr>
      <w:rFonts w:ascii="Segoe UI" w:hAnsi="Segoe UI" w:cs="Segoe UI"/>
      <w:sz w:val="18"/>
      <w:szCs w:val="18"/>
    </w:rPr>
  </w:style>
  <w:style w:type="paragraph" w:styleId="CommentText">
    <w:name w:val="annotation text"/>
    <w:basedOn w:val="Normal"/>
    <w:link w:val="CommentTextChar"/>
    <w:uiPriority w:val="99"/>
    <w:unhideWhenUsed/>
    <w:rsid w:val="005F55DF"/>
    <w:pPr>
      <w:spacing w:line="240" w:lineRule="auto"/>
    </w:pPr>
    <w:rPr>
      <w:sz w:val="20"/>
      <w:szCs w:val="20"/>
    </w:rPr>
  </w:style>
  <w:style w:type="character" w:customStyle="1" w:styleId="CommentTextChar">
    <w:name w:val="Comment Text Char"/>
    <w:basedOn w:val="DefaultParagraphFont"/>
    <w:link w:val="CommentText"/>
    <w:uiPriority w:val="99"/>
    <w:rsid w:val="005F55DF"/>
    <w:rPr>
      <w:sz w:val="20"/>
      <w:szCs w:val="20"/>
    </w:rPr>
  </w:style>
  <w:style w:type="character" w:styleId="CommentReference">
    <w:name w:val="annotation reference"/>
    <w:basedOn w:val="DefaultParagraphFont"/>
    <w:uiPriority w:val="99"/>
    <w:semiHidden/>
    <w:unhideWhenUsed/>
    <w:rsid w:val="005F55DF"/>
    <w:rPr>
      <w:sz w:val="16"/>
      <w:szCs w:val="16"/>
    </w:rPr>
  </w:style>
  <w:style w:type="paragraph" w:styleId="CommentSubject">
    <w:name w:val="annotation subject"/>
    <w:basedOn w:val="CommentText"/>
    <w:next w:val="CommentText"/>
    <w:link w:val="CommentSubjectChar"/>
    <w:uiPriority w:val="99"/>
    <w:semiHidden/>
    <w:unhideWhenUsed/>
    <w:rsid w:val="00A77CBD"/>
    <w:rPr>
      <w:b/>
      <w:bCs/>
    </w:rPr>
  </w:style>
  <w:style w:type="character" w:customStyle="1" w:styleId="CommentSubjectChar">
    <w:name w:val="Comment Subject Char"/>
    <w:basedOn w:val="CommentTextChar"/>
    <w:link w:val="CommentSubject"/>
    <w:uiPriority w:val="99"/>
    <w:semiHidden/>
    <w:rsid w:val="00A77CBD"/>
    <w:rPr>
      <w:b/>
      <w:bCs/>
      <w:sz w:val="20"/>
      <w:szCs w:val="20"/>
    </w:rPr>
  </w:style>
  <w:style w:type="character" w:styleId="Hyperlink">
    <w:name w:val="Hyperlink"/>
    <w:basedOn w:val="DefaultParagraphFont"/>
    <w:uiPriority w:val="99"/>
    <w:semiHidden/>
    <w:unhideWhenUsed/>
    <w:rsid w:val="00246140"/>
    <w:rPr>
      <w:color w:val="0000FF"/>
      <w:u w:val="single"/>
    </w:rPr>
  </w:style>
  <w:style w:type="character" w:customStyle="1" w:styleId="ListParagraphChar">
    <w:name w:val="List Paragraph Char"/>
    <w:aliases w:val="Paragraphe EI Char,Paragraphe de liste1 Char,EC Char,List Paragraph_Sections Char"/>
    <w:basedOn w:val="DefaultParagraphFont"/>
    <w:link w:val="ListParagraph"/>
    <w:uiPriority w:val="34"/>
    <w:rsid w:val="00D76BB4"/>
  </w:style>
  <w:style w:type="paragraph" w:styleId="Revision">
    <w:name w:val="Revision"/>
    <w:hidden/>
    <w:uiPriority w:val="99"/>
    <w:semiHidden/>
    <w:rsid w:val="00026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1998">
      <w:bodyDiv w:val="1"/>
      <w:marLeft w:val="0"/>
      <w:marRight w:val="0"/>
      <w:marTop w:val="0"/>
      <w:marBottom w:val="0"/>
      <w:divBdr>
        <w:top w:val="none" w:sz="0" w:space="0" w:color="auto"/>
        <w:left w:val="none" w:sz="0" w:space="0" w:color="auto"/>
        <w:bottom w:val="none" w:sz="0" w:space="0" w:color="auto"/>
        <w:right w:val="none" w:sz="0" w:space="0" w:color="auto"/>
      </w:divBdr>
    </w:div>
    <w:div w:id="487282043">
      <w:bodyDiv w:val="1"/>
      <w:marLeft w:val="0"/>
      <w:marRight w:val="0"/>
      <w:marTop w:val="0"/>
      <w:marBottom w:val="0"/>
      <w:divBdr>
        <w:top w:val="none" w:sz="0" w:space="0" w:color="auto"/>
        <w:left w:val="none" w:sz="0" w:space="0" w:color="auto"/>
        <w:bottom w:val="none" w:sz="0" w:space="0" w:color="auto"/>
        <w:right w:val="none" w:sz="0" w:space="0" w:color="auto"/>
      </w:divBdr>
    </w:div>
    <w:div w:id="15165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sites/default/files/library/esma35-43-2748_public_statement_on_2020_csa_on_suitability.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CD73388A0A544E862B83C8B1CB1837" ma:contentTypeVersion="12" ma:contentTypeDescription="Crée un document." ma:contentTypeScope="" ma:versionID="c1fbae15fc2367528b75938c72cba7f8">
  <xsd:schema xmlns:xsd="http://www.w3.org/2001/XMLSchema" xmlns:xs="http://www.w3.org/2001/XMLSchema" xmlns:p="http://schemas.microsoft.com/office/2006/metadata/properties" xmlns:ns3="90c14962-13d5-4cca-985c-2beccde21369" xmlns:ns4="3f4d6a37-9b56-42a7-9a2a-19dc284e4ddc" targetNamespace="http://schemas.microsoft.com/office/2006/metadata/properties" ma:root="true" ma:fieldsID="ac945e256bc4a58270583d36f5833fe4" ns3:_="" ns4:_="">
    <xsd:import namespace="90c14962-13d5-4cca-985c-2beccde21369"/>
    <xsd:import namespace="3f4d6a37-9b56-42a7-9a2a-19dc284e4d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14962-13d5-4cca-985c-2beccde21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d6a37-9b56-42a7-9a2a-19dc284e4dd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10580-B133-4E8E-B02A-679C21B8F2BF}">
  <ds:schemaRefs>
    <ds:schemaRef ds:uri="http://schemas.openxmlformats.org/officeDocument/2006/bibliography"/>
  </ds:schemaRefs>
</ds:datastoreItem>
</file>

<file path=customXml/itemProps2.xml><?xml version="1.0" encoding="utf-8"?>
<ds:datastoreItem xmlns:ds="http://schemas.openxmlformats.org/officeDocument/2006/customXml" ds:itemID="{C11F6FCF-FD52-401D-BB49-D1353E81C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DBBC5-DD71-44D1-B071-8DA47FE3C53A}">
  <ds:schemaRefs>
    <ds:schemaRef ds:uri="http://schemas.microsoft.com/sharepoint/v3/contenttype/forms"/>
  </ds:schemaRefs>
</ds:datastoreItem>
</file>

<file path=customXml/itemProps4.xml><?xml version="1.0" encoding="utf-8"?>
<ds:datastoreItem xmlns:ds="http://schemas.openxmlformats.org/officeDocument/2006/customXml" ds:itemID="{2281DFAE-F711-4510-AF34-4BE48CC2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14962-13d5-4cca-985c-2beccde21369"/>
    <ds:schemaRef ds:uri="3f4d6a37-9b56-42a7-9a2a-19dc284e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9231</Words>
  <Characters>52620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 Wiele Suzy</dc:creator>
  <cp:keywords/>
  <dc:description/>
  <cp:lastModifiedBy>Alix Lambert</cp:lastModifiedBy>
  <cp:revision>2</cp:revision>
  <dcterms:created xsi:type="dcterms:W3CDTF">2022-04-27T10:41:00Z</dcterms:created>
  <dcterms:modified xsi:type="dcterms:W3CDTF">2022-04-27T10:41:00Z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#0000ff,10,Calibri</vt:lpwstr>
  </property>
  <property fmtid="{D5CDD505-2E9C-101B-9397-08002B2CF9AE}" pid="4" name="ClassificationContentMarkingFooterText">
    <vt:lpwstr>Classification : Internal</vt:lpwstr>
  </property>
  <property fmtid="{D5CDD505-2E9C-101B-9397-08002B2CF9AE}" pid="5" name="MSIP_Label_812e1ed0-4700-41e0-aec3-61ed249f3333_Enabled">
    <vt:lpwstr>true</vt:lpwstr>
  </property>
  <property fmtid="{D5CDD505-2E9C-101B-9397-08002B2CF9AE}" pid="6" name="MSIP_Label_812e1ed0-4700-41e0-aec3-61ed249f3333_SetDate">
    <vt:lpwstr>2022-03-01T06:27:49Z</vt:lpwstr>
  </property>
  <property fmtid="{D5CDD505-2E9C-101B-9397-08002B2CF9AE}" pid="7" name="MSIP_Label_812e1ed0-4700-41e0-aec3-61ed249f3333_Method">
    <vt:lpwstr>Standard</vt:lpwstr>
  </property>
  <property fmtid="{D5CDD505-2E9C-101B-9397-08002B2CF9AE}" pid="8" name="MSIP_Label_812e1ed0-4700-41e0-aec3-61ed249f3333_Name">
    <vt:lpwstr>Internal - Standard</vt:lpwstr>
  </property>
  <property fmtid="{D5CDD505-2E9C-101B-9397-08002B2CF9AE}" pid="9" name="MSIP_Label_812e1ed0-4700-41e0-aec3-61ed249f3333_SiteId">
    <vt:lpwstr>614f9c25-bffa-42c7-86d8-964101f55fa2</vt:lpwstr>
  </property>
  <property fmtid="{D5CDD505-2E9C-101B-9397-08002B2CF9AE}" pid="10" name="MSIP_Label_812e1ed0-4700-41e0-aec3-61ed249f3333_ActionId">
    <vt:lpwstr>748ff6b4-cc02-4997-9b99-754528260e76</vt:lpwstr>
  </property>
  <property fmtid="{D5CDD505-2E9C-101B-9397-08002B2CF9AE}" pid="11" name="MSIP_Label_812e1ed0-4700-41e0-aec3-61ed249f3333_ContentBits">
    <vt:lpwstr>2</vt:lpwstr>
  </property>
  <property fmtid="{D5CDD505-2E9C-101B-9397-08002B2CF9AE}" pid="12" name="ContentTypeId">
    <vt:lpwstr>0x01010045CD73388A0A544E862B83C8B1CB1837</vt:lpwstr>
  </property>
</Properties>
</file>