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0C28" w14:textId="77777777" w:rsidR="009778DC" w:rsidRPr="00604D97" w:rsidRDefault="009778DC" w:rsidP="00604D97">
      <w:pPr>
        <w:autoSpaceDE w:val="0"/>
        <w:autoSpaceDN w:val="0"/>
        <w:adjustRightInd w:val="0"/>
        <w:spacing w:after="0" w:line="240" w:lineRule="atLeast"/>
        <w:jc w:val="both"/>
        <w:rPr>
          <w:rFonts w:ascii="Arial" w:hAnsi="Arial" w:cs="Arial"/>
          <w:color w:val="000000"/>
          <w:sz w:val="20"/>
          <w:lang w:val="en-GB"/>
        </w:rPr>
      </w:pPr>
    </w:p>
    <w:p w14:paraId="15D54DFE" w14:textId="1D2075C9" w:rsidR="00E67976" w:rsidRPr="00A83018" w:rsidRDefault="00067DA0" w:rsidP="00604D97">
      <w:pPr>
        <w:autoSpaceDE w:val="0"/>
        <w:autoSpaceDN w:val="0"/>
        <w:adjustRightInd w:val="0"/>
        <w:spacing w:after="0" w:line="240" w:lineRule="atLeast"/>
        <w:jc w:val="center"/>
        <w:rPr>
          <w:rFonts w:ascii="Arial" w:eastAsia="Times New Roman" w:hAnsi="Arial" w:cs="Arial"/>
          <w:b/>
          <w:bCs/>
          <w:sz w:val="24"/>
          <w:szCs w:val="24"/>
          <w:lang w:val="en-GB" w:eastAsia="fr-FR"/>
        </w:rPr>
      </w:pPr>
      <w:r w:rsidRPr="00A83018">
        <w:rPr>
          <w:rFonts w:ascii="Arial" w:eastAsia="Times New Roman" w:hAnsi="Arial" w:cs="Arial"/>
          <w:b/>
          <w:bCs/>
          <w:sz w:val="24"/>
          <w:szCs w:val="24"/>
          <w:lang w:val="en-GB" w:eastAsia="fr-FR"/>
        </w:rPr>
        <w:t>CONSULTATION</w:t>
      </w:r>
      <w:r w:rsidR="00E67976" w:rsidRPr="00A83018">
        <w:rPr>
          <w:rFonts w:ascii="Arial" w:eastAsia="Times New Roman" w:hAnsi="Arial" w:cs="Arial"/>
          <w:b/>
          <w:bCs/>
          <w:sz w:val="24"/>
          <w:szCs w:val="24"/>
          <w:lang w:val="en-GB" w:eastAsia="fr-FR"/>
        </w:rPr>
        <w:t xml:space="preserve"> </w:t>
      </w:r>
      <w:r w:rsidRPr="00A83018">
        <w:rPr>
          <w:rFonts w:ascii="Arial" w:eastAsia="Times New Roman" w:hAnsi="Arial" w:cs="Arial"/>
          <w:b/>
          <w:bCs/>
          <w:sz w:val="24"/>
          <w:szCs w:val="24"/>
          <w:lang w:val="en-GB" w:eastAsia="fr-FR"/>
        </w:rPr>
        <w:t>PAPER OF ESMA</w:t>
      </w:r>
    </w:p>
    <w:p w14:paraId="5DB18BC5" w14:textId="77777777" w:rsidR="00E67976" w:rsidRPr="00604D97" w:rsidRDefault="00E67976" w:rsidP="00B57EA5">
      <w:pPr>
        <w:autoSpaceDE w:val="0"/>
        <w:autoSpaceDN w:val="0"/>
        <w:adjustRightInd w:val="0"/>
        <w:spacing w:after="0" w:line="240" w:lineRule="atLeast"/>
        <w:jc w:val="both"/>
        <w:rPr>
          <w:rFonts w:ascii="Arial" w:eastAsia="Times New Roman" w:hAnsi="Arial" w:cs="Arial"/>
          <w:sz w:val="20"/>
          <w:szCs w:val="20"/>
          <w:lang w:val="en-GB" w:eastAsia="fr-FR"/>
        </w:rPr>
      </w:pPr>
    </w:p>
    <w:p w14:paraId="18F05940" w14:textId="01535A78" w:rsidR="00067DA0" w:rsidRPr="00A83018" w:rsidRDefault="00067DA0" w:rsidP="00604D97">
      <w:pPr>
        <w:autoSpaceDE w:val="0"/>
        <w:autoSpaceDN w:val="0"/>
        <w:adjustRightInd w:val="0"/>
        <w:spacing w:after="0" w:line="240" w:lineRule="atLeast"/>
        <w:jc w:val="center"/>
        <w:rPr>
          <w:rFonts w:ascii="Arial" w:eastAsia="Times New Roman" w:hAnsi="Arial" w:cs="Arial"/>
          <w:b/>
          <w:bCs/>
          <w:sz w:val="20"/>
          <w:szCs w:val="20"/>
          <w:lang w:val="en-GB" w:eastAsia="fr-FR"/>
        </w:rPr>
      </w:pPr>
      <w:r w:rsidRPr="00A83018">
        <w:rPr>
          <w:rFonts w:ascii="Arial" w:eastAsia="Times New Roman" w:hAnsi="Arial" w:cs="Arial"/>
          <w:b/>
          <w:bCs/>
          <w:sz w:val="20"/>
          <w:szCs w:val="20"/>
          <w:lang w:val="en-GB" w:eastAsia="fr-FR"/>
        </w:rPr>
        <w:t xml:space="preserve">Draft guidelines on certain aspects of the MiFID II </w:t>
      </w:r>
      <w:r w:rsidR="00E17EC1" w:rsidRPr="00A83018">
        <w:rPr>
          <w:rFonts w:ascii="Arial" w:eastAsia="Times New Roman" w:hAnsi="Arial" w:cs="Arial"/>
          <w:b/>
          <w:bCs/>
          <w:sz w:val="20"/>
          <w:szCs w:val="20"/>
          <w:lang w:val="en-GB" w:eastAsia="fr-FR"/>
        </w:rPr>
        <w:t>suitability</w:t>
      </w:r>
      <w:r w:rsidRPr="00A83018">
        <w:rPr>
          <w:rFonts w:ascii="Arial" w:eastAsia="Times New Roman" w:hAnsi="Arial" w:cs="Arial"/>
          <w:b/>
          <w:bCs/>
          <w:sz w:val="20"/>
          <w:szCs w:val="20"/>
          <w:lang w:val="en-GB" w:eastAsia="fr-FR"/>
        </w:rPr>
        <w:t xml:space="preserve"> requirements</w:t>
      </w:r>
    </w:p>
    <w:p w14:paraId="579CB18F" w14:textId="77777777" w:rsidR="00067DA0" w:rsidRPr="00604D97" w:rsidRDefault="00067DA0" w:rsidP="00604D97">
      <w:pPr>
        <w:autoSpaceDE w:val="0"/>
        <w:autoSpaceDN w:val="0"/>
        <w:adjustRightInd w:val="0"/>
        <w:spacing w:after="0" w:line="240" w:lineRule="atLeast"/>
        <w:jc w:val="both"/>
        <w:rPr>
          <w:rFonts w:ascii="Arial" w:eastAsia="Times New Roman" w:hAnsi="Arial" w:cs="Arial"/>
          <w:sz w:val="20"/>
          <w:szCs w:val="20"/>
          <w:lang w:val="en-GB" w:eastAsia="fr-FR"/>
        </w:rPr>
      </w:pPr>
    </w:p>
    <w:p w14:paraId="58463A7D" w14:textId="77777777" w:rsidR="00067DA0" w:rsidRPr="00604D97" w:rsidRDefault="00067DA0" w:rsidP="00731FD9">
      <w:pPr>
        <w:spacing w:after="0" w:line="240" w:lineRule="atLeast"/>
        <w:jc w:val="both"/>
        <w:rPr>
          <w:rFonts w:ascii="Arial" w:eastAsia="Times New Roman" w:hAnsi="Arial" w:cs="Arial"/>
          <w:sz w:val="20"/>
          <w:szCs w:val="20"/>
          <w:lang w:val="en-GB" w:eastAsia="fr-FR"/>
        </w:rPr>
      </w:pPr>
    </w:p>
    <w:p w14:paraId="193EC55F" w14:textId="77777777" w:rsidR="00067DA0" w:rsidRPr="00604D97" w:rsidRDefault="00067DA0" w:rsidP="00731FD9">
      <w:pPr>
        <w:autoSpaceDE w:val="0"/>
        <w:autoSpaceDN w:val="0"/>
        <w:adjustRightInd w:val="0"/>
        <w:spacing w:after="0" w:line="240" w:lineRule="atLeast"/>
        <w:jc w:val="both"/>
        <w:rPr>
          <w:rFonts w:ascii="Arial" w:hAnsi="Arial" w:cs="Arial"/>
          <w:color w:val="000000"/>
          <w:sz w:val="20"/>
          <w:lang w:val="en-GB"/>
        </w:rPr>
      </w:pPr>
    </w:p>
    <w:p w14:paraId="4EA6715D" w14:textId="4ED94CB0" w:rsidR="00067DA0" w:rsidRPr="00604D97" w:rsidRDefault="00E67976" w:rsidP="00731FD9">
      <w:pPr>
        <w:spacing w:after="0" w:line="240" w:lineRule="atLeast"/>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T</w:t>
      </w:r>
      <w:r w:rsidRPr="00604D97">
        <w:rPr>
          <w:rFonts w:ascii="Arial" w:eastAsia="Times New Roman" w:hAnsi="Arial" w:cs="Arial"/>
          <w:color w:val="000000"/>
          <w:sz w:val="20"/>
          <w:szCs w:val="20"/>
          <w:lang w:val="en-GB" w:eastAsia="fr-FR"/>
        </w:rPr>
        <w:t>he French banking federation (FBF)</w:t>
      </w:r>
      <w:r w:rsidR="00067DA0" w:rsidRPr="00604D97">
        <w:rPr>
          <w:rFonts w:ascii="Arial" w:eastAsia="Times New Roman" w:hAnsi="Arial" w:cs="Arial"/>
          <w:sz w:val="20"/>
          <w:szCs w:val="20"/>
          <w:lang w:val="en-GB" w:eastAsia="fr-FR"/>
        </w:rPr>
        <w:t xml:space="preserve"> welcomes the opportunity to comment ESMA’s </w:t>
      </w:r>
      <w:r w:rsidR="000D4572" w:rsidRPr="00604D97">
        <w:rPr>
          <w:rFonts w:ascii="Arial" w:eastAsia="Times New Roman" w:hAnsi="Arial" w:cs="Arial"/>
          <w:sz w:val="20"/>
          <w:szCs w:val="20"/>
          <w:lang w:val="en-GB" w:eastAsia="fr-FR"/>
        </w:rPr>
        <w:t>C</w:t>
      </w:r>
      <w:r w:rsidR="00067DA0" w:rsidRPr="00604D97">
        <w:rPr>
          <w:rFonts w:ascii="Arial" w:eastAsia="Times New Roman" w:hAnsi="Arial" w:cs="Arial"/>
          <w:sz w:val="20"/>
          <w:szCs w:val="20"/>
          <w:lang w:val="en-GB" w:eastAsia="fr-FR"/>
        </w:rPr>
        <w:t>onsultation paper</w:t>
      </w:r>
      <w:r w:rsidR="000D4572" w:rsidRPr="00604D97">
        <w:rPr>
          <w:rFonts w:ascii="Arial" w:eastAsia="Times New Roman" w:hAnsi="Arial" w:cs="Arial"/>
          <w:sz w:val="20"/>
          <w:szCs w:val="20"/>
          <w:lang w:val="en-GB" w:eastAsia="fr-FR"/>
        </w:rPr>
        <w:t xml:space="preserve"> (CP)</w:t>
      </w:r>
      <w:r w:rsidR="00067DA0" w:rsidRPr="00604D97">
        <w:rPr>
          <w:rFonts w:ascii="Arial" w:eastAsia="Times New Roman" w:hAnsi="Arial" w:cs="Arial"/>
          <w:sz w:val="20"/>
          <w:szCs w:val="20"/>
          <w:lang w:val="en-GB" w:eastAsia="fr-FR"/>
        </w:rPr>
        <w:t xml:space="preserve"> regarding the draft guidelines on MiFID </w:t>
      </w:r>
      <w:r w:rsidR="001E05A4" w:rsidRPr="00604D97">
        <w:rPr>
          <w:rFonts w:ascii="Arial" w:eastAsia="Times New Roman" w:hAnsi="Arial" w:cs="Arial"/>
          <w:sz w:val="20"/>
          <w:szCs w:val="20"/>
          <w:lang w:val="en-GB" w:eastAsia="fr-FR"/>
        </w:rPr>
        <w:t>II</w:t>
      </w:r>
      <w:r w:rsidR="00067DA0" w:rsidRPr="00604D97">
        <w:rPr>
          <w:rFonts w:ascii="Arial" w:eastAsia="Times New Roman" w:hAnsi="Arial" w:cs="Arial"/>
          <w:sz w:val="20"/>
          <w:szCs w:val="20"/>
          <w:lang w:val="en-GB" w:eastAsia="fr-FR"/>
        </w:rPr>
        <w:t xml:space="preserve"> </w:t>
      </w:r>
      <w:r w:rsidR="007A475A" w:rsidRPr="00604D97">
        <w:rPr>
          <w:rFonts w:ascii="Arial" w:eastAsia="Times New Roman" w:hAnsi="Arial" w:cs="Arial"/>
          <w:sz w:val="20"/>
          <w:szCs w:val="20"/>
          <w:lang w:val="en-GB" w:eastAsia="fr-FR"/>
        </w:rPr>
        <w:t>suitability</w:t>
      </w:r>
      <w:r w:rsidR="00067DA0" w:rsidRPr="00604D97">
        <w:rPr>
          <w:rFonts w:ascii="Arial" w:eastAsia="Times New Roman" w:hAnsi="Arial" w:cs="Arial"/>
          <w:sz w:val="20"/>
          <w:szCs w:val="20"/>
          <w:lang w:val="en-GB" w:eastAsia="fr-FR"/>
        </w:rPr>
        <w:t xml:space="preserve"> requirements</w:t>
      </w:r>
      <w:r w:rsidR="00527121" w:rsidRPr="00604D97">
        <w:rPr>
          <w:rFonts w:ascii="Arial" w:eastAsia="Times New Roman" w:hAnsi="Arial" w:cs="Arial"/>
          <w:sz w:val="20"/>
          <w:szCs w:val="20"/>
          <w:lang w:val="en-GB" w:eastAsia="fr-FR"/>
        </w:rPr>
        <w:t xml:space="preserve"> built on the text of the 2018 ESMA guidelines</w:t>
      </w:r>
      <w:r w:rsidR="00123B1C" w:rsidRPr="00604D97">
        <w:rPr>
          <w:rStyle w:val="Appelnotedebasdep"/>
          <w:rFonts w:eastAsia="Times New Roman" w:cs="Arial"/>
          <w:lang w:val="en-GB" w:eastAsia="fr-FR"/>
        </w:rPr>
        <w:footnoteReference w:id="2"/>
      </w:r>
      <w:r w:rsidR="00067DA0" w:rsidRPr="00604D97">
        <w:rPr>
          <w:rFonts w:ascii="Arial" w:eastAsia="Times New Roman" w:hAnsi="Arial" w:cs="Arial"/>
          <w:sz w:val="20"/>
          <w:szCs w:val="20"/>
          <w:lang w:val="en-GB" w:eastAsia="fr-FR"/>
        </w:rPr>
        <w:t xml:space="preserve">. </w:t>
      </w:r>
    </w:p>
    <w:p w14:paraId="5D44DBA4" w14:textId="2AE70188" w:rsidR="00067DA0" w:rsidRPr="00604D97" w:rsidRDefault="00067DA0" w:rsidP="00731FD9">
      <w:pPr>
        <w:spacing w:after="0" w:line="240" w:lineRule="atLeast"/>
        <w:jc w:val="both"/>
        <w:rPr>
          <w:rFonts w:ascii="Arial" w:eastAsia="Times New Roman" w:hAnsi="Arial" w:cs="Arial"/>
          <w:sz w:val="20"/>
          <w:szCs w:val="20"/>
          <w:lang w:val="en-GB" w:eastAsia="fr-FR"/>
        </w:rPr>
      </w:pPr>
    </w:p>
    <w:p w14:paraId="7B32757A" w14:textId="28B77971" w:rsidR="00BF0A9F" w:rsidRPr="00604D97" w:rsidRDefault="00BF0A9F" w:rsidP="00731FD9">
      <w:pPr>
        <w:spacing w:after="0" w:line="240" w:lineRule="atLeast"/>
        <w:jc w:val="both"/>
        <w:rPr>
          <w:rFonts w:ascii="Arial" w:eastAsia="Times New Roman" w:hAnsi="Arial" w:cs="Arial"/>
          <w:sz w:val="20"/>
          <w:szCs w:val="20"/>
          <w:lang w:val="en-GB" w:eastAsia="fr-FR"/>
        </w:rPr>
      </w:pPr>
    </w:p>
    <w:p w14:paraId="21BAA684" w14:textId="77777777" w:rsidR="0073413F" w:rsidRPr="00604D97" w:rsidRDefault="0073413F" w:rsidP="00731FD9">
      <w:pPr>
        <w:spacing w:after="0" w:line="240" w:lineRule="atLeast"/>
        <w:jc w:val="both"/>
        <w:rPr>
          <w:rFonts w:ascii="Arial" w:eastAsia="Times New Roman" w:hAnsi="Arial" w:cs="Arial"/>
          <w:sz w:val="20"/>
          <w:szCs w:val="20"/>
          <w:lang w:val="en-GB" w:eastAsia="fr-FR"/>
        </w:rPr>
      </w:pPr>
    </w:p>
    <w:p w14:paraId="35AB1B97" w14:textId="77777777" w:rsidR="00067DA0" w:rsidRPr="00604D97" w:rsidRDefault="00067DA0" w:rsidP="00731FD9">
      <w:pPr>
        <w:keepNext/>
        <w:keepLines/>
        <w:numPr>
          <w:ilvl w:val="0"/>
          <w:numId w:val="13"/>
        </w:numPr>
        <w:pBdr>
          <w:bottom w:val="single" w:sz="18" w:space="1" w:color="365F91"/>
        </w:pBdr>
        <w:spacing w:after="0" w:line="240" w:lineRule="atLeast"/>
        <w:jc w:val="both"/>
        <w:outlineLvl w:val="0"/>
        <w:rPr>
          <w:rFonts w:ascii="Arial" w:eastAsia="Times New Roman" w:hAnsi="Arial" w:cs="Arial"/>
          <w:b/>
          <w:bCs/>
          <w:smallCaps/>
          <w:color w:val="365F91"/>
          <w:sz w:val="28"/>
          <w:szCs w:val="28"/>
          <w:lang w:val="en-GB" w:eastAsia="fr-FR"/>
        </w:rPr>
      </w:pPr>
      <w:r w:rsidRPr="00604D97">
        <w:rPr>
          <w:rFonts w:ascii="Arial" w:eastAsia="Times New Roman" w:hAnsi="Arial" w:cs="Arial"/>
          <w:b/>
          <w:bCs/>
          <w:smallCaps/>
          <w:color w:val="365F91"/>
          <w:sz w:val="28"/>
          <w:szCs w:val="28"/>
          <w:lang w:val="en-GB" w:eastAsia="fr-FR"/>
        </w:rPr>
        <w:t>General comments</w:t>
      </w:r>
    </w:p>
    <w:p w14:paraId="004E30BF" w14:textId="77777777" w:rsidR="00067DA0" w:rsidRPr="00604D97" w:rsidRDefault="00067DA0" w:rsidP="00731FD9">
      <w:pPr>
        <w:spacing w:after="0" w:line="240" w:lineRule="atLeast"/>
        <w:jc w:val="both"/>
        <w:rPr>
          <w:rFonts w:ascii="Arial" w:eastAsia="Times New Roman" w:hAnsi="Arial" w:cs="Arial"/>
          <w:sz w:val="20"/>
          <w:szCs w:val="20"/>
          <w:lang w:val="en-GB" w:eastAsia="fr-FR"/>
        </w:rPr>
      </w:pPr>
    </w:p>
    <w:p w14:paraId="63EB160A" w14:textId="56AFACE9" w:rsidR="00067DA0" w:rsidRPr="00604D97" w:rsidRDefault="00067DA0" w:rsidP="00731FD9">
      <w:pPr>
        <w:spacing w:after="0" w:line="240" w:lineRule="atLeast"/>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A</w:t>
      </w:r>
      <w:r w:rsidR="000D4572" w:rsidRPr="00604D97">
        <w:rPr>
          <w:rFonts w:ascii="Arial" w:eastAsia="Times New Roman" w:hAnsi="Arial" w:cs="Arial"/>
          <w:sz w:val="20"/>
          <w:szCs w:val="20"/>
          <w:lang w:val="en-GB" w:eastAsia="fr-FR"/>
        </w:rPr>
        <w:t xml:space="preserve">s introduced above, </w:t>
      </w:r>
      <w:r w:rsidR="00E67976" w:rsidRPr="00604D97">
        <w:rPr>
          <w:rFonts w:ascii="Arial" w:eastAsia="Times New Roman" w:hAnsi="Arial" w:cs="Arial"/>
          <w:sz w:val="20"/>
          <w:szCs w:val="20"/>
          <w:lang w:val="en-GB" w:eastAsia="fr-FR"/>
        </w:rPr>
        <w:t>FBF</w:t>
      </w:r>
      <w:r w:rsidRPr="00604D97">
        <w:rPr>
          <w:rFonts w:ascii="Arial" w:eastAsia="Times New Roman" w:hAnsi="Arial" w:cs="Arial"/>
          <w:sz w:val="20"/>
          <w:szCs w:val="20"/>
          <w:lang w:val="en-GB" w:eastAsia="fr-FR"/>
        </w:rPr>
        <w:t xml:space="preserve"> welcomes the opportunity to comment th</w:t>
      </w:r>
      <w:r w:rsidR="000D4572" w:rsidRPr="00604D97">
        <w:rPr>
          <w:rFonts w:ascii="Arial" w:eastAsia="Times New Roman" w:hAnsi="Arial" w:cs="Arial"/>
          <w:sz w:val="20"/>
          <w:szCs w:val="20"/>
          <w:lang w:val="en-GB" w:eastAsia="fr-FR"/>
        </w:rPr>
        <w:t>e</w:t>
      </w:r>
      <w:r w:rsidRPr="00604D97">
        <w:rPr>
          <w:rFonts w:ascii="Arial" w:eastAsia="Times New Roman" w:hAnsi="Arial" w:cs="Arial"/>
          <w:sz w:val="20"/>
          <w:szCs w:val="20"/>
          <w:lang w:val="en-GB" w:eastAsia="fr-FR"/>
        </w:rPr>
        <w:t>se Draft guidelines and wishes to emphasise the following issues:</w:t>
      </w:r>
    </w:p>
    <w:p w14:paraId="0CA094C2" w14:textId="77777777" w:rsidR="00265C74" w:rsidRPr="00604D97" w:rsidRDefault="00265C74" w:rsidP="00970615">
      <w:pPr>
        <w:spacing w:after="0" w:line="240" w:lineRule="atLeast"/>
        <w:jc w:val="both"/>
        <w:rPr>
          <w:rFonts w:ascii="Arial" w:eastAsia="Times New Roman" w:hAnsi="Arial" w:cs="Arial"/>
          <w:sz w:val="20"/>
          <w:szCs w:val="20"/>
          <w:lang w:val="en-GB" w:eastAsia="fr-FR"/>
        </w:rPr>
      </w:pPr>
    </w:p>
    <w:p w14:paraId="6C1F73C3" w14:textId="4474677A" w:rsidR="005C5AEA" w:rsidRPr="00604D97" w:rsidRDefault="0003044D" w:rsidP="00970615">
      <w:pPr>
        <w:pStyle w:val="Paragraphedeliste"/>
        <w:numPr>
          <w:ilvl w:val="0"/>
          <w:numId w:val="19"/>
        </w:numPr>
        <w:spacing w:after="0" w:line="240" w:lineRule="atLeast"/>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Primarily</w:t>
      </w:r>
      <w:r w:rsidR="00904A45" w:rsidRPr="00604D97">
        <w:rPr>
          <w:rFonts w:ascii="Arial" w:eastAsia="Times New Roman" w:hAnsi="Arial" w:cs="Arial"/>
          <w:sz w:val="20"/>
          <w:szCs w:val="20"/>
          <w:lang w:val="en-GB" w:eastAsia="fr-FR"/>
        </w:rPr>
        <w:t>, t</w:t>
      </w:r>
      <w:r w:rsidR="005E64FB" w:rsidRPr="00604D97">
        <w:rPr>
          <w:rFonts w:ascii="Arial" w:eastAsia="Times New Roman" w:hAnsi="Arial" w:cs="Arial"/>
          <w:sz w:val="20"/>
          <w:szCs w:val="20"/>
          <w:lang w:val="en-GB" w:eastAsia="fr-FR"/>
        </w:rPr>
        <w:t xml:space="preserve">he suitability requirements are an important piece of the legislation </w:t>
      </w:r>
      <w:r w:rsidR="00C37848" w:rsidRPr="00604D97">
        <w:rPr>
          <w:rFonts w:ascii="Arial" w:eastAsia="Times New Roman" w:hAnsi="Arial" w:cs="Arial"/>
          <w:sz w:val="20"/>
          <w:szCs w:val="20"/>
          <w:lang w:val="en-GB" w:eastAsia="fr-FR"/>
        </w:rPr>
        <w:t xml:space="preserve">that governs retail clients’ access to the financial markets. It should obviously be governed by </w:t>
      </w:r>
      <w:r w:rsidR="00B72415" w:rsidRPr="00604D97">
        <w:rPr>
          <w:rFonts w:ascii="Arial" w:eastAsia="Times New Roman" w:hAnsi="Arial" w:cs="Arial"/>
          <w:sz w:val="20"/>
          <w:szCs w:val="20"/>
          <w:lang w:val="en-GB" w:eastAsia="fr-FR"/>
        </w:rPr>
        <w:t xml:space="preserve">the investor </w:t>
      </w:r>
      <w:r w:rsidR="00C37848" w:rsidRPr="00604D97">
        <w:rPr>
          <w:rFonts w:ascii="Arial" w:eastAsia="Times New Roman" w:hAnsi="Arial" w:cs="Arial"/>
          <w:sz w:val="20"/>
          <w:szCs w:val="20"/>
          <w:lang w:val="en-GB" w:eastAsia="fr-FR"/>
        </w:rPr>
        <w:t>protection</w:t>
      </w:r>
      <w:r w:rsidR="00B72415" w:rsidRPr="00604D97">
        <w:rPr>
          <w:rFonts w:ascii="Arial" w:eastAsia="Times New Roman" w:hAnsi="Arial" w:cs="Arial"/>
          <w:sz w:val="20"/>
          <w:szCs w:val="20"/>
          <w:lang w:val="en-GB" w:eastAsia="fr-FR"/>
        </w:rPr>
        <w:t xml:space="preserve"> principle</w:t>
      </w:r>
      <w:r w:rsidR="00C37848" w:rsidRPr="00604D97">
        <w:rPr>
          <w:rFonts w:ascii="Arial" w:eastAsia="Times New Roman" w:hAnsi="Arial" w:cs="Arial"/>
          <w:sz w:val="20"/>
          <w:szCs w:val="20"/>
          <w:lang w:val="en-GB" w:eastAsia="fr-FR"/>
        </w:rPr>
        <w:t xml:space="preserve"> to </w:t>
      </w:r>
      <w:r w:rsidR="00B72415" w:rsidRPr="00604D97">
        <w:rPr>
          <w:rFonts w:ascii="Arial" w:eastAsia="Times New Roman" w:hAnsi="Arial" w:cs="Arial"/>
          <w:sz w:val="20"/>
          <w:szCs w:val="20"/>
          <w:lang w:val="en-GB" w:eastAsia="fr-FR"/>
        </w:rPr>
        <w:t xml:space="preserve">build the trust needed for these retail clients </w:t>
      </w:r>
      <w:r w:rsidR="00C44D73" w:rsidRPr="00604D97">
        <w:rPr>
          <w:rFonts w:ascii="Arial" w:eastAsia="Times New Roman" w:hAnsi="Arial" w:cs="Arial"/>
          <w:sz w:val="20"/>
          <w:szCs w:val="20"/>
          <w:lang w:val="en-GB" w:eastAsia="fr-FR"/>
        </w:rPr>
        <w:t xml:space="preserve">to invest. In the case of ESG, </w:t>
      </w:r>
      <w:r w:rsidR="00E67976" w:rsidRPr="00604D97">
        <w:rPr>
          <w:rFonts w:ascii="Arial" w:eastAsia="Times New Roman" w:hAnsi="Arial" w:cs="Arial"/>
          <w:sz w:val="20"/>
          <w:szCs w:val="20"/>
          <w:lang w:val="en-GB" w:eastAsia="fr-FR"/>
        </w:rPr>
        <w:t>FBF</w:t>
      </w:r>
      <w:r w:rsidR="00A8054F" w:rsidRPr="00604D97">
        <w:rPr>
          <w:rFonts w:ascii="Arial" w:eastAsia="Times New Roman" w:hAnsi="Arial" w:cs="Arial"/>
          <w:sz w:val="20"/>
          <w:szCs w:val="20"/>
          <w:lang w:val="en-GB" w:eastAsia="fr-FR"/>
        </w:rPr>
        <w:t xml:space="preserve"> agrees that it</w:t>
      </w:r>
      <w:r w:rsidR="00C44D73" w:rsidRPr="00604D97">
        <w:rPr>
          <w:rFonts w:ascii="Arial" w:eastAsia="Times New Roman" w:hAnsi="Arial" w:cs="Arial"/>
          <w:sz w:val="20"/>
          <w:szCs w:val="20"/>
          <w:lang w:val="en-GB" w:eastAsia="fr-FR"/>
        </w:rPr>
        <w:t xml:space="preserve"> should also be d</w:t>
      </w:r>
      <w:r w:rsidR="00A8054F" w:rsidRPr="00604D97">
        <w:rPr>
          <w:rFonts w:ascii="Arial" w:eastAsia="Times New Roman" w:hAnsi="Arial" w:cs="Arial"/>
          <w:sz w:val="20"/>
          <w:szCs w:val="20"/>
          <w:lang w:val="en-GB" w:eastAsia="fr-FR"/>
        </w:rPr>
        <w:t>e</w:t>
      </w:r>
      <w:r w:rsidR="00C44D73" w:rsidRPr="00604D97">
        <w:rPr>
          <w:rFonts w:ascii="Arial" w:eastAsia="Times New Roman" w:hAnsi="Arial" w:cs="Arial"/>
          <w:sz w:val="20"/>
          <w:szCs w:val="20"/>
          <w:lang w:val="en-GB" w:eastAsia="fr-FR"/>
        </w:rPr>
        <w:t>signed to help direct</w:t>
      </w:r>
      <w:r w:rsidR="00D1475D" w:rsidRPr="00604D97">
        <w:rPr>
          <w:rFonts w:ascii="Arial" w:eastAsia="Times New Roman" w:hAnsi="Arial" w:cs="Arial"/>
          <w:sz w:val="20"/>
          <w:szCs w:val="20"/>
          <w:lang w:val="en-GB" w:eastAsia="fr-FR"/>
        </w:rPr>
        <w:t>ing</w:t>
      </w:r>
      <w:r w:rsidR="00C44D73" w:rsidRPr="00604D97">
        <w:rPr>
          <w:rFonts w:ascii="Arial" w:eastAsia="Times New Roman" w:hAnsi="Arial" w:cs="Arial"/>
          <w:sz w:val="20"/>
          <w:szCs w:val="20"/>
          <w:lang w:val="en-GB" w:eastAsia="fr-FR"/>
        </w:rPr>
        <w:t xml:space="preserve"> the flow of retail investments towards more </w:t>
      </w:r>
      <w:r w:rsidR="00507698" w:rsidRPr="00604D97">
        <w:rPr>
          <w:rFonts w:ascii="Arial" w:eastAsia="Times New Roman" w:hAnsi="Arial" w:cs="Arial"/>
          <w:sz w:val="20"/>
          <w:szCs w:val="20"/>
          <w:lang w:val="en-GB" w:eastAsia="fr-FR"/>
        </w:rPr>
        <w:t xml:space="preserve">sustainable investments. </w:t>
      </w:r>
      <w:r w:rsidR="000C4A33" w:rsidRPr="00604D97">
        <w:rPr>
          <w:rFonts w:ascii="Arial" w:eastAsia="Times New Roman" w:hAnsi="Arial" w:cs="Arial"/>
          <w:sz w:val="20"/>
          <w:szCs w:val="20"/>
          <w:lang w:val="en-GB" w:eastAsia="fr-FR"/>
        </w:rPr>
        <w:t>Nev</w:t>
      </w:r>
      <w:r w:rsidR="007F369F" w:rsidRPr="00604D97">
        <w:rPr>
          <w:rFonts w:ascii="Arial" w:eastAsia="Times New Roman" w:hAnsi="Arial" w:cs="Arial"/>
          <w:sz w:val="20"/>
          <w:szCs w:val="20"/>
          <w:lang w:val="en-GB" w:eastAsia="fr-FR"/>
        </w:rPr>
        <w:t xml:space="preserve">ertheless, </w:t>
      </w:r>
      <w:r w:rsidR="00E67976" w:rsidRPr="00604D97">
        <w:rPr>
          <w:rFonts w:ascii="Arial" w:eastAsia="Times New Roman" w:hAnsi="Arial" w:cs="Arial"/>
          <w:sz w:val="20"/>
          <w:szCs w:val="20"/>
          <w:lang w:val="en-GB" w:eastAsia="fr-FR"/>
        </w:rPr>
        <w:t>FBF</w:t>
      </w:r>
      <w:r w:rsidR="007F369F" w:rsidRPr="00604D97">
        <w:rPr>
          <w:rFonts w:ascii="Arial" w:eastAsia="Times New Roman" w:hAnsi="Arial" w:cs="Arial"/>
          <w:sz w:val="20"/>
          <w:szCs w:val="20"/>
          <w:lang w:val="en-GB" w:eastAsia="fr-FR"/>
        </w:rPr>
        <w:t xml:space="preserve"> would also like to point </w:t>
      </w:r>
      <w:r w:rsidR="00313BCD" w:rsidRPr="00604D97">
        <w:rPr>
          <w:rFonts w:ascii="Arial" w:eastAsia="Times New Roman" w:hAnsi="Arial" w:cs="Arial"/>
          <w:sz w:val="20"/>
          <w:szCs w:val="20"/>
          <w:lang w:val="en-GB" w:eastAsia="fr-FR"/>
        </w:rPr>
        <w:t>the complexity as well as the total lack</w:t>
      </w:r>
      <w:r w:rsidR="006761AE" w:rsidRPr="00604D97">
        <w:rPr>
          <w:rFonts w:ascii="Arial" w:eastAsia="Times New Roman" w:hAnsi="Arial" w:cs="Arial"/>
          <w:sz w:val="20"/>
          <w:szCs w:val="20"/>
          <w:lang w:val="en-GB" w:eastAsia="fr-FR"/>
        </w:rPr>
        <w:t xml:space="preserve"> of </w:t>
      </w:r>
      <w:r w:rsidR="00313BCD" w:rsidRPr="00604D97">
        <w:rPr>
          <w:rFonts w:ascii="Arial" w:eastAsia="Times New Roman" w:hAnsi="Arial" w:cs="Arial"/>
          <w:sz w:val="20"/>
          <w:szCs w:val="20"/>
          <w:lang w:val="en-GB" w:eastAsia="fr-FR"/>
        </w:rPr>
        <w:t xml:space="preserve">experience both from </w:t>
      </w:r>
      <w:r w:rsidR="0037003B" w:rsidRPr="00604D97">
        <w:rPr>
          <w:rFonts w:ascii="Arial" w:eastAsia="Times New Roman" w:hAnsi="Arial" w:cs="Arial"/>
          <w:sz w:val="20"/>
          <w:szCs w:val="20"/>
          <w:lang w:val="en-GB" w:eastAsia="fr-FR"/>
        </w:rPr>
        <w:t>professionals and investors with the new ESG legal framework.</w:t>
      </w:r>
      <w:r w:rsidR="006761AE" w:rsidRPr="00604D97">
        <w:rPr>
          <w:rFonts w:ascii="Arial" w:eastAsia="Times New Roman" w:hAnsi="Arial" w:cs="Arial"/>
          <w:sz w:val="20"/>
          <w:szCs w:val="20"/>
          <w:lang w:val="en-GB" w:eastAsia="fr-FR"/>
        </w:rPr>
        <w:t xml:space="preserve"> In such context, </w:t>
      </w:r>
      <w:r w:rsidR="00E67976" w:rsidRPr="00604D97">
        <w:rPr>
          <w:rFonts w:ascii="Arial" w:eastAsia="Times New Roman" w:hAnsi="Arial" w:cs="Arial"/>
          <w:sz w:val="20"/>
          <w:szCs w:val="20"/>
          <w:lang w:val="en-GB" w:eastAsia="fr-FR"/>
        </w:rPr>
        <w:t>FBF</w:t>
      </w:r>
      <w:r w:rsidR="00507698" w:rsidRPr="00604D97">
        <w:rPr>
          <w:rFonts w:ascii="Arial" w:eastAsia="Times New Roman" w:hAnsi="Arial" w:cs="Arial"/>
          <w:sz w:val="20"/>
          <w:szCs w:val="20"/>
          <w:lang w:val="en-GB" w:eastAsia="fr-FR"/>
        </w:rPr>
        <w:t xml:space="preserve"> </w:t>
      </w:r>
      <w:r w:rsidR="006761AE" w:rsidRPr="00604D97">
        <w:rPr>
          <w:rFonts w:ascii="Arial" w:eastAsia="Times New Roman" w:hAnsi="Arial" w:cs="Arial"/>
          <w:sz w:val="20"/>
          <w:szCs w:val="20"/>
          <w:lang w:val="en-GB" w:eastAsia="fr-FR"/>
        </w:rPr>
        <w:t>fears the expected pro</w:t>
      </w:r>
      <w:r w:rsidR="00D57867" w:rsidRPr="00604D97">
        <w:rPr>
          <w:rFonts w:ascii="Arial" w:eastAsia="Times New Roman" w:hAnsi="Arial" w:cs="Arial"/>
          <w:sz w:val="20"/>
          <w:szCs w:val="20"/>
          <w:lang w:val="en-GB" w:eastAsia="fr-FR"/>
        </w:rPr>
        <w:t xml:space="preserve">cess is far too ambitious and might </w:t>
      </w:r>
      <w:r w:rsidR="00D57682" w:rsidRPr="00604D97">
        <w:rPr>
          <w:rFonts w:ascii="Arial" w:eastAsia="Times New Roman" w:hAnsi="Arial" w:cs="Arial"/>
          <w:sz w:val="20"/>
          <w:szCs w:val="20"/>
          <w:lang w:val="en-GB" w:eastAsia="fr-FR"/>
        </w:rPr>
        <w:t>in</w:t>
      </w:r>
      <w:r w:rsidR="00D57867" w:rsidRPr="00604D97">
        <w:rPr>
          <w:rFonts w:ascii="Arial" w:eastAsia="Times New Roman" w:hAnsi="Arial" w:cs="Arial"/>
          <w:sz w:val="20"/>
          <w:szCs w:val="20"/>
          <w:lang w:val="en-GB" w:eastAsia="fr-FR"/>
        </w:rPr>
        <w:t xml:space="preserve"> the end </w:t>
      </w:r>
      <w:r w:rsidR="005C5AEA" w:rsidRPr="00604D97">
        <w:rPr>
          <w:rFonts w:ascii="Arial" w:eastAsia="Times New Roman" w:hAnsi="Arial" w:cs="Arial"/>
          <w:sz w:val="20"/>
          <w:szCs w:val="20"/>
          <w:lang w:val="en-GB" w:eastAsia="fr-FR"/>
        </w:rPr>
        <w:t>discourage</w:t>
      </w:r>
      <w:r w:rsidR="00D57867" w:rsidRPr="00604D97">
        <w:rPr>
          <w:rFonts w:ascii="Arial" w:eastAsia="Times New Roman" w:hAnsi="Arial" w:cs="Arial"/>
          <w:sz w:val="20"/>
          <w:szCs w:val="20"/>
          <w:lang w:val="en-GB" w:eastAsia="fr-FR"/>
        </w:rPr>
        <w:t xml:space="preserve"> clients to invest </w:t>
      </w:r>
      <w:r w:rsidR="00D907FE" w:rsidRPr="00604D97">
        <w:rPr>
          <w:rFonts w:ascii="Arial" w:eastAsia="Times New Roman" w:hAnsi="Arial" w:cs="Arial"/>
          <w:sz w:val="20"/>
          <w:szCs w:val="20"/>
          <w:lang w:val="en-GB" w:eastAsia="fr-FR"/>
        </w:rPr>
        <w:t>i</w:t>
      </w:r>
      <w:r w:rsidR="00D57867" w:rsidRPr="00604D97">
        <w:rPr>
          <w:rFonts w:ascii="Arial" w:eastAsia="Times New Roman" w:hAnsi="Arial" w:cs="Arial"/>
          <w:sz w:val="20"/>
          <w:szCs w:val="20"/>
          <w:lang w:val="en-GB" w:eastAsia="fr-FR"/>
        </w:rPr>
        <w:t xml:space="preserve">n </w:t>
      </w:r>
      <w:r w:rsidR="00D57D19" w:rsidRPr="00604D97">
        <w:rPr>
          <w:rFonts w:ascii="Arial" w:eastAsia="Times New Roman" w:hAnsi="Arial" w:cs="Arial"/>
          <w:sz w:val="20"/>
          <w:szCs w:val="20"/>
          <w:lang w:val="en-GB" w:eastAsia="fr-FR"/>
        </w:rPr>
        <w:t>sustainability</w:t>
      </w:r>
      <w:r w:rsidR="00D57867" w:rsidRPr="00604D97">
        <w:rPr>
          <w:rFonts w:ascii="Arial" w:eastAsia="Times New Roman" w:hAnsi="Arial" w:cs="Arial"/>
          <w:sz w:val="20"/>
          <w:szCs w:val="20"/>
          <w:lang w:val="en-GB" w:eastAsia="fr-FR"/>
        </w:rPr>
        <w:t xml:space="preserve"> products or even firms to market their products ESG characteristics. </w:t>
      </w:r>
    </w:p>
    <w:p w14:paraId="1E3C093E" w14:textId="5AB6E81A" w:rsidR="00D549E3" w:rsidRPr="00604D97" w:rsidRDefault="0007504C" w:rsidP="00970615">
      <w:pPr>
        <w:pStyle w:val="Paragraphedeliste"/>
        <w:spacing w:after="0" w:line="240" w:lineRule="atLeast"/>
        <w:ind w:left="709"/>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T</w:t>
      </w:r>
      <w:r w:rsidR="001138C0" w:rsidRPr="00604D97">
        <w:rPr>
          <w:rFonts w:ascii="Arial" w:eastAsia="Times New Roman" w:hAnsi="Arial" w:cs="Arial"/>
          <w:sz w:val="20"/>
          <w:szCs w:val="20"/>
          <w:lang w:val="en-GB" w:eastAsia="fr-FR"/>
        </w:rPr>
        <w:t>his aspect should in our view be considered by ESMA in its proposed guid</w:t>
      </w:r>
      <w:r w:rsidR="006D7722" w:rsidRPr="00604D97">
        <w:rPr>
          <w:rFonts w:ascii="Arial" w:eastAsia="Times New Roman" w:hAnsi="Arial" w:cs="Arial"/>
          <w:sz w:val="20"/>
          <w:szCs w:val="20"/>
          <w:lang w:val="en-GB" w:eastAsia="fr-FR"/>
        </w:rPr>
        <w:t>elines. It govern</w:t>
      </w:r>
      <w:r w:rsidR="004E4C7A" w:rsidRPr="00604D97">
        <w:rPr>
          <w:rFonts w:ascii="Arial" w:eastAsia="Times New Roman" w:hAnsi="Arial" w:cs="Arial"/>
          <w:sz w:val="20"/>
          <w:szCs w:val="20"/>
          <w:lang w:val="en-GB" w:eastAsia="fr-FR"/>
        </w:rPr>
        <w:t>s</w:t>
      </w:r>
      <w:r w:rsidR="006D7722" w:rsidRPr="00604D97">
        <w:rPr>
          <w:rFonts w:ascii="Arial" w:eastAsia="Times New Roman" w:hAnsi="Arial" w:cs="Arial"/>
          <w:sz w:val="20"/>
          <w:szCs w:val="20"/>
          <w:lang w:val="en-GB" w:eastAsia="fr-FR"/>
        </w:rPr>
        <w:t xml:space="preserve"> some of </w:t>
      </w:r>
      <w:r w:rsidR="00E67976" w:rsidRPr="00604D97">
        <w:rPr>
          <w:rFonts w:ascii="Arial" w:eastAsia="Times New Roman" w:hAnsi="Arial" w:cs="Arial"/>
          <w:sz w:val="20"/>
          <w:szCs w:val="20"/>
          <w:lang w:val="en-GB" w:eastAsia="fr-FR"/>
        </w:rPr>
        <w:t>FBF</w:t>
      </w:r>
      <w:r w:rsidR="004E4C7A" w:rsidRPr="00604D97">
        <w:rPr>
          <w:rFonts w:ascii="Arial" w:eastAsia="Times New Roman" w:hAnsi="Arial" w:cs="Arial"/>
          <w:sz w:val="20"/>
          <w:szCs w:val="20"/>
          <w:lang w:val="en-GB" w:eastAsia="fr-FR"/>
        </w:rPr>
        <w:t>’s answers hereafter.</w:t>
      </w:r>
    </w:p>
    <w:p w14:paraId="5F8167B5" w14:textId="77777777" w:rsidR="00A45458" w:rsidRPr="00604D97" w:rsidRDefault="00A45458" w:rsidP="00A45458">
      <w:pPr>
        <w:pStyle w:val="Paragraphedeliste"/>
        <w:spacing w:after="0" w:line="240" w:lineRule="atLeast"/>
        <w:ind w:left="709"/>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A period of pedagogy vis-à-vis customers so that they appropriate the new dimensions deployed by European regulations will be necessary. This step will be fundamental to avoid the risk of customers who would lock themselves into requests whose ins and outs they do not control. The simple information of the customer, distinct from a real education, on these subjects is probably not enough.</w:t>
      </w:r>
    </w:p>
    <w:p w14:paraId="723617EE" w14:textId="2506DA17" w:rsidR="00A45458" w:rsidRPr="00604D97" w:rsidRDefault="00A45458" w:rsidP="00A45458">
      <w:pPr>
        <w:pStyle w:val="Paragraphedeliste"/>
        <w:spacing w:after="0" w:line="240" w:lineRule="atLeast"/>
        <w:ind w:left="709"/>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 xml:space="preserve">French banking institutions therefore want to adopt the most pragmatic approach possible, </w:t>
      </w:r>
      <w:r w:rsidR="00E36250" w:rsidRPr="00604D97">
        <w:rPr>
          <w:rFonts w:ascii="Arial" w:eastAsia="Times New Roman" w:hAnsi="Arial" w:cs="Arial"/>
          <w:sz w:val="20"/>
          <w:szCs w:val="20"/>
          <w:lang w:val="en-GB" w:eastAsia="fr-FR"/>
        </w:rPr>
        <w:t xml:space="preserve">more specifically </w:t>
      </w:r>
      <w:r w:rsidRPr="00604D97">
        <w:rPr>
          <w:rFonts w:ascii="Arial" w:eastAsia="Times New Roman" w:hAnsi="Arial" w:cs="Arial"/>
          <w:sz w:val="20"/>
          <w:szCs w:val="20"/>
          <w:lang w:val="en-GB" w:eastAsia="fr-FR"/>
        </w:rPr>
        <w:t>to properly reconcile risk/return potential on the one hand and ESG preferences on the other.</w:t>
      </w:r>
    </w:p>
    <w:p w14:paraId="620CDBE0" w14:textId="5BA9191D" w:rsidR="00AE5233" w:rsidRPr="00604D97" w:rsidRDefault="00AE5233" w:rsidP="00970615">
      <w:pPr>
        <w:pStyle w:val="Paragraphedeliste"/>
        <w:spacing w:after="0" w:line="240" w:lineRule="atLeast"/>
        <w:ind w:left="709"/>
        <w:jc w:val="both"/>
        <w:rPr>
          <w:rFonts w:ascii="Arial" w:eastAsia="Times New Roman" w:hAnsi="Arial" w:cs="Arial"/>
          <w:sz w:val="20"/>
          <w:szCs w:val="20"/>
          <w:lang w:val="en-GB" w:eastAsia="fr-FR"/>
        </w:rPr>
      </w:pPr>
    </w:p>
    <w:p w14:paraId="4ADCA7C0" w14:textId="213D1071" w:rsidR="00F24EB3" w:rsidRPr="00604D97" w:rsidRDefault="00AE5233" w:rsidP="00F24EB3">
      <w:pPr>
        <w:pStyle w:val="Paragraphedeliste"/>
        <w:numPr>
          <w:ilvl w:val="0"/>
          <w:numId w:val="16"/>
        </w:numPr>
        <w:spacing w:after="0" w:line="240" w:lineRule="atLeast"/>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 xml:space="preserve">Secondly, </w:t>
      </w:r>
      <w:r w:rsidR="00E67976" w:rsidRPr="00604D97">
        <w:rPr>
          <w:rFonts w:ascii="Arial" w:eastAsia="Times New Roman" w:hAnsi="Arial" w:cs="Arial"/>
          <w:sz w:val="20"/>
          <w:szCs w:val="20"/>
          <w:lang w:val="en-GB" w:eastAsia="fr-FR"/>
        </w:rPr>
        <w:t>FBF</w:t>
      </w:r>
      <w:r w:rsidR="00F24EB3" w:rsidRPr="00604D97">
        <w:rPr>
          <w:rFonts w:ascii="Arial" w:eastAsia="Times New Roman" w:hAnsi="Arial" w:cs="Arial"/>
          <w:sz w:val="20"/>
          <w:szCs w:val="20"/>
          <w:lang w:val="en-GB" w:eastAsia="fr-FR"/>
        </w:rPr>
        <w:t xml:space="preserve"> has a major concern with the expected date of application of th</w:t>
      </w:r>
      <w:r w:rsidR="00D56F59" w:rsidRPr="00604D97">
        <w:rPr>
          <w:rFonts w:ascii="Arial" w:eastAsia="Times New Roman" w:hAnsi="Arial" w:cs="Arial"/>
          <w:sz w:val="20"/>
          <w:szCs w:val="20"/>
          <w:lang w:val="en-GB" w:eastAsia="fr-FR"/>
        </w:rPr>
        <w:t>e</w:t>
      </w:r>
      <w:r w:rsidR="00F24EB3" w:rsidRPr="00604D97">
        <w:rPr>
          <w:rFonts w:ascii="Arial" w:eastAsia="Times New Roman" w:hAnsi="Arial" w:cs="Arial"/>
          <w:sz w:val="20"/>
          <w:szCs w:val="20"/>
          <w:lang w:val="en-GB" w:eastAsia="fr-FR"/>
        </w:rPr>
        <w:t xml:space="preserve">se </w:t>
      </w:r>
      <w:r w:rsidR="00D56F59" w:rsidRPr="00604D97">
        <w:rPr>
          <w:rFonts w:ascii="Arial" w:eastAsia="Times New Roman" w:hAnsi="Arial" w:cs="Arial"/>
          <w:sz w:val="20"/>
          <w:szCs w:val="20"/>
          <w:lang w:val="en-GB" w:eastAsia="fr-FR"/>
        </w:rPr>
        <w:t xml:space="preserve">Draft </w:t>
      </w:r>
      <w:r w:rsidR="00F24EB3" w:rsidRPr="00604D97">
        <w:rPr>
          <w:rFonts w:ascii="Arial" w:eastAsia="Times New Roman" w:hAnsi="Arial" w:cs="Arial"/>
          <w:sz w:val="20"/>
          <w:szCs w:val="20"/>
          <w:lang w:val="en-GB" w:eastAsia="fr-FR"/>
        </w:rPr>
        <w:t xml:space="preserve">guidelines: the work that </w:t>
      </w:r>
      <w:proofErr w:type="gramStart"/>
      <w:r w:rsidR="00F24EB3" w:rsidRPr="00604D97">
        <w:rPr>
          <w:rFonts w:ascii="Arial" w:eastAsia="Times New Roman" w:hAnsi="Arial" w:cs="Arial"/>
          <w:sz w:val="20"/>
          <w:szCs w:val="20"/>
          <w:lang w:val="en-GB" w:eastAsia="fr-FR"/>
        </w:rPr>
        <w:t>has to</w:t>
      </w:r>
      <w:proofErr w:type="gramEnd"/>
      <w:r w:rsidR="00F24EB3" w:rsidRPr="00604D97">
        <w:rPr>
          <w:rFonts w:ascii="Arial" w:eastAsia="Times New Roman" w:hAnsi="Arial" w:cs="Arial"/>
          <w:sz w:val="20"/>
          <w:szCs w:val="20"/>
          <w:lang w:val="en-GB" w:eastAsia="fr-FR"/>
        </w:rPr>
        <w:t xml:space="preserve"> be conducted to operationalise the processes that would result from such guidelines is extremely important and therefore has very little chance to be completed by the expected date. This is all the </w:t>
      </w:r>
      <w:r w:rsidR="0003044D" w:rsidRPr="00604D97">
        <w:rPr>
          <w:rFonts w:ascii="Arial" w:eastAsia="Times New Roman" w:hAnsi="Arial" w:cs="Arial"/>
          <w:sz w:val="20"/>
          <w:szCs w:val="20"/>
          <w:lang w:val="en-GB" w:eastAsia="fr-FR"/>
        </w:rPr>
        <w:t>truer</w:t>
      </w:r>
      <w:r w:rsidR="00F24EB3" w:rsidRPr="00604D97">
        <w:rPr>
          <w:rFonts w:ascii="Arial" w:eastAsia="Times New Roman" w:hAnsi="Arial" w:cs="Arial"/>
          <w:sz w:val="20"/>
          <w:szCs w:val="20"/>
          <w:lang w:val="en-GB" w:eastAsia="fr-FR"/>
        </w:rPr>
        <w:t xml:space="preserve"> since sustainable finance regulatory framework is particularly complex and not yet finalized</w:t>
      </w:r>
      <w:r w:rsidR="006B1DA2" w:rsidRPr="00604D97">
        <w:rPr>
          <w:rFonts w:ascii="Arial" w:eastAsia="Times New Roman" w:hAnsi="Arial" w:cs="Arial"/>
          <w:sz w:val="20"/>
          <w:szCs w:val="20"/>
          <w:lang w:val="en-GB" w:eastAsia="fr-FR"/>
        </w:rPr>
        <w:t>.</w:t>
      </w:r>
      <w:r w:rsidR="00483B84" w:rsidRPr="00604D97">
        <w:rPr>
          <w:rFonts w:ascii="Arial" w:eastAsia="Times New Roman" w:hAnsi="Arial" w:cs="Arial"/>
          <w:sz w:val="20"/>
          <w:szCs w:val="20"/>
          <w:lang w:val="en-GB" w:eastAsia="fr-FR"/>
        </w:rPr>
        <w:t xml:space="preserve"> </w:t>
      </w:r>
    </w:p>
    <w:p w14:paraId="0E1C54B5" w14:textId="77777777" w:rsidR="00F24EB3" w:rsidRPr="00604D97" w:rsidRDefault="00F24EB3" w:rsidP="00F24EB3">
      <w:pPr>
        <w:spacing w:after="0" w:line="240" w:lineRule="atLeast"/>
        <w:jc w:val="both"/>
        <w:rPr>
          <w:rFonts w:ascii="Arial" w:eastAsia="Times New Roman" w:hAnsi="Arial" w:cs="Arial"/>
          <w:sz w:val="20"/>
          <w:szCs w:val="20"/>
          <w:lang w:val="en-GB" w:eastAsia="fr-FR"/>
        </w:rPr>
      </w:pPr>
    </w:p>
    <w:p w14:paraId="41B41273" w14:textId="77777777" w:rsidR="00AE5233" w:rsidRPr="00604D97" w:rsidRDefault="00AE5233" w:rsidP="00AE5233">
      <w:pPr>
        <w:pStyle w:val="Paragraphedeliste"/>
        <w:spacing w:after="0" w:line="240" w:lineRule="atLeast"/>
        <w:ind w:left="720"/>
        <w:jc w:val="both"/>
        <w:rPr>
          <w:rFonts w:ascii="Arial" w:eastAsia="Times New Roman" w:hAnsi="Arial" w:cs="Arial"/>
          <w:sz w:val="20"/>
          <w:szCs w:val="20"/>
          <w:lang w:val="en-GB" w:eastAsia="fr-FR"/>
        </w:rPr>
      </w:pPr>
    </w:p>
    <w:p w14:paraId="46779EC7" w14:textId="48B4FA31" w:rsidR="00C54FCA" w:rsidRPr="00372BEA" w:rsidRDefault="00AE5233" w:rsidP="00B23436">
      <w:pPr>
        <w:pStyle w:val="Paragraphedeliste"/>
        <w:numPr>
          <w:ilvl w:val="0"/>
          <w:numId w:val="16"/>
        </w:numPr>
        <w:spacing w:after="0" w:line="240" w:lineRule="atLeast"/>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 xml:space="preserve">Thirdly </w:t>
      </w:r>
      <w:r w:rsidR="00E67976" w:rsidRPr="00604D97">
        <w:rPr>
          <w:rFonts w:ascii="Arial" w:eastAsia="Times New Roman" w:hAnsi="Arial" w:cs="Arial"/>
          <w:sz w:val="20"/>
          <w:szCs w:val="20"/>
          <w:lang w:val="en-GB" w:eastAsia="fr-FR"/>
        </w:rPr>
        <w:t>FBF</w:t>
      </w:r>
      <w:r w:rsidR="00F24EB3" w:rsidRPr="00604D97">
        <w:rPr>
          <w:rFonts w:ascii="Arial" w:eastAsia="Times New Roman" w:hAnsi="Arial" w:cs="Arial"/>
          <w:sz w:val="20"/>
          <w:szCs w:val="20"/>
          <w:lang w:val="en-GB" w:eastAsia="fr-FR"/>
        </w:rPr>
        <w:t xml:space="preserve"> wonders how the revision of ESMA guidelines on MiFID II suitability requirements </w:t>
      </w:r>
      <w:r w:rsidR="00F24EB3" w:rsidRPr="00372BEA">
        <w:rPr>
          <w:rFonts w:ascii="Arial" w:eastAsia="Times New Roman" w:hAnsi="Arial" w:cs="Arial"/>
          <w:sz w:val="20"/>
          <w:szCs w:val="20"/>
          <w:lang w:val="en-GB" w:eastAsia="fr-FR"/>
        </w:rPr>
        <w:t>articulates with the European Commission (EC) targeted consultation on options to enhance the suitability and appropriateness assessments launched on 21 February 2022</w:t>
      </w:r>
      <w:r w:rsidR="00F24EB3" w:rsidRPr="00372BEA">
        <w:rPr>
          <w:rStyle w:val="Appelnotedebasdep"/>
          <w:rFonts w:eastAsia="Times New Roman" w:cs="Arial"/>
          <w:sz w:val="20"/>
          <w:szCs w:val="20"/>
          <w:lang w:val="en-GB" w:eastAsia="fr-FR"/>
        </w:rPr>
        <w:footnoteReference w:id="3"/>
      </w:r>
      <w:r w:rsidR="001508D0" w:rsidRPr="00372BEA">
        <w:rPr>
          <w:rFonts w:ascii="Arial" w:eastAsia="Times New Roman" w:hAnsi="Arial" w:cs="Arial"/>
          <w:sz w:val="20"/>
          <w:szCs w:val="20"/>
          <w:lang w:val="en-GB" w:eastAsia="fr-FR"/>
        </w:rPr>
        <w:t xml:space="preserve"> to which </w:t>
      </w:r>
      <w:r w:rsidR="00E67976" w:rsidRPr="00372BEA">
        <w:rPr>
          <w:rFonts w:ascii="Arial" w:eastAsia="Times New Roman" w:hAnsi="Arial" w:cs="Arial"/>
          <w:sz w:val="20"/>
          <w:szCs w:val="20"/>
          <w:lang w:val="en-GB" w:eastAsia="fr-FR"/>
        </w:rPr>
        <w:t>FBF</w:t>
      </w:r>
      <w:r w:rsidR="001508D0" w:rsidRPr="00372BEA">
        <w:rPr>
          <w:rFonts w:ascii="Arial" w:eastAsia="Times New Roman" w:hAnsi="Arial" w:cs="Arial"/>
          <w:sz w:val="20"/>
          <w:szCs w:val="20"/>
          <w:lang w:val="en-GB" w:eastAsia="fr-FR"/>
        </w:rPr>
        <w:t xml:space="preserve"> answered</w:t>
      </w:r>
      <w:r w:rsidR="00C54FCA" w:rsidRPr="00372BEA" w:rsidDel="00B23436">
        <w:rPr>
          <w:rFonts w:ascii="Arial" w:eastAsia="Times New Roman" w:hAnsi="Arial" w:cs="Arial"/>
          <w:sz w:val="20"/>
          <w:szCs w:val="20"/>
          <w:lang w:val="en-GB" w:eastAsia="fr-FR"/>
        </w:rPr>
        <w:t xml:space="preserve"> </w:t>
      </w:r>
    </w:p>
    <w:p w14:paraId="40EFBFD2" w14:textId="61EF0A88" w:rsidR="00B23436" w:rsidRPr="00372BEA" w:rsidRDefault="00C54FCA" w:rsidP="00C54FCA">
      <w:pPr>
        <w:pStyle w:val="Paragraphedeliste"/>
        <w:numPr>
          <w:ilvl w:val="0"/>
          <w:numId w:val="16"/>
        </w:numPr>
        <w:spacing w:after="0" w:line="240" w:lineRule="atLeast"/>
        <w:jc w:val="both"/>
        <w:rPr>
          <w:rFonts w:ascii="Arial" w:eastAsia="Times New Roman" w:hAnsi="Arial" w:cs="Arial"/>
          <w:sz w:val="20"/>
          <w:szCs w:val="20"/>
          <w:lang w:val="en-GB" w:eastAsia="fr-FR"/>
        </w:rPr>
      </w:pPr>
      <w:r w:rsidRPr="00372BEA">
        <w:rPr>
          <w:rFonts w:ascii="Arial" w:eastAsia="Times New Roman" w:hAnsi="Arial" w:cs="Arial"/>
          <w:sz w:val="20"/>
          <w:szCs w:val="20"/>
          <w:lang w:val="en-GB" w:eastAsia="fr-FR"/>
        </w:rPr>
        <w:t xml:space="preserve">Fourthly, </w:t>
      </w:r>
      <w:r w:rsidRPr="00372BEA">
        <w:rPr>
          <w:rFonts w:ascii="Arial" w:hAnsi="Arial" w:cs="Arial"/>
          <w:sz w:val="20"/>
          <w:szCs w:val="20"/>
          <w:lang w:val="en-GB" w:eastAsia="fr-FR"/>
        </w:rPr>
        <w:t xml:space="preserve">it is crucial to have an alignment between the ESMA guidelines and the EIOPA guidelines which is not the case. Any discrepancy between both guidelines would not be manageable </w:t>
      </w:r>
      <w:r w:rsidR="00D56872" w:rsidRPr="00372BEA">
        <w:rPr>
          <w:rFonts w:ascii="Arial" w:hAnsi="Arial" w:cs="Arial"/>
          <w:sz w:val="20"/>
          <w:szCs w:val="20"/>
          <w:lang w:val="en-GB" w:eastAsia="fr-FR"/>
        </w:rPr>
        <w:t xml:space="preserve">neither </w:t>
      </w:r>
      <w:r w:rsidRPr="00372BEA">
        <w:rPr>
          <w:rFonts w:ascii="Arial" w:hAnsi="Arial" w:cs="Arial"/>
          <w:sz w:val="20"/>
          <w:szCs w:val="20"/>
          <w:lang w:val="en-GB" w:eastAsia="fr-FR"/>
        </w:rPr>
        <w:lastRenderedPageBreak/>
        <w:t xml:space="preserve">for firms, nor for clients. The additional questions on the client’s sustainability preferences must have to be same for the clients. It would be impossible to manage different questions if the client invests through an insurance life contract or via a securities account. In respect of the </w:t>
      </w:r>
      <w:r w:rsidR="00E47327" w:rsidRPr="00372BEA">
        <w:rPr>
          <w:rFonts w:ascii="Arial" w:hAnsi="Arial" w:cs="Arial"/>
          <w:sz w:val="20"/>
          <w:szCs w:val="20"/>
          <w:lang w:val="en-GB" w:eastAsia="fr-FR"/>
        </w:rPr>
        <w:t>clients’</w:t>
      </w:r>
      <w:r w:rsidRPr="00372BEA">
        <w:rPr>
          <w:rFonts w:ascii="Arial" w:hAnsi="Arial" w:cs="Arial"/>
          <w:sz w:val="20"/>
          <w:szCs w:val="20"/>
          <w:lang w:val="en-GB" w:eastAsia="fr-FR"/>
        </w:rPr>
        <w:t xml:space="preserve"> journey, this would be impossible to understand for </w:t>
      </w:r>
      <w:r w:rsidR="00E47327" w:rsidRPr="00372BEA">
        <w:rPr>
          <w:rFonts w:ascii="Arial" w:hAnsi="Arial" w:cs="Arial"/>
          <w:sz w:val="20"/>
          <w:szCs w:val="20"/>
          <w:lang w:val="en-GB" w:eastAsia="fr-FR"/>
        </w:rPr>
        <w:t>them</w:t>
      </w:r>
      <w:r w:rsidRPr="00372BEA">
        <w:rPr>
          <w:rFonts w:ascii="Arial" w:hAnsi="Arial" w:cs="Arial"/>
          <w:sz w:val="20"/>
          <w:szCs w:val="20"/>
          <w:lang w:val="en-GB" w:eastAsia="fr-FR"/>
        </w:rPr>
        <w:t>. It would also contradict the ongoing work conducted by the European Commission in its retail investment strategy, which aims to facilitate the investors’ decisions by avoiding discrepancies among similar products.</w:t>
      </w:r>
    </w:p>
    <w:p w14:paraId="507AC919" w14:textId="77777777" w:rsidR="00F24EB3" w:rsidRPr="00372BEA" w:rsidRDefault="00F24EB3" w:rsidP="00970615">
      <w:pPr>
        <w:pStyle w:val="Paragraphedeliste"/>
        <w:spacing w:after="0" w:line="240" w:lineRule="atLeast"/>
        <w:ind w:left="720"/>
        <w:jc w:val="both"/>
        <w:rPr>
          <w:rFonts w:ascii="Arial" w:eastAsia="Times New Roman" w:hAnsi="Arial" w:cs="Arial"/>
          <w:sz w:val="20"/>
          <w:szCs w:val="20"/>
          <w:lang w:val="en-GB" w:eastAsia="fr-FR"/>
        </w:rPr>
      </w:pPr>
    </w:p>
    <w:p w14:paraId="4B91D247" w14:textId="6C4757C0" w:rsidR="00A45458" w:rsidRPr="00372BEA" w:rsidRDefault="00A45458" w:rsidP="00A45458">
      <w:pPr>
        <w:shd w:val="clear" w:color="auto" w:fill="FDFDFD"/>
        <w:spacing w:after="0" w:line="240" w:lineRule="auto"/>
        <w:rPr>
          <w:rFonts w:ascii="Arial" w:eastAsia="Times New Roman" w:hAnsi="Arial" w:cs="Arial"/>
          <w:sz w:val="20"/>
          <w:szCs w:val="20"/>
          <w:lang w:val="en" w:eastAsia="fr-FR"/>
        </w:rPr>
      </w:pPr>
      <w:r w:rsidRPr="00372BEA">
        <w:rPr>
          <w:rFonts w:ascii="Arial" w:eastAsia="Times New Roman" w:hAnsi="Arial" w:cs="Arial"/>
          <w:sz w:val="20"/>
          <w:szCs w:val="20"/>
          <w:lang w:val="en" w:eastAsia="fr-FR"/>
        </w:rPr>
        <w:t xml:space="preserve">Finally, the FBF strongly wishes to draw ESMA's attention to the problem of the absence of data during a long transitional period, whether under the </w:t>
      </w:r>
      <w:r w:rsidR="00E47327" w:rsidRPr="00372BEA">
        <w:rPr>
          <w:rFonts w:ascii="Arial" w:eastAsia="Times New Roman" w:hAnsi="Arial" w:cs="Arial"/>
          <w:sz w:val="20"/>
          <w:szCs w:val="20"/>
          <w:lang w:val="en" w:eastAsia="fr-FR"/>
        </w:rPr>
        <w:t>SFDR</w:t>
      </w:r>
      <w:r w:rsidRPr="00372BEA">
        <w:rPr>
          <w:rFonts w:ascii="Arial" w:eastAsia="Times New Roman" w:hAnsi="Arial" w:cs="Arial"/>
          <w:sz w:val="20"/>
          <w:szCs w:val="20"/>
          <w:lang w:val="en" w:eastAsia="fr-FR"/>
        </w:rPr>
        <w:t xml:space="preserve"> Directive or the Taxonomy Directive. Therefore, if the implementation of these requirements is not operational and effective at the level of issuers, and able to be exploited by producers of financial products, a problem will persist on the investment universe </w:t>
      </w:r>
      <w:r w:rsidR="000C78A2" w:rsidRPr="00372BEA">
        <w:rPr>
          <w:rFonts w:ascii="Arial" w:eastAsia="Times New Roman" w:hAnsi="Arial" w:cs="Arial"/>
          <w:sz w:val="20"/>
          <w:szCs w:val="20"/>
          <w:lang w:val="en" w:eastAsia="fr-FR"/>
        </w:rPr>
        <w:t>presently</w:t>
      </w:r>
      <w:r w:rsidRPr="00372BEA">
        <w:rPr>
          <w:rFonts w:ascii="Arial" w:eastAsia="Times New Roman" w:hAnsi="Arial" w:cs="Arial"/>
          <w:sz w:val="20"/>
          <w:szCs w:val="20"/>
          <w:lang w:val="en" w:eastAsia="fr-FR"/>
        </w:rPr>
        <w:t xml:space="preserve"> available to customers. A disappointing entry into force for all the players concerned, </w:t>
      </w:r>
      <w:r w:rsidR="000C78A2" w:rsidRPr="00372BEA">
        <w:rPr>
          <w:rFonts w:ascii="Arial" w:eastAsia="Times New Roman" w:hAnsi="Arial" w:cs="Arial"/>
          <w:sz w:val="20"/>
          <w:szCs w:val="20"/>
          <w:lang w:val="en" w:eastAsia="fr-FR"/>
        </w:rPr>
        <w:t>particularly for</w:t>
      </w:r>
      <w:r w:rsidRPr="00372BEA">
        <w:rPr>
          <w:rFonts w:ascii="Arial" w:eastAsia="Times New Roman" w:hAnsi="Arial" w:cs="Arial"/>
          <w:sz w:val="20"/>
          <w:szCs w:val="20"/>
          <w:lang w:val="en" w:eastAsia="fr-FR"/>
        </w:rPr>
        <w:t xml:space="preserve"> customers, will leave an image of dysfunction that will be difficult to correct in the long </w:t>
      </w:r>
      <w:r w:rsidR="000C78A2" w:rsidRPr="00372BEA">
        <w:rPr>
          <w:rFonts w:ascii="Arial" w:eastAsia="Times New Roman" w:hAnsi="Arial" w:cs="Arial"/>
          <w:sz w:val="20"/>
          <w:szCs w:val="20"/>
          <w:lang w:val="en" w:eastAsia="fr-FR"/>
        </w:rPr>
        <w:t>run</w:t>
      </w:r>
      <w:r w:rsidRPr="00372BEA">
        <w:rPr>
          <w:rFonts w:ascii="Arial" w:eastAsia="Times New Roman" w:hAnsi="Arial" w:cs="Arial"/>
          <w:sz w:val="20"/>
          <w:szCs w:val="20"/>
          <w:lang w:val="en" w:eastAsia="fr-FR"/>
        </w:rPr>
        <w:t>.</w:t>
      </w:r>
    </w:p>
    <w:p w14:paraId="235E0D81" w14:textId="77777777" w:rsidR="006978E0" w:rsidRPr="00372BEA" w:rsidRDefault="006978E0" w:rsidP="00970615">
      <w:pPr>
        <w:pStyle w:val="Paragraphedeliste"/>
        <w:spacing w:after="0" w:line="240" w:lineRule="atLeast"/>
        <w:ind w:left="720"/>
        <w:jc w:val="both"/>
        <w:rPr>
          <w:rFonts w:ascii="Arial" w:hAnsi="Arial" w:cs="Arial"/>
          <w:sz w:val="20"/>
          <w:szCs w:val="20"/>
          <w:lang w:val="en-GB" w:eastAsia="fr-FR"/>
        </w:rPr>
      </w:pPr>
    </w:p>
    <w:p w14:paraId="1F08ADD8" w14:textId="77777777" w:rsidR="0075094D" w:rsidRPr="00372BEA" w:rsidRDefault="0075094D" w:rsidP="00970615">
      <w:pPr>
        <w:pStyle w:val="Paragraphedeliste"/>
        <w:spacing w:after="0" w:line="240" w:lineRule="atLeast"/>
        <w:ind w:left="720"/>
        <w:jc w:val="both"/>
        <w:rPr>
          <w:rFonts w:ascii="Arial" w:eastAsia="Times New Roman" w:hAnsi="Arial" w:cs="Arial"/>
          <w:sz w:val="20"/>
          <w:szCs w:val="20"/>
          <w:lang w:val="en-GB" w:eastAsia="fr-FR"/>
        </w:rPr>
      </w:pPr>
    </w:p>
    <w:p w14:paraId="7B6C2FC6" w14:textId="4BC246DE" w:rsidR="00067DA0" w:rsidRPr="00604D97" w:rsidRDefault="00067DA0" w:rsidP="00731FD9">
      <w:pPr>
        <w:keepNext/>
        <w:keepLines/>
        <w:numPr>
          <w:ilvl w:val="0"/>
          <w:numId w:val="13"/>
        </w:numPr>
        <w:pBdr>
          <w:bottom w:val="single" w:sz="18" w:space="1" w:color="365F91"/>
        </w:pBdr>
        <w:spacing w:after="0" w:line="240" w:lineRule="atLeast"/>
        <w:jc w:val="both"/>
        <w:outlineLvl w:val="0"/>
        <w:rPr>
          <w:rFonts w:ascii="Arial" w:eastAsia="Times New Roman" w:hAnsi="Arial" w:cs="Arial"/>
          <w:b/>
          <w:bCs/>
          <w:smallCaps/>
          <w:color w:val="365F91"/>
          <w:sz w:val="28"/>
          <w:szCs w:val="28"/>
          <w:lang w:val="en-GB" w:eastAsia="fr-FR"/>
        </w:rPr>
      </w:pPr>
      <w:r w:rsidRPr="00604D97">
        <w:rPr>
          <w:rFonts w:ascii="Arial" w:eastAsia="Times New Roman" w:hAnsi="Arial" w:cs="Arial"/>
          <w:b/>
          <w:bCs/>
          <w:smallCaps/>
          <w:color w:val="365F91"/>
          <w:sz w:val="28"/>
          <w:szCs w:val="28"/>
          <w:lang w:val="en-GB" w:eastAsia="fr-FR"/>
        </w:rPr>
        <w:t>Responses to ESMA Questions</w:t>
      </w:r>
      <w:r w:rsidR="00BA562A" w:rsidRPr="00604D97">
        <w:rPr>
          <w:rFonts w:ascii="Arial" w:eastAsia="Times New Roman" w:hAnsi="Arial" w:cs="Arial"/>
          <w:b/>
          <w:bCs/>
          <w:smallCaps/>
          <w:color w:val="365F91"/>
          <w:sz w:val="28"/>
          <w:szCs w:val="28"/>
          <w:lang w:val="en-GB" w:eastAsia="fr-FR"/>
        </w:rPr>
        <w:t xml:space="preserve"> </w:t>
      </w:r>
    </w:p>
    <w:p w14:paraId="257F3B61" w14:textId="0523AE03" w:rsidR="00067DA0" w:rsidRPr="00604D97" w:rsidRDefault="00067DA0" w:rsidP="00731FD9">
      <w:pPr>
        <w:spacing w:after="0" w:line="240" w:lineRule="atLeast"/>
        <w:jc w:val="both"/>
        <w:rPr>
          <w:rFonts w:ascii="Arial" w:eastAsia="Times New Roman" w:hAnsi="Arial" w:cs="Arial"/>
          <w:sz w:val="20"/>
          <w:szCs w:val="20"/>
          <w:lang w:val="en-GB" w:eastAsia="fr-FR"/>
        </w:rPr>
      </w:pPr>
    </w:p>
    <w:p w14:paraId="44D76B67" w14:textId="6827D583" w:rsidR="005928DA" w:rsidRPr="00372BEA" w:rsidRDefault="005928DA" w:rsidP="00731FD9">
      <w:pPr>
        <w:spacing w:after="0" w:line="240" w:lineRule="atLeast"/>
        <w:jc w:val="both"/>
        <w:rPr>
          <w:rFonts w:ascii="Arial" w:eastAsia="Times New Roman" w:hAnsi="Arial" w:cs="Arial"/>
          <w:sz w:val="20"/>
          <w:szCs w:val="20"/>
          <w:lang w:val="en-GB" w:eastAsia="fr-FR"/>
        </w:rPr>
      </w:pPr>
    </w:p>
    <w:p w14:paraId="5B36EA24" w14:textId="0D3D39BF" w:rsidR="0059117C" w:rsidRPr="00372BEA" w:rsidRDefault="0059117C"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372BEA">
        <w:rPr>
          <w:rFonts w:ascii="Arial" w:eastAsia="Times New Roman" w:hAnsi="Arial" w:cs="Arial"/>
          <w:b/>
          <w:color w:val="365F91" w:themeColor="accent1" w:themeShade="BF"/>
          <w:sz w:val="20"/>
          <w:szCs w:val="20"/>
          <w:u w:val="single"/>
          <w:lang w:val="en-GB" w:eastAsia="fr-FR"/>
        </w:rPr>
        <w:t>Guideline 1 – Information to clients about the purpose of the suitability assessment and its scope</w:t>
      </w:r>
    </w:p>
    <w:p w14:paraId="00DD0BC3" w14:textId="3B18F43C" w:rsidR="00E1577D" w:rsidRPr="00372BEA" w:rsidRDefault="00E1577D" w:rsidP="00731FD9">
      <w:pPr>
        <w:spacing w:after="0" w:line="240" w:lineRule="atLeast"/>
        <w:jc w:val="both"/>
        <w:rPr>
          <w:rFonts w:ascii="Arial" w:eastAsia="Times New Roman" w:hAnsi="Arial" w:cs="Arial"/>
          <w:sz w:val="20"/>
          <w:szCs w:val="20"/>
          <w:lang w:val="en-GB" w:eastAsia="fr-FR"/>
        </w:rPr>
      </w:pPr>
    </w:p>
    <w:p w14:paraId="44E9A57D" w14:textId="77777777" w:rsidR="000F45E7" w:rsidRPr="00372BEA" w:rsidRDefault="000F45E7" w:rsidP="00731FD9">
      <w:pPr>
        <w:spacing w:after="0" w:line="240" w:lineRule="atLeast"/>
        <w:jc w:val="both"/>
        <w:rPr>
          <w:rFonts w:ascii="Arial" w:eastAsia="Times New Roman" w:hAnsi="Arial" w:cs="Arial"/>
          <w:i/>
          <w:iCs/>
          <w:sz w:val="20"/>
          <w:szCs w:val="20"/>
          <w:lang w:val="en-GB" w:eastAsia="fr-FR"/>
        </w:rPr>
      </w:pPr>
      <w:r w:rsidRPr="00372BEA">
        <w:rPr>
          <w:rFonts w:ascii="Arial" w:eastAsia="Times New Roman" w:hAnsi="Arial" w:cs="Arial"/>
          <w:i/>
          <w:iCs/>
          <w:sz w:val="20"/>
          <w:szCs w:val="20"/>
          <w:lang w:val="en-GB" w:eastAsia="fr-FR"/>
        </w:rPr>
        <w:t>A new paragraph has been added to the guideline 1 to clarify that, as part of the suitability assessment, firms should help clients in understanding the concept of “sustainability preferences”, the different types of products included under the definition of “sustainability preferences”, the features and the choices to be made in this context.</w:t>
      </w:r>
    </w:p>
    <w:p w14:paraId="527E8D37" w14:textId="77777777" w:rsidR="000F45E7" w:rsidRPr="00372BEA" w:rsidRDefault="000F45E7" w:rsidP="00731FD9">
      <w:pPr>
        <w:spacing w:after="0" w:line="240" w:lineRule="atLeast"/>
        <w:jc w:val="both"/>
        <w:rPr>
          <w:rFonts w:ascii="Arial" w:eastAsia="Times New Roman" w:hAnsi="Arial" w:cs="Arial"/>
          <w:i/>
          <w:iCs/>
          <w:sz w:val="20"/>
          <w:szCs w:val="20"/>
          <w:lang w:val="en-GB" w:eastAsia="fr-FR"/>
        </w:rPr>
      </w:pPr>
    </w:p>
    <w:p w14:paraId="475E64B5" w14:textId="51BD12C8" w:rsidR="00E1577D" w:rsidRPr="00372BEA" w:rsidRDefault="000F45E7" w:rsidP="00731FD9">
      <w:pPr>
        <w:spacing w:after="0" w:line="240" w:lineRule="atLeast"/>
        <w:jc w:val="both"/>
        <w:rPr>
          <w:rFonts w:ascii="Arial" w:eastAsia="Times New Roman" w:hAnsi="Arial" w:cs="Arial"/>
          <w:i/>
          <w:iCs/>
          <w:sz w:val="20"/>
          <w:szCs w:val="20"/>
          <w:lang w:val="en-GB" w:eastAsia="fr-FR"/>
        </w:rPr>
      </w:pPr>
      <w:r w:rsidRPr="00372BEA">
        <w:rPr>
          <w:rFonts w:ascii="Arial" w:eastAsia="Times New Roman" w:hAnsi="Arial" w:cs="Arial"/>
          <w:i/>
          <w:iCs/>
          <w:sz w:val="20"/>
          <w:szCs w:val="20"/>
          <w:lang w:val="en-GB" w:eastAsia="fr-FR"/>
        </w:rPr>
        <w:t>No further amendments have been introduced in guideline 1.</w:t>
      </w:r>
    </w:p>
    <w:p w14:paraId="650C873B" w14:textId="77777777" w:rsidR="0059117C" w:rsidRPr="00372BEA" w:rsidRDefault="0059117C" w:rsidP="00731FD9">
      <w:pPr>
        <w:spacing w:after="0" w:line="240" w:lineRule="atLeast"/>
        <w:jc w:val="both"/>
        <w:rPr>
          <w:rFonts w:ascii="Arial" w:eastAsia="Times New Roman" w:hAnsi="Arial" w:cs="Arial"/>
          <w:sz w:val="20"/>
          <w:szCs w:val="20"/>
          <w:lang w:val="en-GB" w:eastAsia="fr-FR"/>
        </w:rPr>
      </w:pPr>
    </w:p>
    <w:p w14:paraId="1D15CEB6" w14:textId="03C68BA5" w:rsidR="00067DA0" w:rsidRPr="00372BEA" w:rsidRDefault="00067DA0" w:rsidP="00731FD9">
      <w:pPr>
        <w:autoSpaceDE w:val="0"/>
        <w:autoSpaceDN w:val="0"/>
        <w:adjustRightInd w:val="0"/>
        <w:spacing w:after="0" w:line="240" w:lineRule="atLeast"/>
        <w:jc w:val="both"/>
        <w:rPr>
          <w:rFonts w:ascii="Arial" w:eastAsia="Times New Roman" w:hAnsi="Arial" w:cs="Arial"/>
          <w:b/>
          <w:bCs/>
          <w:color w:val="000000"/>
          <w:sz w:val="20"/>
          <w:szCs w:val="20"/>
          <w:lang w:val="en-GB" w:eastAsia="fr-FR"/>
        </w:rPr>
      </w:pPr>
      <w:proofErr w:type="gramStart"/>
      <w:r w:rsidRPr="00372BEA">
        <w:rPr>
          <w:rFonts w:ascii="Arial" w:eastAsia="Times New Roman" w:hAnsi="Arial" w:cs="Arial"/>
          <w:b/>
          <w:bCs/>
          <w:color w:val="000000"/>
          <w:sz w:val="20"/>
          <w:szCs w:val="20"/>
          <w:lang w:val="en-GB" w:eastAsia="fr-FR"/>
        </w:rPr>
        <w:t>Q1</w:t>
      </w:r>
      <w:proofErr w:type="gramEnd"/>
      <w:r w:rsidRPr="00372BEA">
        <w:rPr>
          <w:rFonts w:ascii="Arial" w:eastAsia="Times New Roman" w:hAnsi="Arial" w:cs="Arial"/>
          <w:b/>
          <w:bCs/>
          <w:color w:val="000000"/>
          <w:sz w:val="20"/>
          <w:szCs w:val="20"/>
          <w:lang w:val="en-GB" w:eastAsia="fr-FR"/>
        </w:rPr>
        <w:tab/>
      </w:r>
      <w:r w:rsidR="00E408AA" w:rsidRPr="00372BEA">
        <w:rPr>
          <w:rFonts w:ascii="Arial" w:eastAsia="Times New Roman" w:hAnsi="Arial" w:cs="Arial"/>
          <w:b/>
          <w:bCs/>
          <w:color w:val="000000"/>
          <w:sz w:val="20"/>
          <w:szCs w:val="20"/>
          <w:lang w:val="en-US" w:eastAsia="fr-FR"/>
        </w:rPr>
        <w:t>Do you agree with the suggested approach on the information to clients about the purpose of the suitability assessment and its scope? Please also state the reasons for your answer.</w:t>
      </w:r>
    </w:p>
    <w:p w14:paraId="24B7C9BE" w14:textId="77777777" w:rsidR="00B94F79" w:rsidRPr="00372BEA" w:rsidRDefault="00B94F79" w:rsidP="00731FD9">
      <w:pPr>
        <w:autoSpaceDE w:val="0"/>
        <w:autoSpaceDN w:val="0"/>
        <w:adjustRightInd w:val="0"/>
        <w:spacing w:after="0" w:line="240" w:lineRule="atLeast"/>
        <w:jc w:val="both"/>
        <w:rPr>
          <w:rFonts w:ascii="Arial" w:hAnsi="Arial" w:cs="Arial"/>
          <w:color w:val="000000"/>
          <w:sz w:val="20"/>
          <w:szCs w:val="20"/>
          <w:lang w:val="en-GB"/>
        </w:rPr>
      </w:pPr>
    </w:p>
    <w:p w14:paraId="1AE6CCA3" w14:textId="2A73F05B" w:rsidR="007908FF" w:rsidRPr="00372BEA" w:rsidRDefault="00E67976" w:rsidP="00731FD9">
      <w:pPr>
        <w:autoSpaceDE w:val="0"/>
        <w:autoSpaceDN w:val="0"/>
        <w:adjustRightInd w:val="0"/>
        <w:spacing w:after="0" w:line="240" w:lineRule="atLeast"/>
        <w:jc w:val="both"/>
        <w:rPr>
          <w:rFonts w:ascii="Arial" w:hAnsi="Arial" w:cs="Arial"/>
          <w:color w:val="000000"/>
          <w:sz w:val="20"/>
          <w:szCs w:val="20"/>
          <w:lang w:val="en-GB"/>
        </w:rPr>
      </w:pPr>
      <w:r w:rsidRPr="00372BEA">
        <w:rPr>
          <w:rFonts w:ascii="Arial" w:hAnsi="Arial" w:cs="Arial"/>
          <w:color w:val="000000"/>
          <w:sz w:val="20"/>
          <w:szCs w:val="20"/>
          <w:lang w:val="en-GB"/>
        </w:rPr>
        <w:t>FBF</w:t>
      </w:r>
      <w:r w:rsidR="00413B8B" w:rsidRPr="00372BEA">
        <w:rPr>
          <w:rFonts w:ascii="Arial" w:hAnsi="Arial" w:cs="Arial"/>
          <w:color w:val="000000"/>
          <w:sz w:val="20"/>
          <w:szCs w:val="20"/>
          <w:lang w:val="en-GB"/>
        </w:rPr>
        <w:t xml:space="preserve"> considers </w:t>
      </w:r>
      <w:r w:rsidR="00BB4BD7" w:rsidRPr="00372BEA">
        <w:rPr>
          <w:rFonts w:ascii="Arial" w:hAnsi="Arial" w:cs="Arial"/>
          <w:color w:val="000000"/>
          <w:sz w:val="20"/>
          <w:szCs w:val="20"/>
          <w:lang w:val="en-GB"/>
        </w:rPr>
        <w:t>that:</w:t>
      </w:r>
    </w:p>
    <w:p w14:paraId="4E7D8201" w14:textId="77777777" w:rsidR="007908FF" w:rsidRPr="00372BEA" w:rsidRDefault="007908FF" w:rsidP="00731FD9">
      <w:pPr>
        <w:autoSpaceDE w:val="0"/>
        <w:autoSpaceDN w:val="0"/>
        <w:adjustRightInd w:val="0"/>
        <w:spacing w:after="0" w:line="240" w:lineRule="atLeast"/>
        <w:jc w:val="both"/>
        <w:rPr>
          <w:rFonts w:ascii="Arial" w:hAnsi="Arial" w:cs="Arial"/>
          <w:color w:val="000000"/>
          <w:sz w:val="20"/>
          <w:szCs w:val="20"/>
          <w:lang w:val="en-GB"/>
        </w:rPr>
      </w:pPr>
    </w:p>
    <w:p w14:paraId="082A3F48" w14:textId="5BA92621" w:rsidR="00340660" w:rsidRPr="00372BEA" w:rsidRDefault="00E73405" w:rsidP="00970615">
      <w:pPr>
        <w:pStyle w:val="Paragraphedeliste"/>
        <w:numPr>
          <w:ilvl w:val="0"/>
          <w:numId w:val="16"/>
        </w:numPr>
        <w:autoSpaceDE w:val="0"/>
        <w:autoSpaceDN w:val="0"/>
        <w:adjustRightInd w:val="0"/>
        <w:spacing w:after="0" w:line="240" w:lineRule="atLeast"/>
        <w:jc w:val="both"/>
        <w:rPr>
          <w:rFonts w:ascii="Arial" w:hAnsi="Arial" w:cs="Arial"/>
          <w:b/>
          <w:bCs/>
          <w:color w:val="000000"/>
          <w:sz w:val="20"/>
          <w:szCs w:val="20"/>
          <w:lang w:val="en-GB"/>
        </w:rPr>
      </w:pPr>
      <w:r w:rsidRPr="00372BEA">
        <w:rPr>
          <w:rFonts w:ascii="Arial" w:hAnsi="Arial" w:cs="Arial"/>
          <w:color w:val="000000"/>
          <w:sz w:val="20"/>
          <w:szCs w:val="20"/>
          <w:lang w:val="en-GB"/>
        </w:rPr>
        <w:t xml:space="preserve">to keep the process as simple and operational as possible and avoid overwhelming clients with information </w:t>
      </w:r>
      <w:r w:rsidR="00F63BDA" w:rsidRPr="00372BEA">
        <w:rPr>
          <w:rFonts w:ascii="Arial" w:hAnsi="Arial" w:cs="Arial"/>
          <w:color w:val="000000"/>
          <w:sz w:val="20"/>
          <w:szCs w:val="20"/>
          <w:lang w:val="en-GB"/>
        </w:rPr>
        <w:t>th</w:t>
      </w:r>
      <w:r w:rsidR="00007812" w:rsidRPr="00372BEA">
        <w:rPr>
          <w:rFonts w:ascii="Arial" w:hAnsi="Arial" w:cs="Arial"/>
          <w:color w:val="000000"/>
          <w:sz w:val="20"/>
          <w:szCs w:val="20"/>
          <w:lang w:val="en-GB"/>
        </w:rPr>
        <w:t>ey may</w:t>
      </w:r>
      <w:r w:rsidRPr="00372BEA">
        <w:rPr>
          <w:rFonts w:ascii="Arial" w:hAnsi="Arial" w:cs="Arial"/>
          <w:color w:val="000000"/>
          <w:sz w:val="20"/>
          <w:szCs w:val="20"/>
          <w:lang w:val="en-GB"/>
        </w:rPr>
        <w:t xml:space="preserve"> not be interested in</w:t>
      </w:r>
      <w:r w:rsidR="00B77C7E" w:rsidRPr="00372BEA">
        <w:rPr>
          <w:rFonts w:ascii="Arial" w:hAnsi="Arial" w:cs="Arial"/>
          <w:color w:val="000000"/>
          <w:sz w:val="20"/>
          <w:szCs w:val="20"/>
          <w:lang w:val="en-GB"/>
        </w:rPr>
        <w:t>,</w:t>
      </w:r>
      <w:r w:rsidRPr="00372BEA">
        <w:rPr>
          <w:rFonts w:ascii="Arial" w:hAnsi="Arial" w:cs="Arial"/>
          <w:color w:val="000000"/>
          <w:sz w:val="20"/>
          <w:szCs w:val="20"/>
          <w:lang w:val="en-GB"/>
        </w:rPr>
        <w:t xml:space="preserve"> </w:t>
      </w:r>
      <w:r w:rsidR="00413B8B" w:rsidRPr="00372BEA">
        <w:rPr>
          <w:rFonts w:ascii="Arial" w:hAnsi="Arial" w:cs="Arial"/>
          <w:b/>
          <w:bCs/>
          <w:color w:val="000000"/>
          <w:sz w:val="20"/>
          <w:szCs w:val="20"/>
          <w:lang w:val="en-GB"/>
        </w:rPr>
        <w:t xml:space="preserve">detailed explanation </w:t>
      </w:r>
      <w:r w:rsidR="007908FF" w:rsidRPr="00372BEA">
        <w:rPr>
          <w:rFonts w:ascii="Arial" w:hAnsi="Arial" w:cs="Arial"/>
          <w:b/>
          <w:bCs/>
          <w:color w:val="000000"/>
          <w:sz w:val="20"/>
          <w:szCs w:val="20"/>
          <w:lang w:val="en-GB"/>
        </w:rPr>
        <w:t xml:space="preserve">on </w:t>
      </w:r>
      <w:r w:rsidR="003A358E" w:rsidRPr="00372BEA">
        <w:rPr>
          <w:rFonts w:ascii="Arial" w:hAnsi="Arial" w:cs="Arial"/>
          <w:b/>
          <w:bCs/>
          <w:color w:val="000000"/>
          <w:sz w:val="20"/>
          <w:szCs w:val="20"/>
          <w:lang w:val="en-GB"/>
        </w:rPr>
        <w:t>th</w:t>
      </w:r>
      <w:r w:rsidR="0076514A" w:rsidRPr="00372BEA">
        <w:rPr>
          <w:rFonts w:ascii="Arial" w:hAnsi="Arial" w:cs="Arial"/>
          <w:b/>
          <w:bCs/>
          <w:color w:val="000000"/>
          <w:sz w:val="20"/>
          <w:szCs w:val="20"/>
          <w:lang w:val="en-GB"/>
        </w:rPr>
        <w:t>e</w:t>
      </w:r>
      <w:r w:rsidR="003A358E" w:rsidRPr="00372BEA">
        <w:rPr>
          <w:rFonts w:ascii="Arial" w:hAnsi="Arial" w:cs="Arial"/>
          <w:b/>
          <w:bCs/>
          <w:color w:val="000000"/>
          <w:sz w:val="20"/>
          <w:szCs w:val="20"/>
          <w:lang w:val="en-GB"/>
        </w:rPr>
        <w:t xml:space="preserve"> assessment of </w:t>
      </w:r>
      <w:r w:rsidR="0076514A" w:rsidRPr="00372BEA">
        <w:rPr>
          <w:rFonts w:ascii="Arial" w:hAnsi="Arial" w:cs="Arial"/>
          <w:b/>
          <w:bCs/>
          <w:color w:val="000000"/>
          <w:sz w:val="20"/>
          <w:szCs w:val="20"/>
          <w:lang w:val="en-GB"/>
        </w:rPr>
        <w:t>clients</w:t>
      </w:r>
      <w:r w:rsidR="00B95E6C" w:rsidRPr="00372BEA">
        <w:rPr>
          <w:rFonts w:ascii="Arial" w:hAnsi="Arial" w:cs="Arial"/>
          <w:b/>
          <w:bCs/>
          <w:color w:val="000000"/>
          <w:sz w:val="20"/>
          <w:szCs w:val="20"/>
          <w:lang w:val="en-GB"/>
        </w:rPr>
        <w:t>’</w:t>
      </w:r>
      <w:r w:rsidR="0076514A" w:rsidRPr="00372BEA">
        <w:rPr>
          <w:rFonts w:ascii="Arial" w:hAnsi="Arial" w:cs="Arial"/>
          <w:b/>
          <w:bCs/>
          <w:color w:val="000000"/>
          <w:sz w:val="20"/>
          <w:szCs w:val="20"/>
          <w:lang w:val="en-GB"/>
        </w:rPr>
        <w:t xml:space="preserve"> sustainability</w:t>
      </w:r>
      <w:r w:rsidR="003A358E" w:rsidRPr="00372BEA">
        <w:rPr>
          <w:rFonts w:ascii="Arial" w:hAnsi="Arial" w:cs="Arial"/>
          <w:b/>
          <w:bCs/>
          <w:color w:val="000000"/>
          <w:sz w:val="20"/>
          <w:szCs w:val="20"/>
          <w:lang w:val="en-GB"/>
        </w:rPr>
        <w:t xml:space="preserve"> preferences should be </w:t>
      </w:r>
      <w:r w:rsidR="00992ACF" w:rsidRPr="00372BEA">
        <w:rPr>
          <w:rFonts w:ascii="Arial" w:hAnsi="Arial" w:cs="Arial"/>
          <w:b/>
          <w:bCs/>
          <w:color w:val="000000"/>
          <w:sz w:val="20"/>
          <w:szCs w:val="20"/>
          <w:lang w:val="en-GB"/>
        </w:rPr>
        <w:t xml:space="preserve">provided </w:t>
      </w:r>
      <w:r w:rsidR="007908FF" w:rsidRPr="00372BEA">
        <w:rPr>
          <w:rFonts w:ascii="Arial" w:hAnsi="Arial" w:cs="Arial"/>
          <w:b/>
          <w:bCs/>
          <w:color w:val="000000"/>
          <w:sz w:val="20"/>
          <w:szCs w:val="20"/>
          <w:lang w:val="en-GB"/>
        </w:rPr>
        <w:t xml:space="preserve">only </w:t>
      </w:r>
      <w:r w:rsidR="00992ACF" w:rsidRPr="00372BEA">
        <w:rPr>
          <w:rFonts w:ascii="Arial" w:hAnsi="Arial" w:cs="Arial"/>
          <w:b/>
          <w:bCs/>
          <w:color w:val="000000"/>
          <w:sz w:val="20"/>
          <w:szCs w:val="20"/>
          <w:lang w:val="en-GB"/>
        </w:rPr>
        <w:t>to</w:t>
      </w:r>
      <w:r w:rsidR="003A358E" w:rsidRPr="00372BEA">
        <w:rPr>
          <w:rFonts w:ascii="Arial" w:hAnsi="Arial" w:cs="Arial"/>
          <w:b/>
          <w:bCs/>
          <w:color w:val="000000"/>
          <w:sz w:val="20"/>
          <w:szCs w:val="20"/>
          <w:lang w:val="en-GB"/>
        </w:rPr>
        <w:t xml:space="preserve"> </w:t>
      </w:r>
      <w:r w:rsidR="00813A4E" w:rsidRPr="00372BEA">
        <w:rPr>
          <w:rFonts w:ascii="Arial" w:hAnsi="Arial" w:cs="Arial"/>
          <w:b/>
          <w:bCs/>
          <w:color w:val="000000"/>
          <w:sz w:val="20"/>
          <w:szCs w:val="20"/>
          <w:lang w:val="en-GB"/>
        </w:rPr>
        <w:t xml:space="preserve">clients who </w:t>
      </w:r>
      <w:r w:rsidR="00060F43" w:rsidRPr="00372BEA">
        <w:rPr>
          <w:rFonts w:ascii="Arial" w:hAnsi="Arial" w:cs="Arial"/>
          <w:b/>
          <w:bCs/>
          <w:color w:val="000000"/>
          <w:sz w:val="20"/>
          <w:szCs w:val="20"/>
          <w:lang w:val="en-GB"/>
        </w:rPr>
        <w:t xml:space="preserve">report having an </w:t>
      </w:r>
      <w:r w:rsidR="0076514A" w:rsidRPr="00372BEA">
        <w:rPr>
          <w:rFonts w:ascii="Arial" w:hAnsi="Arial" w:cs="Arial"/>
          <w:b/>
          <w:bCs/>
          <w:color w:val="000000"/>
          <w:sz w:val="20"/>
          <w:szCs w:val="20"/>
          <w:lang w:val="en-GB"/>
        </w:rPr>
        <w:t>interest</w:t>
      </w:r>
      <w:r w:rsidR="00060F43" w:rsidRPr="00372BEA">
        <w:rPr>
          <w:rFonts w:ascii="Arial" w:hAnsi="Arial" w:cs="Arial"/>
          <w:b/>
          <w:bCs/>
          <w:color w:val="000000"/>
          <w:sz w:val="20"/>
          <w:szCs w:val="20"/>
          <w:lang w:val="en-GB"/>
        </w:rPr>
        <w:t xml:space="preserve"> </w:t>
      </w:r>
      <w:r w:rsidR="0076514A" w:rsidRPr="00372BEA">
        <w:rPr>
          <w:rFonts w:ascii="Arial" w:hAnsi="Arial" w:cs="Arial"/>
          <w:b/>
          <w:bCs/>
          <w:color w:val="000000"/>
          <w:sz w:val="20"/>
          <w:szCs w:val="20"/>
          <w:lang w:val="en-GB"/>
        </w:rPr>
        <w:t xml:space="preserve">in </w:t>
      </w:r>
      <w:r w:rsidR="000A0174" w:rsidRPr="00372BEA">
        <w:rPr>
          <w:rFonts w:ascii="Arial" w:hAnsi="Arial" w:cs="Arial"/>
          <w:b/>
          <w:bCs/>
          <w:color w:val="000000"/>
          <w:sz w:val="20"/>
          <w:szCs w:val="20"/>
          <w:lang w:val="en-GB"/>
        </w:rPr>
        <w:t>sustainability</w:t>
      </w:r>
      <w:r w:rsidR="0076514A" w:rsidRPr="00372BEA">
        <w:rPr>
          <w:rFonts w:ascii="Arial" w:hAnsi="Arial" w:cs="Arial"/>
          <w:b/>
          <w:bCs/>
          <w:color w:val="000000"/>
          <w:sz w:val="20"/>
          <w:szCs w:val="20"/>
          <w:lang w:val="en-GB"/>
        </w:rPr>
        <w:t xml:space="preserve"> preferences.</w:t>
      </w:r>
      <w:r w:rsidR="00813A4E" w:rsidRPr="00372BEA">
        <w:rPr>
          <w:rFonts w:ascii="Arial" w:hAnsi="Arial" w:cs="Arial"/>
          <w:b/>
          <w:bCs/>
          <w:color w:val="000000"/>
          <w:sz w:val="20"/>
          <w:szCs w:val="20"/>
          <w:lang w:val="en-GB"/>
        </w:rPr>
        <w:t xml:space="preserve"> </w:t>
      </w:r>
    </w:p>
    <w:p w14:paraId="56D32112" w14:textId="3CD88A95" w:rsidR="001B1605" w:rsidRPr="00372BEA" w:rsidRDefault="0029198A" w:rsidP="00970615">
      <w:pPr>
        <w:autoSpaceDE w:val="0"/>
        <w:autoSpaceDN w:val="0"/>
        <w:adjustRightInd w:val="0"/>
        <w:spacing w:after="0" w:line="240" w:lineRule="atLeast"/>
        <w:ind w:left="720" w:hanging="11"/>
        <w:jc w:val="both"/>
        <w:rPr>
          <w:rFonts w:ascii="Arial" w:hAnsi="Arial" w:cs="Arial"/>
          <w:sz w:val="20"/>
          <w:szCs w:val="20"/>
          <w:lang w:val="en-GB"/>
        </w:rPr>
      </w:pPr>
      <w:r w:rsidRPr="00372BEA">
        <w:rPr>
          <w:rFonts w:ascii="Arial" w:hAnsi="Arial" w:cs="Arial"/>
          <w:color w:val="000000"/>
          <w:sz w:val="20"/>
          <w:szCs w:val="20"/>
          <w:lang w:val="en-GB"/>
        </w:rPr>
        <w:t>A</w:t>
      </w:r>
      <w:r w:rsidR="00611C1D" w:rsidRPr="00372BEA">
        <w:rPr>
          <w:rFonts w:ascii="Arial" w:hAnsi="Arial" w:cs="Arial"/>
          <w:color w:val="000000"/>
          <w:sz w:val="20"/>
          <w:szCs w:val="20"/>
          <w:lang w:val="en-GB"/>
        </w:rPr>
        <w:t>ccording to</w:t>
      </w:r>
      <w:r w:rsidR="001B1605" w:rsidRPr="00372BEA">
        <w:rPr>
          <w:rFonts w:ascii="Arial" w:hAnsi="Arial" w:cs="Arial"/>
          <w:color w:val="000000"/>
          <w:sz w:val="20"/>
          <w:szCs w:val="20"/>
          <w:lang w:val="en-GB"/>
        </w:rPr>
        <w:t xml:space="preserve"> </w:t>
      </w:r>
      <w:r w:rsidR="00E67976" w:rsidRPr="00372BEA">
        <w:rPr>
          <w:rFonts w:ascii="Arial" w:hAnsi="Arial" w:cs="Arial"/>
          <w:color w:val="000000"/>
          <w:sz w:val="20"/>
          <w:szCs w:val="20"/>
          <w:lang w:val="en-GB"/>
        </w:rPr>
        <w:t>FBF</w:t>
      </w:r>
      <w:r w:rsidR="00FE6862" w:rsidRPr="00372BEA">
        <w:rPr>
          <w:rFonts w:ascii="Arial" w:hAnsi="Arial" w:cs="Arial"/>
          <w:color w:val="000000"/>
          <w:sz w:val="20"/>
          <w:szCs w:val="20"/>
          <w:lang w:val="en-GB"/>
        </w:rPr>
        <w:t>,</w:t>
      </w:r>
      <w:r w:rsidR="001B1605" w:rsidRPr="00372BEA">
        <w:rPr>
          <w:rFonts w:ascii="Arial" w:hAnsi="Arial" w:cs="Arial"/>
          <w:color w:val="000000"/>
          <w:sz w:val="20"/>
          <w:szCs w:val="20"/>
          <w:lang w:val="en-GB"/>
        </w:rPr>
        <w:t xml:space="preserve"> </w:t>
      </w:r>
      <w:r w:rsidRPr="00372BEA">
        <w:rPr>
          <w:rFonts w:ascii="Arial" w:hAnsi="Arial" w:cs="Arial"/>
          <w:color w:val="000000"/>
          <w:sz w:val="20"/>
          <w:szCs w:val="20"/>
          <w:lang w:val="en-GB"/>
        </w:rPr>
        <w:t xml:space="preserve">this </w:t>
      </w:r>
      <w:r w:rsidR="001B1605" w:rsidRPr="00372BEA">
        <w:rPr>
          <w:rFonts w:ascii="Arial" w:hAnsi="Arial" w:cs="Arial"/>
          <w:color w:val="000000"/>
          <w:sz w:val="20"/>
          <w:szCs w:val="20"/>
          <w:lang w:val="en-GB"/>
        </w:rPr>
        <w:t xml:space="preserve">is supported by the </w:t>
      </w:r>
      <w:r w:rsidR="00DD1010" w:rsidRPr="00372BEA">
        <w:rPr>
          <w:rFonts w:ascii="Arial" w:hAnsi="Arial" w:cs="Arial"/>
          <w:color w:val="000000"/>
          <w:sz w:val="20"/>
          <w:szCs w:val="20"/>
          <w:lang w:val="en-GB"/>
        </w:rPr>
        <w:t>point made</w:t>
      </w:r>
      <w:r w:rsidR="00FB04B2" w:rsidRPr="00372BEA">
        <w:rPr>
          <w:rStyle w:val="Appelnotedebasdep"/>
          <w:rFonts w:cs="Arial"/>
          <w:color w:val="000000"/>
          <w:sz w:val="20"/>
          <w:szCs w:val="20"/>
          <w:lang w:val="en-GB"/>
        </w:rPr>
        <w:footnoteReference w:id="4"/>
      </w:r>
      <w:r w:rsidR="00DD1010" w:rsidRPr="00372BEA">
        <w:rPr>
          <w:rFonts w:ascii="Arial" w:hAnsi="Arial" w:cs="Arial"/>
          <w:color w:val="000000"/>
          <w:sz w:val="20"/>
          <w:szCs w:val="20"/>
          <w:lang w:val="en-GB"/>
        </w:rPr>
        <w:t xml:space="preserve"> by the </w:t>
      </w:r>
      <w:r w:rsidR="001509DE" w:rsidRPr="00372BEA">
        <w:rPr>
          <w:rFonts w:ascii="Arial" w:hAnsi="Arial" w:cs="Arial"/>
          <w:color w:val="000000"/>
          <w:sz w:val="20"/>
          <w:szCs w:val="20"/>
          <w:lang w:val="en-GB"/>
        </w:rPr>
        <w:t>Commission in its Retail investment strategy Consultation paper</w:t>
      </w:r>
      <w:r w:rsidR="00DD1010" w:rsidRPr="00372BEA">
        <w:rPr>
          <w:rFonts w:ascii="Arial" w:hAnsi="Arial" w:cs="Arial"/>
          <w:color w:val="000000"/>
          <w:sz w:val="20"/>
          <w:szCs w:val="20"/>
          <w:lang w:val="en-GB"/>
        </w:rPr>
        <w:t xml:space="preserve"> </w:t>
      </w:r>
      <w:r w:rsidRPr="00372BEA">
        <w:rPr>
          <w:rFonts w:ascii="Arial" w:hAnsi="Arial" w:cs="Arial"/>
          <w:color w:val="000000"/>
          <w:sz w:val="20"/>
          <w:szCs w:val="20"/>
          <w:lang w:val="en-GB"/>
        </w:rPr>
        <w:t xml:space="preserve">which </w:t>
      </w:r>
      <w:r w:rsidR="003F0021" w:rsidRPr="00372BEA">
        <w:rPr>
          <w:rFonts w:ascii="Arial" w:hAnsi="Arial" w:cs="Arial"/>
          <w:color w:val="000000"/>
          <w:sz w:val="20"/>
          <w:szCs w:val="20"/>
          <w:lang w:val="en-GB"/>
        </w:rPr>
        <w:t>provide</w:t>
      </w:r>
      <w:r w:rsidRPr="00372BEA">
        <w:rPr>
          <w:rFonts w:ascii="Arial" w:hAnsi="Arial" w:cs="Arial"/>
          <w:color w:val="000000"/>
          <w:sz w:val="20"/>
          <w:szCs w:val="20"/>
          <w:lang w:val="en-GB"/>
        </w:rPr>
        <w:t xml:space="preserve">s </w:t>
      </w:r>
      <w:r w:rsidR="00DD1010" w:rsidRPr="00372BEA">
        <w:rPr>
          <w:rFonts w:ascii="Arial" w:hAnsi="Arial" w:cs="Arial"/>
          <w:color w:val="000000"/>
          <w:sz w:val="20"/>
          <w:szCs w:val="20"/>
          <w:lang w:val="en-GB"/>
        </w:rPr>
        <w:t>that “</w:t>
      </w:r>
      <w:r w:rsidR="00DD1010" w:rsidRPr="00372BEA">
        <w:rPr>
          <w:rFonts w:ascii="Arial" w:hAnsi="Arial" w:cs="Arial"/>
          <w:i/>
          <w:iCs/>
          <w:sz w:val="20"/>
          <w:szCs w:val="20"/>
          <w:lang w:val="en-GB"/>
        </w:rPr>
        <w:t>Studies show that due to the complexity of products and the amount of the aggregate precontractual information provided to retail investors, there is a risk that investors are not able to absorb all the necessary information due to information overload. This can lead to suboptimal investment decisions</w:t>
      </w:r>
      <w:r w:rsidR="004E1D25" w:rsidRPr="00372BEA">
        <w:rPr>
          <w:rFonts w:ascii="Arial" w:hAnsi="Arial" w:cs="Arial"/>
          <w:sz w:val="20"/>
          <w:szCs w:val="20"/>
          <w:lang w:val="en-GB"/>
        </w:rPr>
        <w:t>”.</w:t>
      </w:r>
    </w:p>
    <w:p w14:paraId="777E2302" w14:textId="77777777" w:rsidR="00130ABA" w:rsidRPr="00372BEA" w:rsidRDefault="00130ABA" w:rsidP="00970615">
      <w:pPr>
        <w:autoSpaceDE w:val="0"/>
        <w:autoSpaceDN w:val="0"/>
        <w:adjustRightInd w:val="0"/>
        <w:spacing w:after="0" w:line="240" w:lineRule="atLeast"/>
        <w:ind w:left="720" w:hanging="360"/>
        <w:jc w:val="both"/>
        <w:rPr>
          <w:rFonts w:ascii="Arial" w:hAnsi="Arial" w:cs="Arial"/>
          <w:sz w:val="20"/>
          <w:szCs w:val="20"/>
          <w:lang w:val="en-GB"/>
        </w:rPr>
      </w:pPr>
    </w:p>
    <w:p w14:paraId="1C214007" w14:textId="032893FD" w:rsidR="00B77C7E" w:rsidRPr="00372BEA" w:rsidRDefault="00130ABA" w:rsidP="00970615">
      <w:pPr>
        <w:pStyle w:val="Paragraphedeliste"/>
        <w:numPr>
          <w:ilvl w:val="0"/>
          <w:numId w:val="16"/>
        </w:numPr>
        <w:autoSpaceDE w:val="0"/>
        <w:autoSpaceDN w:val="0"/>
        <w:adjustRightInd w:val="0"/>
        <w:spacing w:after="0" w:line="240" w:lineRule="atLeast"/>
        <w:jc w:val="both"/>
        <w:rPr>
          <w:rFonts w:ascii="Arial" w:hAnsi="Arial" w:cs="Arial"/>
          <w:color w:val="000000"/>
          <w:sz w:val="20"/>
          <w:szCs w:val="20"/>
          <w:lang w:val="en-GB"/>
        </w:rPr>
      </w:pPr>
      <w:r w:rsidRPr="00372BEA">
        <w:rPr>
          <w:rFonts w:ascii="Arial" w:hAnsi="Arial" w:cs="Arial"/>
          <w:color w:val="000000"/>
          <w:sz w:val="20"/>
          <w:szCs w:val="20"/>
          <w:lang w:val="en-GB"/>
        </w:rPr>
        <w:t xml:space="preserve">Before proceeding to the detailed assessment of client’s </w:t>
      </w:r>
      <w:r w:rsidR="00525CC6" w:rsidRPr="00372BEA">
        <w:rPr>
          <w:rFonts w:ascii="Arial" w:hAnsi="Arial" w:cs="Arial"/>
          <w:color w:val="000000"/>
          <w:sz w:val="20"/>
          <w:szCs w:val="20"/>
          <w:lang w:val="en-GB"/>
        </w:rPr>
        <w:t>sustainability</w:t>
      </w:r>
      <w:r w:rsidRPr="00372BEA">
        <w:rPr>
          <w:rFonts w:ascii="Arial" w:hAnsi="Arial" w:cs="Arial"/>
          <w:color w:val="000000"/>
          <w:sz w:val="20"/>
          <w:szCs w:val="20"/>
          <w:lang w:val="en-GB"/>
        </w:rPr>
        <w:t xml:space="preserve"> preferences</w:t>
      </w:r>
      <w:r w:rsidRPr="00372BEA">
        <w:rPr>
          <w:rFonts w:ascii="Arial" w:hAnsi="Arial" w:cs="Arial"/>
          <w:b/>
          <w:bCs/>
          <w:color w:val="000000"/>
          <w:sz w:val="20"/>
          <w:szCs w:val="20"/>
          <w:lang w:val="en-GB"/>
        </w:rPr>
        <w:t xml:space="preserve">, </w:t>
      </w:r>
      <w:bookmarkStart w:id="0" w:name="_Hlk100307518"/>
      <w:r w:rsidRPr="00372BEA">
        <w:rPr>
          <w:rFonts w:ascii="Arial" w:hAnsi="Arial" w:cs="Arial"/>
          <w:b/>
          <w:bCs/>
          <w:color w:val="000000"/>
          <w:sz w:val="20"/>
          <w:szCs w:val="20"/>
          <w:lang w:val="en-GB"/>
        </w:rPr>
        <w:t>a general warning should be provided to clients</w:t>
      </w:r>
      <w:r w:rsidRPr="00372BEA">
        <w:rPr>
          <w:rFonts w:ascii="Arial" w:hAnsi="Arial" w:cs="Arial"/>
          <w:color w:val="000000"/>
          <w:sz w:val="20"/>
          <w:szCs w:val="20"/>
          <w:lang w:val="en-GB"/>
        </w:rPr>
        <w:t xml:space="preserve"> </w:t>
      </w:r>
      <w:proofErr w:type="spellStart"/>
      <w:r w:rsidRPr="00372BEA">
        <w:rPr>
          <w:rFonts w:ascii="Arial" w:hAnsi="Arial" w:cs="Arial"/>
          <w:color w:val="000000"/>
          <w:sz w:val="20"/>
          <w:szCs w:val="20"/>
          <w:lang w:val="en-GB"/>
        </w:rPr>
        <w:t>i</w:t>
      </w:r>
      <w:proofErr w:type="spellEnd"/>
      <w:r w:rsidRPr="00372BEA">
        <w:rPr>
          <w:rFonts w:ascii="Arial" w:hAnsi="Arial" w:cs="Arial"/>
          <w:color w:val="000000"/>
          <w:sz w:val="20"/>
          <w:szCs w:val="20"/>
          <w:lang w:val="en-GB"/>
        </w:rPr>
        <w:t>) on the state of maturity of the market on ESG products’ offer</w:t>
      </w:r>
      <w:r w:rsidR="00F46FD2" w:rsidRPr="00372BEA">
        <w:rPr>
          <w:rFonts w:ascii="Arial" w:hAnsi="Arial" w:cs="Arial"/>
          <w:color w:val="000000"/>
          <w:sz w:val="20"/>
          <w:szCs w:val="20"/>
          <w:lang w:val="en-GB"/>
        </w:rPr>
        <w:t>,</w:t>
      </w:r>
      <w:r w:rsidRPr="00372BEA">
        <w:rPr>
          <w:rFonts w:ascii="Arial" w:hAnsi="Arial" w:cs="Arial"/>
          <w:color w:val="000000"/>
          <w:sz w:val="20"/>
          <w:szCs w:val="20"/>
          <w:lang w:val="en-GB"/>
        </w:rPr>
        <w:t xml:space="preserve"> </w:t>
      </w:r>
      <w:r w:rsidR="00CA0E2D" w:rsidRPr="00372BEA">
        <w:rPr>
          <w:rFonts w:ascii="Arial" w:hAnsi="Arial" w:cs="Arial"/>
          <w:color w:val="000000"/>
          <w:sz w:val="20"/>
          <w:szCs w:val="20"/>
          <w:lang w:val="en-GB"/>
        </w:rPr>
        <w:t xml:space="preserve">and </w:t>
      </w:r>
      <w:r w:rsidRPr="00372BEA">
        <w:rPr>
          <w:rFonts w:ascii="Arial" w:hAnsi="Arial" w:cs="Arial"/>
          <w:color w:val="000000"/>
          <w:sz w:val="20"/>
          <w:szCs w:val="20"/>
          <w:lang w:val="en-GB"/>
        </w:rPr>
        <w:t xml:space="preserve">ii) on the specific risks </w:t>
      </w:r>
      <w:r w:rsidR="00B41538" w:rsidRPr="00372BEA">
        <w:rPr>
          <w:rFonts w:ascii="Arial" w:hAnsi="Arial" w:cs="Arial"/>
          <w:color w:val="000000"/>
          <w:sz w:val="20"/>
          <w:szCs w:val="20"/>
          <w:lang w:val="en-GB"/>
        </w:rPr>
        <w:t xml:space="preserve">potentially attached to the formulation of very ambitious ESG </w:t>
      </w:r>
      <w:r w:rsidR="00C34B76" w:rsidRPr="00372BEA">
        <w:rPr>
          <w:rFonts w:ascii="Arial" w:hAnsi="Arial" w:cs="Arial"/>
          <w:color w:val="000000"/>
          <w:sz w:val="20"/>
          <w:szCs w:val="20"/>
          <w:lang w:val="en-GB"/>
        </w:rPr>
        <w:t>expectations: such</w:t>
      </w:r>
      <w:r w:rsidRPr="00372BEA">
        <w:rPr>
          <w:rFonts w:ascii="Arial" w:hAnsi="Arial" w:cs="Arial"/>
          <w:color w:val="000000"/>
          <w:sz w:val="20"/>
          <w:szCs w:val="20"/>
          <w:lang w:val="en-GB"/>
        </w:rPr>
        <w:t xml:space="preserve"> </w:t>
      </w:r>
      <w:r w:rsidR="00B41538" w:rsidRPr="00372BEA">
        <w:rPr>
          <w:rFonts w:ascii="Arial" w:hAnsi="Arial" w:cs="Arial"/>
          <w:color w:val="000000"/>
          <w:sz w:val="20"/>
          <w:szCs w:val="20"/>
          <w:lang w:val="en-GB"/>
        </w:rPr>
        <w:t xml:space="preserve">risks (such </w:t>
      </w:r>
      <w:r w:rsidRPr="00372BEA">
        <w:rPr>
          <w:rFonts w:ascii="Arial" w:hAnsi="Arial" w:cs="Arial"/>
          <w:color w:val="000000"/>
          <w:sz w:val="20"/>
          <w:szCs w:val="20"/>
          <w:lang w:val="en-GB"/>
        </w:rPr>
        <w:t xml:space="preserve">as concentration </w:t>
      </w:r>
      <w:r w:rsidR="00C34B76" w:rsidRPr="00372BEA">
        <w:rPr>
          <w:rFonts w:ascii="Arial" w:hAnsi="Arial" w:cs="Arial"/>
          <w:color w:val="000000"/>
          <w:sz w:val="20"/>
          <w:szCs w:val="20"/>
          <w:lang w:val="en-GB"/>
        </w:rPr>
        <w:t xml:space="preserve">or liquidity </w:t>
      </w:r>
      <w:r w:rsidRPr="00372BEA">
        <w:rPr>
          <w:rFonts w:ascii="Arial" w:hAnsi="Arial" w:cs="Arial"/>
          <w:color w:val="000000"/>
          <w:sz w:val="20"/>
          <w:szCs w:val="20"/>
          <w:lang w:val="en-GB"/>
        </w:rPr>
        <w:t>risk</w:t>
      </w:r>
      <w:r w:rsidR="00814B3D" w:rsidRPr="00372BEA">
        <w:rPr>
          <w:rFonts w:ascii="Arial" w:hAnsi="Arial" w:cs="Arial"/>
          <w:color w:val="000000"/>
          <w:sz w:val="20"/>
          <w:szCs w:val="20"/>
          <w:lang w:val="en-GB"/>
        </w:rPr>
        <w:t>)</w:t>
      </w:r>
      <w:r w:rsidRPr="00372BEA">
        <w:rPr>
          <w:rFonts w:ascii="Arial" w:hAnsi="Arial" w:cs="Arial"/>
          <w:color w:val="000000"/>
          <w:sz w:val="20"/>
          <w:szCs w:val="20"/>
          <w:lang w:val="en-GB"/>
        </w:rPr>
        <w:t xml:space="preserve"> </w:t>
      </w:r>
      <w:r w:rsidR="00B41538" w:rsidRPr="00372BEA">
        <w:rPr>
          <w:rFonts w:ascii="Arial" w:hAnsi="Arial" w:cs="Arial"/>
          <w:color w:val="000000"/>
          <w:sz w:val="20"/>
          <w:szCs w:val="20"/>
          <w:lang w:val="en-GB"/>
        </w:rPr>
        <w:t xml:space="preserve">may </w:t>
      </w:r>
      <w:r w:rsidRPr="00372BEA">
        <w:rPr>
          <w:rFonts w:ascii="Arial" w:hAnsi="Arial" w:cs="Arial"/>
          <w:color w:val="000000"/>
          <w:sz w:val="20"/>
          <w:szCs w:val="20"/>
          <w:lang w:val="en-GB"/>
        </w:rPr>
        <w:t xml:space="preserve">result from the scarce offer for highly taxonomy concentrated financial instruments, or </w:t>
      </w:r>
      <w:r w:rsidR="00B41538" w:rsidRPr="00372BEA">
        <w:rPr>
          <w:rFonts w:ascii="Arial" w:hAnsi="Arial" w:cs="Arial"/>
          <w:color w:val="000000"/>
          <w:sz w:val="20"/>
          <w:szCs w:val="20"/>
          <w:lang w:val="en-GB"/>
        </w:rPr>
        <w:t xml:space="preserve">from </w:t>
      </w:r>
      <w:r w:rsidRPr="00372BEA">
        <w:rPr>
          <w:rFonts w:ascii="Arial" w:hAnsi="Arial" w:cs="Arial"/>
          <w:color w:val="000000"/>
          <w:sz w:val="20"/>
          <w:szCs w:val="20"/>
          <w:lang w:val="en-GB"/>
        </w:rPr>
        <w:t>the fact that ESG products might not always be the cheapest products for a specific type of investment profile</w:t>
      </w:r>
      <w:bookmarkEnd w:id="0"/>
      <w:r w:rsidR="00B77C7E" w:rsidRPr="00372BEA">
        <w:rPr>
          <w:rFonts w:ascii="Arial" w:hAnsi="Arial" w:cs="Arial"/>
          <w:color w:val="000000"/>
          <w:sz w:val="20"/>
          <w:szCs w:val="20"/>
          <w:lang w:val="en-GB"/>
        </w:rPr>
        <w:t xml:space="preserve">. </w:t>
      </w:r>
      <w:r w:rsidR="00B41538" w:rsidRPr="00372BEA">
        <w:rPr>
          <w:rFonts w:ascii="Arial" w:hAnsi="Arial" w:cs="Arial"/>
          <w:color w:val="000000"/>
          <w:sz w:val="20"/>
          <w:szCs w:val="20"/>
          <w:lang w:val="en-GB"/>
        </w:rPr>
        <w:t xml:space="preserve">By doing so, firms would </w:t>
      </w:r>
      <w:r w:rsidR="00B77C7E" w:rsidRPr="00372BEA">
        <w:rPr>
          <w:rFonts w:ascii="Arial" w:hAnsi="Arial" w:cs="Arial"/>
          <w:color w:val="000000"/>
          <w:sz w:val="20"/>
          <w:szCs w:val="20"/>
          <w:lang w:val="en-GB"/>
        </w:rPr>
        <w:t xml:space="preserve">avoid creating </w:t>
      </w:r>
      <w:r w:rsidR="008D6564" w:rsidRPr="00372BEA">
        <w:rPr>
          <w:rFonts w:ascii="Arial" w:hAnsi="Arial" w:cs="Arial"/>
          <w:color w:val="000000"/>
          <w:sz w:val="20"/>
          <w:szCs w:val="20"/>
          <w:lang w:val="en-GB"/>
        </w:rPr>
        <w:t>unrealistic</w:t>
      </w:r>
      <w:r w:rsidR="00B77C7E" w:rsidRPr="00372BEA">
        <w:rPr>
          <w:rFonts w:ascii="Arial" w:hAnsi="Arial" w:cs="Arial"/>
          <w:color w:val="000000"/>
          <w:sz w:val="20"/>
          <w:szCs w:val="20"/>
          <w:lang w:val="en-GB"/>
        </w:rPr>
        <w:t xml:space="preserve"> expectations from clients</w:t>
      </w:r>
      <w:r w:rsidR="00D96FFF" w:rsidRPr="00372BEA">
        <w:rPr>
          <w:rFonts w:ascii="Arial" w:hAnsi="Arial" w:cs="Arial"/>
          <w:color w:val="000000"/>
          <w:sz w:val="20"/>
          <w:szCs w:val="20"/>
          <w:lang w:val="en-GB"/>
        </w:rPr>
        <w:t xml:space="preserve"> that may be confusing and even misleading to them.</w:t>
      </w:r>
    </w:p>
    <w:p w14:paraId="7427A11F" w14:textId="77777777" w:rsidR="002736B8" w:rsidRPr="00372BEA" w:rsidRDefault="002736B8" w:rsidP="00BB4BD7">
      <w:pPr>
        <w:autoSpaceDE w:val="0"/>
        <w:autoSpaceDN w:val="0"/>
        <w:adjustRightInd w:val="0"/>
        <w:spacing w:after="0" w:line="240" w:lineRule="atLeast"/>
        <w:jc w:val="both"/>
        <w:rPr>
          <w:rFonts w:ascii="Arial" w:hAnsi="Arial" w:cs="Arial"/>
          <w:color w:val="000000"/>
          <w:sz w:val="20"/>
          <w:szCs w:val="20"/>
          <w:lang w:val="en-GB"/>
        </w:rPr>
      </w:pPr>
    </w:p>
    <w:p w14:paraId="021E51D6" w14:textId="5A494075" w:rsidR="00130ABA" w:rsidRPr="00372BEA" w:rsidRDefault="00130ABA" w:rsidP="00FF7E96">
      <w:pPr>
        <w:autoSpaceDE w:val="0"/>
        <w:autoSpaceDN w:val="0"/>
        <w:adjustRightInd w:val="0"/>
        <w:spacing w:after="0" w:line="240" w:lineRule="atLeast"/>
        <w:jc w:val="both"/>
        <w:rPr>
          <w:rFonts w:ascii="Arial" w:hAnsi="Arial" w:cs="Arial"/>
          <w:sz w:val="20"/>
          <w:szCs w:val="20"/>
          <w:lang w:val="en-GB"/>
        </w:rPr>
      </w:pPr>
      <w:r w:rsidRPr="00372BEA">
        <w:rPr>
          <w:rFonts w:ascii="Arial" w:hAnsi="Arial" w:cs="Arial"/>
          <w:sz w:val="20"/>
          <w:szCs w:val="20"/>
          <w:lang w:val="en-GB"/>
        </w:rPr>
        <w:t xml:space="preserve">Therefore, to </w:t>
      </w:r>
      <w:r w:rsidR="00E67976" w:rsidRPr="00372BEA">
        <w:rPr>
          <w:rFonts w:ascii="Arial" w:hAnsi="Arial" w:cs="Arial"/>
          <w:sz w:val="20"/>
          <w:szCs w:val="20"/>
          <w:lang w:val="en-GB"/>
        </w:rPr>
        <w:t>FBF</w:t>
      </w:r>
      <w:r w:rsidRPr="00372BEA">
        <w:rPr>
          <w:rFonts w:ascii="Arial" w:hAnsi="Arial" w:cs="Arial"/>
          <w:sz w:val="20"/>
          <w:szCs w:val="20"/>
          <w:lang w:val="en-GB"/>
        </w:rPr>
        <w:t xml:space="preserve">, clients’ questioning on ESG expectations should be a </w:t>
      </w:r>
      <w:r w:rsidR="00525CC6" w:rsidRPr="00372BEA">
        <w:rPr>
          <w:rFonts w:ascii="Arial" w:hAnsi="Arial" w:cs="Arial"/>
          <w:sz w:val="20"/>
          <w:szCs w:val="20"/>
          <w:lang w:val="en-GB"/>
        </w:rPr>
        <w:t>five (</w:t>
      </w:r>
      <w:r w:rsidRPr="00372BEA">
        <w:rPr>
          <w:rFonts w:ascii="Arial" w:hAnsi="Arial" w:cs="Arial"/>
          <w:sz w:val="20"/>
          <w:szCs w:val="20"/>
          <w:lang w:val="en-GB"/>
        </w:rPr>
        <w:t>5</w:t>
      </w:r>
      <w:r w:rsidR="00525CC6" w:rsidRPr="00372BEA">
        <w:rPr>
          <w:rFonts w:ascii="Arial" w:hAnsi="Arial" w:cs="Arial"/>
          <w:sz w:val="20"/>
          <w:szCs w:val="20"/>
          <w:lang w:val="en-GB"/>
        </w:rPr>
        <w:t>)</w:t>
      </w:r>
      <w:r w:rsidRPr="00372BEA">
        <w:rPr>
          <w:rFonts w:ascii="Arial" w:hAnsi="Arial" w:cs="Arial"/>
          <w:sz w:val="20"/>
          <w:szCs w:val="20"/>
          <w:lang w:val="en-GB"/>
        </w:rPr>
        <w:t xml:space="preserve"> steps approach:</w:t>
      </w:r>
    </w:p>
    <w:p w14:paraId="60363F1B" w14:textId="64AA4372" w:rsidR="00130ABA" w:rsidRPr="00372BEA" w:rsidRDefault="00130ABA" w:rsidP="00970615">
      <w:pPr>
        <w:pStyle w:val="Paragraphedeliste"/>
        <w:numPr>
          <w:ilvl w:val="0"/>
          <w:numId w:val="20"/>
        </w:numPr>
        <w:autoSpaceDE w:val="0"/>
        <w:autoSpaceDN w:val="0"/>
        <w:adjustRightInd w:val="0"/>
        <w:spacing w:after="0" w:line="240" w:lineRule="atLeast"/>
        <w:jc w:val="both"/>
        <w:rPr>
          <w:rFonts w:ascii="Arial" w:hAnsi="Arial" w:cs="Arial"/>
          <w:sz w:val="20"/>
          <w:szCs w:val="20"/>
          <w:lang w:val="en-GB"/>
        </w:rPr>
      </w:pPr>
      <w:r w:rsidRPr="00372BEA">
        <w:rPr>
          <w:rFonts w:ascii="Arial" w:hAnsi="Arial" w:cs="Arial"/>
          <w:sz w:val="20"/>
          <w:szCs w:val="20"/>
          <w:lang w:val="en-GB"/>
        </w:rPr>
        <w:t>ISPs should provide general information to clients on the concept of “sustainability preferences” and the purpose of this assessment.</w:t>
      </w:r>
    </w:p>
    <w:p w14:paraId="1C1FC9C7" w14:textId="72EA632C" w:rsidR="00130ABA" w:rsidRPr="00372BEA" w:rsidRDefault="00130BD3" w:rsidP="00970615">
      <w:pPr>
        <w:pStyle w:val="Paragraphedeliste"/>
        <w:numPr>
          <w:ilvl w:val="0"/>
          <w:numId w:val="20"/>
        </w:numPr>
        <w:autoSpaceDE w:val="0"/>
        <w:autoSpaceDN w:val="0"/>
        <w:adjustRightInd w:val="0"/>
        <w:spacing w:after="0" w:line="240" w:lineRule="atLeast"/>
        <w:jc w:val="both"/>
        <w:rPr>
          <w:rFonts w:ascii="Arial" w:hAnsi="Arial" w:cs="Arial"/>
          <w:sz w:val="20"/>
          <w:szCs w:val="20"/>
          <w:lang w:val="en-GB"/>
        </w:rPr>
      </w:pPr>
      <w:r w:rsidRPr="00372BEA">
        <w:rPr>
          <w:rFonts w:ascii="Arial" w:hAnsi="Arial" w:cs="Arial"/>
          <w:sz w:val="20"/>
          <w:szCs w:val="20"/>
          <w:lang w:val="en-GB"/>
        </w:rPr>
        <w:lastRenderedPageBreak/>
        <w:t>T</w:t>
      </w:r>
      <w:r w:rsidR="00130ABA" w:rsidRPr="00372BEA">
        <w:rPr>
          <w:rFonts w:ascii="Arial" w:hAnsi="Arial" w:cs="Arial"/>
          <w:sz w:val="20"/>
          <w:szCs w:val="20"/>
          <w:lang w:val="en-GB"/>
        </w:rPr>
        <w:t>he client would be asked a first general yes/ no question on any ESG preference.</w:t>
      </w:r>
    </w:p>
    <w:p w14:paraId="0A8C8F0B" w14:textId="24EB8B5E" w:rsidR="00130ABA" w:rsidRPr="00372BEA" w:rsidRDefault="00130BD3" w:rsidP="00970615">
      <w:pPr>
        <w:pStyle w:val="Paragraphedeliste"/>
        <w:numPr>
          <w:ilvl w:val="0"/>
          <w:numId w:val="20"/>
        </w:numPr>
        <w:autoSpaceDE w:val="0"/>
        <w:autoSpaceDN w:val="0"/>
        <w:adjustRightInd w:val="0"/>
        <w:spacing w:after="0" w:line="240" w:lineRule="atLeast"/>
        <w:jc w:val="both"/>
        <w:rPr>
          <w:rFonts w:ascii="Arial" w:hAnsi="Arial" w:cs="Arial"/>
          <w:sz w:val="20"/>
          <w:szCs w:val="20"/>
          <w:lang w:val="en-GB"/>
        </w:rPr>
      </w:pPr>
      <w:r w:rsidRPr="00372BEA">
        <w:rPr>
          <w:rFonts w:ascii="Arial" w:hAnsi="Arial" w:cs="Arial"/>
          <w:sz w:val="20"/>
          <w:szCs w:val="20"/>
          <w:lang w:val="en-GB"/>
        </w:rPr>
        <w:t>C</w:t>
      </w:r>
      <w:r w:rsidR="00130ABA" w:rsidRPr="00372BEA">
        <w:rPr>
          <w:rFonts w:ascii="Arial" w:hAnsi="Arial" w:cs="Arial"/>
          <w:sz w:val="20"/>
          <w:szCs w:val="20"/>
          <w:lang w:val="en-GB"/>
        </w:rPr>
        <w:t xml:space="preserve">lients who answered yes to this first question should be provided more detailed information as provided under draft paragraph </w:t>
      </w:r>
      <w:r w:rsidR="00485A7C" w:rsidRPr="00372BEA">
        <w:rPr>
          <w:rFonts w:ascii="Arial" w:hAnsi="Arial" w:cs="Arial"/>
          <w:sz w:val="20"/>
          <w:szCs w:val="20"/>
          <w:lang w:val="en-GB"/>
        </w:rPr>
        <w:t xml:space="preserve">(§) </w:t>
      </w:r>
      <w:r w:rsidR="00130ABA" w:rsidRPr="00372BEA">
        <w:rPr>
          <w:rFonts w:ascii="Arial" w:hAnsi="Arial" w:cs="Arial"/>
          <w:sz w:val="20"/>
          <w:szCs w:val="20"/>
          <w:lang w:val="en-GB"/>
        </w:rPr>
        <w:t xml:space="preserve">16 of the </w:t>
      </w:r>
      <w:r w:rsidR="00011FE7" w:rsidRPr="00372BEA">
        <w:rPr>
          <w:rFonts w:ascii="Arial" w:hAnsi="Arial" w:cs="Arial"/>
          <w:sz w:val="20"/>
          <w:szCs w:val="20"/>
          <w:lang w:val="en-GB"/>
        </w:rPr>
        <w:t xml:space="preserve">Draft </w:t>
      </w:r>
      <w:r w:rsidR="00130ABA" w:rsidRPr="00372BEA">
        <w:rPr>
          <w:rFonts w:ascii="Arial" w:hAnsi="Arial" w:cs="Arial"/>
          <w:sz w:val="20"/>
          <w:szCs w:val="20"/>
          <w:lang w:val="en-GB"/>
        </w:rPr>
        <w:t>guidelines.</w:t>
      </w:r>
    </w:p>
    <w:p w14:paraId="4D5851DE" w14:textId="3595F3CD" w:rsidR="00130ABA" w:rsidRPr="00372BEA" w:rsidRDefault="00130BD3" w:rsidP="00970615">
      <w:pPr>
        <w:pStyle w:val="Paragraphedeliste"/>
        <w:numPr>
          <w:ilvl w:val="0"/>
          <w:numId w:val="20"/>
        </w:numPr>
        <w:autoSpaceDE w:val="0"/>
        <w:autoSpaceDN w:val="0"/>
        <w:adjustRightInd w:val="0"/>
        <w:spacing w:after="0" w:line="240" w:lineRule="atLeast"/>
        <w:jc w:val="both"/>
        <w:rPr>
          <w:rFonts w:ascii="Arial" w:hAnsi="Arial" w:cs="Arial"/>
          <w:sz w:val="20"/>
          <w:szCs w:val="20"/>
          <w:lang w:val="en-GB"/>
        </w:rPr>
      </w:pPr>
      <w:r w:rsidRPr="00372BEA">
        <w:rPr>
          <w:rFonts w:ascii="Arial" w:hAnsi="Arial" w:cs="Arial"/>
          <w:sz w:val="20"/>
          <w:szCs w:val="20"/>
          <w:lang w:val="en-GB"/>
        </w:rPr>
        <w:t>C</w:t>
      </w:r>
      <w:r w:rsidR="00130ABA" w:rsidRPr="00372BEA">
        <w:rPr>
          <w:rFonts w:ascii="Arial" w:hAnsi="Arial" w:cs="Arial"/>
          <w:sz w:val="20"/>
          <w:szCs w:val="20"/>
          <w:lang w:val="en-GB"/>
        </w:rPr>
        <w:t xml:space="preserve">lients should be provided with </w:t>
      </w:r>
      <w:r w:rsidR="00130ABA" w:rsidRPr="00372BEA">
        <w:rPr>
          <w:rFonts w:ascii="Arial" w:hAnsi="Arial" w:cs="Arial"/>
          <w:color w:val="000000"/>
          <w:sz w:val="20"/>
          <w:szCs w:val="20"/>
          <w:lang w:val="en-GB"/>
        </w:rPr>
        <w:t xml:space="preserve">a general warning </w:t>
      </w:r>
      <w:proofErr w:type="spellStart"/>
      <w:r w:rsidR="00130ABA" w:rsidRPr="00372BEA">
        <w:rPr>
          <w:rFonts w:ascii="Arial" w:hAnsi="Arial" w:cs="Arial"/>
          <w:color w:val="000000"/>
          <w:sz w:val="20"/>
          <w:szCs w:val="20"/>
          <w:lang w:val="en-GB"/>
        </w:rPr>
        <w:t>i</w:t>
      </w:r>
      <w:proofErr w:type="spellEnd"/>
      <w:r w:rsidR="00130ABA" w:rsidRPr="00372BEA">
        <w:rPr>
          <w:rFonts w:ascii="Arial" w:hAnsi="Arial" w:cs="Arial"/>
          <w:color w:val="000000"/>
          <w:sz w:val="20"/>
          <w:szCs w:val="20"/>
          <w:lang w:val="en-GB"/>
        </w:rPr>
        <w:t>) on the state of maturity of the market on ESG products’ offer (</w:t>
      </w:r>
      <w:proofErr w:type="spellStart"/>
      <w:r w:rsidR="00130ABA" w:rsidRPr="00372BEA">
        <w:rPr>
          <w:rFonts w:ascii="Arial" w:hAnsi="Arial" w:cs="Arial"/>
          <w:color w:val="000000"/>
          <w:sz w:val="20"/>
          <w:szCs w:val="20"/>
          <w:lang w:val="en-GB"/>
        </w:rPr>
        <w:t>e.g</w:t>
      </w:r>
      <w:proofErr w:type="spellEnd"/>
      <w:r w:rsidR="00130ABA" w:rsidRPr="00372BEA">
        <w:rPr>
          <w:rFonts w:ascii="Arial" w:hAnsi="Arial" w:cs="Arial"/>
          <w:color w:val="000000"/>
          <w:sz w:val="20"/>
          <w:szCs w:val="20"/>
          <w:lang w:val="en-GB"/>
        </w:rPr>
        <w:t xml:space="preserve"> maximum taxonomy alignment offered)</w:t>
      </w:r>
      <w:r w:rsidR="00C379C9" w:rsidRPr="00372BEA">
        <w:rPr>
          <w:rFonts w:ascii="Arial" w:hAnsi="Arial" w:cs="Arial"/>
          <w:color w:val="000000"/>
          <w:sz w:val="20"/>
          <w:szCs w:val="20"/>
          <w:lang w:val="en-GB"/>
        </w:rPr>
        <w:t xml:space="preserve"> and</w:t>
      </w:r>
      <w:r w:rsidR="00130ABA" w:rsidRPr="00372BEA">
        <w:rPr>
          <w:rFonts w:ascii="Arial" w:hAnsi="Arial" w:cs="Arial"/>
          <w:color w:val="000000"/>
          <w:sz w:val="20"/>
          <w:szCs w:val="20"/>
          <w:lang w:val="en-GB"/>
        </w:rPr>
        <w:t xml:space="preserve"> ii) on the specific risks potentially attached to the formulation of very ambitious ESG expectations.</w:t>
      </w:r>
    </w:p>
    <w:p w14:paraId="50498651" w14:textId="54B6C17C" w:rsidR="00130ABA" w:rsidRPr="00372BEA" w:rsidRDefault="00C379C9" w:rsidP="00970615">
      <w:pPr>
        <w:pStyle w:val="Paragraphedeliste"/>
        <w:numPr>
          <w:ilvl w:val="0"/>
          <w:numId w:val="20"/>
        </w:numPr>
        <w:autoSpaceDE w:val="0"/>
        <w:autoSpaceDN w:val="0"/>
        <w:adjustRightInd w:val="0"/>
        <w:spacing w:after="0" w:line="240" w:lineRule="atLeast"/>
        <w:jc w:val="both"/>
        <w:rPr>
          <w:rFonts w:ascii="Arial" w:hAnsi="Arial" w:cs="Arial"/>
          <w:sz w:val="20"/>
          <w:szCs w:val="20"/>
          <w:lang w:val="en-GB"/>
        </w:rPr>
      </w:pPr>
      <w:r w:rsidRPr="00372BEA">
        <w:rPr>
          <w:rFonts w:ascii="Arial" w:hAnsi="Arial" w:cs="Arial"/>
          <w:color w:val="000000"/>
          <w:sz w:val="20"/>
          <w:szCs w:val="20"/>
          <w:lang w:val="en-GB"/>
        </w:rPr>
        <w:t>C</w:t>
      </w:r>
      <w:r w:rsidR="00130ABA" w:rsidRPr="00372BEA">
        <w:rPr>
          <w:rFonts w:ascii="Arial" w:hAnsi="Arial" w:cs="Arial"/>
          <w:color w:val="000000"/>
          <w:sz w:val="20"/>
          <w:szCs w:val="20"/>
          <w:lang w:val="en-GB"/>
        </w:rPr>
        <w:t>lients would have to go through the detailed questioning on his/ her ESG preferences.</w:t>
      </w:r>
    </w:p>
    <w:p w14:paraId="773ED26E" w14:textId="77777777" w:rsidR="00130ABA" w:rsidRPr="00372BEA" w:rsidRDefault="00130ABA" w:rsidP="00731FD9">
      <w:pPr>
        <w:autoSpaceDE w:val="0"/>
        <w:autoSpaceDN w:val="0"/>
        <w:adjustRightInd w:val="0"/>
        <w:spacing w:after="0" w:line="240" w:lineRule="atLeast"/>
        <w:jc w:val="both"/>
        <w:rPr>
          <w:rFonts w:ascii="Arial" w:hAnsi="Arial" w:cs="Arial"/>
          <w:color w:val="000000"/>
          <w:sz w:val="20"/>
          <w:szCs w:val="20"/>
          <w:lang w:val="en-GB"/>
        </w:rPr>
      </w:pPr>
    </w:p>
    <w:p w14:paraId="53A5AAAC" w14:textId="02298CDD" w:rsidR="00FA7E80" w:rsidRPr="00372BEA" w:rsidRDefault="008F504B" w:rsidP="00731FD9">
      <w:pPr>
        <w:autoSpaceDE w:val="0"/>
        <w:autoSpaceDN w:val="0"/>
        <w:adjustRightInd w:val="0"/>
        <w:spacing w:after="0" w:line="240" w:lineRule="atLeast"/>
        <w:jc w:val="both"/>
        <w:rPr>
          <w:rFonts w:ascii="Arial" w:hAnsi="Arial" w:cs="Arial"/>
          <w:color w:val="000000"/>
          <w:sz w:val="20"/>
          <w:szCs w:val="20"/>
          <w:lang w:val="en-GB"/>
        </w:rPr>
      </w:pPr>
      <w:r w:rsidRPr="00372BEA">
        <w:rPr>
          <w:rFonts w:ascii="Arial" w:hAnsi="Arial" w:cs="Arial"/>
          <w:color w:val="000000"/>
          <w:sz w:val="20"/>
          <w:szCs w:val="20"/>
          <w:lang w:val="en-GB"/>
        </w:rPr>
        <w:t xml:space="preserve">To avoid any risk of clients being driven towards one specific firm’s offer, </w:t>
      </w:r>
      <w:r w:rsidR="00FA7E80" w:rsidRPr="00372BEA">
        <w:rPr>
          <w:rFonts w:ascii="Arial" w:hAnsi="Arial" w:cs="Arial"/>
          <w:color w:val="000000"/>
          <w:sz w:val="20"/>
          <w:szCs w:val="20"/>
          <w:lang w:val="en-GB"/>
        </w:rPr>
        <w:t>figures on the overall state</w:t>
      </w:r>
      <w:r w:rsidR="009D220F" w:rsidRPr="00372BEA">
        <w:rPr>
          <w:rFonts w:ascii="Arial" w:hAnsi="Arial" w:cs="Arial"/>
          <w:color w:val="000000"/>
          <w:sz w:val="20"/>
          <w:szCs w:val="20"/>
          <w:lang w:val="en-GB"/>
        </w:rPr>
        <w:t xml:space="preserve"> </w:t>
      </w:r>
      <w:r w:rsidR="00FA7E80" w:rsidRPr="00372BEA">
        <w:rPr>
          <w:rFonts w:ascii="Arial" w:hAnsi="Arial" w:cs="Arial"/>
          <w:color w:val="000000"/>
          <w:sz w:val="20"/>
          <w:szCs w:val="20"/>
          <w:lang w:val="en-GB"/>
        </w:rPr>
        <w:t xml:space="preserve">of </w:t>
      </w:r>
      <w:r w:rsidR="009D220F" w:rsidRPr="00372BEA">
        <w:rPr>
          <w:rFonts w:ascii="Arial" w:hAnsi="Arial" w:cs="Arial"/>
          <w:color w:val="000000"/>
          <w:sz w:val="20"/>
          <w:szCs w:val="20"/>
          <w:lang w:val="en-GB"/>
        </w:rPr>
        <w:t>maturity</w:t>
      </w:r>
      <w:r w:rsidR="00FA7E80" w:rsidRPr="00372BEA">
        <w:rPr>
          <w:rFonts w:ascii="Arial" w:hAnsi="Arial" w:cs="Arial"/>
          <w:color w:val="000000"/>
          <w:sz w:val="20"/>
          <w:szCs w:val="20"/>
          <w:lang w:val="en-GB"/>
        </w:rPr>
        <w:t xml:space="preserve"> of the market could be provided by ESMA and regularly updated</w:t>
      </w:r>
      <w:r w:rsidR="009D220F" w:rsidRPr="00372BEA">
        <w:rPr>
          <w:rFonts w:ascii="Arial" w:hAnsi="Arial" w:cs="Arial"/>
          <w:color w:val="000000"/>
          <w:sz w:val="20"/>
          <w:szCs w:val="20"/>
          <w:lang w:val="en-GB"/>
        </w:rPr>
        <w:t xml:space="preserve"> to follow market evolution.</w:t>
      </w:r>
    </w:p>
    <w:p w14:paraId="1866D1C5" w14:textId="77777777" w:rsidR="00340660" w:rsidRPr="00372BEA" w:rsidRDefault="00340660" w:rsidP="00731FD9">
      <w:pPr>
        <w:autoSpaceDE w:val="0"/>
        <w:autoSpaceDN w:val="0"/>
        <w:adjustRightInd w:val="0"/>
        <w:spacing w:after="0" w:line="240" w:lineRule="atLeast"/>
        <w:jc w:val="both"/>
        <w:rPr>
          <w:rFonts w:ascii="Arial" w:hAnsi="Arial" w:cs="Arial"/>
          <w:color w:val="000000"/>
          <w:sz w:val="20"/>
          <w:szCs w:val="20"/>
          <w:lang w:val="en-GB"/>
        </w:rPr>
      </w:pPr>
    </w:p>
    <w:p w14:paraId="11E82E13" w14:textId="473AA989" w:rsidR="005928DA" w:rsidRPr="00372BEA" w:rsidRDefault="002E2997" w:rsidP="00731FD9">
      <w:pPr>
        <w:autoSpaceDE w:val="0"/>
        <w:autoSpaceDN w:val="0"/>
        <w:adjustRightInd w:val="0"/>
        <w:spacing w:after="0" w:line="240" w:lineRule="atLeast"/>
        <w:jc w:val="both"/>
        <w:rPr>
          <w:rFonts w:ascii="Arial" w:hAnsi="Arial" w:cs="Arial"/>
          <w:color w:val="000000"/>
          <w:sz w:val="20"/>
          <w:szCs w:val="20"/>
          <w:lang w:val="en-GB"/>
        </w:rPr>
      </w:pPr>
      <w:r w:rsidRPr="00372BEA">
        <w:rPr>
          <w:rFonts w:ascii="Arial" w:hAnsi="Arial" w:cs="Arial"/>
          <w:color w:val="000000"/>
          <w:sz w:val="20"/>
          <w:szCs w:val="20"/>
          <w:lang w:val="en-GB"/>
        </w:rPr>
        <w:t xml:space="preserve">In </w:t>
      </w:r>
      <w:r w:rsidR="00C55799" w:rsidRPr="00372BEA">
        <w:rPr>
          <w:rFonts w:ascii="Arial" w:hAnsi="Arial" w:cs="Arial"/>
          <w:color w:val="000000"/>
          <w:sz w:val="20"/>
          <w:szCs w:val="20"/>
          <w:lang w:val="en-GB"/>
        </w:rPr>
        <w:t>addition,</w:t>
      </w:r>
      <w:r w:rsidR="00C217AC" w:rsidRPr="00372BEA">
        <w:rPr>
          <w:rFonts w:ascii="Arial" w:hAnsi="Arial" w:cs="Arial"/>
          <w:color w:val="000000"/>
          <w:sz w:val="20"/>
          <w:szCs w:val="20"/>
          <w:lang w:val="en-GB"/>
        </w:rPr>
        <w:t xml:space="preserve"> </w:t>
      </w:r>
      <w:r w:rsidR="00130ABA" w:rsidRPr="00372BEA">
        <w:rPr>
          <w:rFonts w:ascii="Arial" w:hAnsi="Arial" w:cs="Arial"/>
          <w:color w:val="000000"/>
          <w:sz w:val="20"/>
          <w:szCs w:val="20"/>
          <w:lang w:val="en-GB"/>
        </w:rPr>
        <w:t xml:space="preserve">on a formal standpoint, </w:t>
      </w:r>
      <w:r w:rsidR="00E67976" w:rsidRPr="00372BEA">
        <w:rPr>
          <w:rFonts w:ascii="Arial" w:hAnsi="Arial" w:cs="Arial"/>
          <w:color w:val="000000"/>
          <w:sz w:val="20"/>
          <w:szCs w:val="20"/>
          <w:lang w:val="en-GB"/>
        </w:rPr>
        <w:t>FBF</w:t>
      </w:r>
      <w:r w:rsidR="00130ABA" w:rsidRPr="00372BEA">
        <w:rPr>
          <w:rFonts w:ascii="Arial" w:hAnsi="Arial" w:cs="Arial"/>
          <w:color w:val="000000"/>
          <w:sz w:val="20"/>
          <w:szCs w:val="20"/>
          <w:lang w:val="en-GB"/>
        </w:rPr>
        <w:t xml:space="preserve"> also</w:t>
      </w:r>
      <w:r w:rsidR="009E29B2" w:rsidRPr="00372BEA">
        <w:rPr>
          <w:rFonts w:ascii="Arial" w:hAnsi="Arial" w:cs="Arial"/>
          <w:color w:val="000000"/>
          <w:sz w:val="20"/>
          <w:szCs w:val="20"/>
          <w:lang w:val="en-GB"/>
        </w:rPr>
        <w:t xml:space="preserve"> suggests </w:t>
      </w:r>
      <w:r w:rsidR="00375892" w:rsidRPr="00372BEA">
        <w:rPr>
          <w:rFonts w:ascii="Arial" w:hAnsi="Arial" w:cs="Arial"/>
          <w:color w:val="000000"/>
          <w:sz w:val="20"/>
          <w:szCs w:val="20"/>
          <w:lang w:val="en-GB"/>
        </w:rPr>
        <w:t xml:space="preserve">ESMA </w:t>
      </w:r>
      <w:r w:rsidR="004167EA" w:rsidRPr="00372BEA">
        <w:rPr>
          <w:rFonts w:ascii="Arial" w:hAnsi="Arial" w:cs="Arial"/>
          <w:color w:val="000000"/>
          <w:sz w:val="20"/>
          <w:szCs w:val="20"/>
          <w:lang w:val="en-GB"/>
        </w:rPr>
        <w:t>adding</w:t>
      </w:r>
      <w:r w:rsidR="009E29B2" w:rsidRPr="00372BEA">
        <w:rPr>
          <w:rFonts w:ascii="Arial" w:hAnsi="Arial" w:cs="Arial"/>
          <w:color w:val="000000"/>
          <w:sz w:val="20"/>
          <w:szCs w:val="20"/>
          <w:lang w:val="en-GB"/>
        </w:rPr>
        <w:t xml:space="preserve"> complete reference to </w:t>
      </w:r>
      <w:r w:rsidR="007A2112" w:rsidRPr="00372BEA">
        <w:rPr>
          <w:rFonts w:ascii="Arial" w:hAnsi="Arial" w:cs="Arial"/>
          <w:color w:val="000000"/>
          <w:sz w:val="20"/>
          <w:szCs w:val="20"/>
          <w:lang w:val="en-GB"/>
        </w:rPr>
        <w:t>Article</w:t>
      </w:r>
      <w:r w:rsidR="009E29B2" w:rsidRPr="00372BEA">
        <w:rPr>
          <w:rFonts w:ascii="Arial" w:hAnsi="Arial" w:cs="Arial"/>
          <w:color w:val="000000"/>
          <w:sz w:val="20"/>
          <w:szCs w:val="20"/>
          <w:lang w:val="en-GB"/>
        </w:rPr>
        <w:t xml:space="preserve"> 2</w:t>
      </w:r>
      <w:r w:rsidR="009E5A8E" w:rsidRPr="00372BEA">
        <w:rPr>
          <w:rFonts w:ascii="Arial" w:hAnsi="Arial" w:cs="Arial"/>
          <w:color w:val="000000"/>
          <w:sz w:val="20"/>
          <w:szCs w:val="20"/>
          <w:lang w:val="en-GB"/>
        </w:rPr>
        <w:t>(</w:t>
      </w:r>
      <w:r w:rsidR="009E29B2" w:rsidRPr="00372BEA">
        <w:rPr>
          <w:rFonts w:ascii="Arial" w:hAnsi="Arial" w:cs="Arial"/>
          <w:color w:val="000000"/>
          <w:sz w:val="20"/>
          <w:szCs w:val="20"/>
          <w:lang w:val="en-GB"/>
        </w:rPr>
        <w:t xml:space="preserve">7) </w:t>
      </w:r>
      <w:r w:rsidR="007A2112" w:rsidRPr="00372BEA">
        <w:rPr>
          <w:rFonts w:ascii="Arial" w:hAnsi="Arial" w:cs="Arial"/>
          <w:color w:val="000000"/>
          <w:sz w:val="20"/>
          <w:szCs w:val="20"/>
          <w:lang w:val="en-GB"/>
        </w:rPr>
        <w:t>Mi</w:t>
      </w:r>
      <w:r w:rsidR="00517D1F" w:rsidRPr="00372BEA">
        <w:rPr>
          <w:rFonts w:ascii="Arial" w:hAnsi="Arial" w:cs="Arial"/>
          <w:color w:val="000000"/>
          <w:sz w:val="20"/>
          <w:szCs w:val="20"/>
          <w:lang w:val="en-GB"/>
        </w:rPr>
        <w:t>F</w:t>
      </w:r>
      <w:r w:rsidR="007A2112" w:rsidRPr="00372BEA">
        <w:rPr>
          <w:rFonts w:ascii="Arial" w:hAnsi="Arial" w:cs="Arial"/>
          <w:color w:val="000000"/>
          <w:sz w:val="20"/>
          <w:szCs w:val="20"/>
          <w:lang w:val="en-GB"/>
        </w:rPr>
        <w:t>ID</w:t>
      </w:r>
      <w:r w:rsidR="00517D1F" w:rsidRPr="00372BEA">
        <w:rPr>
          <w:rFonts w:ascii="Arial" w:hAnsi="Arial" w:cs="Arial"/>
          <w:color w:val="000000"/>
          <w:sz w:val="20"/>
          <w:szCs w:val="20"/>
          <w:lang w:val="en-GB"/>
        </w:rPr>
        <w:t xml:space="preserve"> II</w:t>
      </w:r>
      <w:r w:rsidR="007A2112" w:rsidRPr="00372BEA">
        <w:rPr>
          <w:rFonts w:ascii="Arial" w:hAnsi="Arial" w:cs="Arial"/>
          <w:color w:val="000000"/>
          <w:sz w:val="20"/>
          <w:szCs w:val="20"/>
          <w:lang w:val="en-GB"/>
        </w:rPr>
        <w:t xml:space="preserve"> amended </w:t>
      </w:r>
      <w:r w:rsidR="00517D1F" w:rsidRPr="00372BEA">
        <w:rPr>
          <w:rFonts w:ascii="Arial" w:hAnsi="Arial" w:cs="Arial"/>
          <w:color w:val="000000"/>
          <w:sz w:val="20"/>
          <w:szCs w:val="20"/>
          <w:lang w:val="en-GB"/>
        </w:rPr>
        <w:t>D</w:t>
      </w:r>
      <w:r w:rsidR="007A2112" w:rsidRPr="00372BEA">
        <w:rPr>
          <w:rFonts w:ascii="Arial" w:hAnsi="Arial" w:cs="Arial"/>
          <w:color w:val="000000"/>
          <w:sz w:val="20"/>
          <w:szCs w:val="20"/>
          <w:lang w:val="en-GB"/>
        </w:rPr>
        <w:t xml:space="preserve">elegated </w:t>
      </w:r>
      <w:r w:rsidR="00517D1F" w:rsidRPr="00372BEA">
        <w:rPr>
          <w:rFonts w:ascii="Arial" w:hAnsi="Arial" w:cs="Arial"/>
          <w:color w:val="000000"/>
          <w:sz w:val="20"/>
          <w:szCs w:val="20"/>
          <w:lang w:val="en-GB"/>
        </w:rPr>
        <w:t>R</w:t>
      </w:r>
      <w:r w:rsidR="007A2112" w:rsidRPr="00372BEA">
        <w:rPr>
          <w:rFonts w:ascii="Arial" w:hAnsi="Arial" w:cs="Arial"/>
          <w:color w:val="000000"/>
          <w:sz w:val="20"/>
          <w:szCs w:val="20"/>
          <w:lang w:val="en-GB"/>
        </w:rPr>
        <w:t>egulation</w:t>
      </w:r>
      <w:r w:rsidR="00E97970" w:rsidRPr="00372BEA">
        <w:rPr>
          <w:rStyle w:val="Appelnotedebasdep"/>
          <w:rFonts w:cs="Arial"/>
          <w:color w:val="000000"/>
          <w:sz w:val="20"/>
          <w:szCs w:val="20"/>
          <w:lang w:val="en-GB"/>
        </w:rPr>
        <w:footnoteReference w:id="5"/>
      </w:r>
      <w:r w:rsidR="00813297" w:rsidRPr="00372BEA">
        <w:rPr>
          <w:rFonts w:ascii="Arial" w:hAnsi="Arial" w:cs="Arial"/>
          <w:color w:val="000000"/>
          <w:sz w:val="20"/>
          <w:szCs w:val="20"/>
          <w:lang w:val="en-GB"/>
        </w:rPr>
        <w:t xml:space="preserve"> in</w:t>
      </w:r>
      <w:r w:rsidR="003D6499" w:rsidRPr="00372BEA">
        <w:rPr>
          <w:rFonts w:ascii="Arial" w:hAnsi="Arial" w:cs="Arial"/>
          <w:color w:val="000000"/>
          <w:sz w:val="20"/>
          <w:szCs w:val="20"/>
          <w:lang w:val="en-GB"/>
        </w:rPr>
        <w:t xml:space="preserve"> the proposed</w:t>
      </w:r>
      <w:r w:rsidR="00813297" w:rsidRPr="00372BEA">
        <w:rPr>
          <w:rFonts w:ascii="Arial" w:hAnsi="Arial" w:cs="Arial"/>
          <w:color w:val="000000"/>
          <w:sz w:val="20"/>
          <w:szCs w:val="20"/>
          <w:lang w:val="en-GB"/>
        </w:rPr>
        <w:t xml:space="preserve"> </w:t>
      </w:r>
      <w:r w:rsidR="00624F44" w:rsidRPr="00372BEA">
        <w:rPr>
          <w:rFonts w:ascii="Arial" w:hAnsi="Arial" w:cs="Arial"/>
          <w:color w:val="000000"/>
          <w:sz w:val="20"/>
          <w:szCs w:val="20"/>
          <w:lang w:val="en-GB"/>
        </w:rPr>
        <w:t>§</w:t>
      </w:r>
      <w:r w:rsidR="00813297" w:rsidRPr="00372BEA">
        <w:rPr>
          <w:rFonts w:ascii="Arial" w:hAnsi="Arial" w:cs="Arial"/>
          <w:color w:val="000000"/>
          <w:sz w:val="20"/>
          <w:szCs w:val="20"/>
          <w:lang w:val="en-GB"/>
        </w:rPr>
        <w:t xml:space="preserve"> 16 </w:t>
      </w:r>
      <w:r w:rsidR="003D6499" w:rsidRPr="00372BEA">
        <w:rPr>
          <w:rFonts w:ascii="Arial" w:hAnsi="Arial" w:cs="Arial"/>
          <w:color w:val="000000"/>
          <w:sz w:val="20"/>
          <w:szCs w:val="20"/>
          <w:lang w:val="en-GB"/>
        </w:rPr>
        <w:t xml:space="preserve">of </w:t>
      </w:r>
      <w:r w:rsidR="00464802" w:rsidRPr="00372BEA">
        <w:rPr>
          <w:rFonts w:ascii="Arial" w:hAnsi="Arial" w:cs="Arial"/>
          <w:color w:val="000000"/>
          <w:sz w:val="20"/>
          <w:szCs w:val="20"/>
          <w:lang w:val="en-GB"/>
        </w:rPr>
        <w:t>g</w:t>
      </w:r>
      <w:r w:rsidR="003D6499" w:rsidRPr="00372BEA">
        <w:rPr>
          <w:rFonts w:ascii="Arial" w:hAnsi="Arial" w:cs="Arial"/>
          <w:color w:val="000000"/>
          <w:sz w:val="20"/>
          <w:szCs w:val="20"/>
          <w:lang w:val="en-GB"/>
        </w:rPr>
        <w:t xml:space="preserve">uideline </w:t>
      </w:r>
      <w:r w:rsidR="00A21F74" w:rsidRPr="00372BEA">
        <w:rPr>
          <w:rFonts w:ascii="Arial" w:hAnsi="Arial" w:cs="Arial"/>
          <w:color w:val="000000"/>
          <w:sz w:val="20"/>
          <w:szCs w:val="20"/>
          <w:lang w:val="en-GB"/>
        </w:rPr>
        <w:t>1.</w:t>
      </w:r>
    </w:p>
    <w:p w14:paraId="0D243D19" w14:textId="77777777" w:rsidR="00A006C1" w:rsidRPr="00372BEA" w:rsidRDefault="00A006C1" w:rsidP="00731FD9">
      <w:pPr>
        <w:autoSpaceDE w:val="0"/>
        <w:autoSpaceDN w:val="0"/>
        <w:adjustRightInd w:val="0"/>
        <w:spacing w:after="0" w:line="240" w:lineRule="atLeast"/>
        <w:jc w:val="both"/>
        <w:rPr>
          <w:rFonts w:ascii="Arial" w:hAnsi="Arial" w:cs="Arial"/>
          <w:color w:val="000000"/>
          <w:sz w:val="20"/>
          <w:szCs w:val="20"/>
          <w:lang w:val="en-GB"/>
        </w:rPr>
      </w:pPr>
    </w:p>
    <w:p w14:paraId="5DAA2205" w14:textId="77777777" w:rsidR="007A2112" w:rsidRPr="00372BEA" w:rsidRDefault="007A2112" w:rsidP="00731FD9">
      <w:pPr>
        <w:autoSpaceDE w:val="0"/>
        <w:autoSpaceDN w:val="0"/>
        <w:adjustRightInd w:val="0"/>
        <w:spacing w:after="0" w:line="240" w:lineRule="atLeast"/>
        <w:jc w:val="both"/>
        <w:rPr>
          <w:rFonts w:ascii="Arial" w:hAnsi="Arial" w:cs="Arial"/>
          <w:color w:val="000000"/>
          <w:sz w:val="20"/>
          <w:szCs w:val="20"/>
          <w:lang w:val="en-GB"/>
        </w:rPr>
      </w:pPr>
    </w:p>
    <w:p w14:paraId="6C576C57" w14:textId="5678F7DB" w:rsidR="00067DA0" w:rsidRPr="00372BEA" w:rsidRDefault="00067DA0" w:rsidP="00731FD9">
      <w:pPr>
        <w:autoSpaceDE w:val="0"/>
        <w:autoSpaceDN w:val="0"/>
        <w:adjustRightInd w:val="0"/>
        <w:spacing w:after="0" w:line="240" w:lineRule="atLeast"/>
        <w:jc w:val="both"/>
        <w:rPr>
          <w:rFonts w:ascii="Arial" w:eastAsia="Times New Roman" w:hAnsi="Arial" w:cs="Arial"/>
          <w:b/>
          <w:bCs/>
          <w:color w:val="000000"/>
          <w:sz w:val="20"/>
          <w:szCs w:val="20"/>
          <w:lang w:val="en-GB" w:eastAsia="fr-FR"/>
        </w:rPr>
      </w:pPr>
      <w:proofErr w:type="gramStart"/>
      <w:r w:rsidRPr="00372BEA">
        <w:rPr>
          <w:rFonts w:ascii="Arial" w:eastAsia="Times New Roman" w:hAnsi="Arial" w:cs="Arial"/>
          <w:b/>
          <w:bCs/>
          <w:color w:val="000000"/>
          <w:sz w:val="20"/>
          <w:szCs w:val="20"/>
          <w:lang w:val="en-GB" w:eastAsia="fr-FR"/>
        </w:rPr>
        <w:t>Q2</w:t>
      </w:r>
      <w:proofErr w:type="gramEnd"/>
      <w:r w:rsidRPr="00372BEA">
        <w:rPr>
          <w:rFonts w:ascii="Arial" w:eastAsia="Times New Roman" w:hAnsi="Arial" w:cs="Arial"/>
          <w:b/>
          <w:bCs/>
          <w:color w:val="000000"/>
          <w:sz w:val="20"/>
          <w:szCs w:val="20"/>
          <w:lang w:val="en-GB" w:eastAsia="fr-FR"/>
        </w:rPr>
        <w:tab/>
      </w:r>
      <w:r w:rsidR="00EA7CFE" w:rsidRPr="00372BEA">
        <w:rPr>
          <w:rFonts w:ascii="Arial" w:eastAsia="Times New Roman" w:hAnsi="Arial" w:cs="Arial"/>
          <w:b/>
          <w:bCs/>
          <w:color w:val="000000"/>
          <w:sz w:val="20"/>
          <w:szCs w:val="20"/>
          <w:lang w:val="en-US" w:eastAsia="fr-FR"/>
        </w:rPr>
        <w:t>Do you agree with the new supporting guideline in relation to the information to clients on the concept of sustainability preference or do you believe that the information requirement should be expanded further? Please also state the reasons for your answer.</w:t>
      </w:r>
    </w:p>
    <w:p w14:paraId="0D6BCB24" w14:textId="0EBFE71E" w:rsidR="005928DA" w:rsidRPr="00372BEA" w:rsidRDefault="005928DA" w:rsidP="00731FD9">
      <w:pPr>
        <w:autoSpaceDE w:val="0"/>
        <w:autoSpaceDN w:val="0"/>
        <w:adjustRightInd w:val="0"/>
        <w:spacing w:after="0" w:line="240" w:lineRule="atLeast"/>
        <w:contextualSpacing/>
        <w:jc w:val="both"/>
        <w:rPr>
          <w:rFonts w:ascii="Arial" w:eastAsia="Times New Roman" w:hAnsi="Arial" w:cs="Arial"/>
          <w:b/>
          <w:bCs/>
          <w:color w:val="000000"/>
          <w:sz w:val="20"/>
          <w:szCs w:val="20"/>
          <w:lang w:val="en-GB" w:eastAsia="fr-FR"/>
        </w:rPr>
      </w:pPr>
    </w:p>
    <w:p w14:paraId="50A7C1D2" w14:textId="3086CF3A" w:rsidR="00B433C8" w:rsidRPr="00372BEA" w:rsidRDefault="00076FEC" w:rsidP="00970615">
      <w:pPr>
        <w:autoSpaceDE w:val="0"/>
        <w:autoSpaceDN w:val="0"/>
        <w:adjustRightInd w:val="0"/>
        <w:spacing w:after="0" w:line="240" w:lineRule="atLeast"/>
        <w:jc w:val="both"/>
        <w:rPr>
          <w:rFonts w:ascii="Arial" w:hAnsi="Arial" w:cs="Arial"/>
          <w:b/>
          <w:bCs/>
          <w:color w:val="000000"/>
          <w:sz w:val="20"/>
          <w:szCs w:val="20"/>
          <w:lang w:val="en-GB"/>
        </w:rPr>
      </w:pPr>
      <w:r w:rsidRPr="00372BEA">
        <w:rPr>
          <w:rFonts w:ascii="Arial" w:eastAsia="Times New Roman" w:hAnsi="Arial" w:cs="Arial"/>
          <w:color w:val="000000"/>
          <w:sz w:val="20"/>
          <w:szCs w:val="20"/>
          <w:lang w:val="en-GB" w:eastAsia="fr-FR"/>
        </w:rPr>
        <w:t xml:space="preserve">As previously stated </w:t>
      </w:r>
      <w:r w:rsidR="000869C0" w:rsidRPr="00372BEA">
        <w:rPr>
          <w:rFonts w:ascii="Arial" w:eastAsia="Times New Roman" w:hAnsi="Arial" w:cs="Arial"/>
          <w:color w:val="000000"/>
          <w:sz w:val="20"/>
          <w:szCs w:val="20"/>
          <w:lang w:val="en-GB" w:eastAsia="fr-FR"/>
        </w:rPr>
        <w:t>under answer to Q1</w:t>
      </w:r>
      <w:r w:rsidR="00B433C8" w:rsidRPr="00372BEA">
        <w:rPr>
          <w:rFonts w:ascii="Arial" w:eastAsia="Times New Roman" w:hAnsi="Arial" w:cs="Arial"/>
          <w:color w:val="000000"/>
          <w:sz w:val="20"/>
          <w:szCs w:val="20"/>
          <w:lang w:val="en-GB" w:eastAsia="fr-FR"/>
        </w:rPr>
        <w:t xml:space="preserve">, in </w:t>
      </w:r>
      <w:r w:rsidR="00E67976" w:rsidRPr="00372BEA">
        <w:rPr>
          <w:rFonts w:ascii="Arial" w:eastAsia="Times New Roman" w:hAnsi="Arial" w:cs="Arial"/>
          <w:color w:val="000000"/>
          <w:sz w:val="20"/>
          <w:szCs w:val="20"/>
          <w:lang w:val="en-GB" w:eastAsia="fr-FR"/>
        </w:rPr>
        <w:t>FBF</w:t>
      </w:r>
      <w:r w:rsidR="00B433C8" w:rsidRPr="00372BEA">
        <w:rPr>
          <w:rFonts w:ascii="Arial" w:eastAsia="Times New Roman" w:hAnsi="Arial" w:cs="Arial"/>
          <w:color w:val="000000"/>
          <w:sz w:val="20"/>
          <w:szCs w:val="20"/>
          <w:lang w:val="en-GB" w:eastAsia="fr-FR"/>
        </w:rPr>
        <w:t xml:space="preserve">’s view, </w:t>
      </w:r>
      <w:r w:rsidR="00B433C8" w:rsidRPr="00372BEA">
        <w:rPr>
          <w:rFonts w:ascii="Arial" w:hAnsi="Arial" w:cs="Arial"/>
          <w:color w:val="000000"/>
          <w:sz w:val="20"/>
          <w:szCs w:val="20"/>
          <w:lang w:val="en-GB"/>
        </w:rPr>
        <w:t xml:space="preserve">the </w:t>
      </w:r>
      <w:r w:rsidR="00B433C8" w:rsidRPr="00372BEA">
        <w:rPr>
          <w:rFonts w:ascii="Arial" w:hAnsi="Arial" w:cs="Arial"/>
          <w:b/>
          <w:bCs/>
          <w:color w:val="000000"/>
          <w:sz w:val="20"/>
          <w:szCs w:val="20"/>
          <w:lang w:val="en-GB"/>
        </w:rPr>
        <w:t xml:space="preserve">questioning process should </w:t>
      </w:r>
      <w:r w:rsidR="00F63BDA" w:rsidRPr="00372BEA">
        <w:rPr>
          <w:rFonts w:ascii="Arial" w:hAnsi="Arial" w:cs="Arial"/>
          <w:b/>
          <w:bCs/>
          <w:color w:val="000000"/>
          <w:sz w:val="20"/>
          <w:szCs w:val="20"/>
          <w:lang w:val="en-GB"/>
        </w:rPr>
        <w:t xml:space="preserve">be kept </w:t>
      </w:r>
      <w:r w:rsidR="00B433C8" w:rsidRPr="00372BEA">
        <w:rPr>
          <w:rFonts w:ascii="Arial" w:hAnsi="Arial" w:cs="Arial"/>
          <w:b/>
          <w:bCs/>
          <w:color w:val="000000"/>
          <w:sz w:val="20"/>
          <w:szCs w:val="20"/>
          <w:lang w:val="en-GB"/>
        </w:rPr>
        <w:t xml:space="preserve">as simple and operational as possible and avoid overwhelming clients with information </w:t>
      </w:r>
      <w:r w:rsidR="00F63BDA" w:rsidRPr="00372BEA">
        <w:rPr>
          <w:rFonts w:ascii="Arial" w:hAnsi="Arial" w:cs="Arial"/>
          <w:b/>
          <w:bCs/>
          <w:color w:val="000000"/>
          <w:sz w:val="20"/>
          <w:szCs w:val="20"/>
          <w:lang w:val="en-GB"/>
        </w:rPr>
        <w:t>t</w:t>
      </w:r>
      <w:r w:rsidR="00B433C8" w:rsidRPr="00372BEA">
        <w:rPr>
          <w:rFonts w:ascii="Arial" w:hAnsi="Arial" w:cs="Arial"/>
          <w:b/>
          <w:bCs/>
          <w:color w:val="000000"/>
          <w:sz w:val="20"/>
          <w:szCs w:val="20"/>
          <w:lang w:val="en-GB"/>
        </w:rPr>
        <w:t>he</w:t>
      </w:r>
      <w:r w:rsidR="00F63BDA" w:rsidRPr="00372BEA">
        <w:rPr>
          <w:rFonts w:ascii="Arial" w:hAnsi="Arial" w:cs="Arial"/>
          <w:b/>
          <w:bCs/>
          <w:color w:val="000000"/>
          <w:sz w:val="20"/>
          <w:szCs w:val="20"/>
          <w:lang w:val="en-GB"/>
        </w:rPr>
        <w:t>y</w:t>
      </w:r>
      <w:r w:rsidR="00B433C8" w:rsidRPr="00372BEA">
        <w:rPr>
          <w:rFonts w:ascii="Arial" w:hAnsi="Arial" w:cs="Arial"/>
          <w:b/>
          <w:bCs/>
          <w:color w:val="000000"/>
          <w:sz w:val="20"/>
          <w:szCs w:val="20"/>
          <w:lang w:val="en-GB"/>
        </w:rPr>
        <w:t xml:space="preserve"> m</w:t>
      </w:r>
      <w:r w:rsidR="00F63BDA" w:rsidRPr="00372BEA">
        <w:rPr>
          <w:rFonts w:ascii="Arial" w:hAnsi="Arial" w:cs="Arial"/>
          <w:b/>
          <w:bCs/>
          <w:color w:val="000000"/>
          <w:sz w:val="20"/>
          <w:szCs w:val="20"/>
          <w:lang w:val="en-GB"/>
        </w:rPr>
        <w:t xml:space="preserve">ay </w:t>
      </w:r>
      <w:r w:rsidR="00B433C8" w:rsidRPr="00372BEA">
        <w:rPr>
          <w:rFonts w:ascii="Arial" w:hAnsi="Arial" w:cs="Arial"/>
          <w:b/>
          <w:bCs/>
          <w:color w:val="000000"/>
          <w:sz w:val="20"/>
          <w:szCs w:val="20"/>
          <w:lang w:val="en-GB"/>
        </w:rPr>
        <w:t>not be interested in</w:t>
      </w:r>
      <w:r w:rsidR="00007812" w:rsidRPr="00372BEA">
        <w:rPr>
          <w:rFonts w:ascii="Arial" w:hAnsi="Arial" w:cs="Arial"/>
          <w:b/>
          <w:bCs/>
          <w:color w:val="000000"/>
          <w:sz w:val="20"/>
          <w:szCs w:val="20"/>
          <w:lang w:val="en-GB"/>
        </w:rPr>
        <w:t xml:space="preserve">. </w:t>
      </w:r>
    </w:p>
    <w:p w14:paraId="4EC372F3" w14:textId="3EC8B179" w:rsidR="00B433C8" w:rsidRPr="00372BEA" w:rsidRDefault="00B433C8" w:rsidP="00970615">
      <w:pPr>
        <w:autoSpaceDE w:val="0"/>
        <w:autoSpaceDN w:val="0"/>
        <w:adjustRightInd w:val="0"/>
        <w:spacing w:after="0" w:line="240" w:lineRule="atLeast"/>
        <w:jc w:val="both"/>
        <w:rPr>
          <w:rFonts w:ascii="Arial" w:hAnsi="Arial" w:cs="Arial"/>
          <w:sz w:val="20"/>
          <w:szCs w:val="20"/>
          <w:lang w:val="en-GB"/>
        </w:rPr>
      </w:pPr>
      <w:r w:rsidRPr="00372BEA">
        <w:rPr>
          <w:rFonts w:ascii="Arial" w:hAnsi="Arial" w:cs="Arial"/>
          <w:color w:val="000000"/>
          <w:sz w:val="20"/>
          <w:szCs w:val="20"/>
          <w:lang w:val="en-GB"/>
        </w:rPr>
        <w:t xml:space="preserve">According to </w:t>
      </w:r>
      <w:r w:rsidR="00E67976" w:rsidRPr="00372BEA">
        <w:rPr>
          <w:rFonts w:ascii="Arial" w:hAnsi="Arial" w:cs="Arial"/>
          <w:color w:val="000000"/>
          <w:sz w:val="20"/>
          <w:szCs w:val="20"/>
          <w:lang w:val="en-GB"/>
        </w:rPr>
        <w:t>FBF</w:t>
      </w:r>
      <w:r w:rsidRPr="00372BEA">
        <w:rPr>
          <w:rFonts w:ascii="Arial" w:hAnsi="Arial" w:cs="Arial"/>
          <w:color w:val="000000"/>
          <w:sz w:val="20"/>
          <w:szCs w:val="20"/>
          <w:lang w:val="en-GB"/>
        </w:rPr>
        <w:t>, this is supported by the point made</w:t>
      </w:r>
      <w:r w:rsidRPr="00372BEA">
        <w:rPr>
          <w:rStyle w:val="Appelnotedebasdep"/>
          <w:rFonts w:cs="Arial"/>
          <w:color w:val="000000"/>
          <w:sz w:val="20"/>
          <w:szCs w:val="20"/>
          <w:lang w:val="en-GB"/>
        </w:rPr>
        <w:footnoteReference w:id="6"/>
      </w:r>
      <w:r w:rsidRPr="00372BEA">
        <w:rPr>
          <w:rFonts w:ascii="Arial" w:hAnsi="Arial" w:cs="Arial"/>
          <w:color w:val="000000"/>
          <w:sz w:val="20"/>
          <w:szCs w:val="20"/>
          <w:lang w:val="en-GB"/>
        </w:rPr>
        <w:t xml:space="preserve"> by the Commission in its Retail investment strategy Consultation paper which provides that “</w:t>
      </w:r>
      <w:r w:rsidRPr="00372BEA">
        <w:rPr>
          <w:rFonts w:ascii="Arial" w:hAnsi="Arial" w:cs="Arial"/>
          <w:i/>
          <w:iCs/>
          <w:sz w:val="20"/>
          <w:szCs w:val="20"/>
          <w:lang w:val="en-GB"/>
        </w:rPr>
        <w:t>Studies show that due to the complexity of products and the amount of the aggregate precontractual information provided to retail investors, there is a risk that investors are not able to absorb all the necessary information due to information overload. This can lead to suboptimal investment decisions</w:t>
      </w:r>
      <w:r w:rsidRPr="00372BEA">
        <w:rPr>
          <w:rFonts w:ascii="Arial" w:hAnsi="Arial" w:cs="Arial"/>
          <w:sz w:val="20"/>
          <w:szCs w:val="20"/>
          <w:lang w:val="en-GB"/>
        </w:rPr>
        <w:t>”.</w:t>
      </w:r>
    </w:p>
    <w:p w14:paraId="3B1DB011" w14:textId="344D3AC9" w:rsidR="00B433C8" w:rsidRPr="00372BEA" w:rsidRDefault="00BF5401" w:rsidP="00970615">
      <w:pPr>
        <w:autoSpaceDE w:val="0"/>
        <w:autoSpaceDN w:val="0"/>
        <w:adjustRightInd w:val="0"/>
        <w:spacing w:after="0" w:line="240" w:lineRule="atLeast"/>
        <w:jc w:val="both"/>
        <w:rPr>
          <w:rFonts w:ascii="Arial" w:hAnsi="Arial" w:cs="Arial"/>
          <w:sz w:val="20"/>
          <w:szCs w:val="20"/>
          <w:lang w:val="en-GB"/>
        </w:rPr>
      </w:pPr>
      <w:r w:rsidRPr="00372BEA">
        <w:rPr>
          <w:rFonts w:ascii="Arial" w:hAnsi="Arial" w:cs="Arial"/>
          <w:color w:val="000000"/>
          <w:sz w:val="20"/>
          <w:szCs w:val="20"/>
          <w:lang w:val="en-GB"/>
        </w:rPr>
        <w:t xml:space="preserve">Therefore, </w:t>
      </w:r>
      <w:r w:rsidR="00E67976" w:rsidRPr="00372BEA">
        <w:rPr>
          <w:rFonts w:ascii="Arial" w:hAnsi="Arial" w:cs="Arial"/>
          <w:color w:val="000000"/>
          <w:sz w:val="20"/>
          <w:szCs w:val="20"/>
          <w:lang w:val="en-GB"/>
        </w:rPr>
        <w:t>FBF</w:t>
      </w:r>
      <w:r w:rsidRPr="00372BEA">
        <w:rPr>
          <w:rFonts w:ascii="Arial" w:hAnsi="Arial" w:cs="Arial"/>
          <w:color w:val="000000"/>
          <w:sz w:val="20"/>
          <w:szCs w:val="20"/>
          <w:lang w:val="en-GB"/>
        </w:rPr>
        <w:t xml:space="preserve">’s view is that </w:t>
      </w:r>
      <w:r w:rsidR="00F63BDA" w:rsidRPr="00372BEA">
        <w:rPr>
          <w:rFonts w:ascii="Arial" w:hAnsi="Arial" w:cs="Arial"/>
          <w:color w:val="000000"/>
          <w:sz w:val="20"/>
          <w:szCs w:val="20"/>
          <w:lang w:val="en-GB"/>
        </w:rPr>
        <w:t xml:space="preserve">detailed explanation on the assessment of clients’ sustainability preferences should be provided only to clients who report having an interest in </w:t>
      </w:r>
      <w:r w:rsidR="00166C85" w:rsidRPr="00372BEA">
        <w:rPr>
          <w:rFonts w:ascii="Arial" w:hAnsi="Arial" w:cs="Arial"/>
          <w:color w:val="000000"/>
          <w:sz w:val="20"/>
          <w:szCs w:val="20"/>
          <w:lang w:val="en-GB"/>
        </w:rPr>
        <w:t xml:space="preserve">such </w:t>
      </w:r>
      <w:r w:rsidR="00F63BDA" w:rsidRPr="00372BEA">
        <w:rPr>
          <w:rFonts w:ascii="Arial" w:hAnsi="Arial" w:cs="Arial"/>
          <w:color w:val="000000"/>
          <w:sz w:val="20"/>
          <w:szCs w:val="20"/>
          <w:lang w:val="en-GB"/>
        </w:rPr>
        <w:t>ESG preferences</w:t>
      </w:r>
      <w:r w:rsidR="00FA4914" w:rsidRPr="00372BEA">
        <w:rPr>
          <w:rFonts w:ascii="Arial" w:hAnsi="Arial" w:cs="Arial"/>
          <w:color w:val="000000"/>
          <w:sz w:val="20"/>
          <w:szCs w:val="20"/>
          <w:lang w:val="en-GB"/>
        </w:rPr>
        <w:t>.</w:t>
      </w:r>
    </w:p>
    <w:p w14:paraId="1A7C8D99" w14:textId="10BC3B90" w:rsidR="00661B79" w:rsidRPr="00372BEA" w:rsidRDefault="00661B79" w:rsidP="00731FD9">
      <w:pPr>
        <w:autoSpaceDE w:val="0"/>
        <w:autoSpaceDN w:val="0"/>
        <w:adjustRightInd w:val="0"/>
        <w:spacing w:after="0" w:line="240" w:lineRule="atLeast"/>
        <w:contextualSpacing/>
        <w:jc w:val="both"/>
        <w:rPr>
          <w:rFonts w:ascii="Arial" w:eastAsia="Times New Roman" w:hAnsi="Arial" w:cs="Arial"/>
          <w:b/>
          <w:bCs/>
          <w:color w:val="000000"/>
          <w:sz w:val="20"/>
          <w:szCs w:val="20"/>
          <w:lang w:val="en-GB" w:eastAsia="fr-FR"/>
        </w:rPr>
      </w:pPr>
    </w:p>
    <w:p w14:paraId="2045C819" w14:textId="77777777" w:rsidR="006B469F" w:rsidRPr="00372BEA" w:rsidRDefault="006B469F" w:rsidP="00731FD9">
      <w:pPr>
        <w:autoSpaceDE w:val="0"/>
        <w:autoSpaceDN w:val="0"/>
        <w:adjustRightInd w:val="0"/>
        <w:spacing w:after="0" w:line="240" w:lineRule="atLeast"/>
        <w:contextualSpacing/>
        <w:jc w:val="both"/>
        <w:rPr>
          <w:rFonts w:ascii="Arial" w:eastAsia="Times New Roman" w:hAnsi="Arial" w:cs="Arial"/>
          <w:b/>
          <w:bCs/>
          <w:color w:val="000000"/>
          <w:sz w:val="20"/>
          <w:szCs w:val="20"/>
          <w:lang w:val="en-GB" w:eastAsia="fr-FR"/>
        </w:rPr>
      </w:pPr>
    </w:p>
    <w:p w14:paraId="7AB1B6D4" w14:textId="6FCA0FE7" w:rsidR="00BF51F6" w:rsidRPr="00372BEA" w:rsidRDefault="00BF51F6"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372BEA">
        <w:rPr>
          <w:rFonts w:ascii="Arial" w:eastAsia="Times New Roman" w:hAnsi="Arial" w:cs="Arial"/>
          <w:b/>
          <w:color w:val="365F91" w:themeColor="accent1" w:themeShade="BF"/>
          <w:sz w:val="20"/>
          <w:szCs w:val="20"/>
          <w:u w:val="single"/>
          <w:lang w:val="en-GB" w:eastAsia="fr-FR"/>
        </w:rPr>
        <w:t xml:space="preserve">Guideline </w:t>
      </w:r>
      <w:r w:rsidR="006931AF" w:rsidRPr="00372BEA">
        <w:rPr>
          <w:rFonts w:ascii="Arial" w:eastAsia="Times New Roman" w:hAnsi="Arial" w:cs="Arial"/>
          <w:b/>
          <w:color w:val="365F91" w:themeColor="accent1" w:themeShade="BF"/>
          <w:sz w:val="20"/>
          <w:szCs w:val="20"/>
          <w:u w:val="single"/>
          <w:lang w:val="en-GB" w:eastAsia="fr-FR"/>
        </w:rPr>
        <w:t>2</w:t>
      </w:r>
      <w:r w:rsidRPr="00372BEA">
        <w:rPr>
          <w:rFonts w:ascii="Arial" w:eastAsia="Times New Roman" w:hAnsi="Arial" w:cs="Arial"/>
          <w:b/>
          <w:color w:val="365F91" w:themeColor="accent1" w:themeShade="BF"/>
          <w:sz w:val="20"/>
          <w:szCs w:val="20"/>
          <w:u w:val="single"/>
          <w:lang w:val="en-GB" w:eastAsia="fr-FR"/>
        </w:rPr>
        <w:t xml:space="preserve"> – </w:t>
      </w:r>
      <w:r w:rsidR="006931AF" w:rsidRPr="00372BEA">
        <w:rPr>
          <w:rFonts w:ascii="Arial" w:eastAsia="Times New Roman" w:hAnsi="Arial" w:cs="Arial"/>
          <w:b/>
          <w:color w:val="365F91" w:themeColor="accent1" w:themeShade="BF"/>
          <w:sz w:val="20"/>
          <w:szCs w:val="20"/>
          <w:u w:val="single"/>
          <w:lang w:val="en-GB" w:eastAsia="fr-FR"/>
        </w:rPr>
        <w:t>Arrangements necessary to understand clients</w:t>
      </w:r>
    </w:p>
    <w:p w14:paraId="3AB137EF" w14:textId="6A27DE1C" w:rsidR="00BF51F6" w:rsidRPr="00372BEA" w:rsidRDefault="00BF51F6" w:rsidP="00731FD9">
      <w:pPr>
        <w:autoSpaceDE w:val="0"/>
        <w:autoSpaceDN w:val="0"/>
        <w:adjustRightInd w:val="0"/>
        <w:spacing w:after="0" w:line="240" w:lineRule="atLeast"/>
        <w:contextualSpacing/>
        <w:jc w:val="both"/>
        <w:rPr>
          <w:rFonts w:ascii="Arial" w:eastAsia="Times New Roman" w:hAnsi="Arial" w:cs="Arial"/>
          <w:color w:val="000000"/>
          <w:sz w:val="20"/>
          <w:szCs w:val="20"/>
          <w:lang w:val="en-GB" w:eastAsia="fr-FR"/>
        </w:rPr>
      </w:pPr>
    </w:p>
    <w:p w14:paraId="7675BC2E" w14:textId="77777777" w:rsidR="0005607D" w:rsidRPr="00372BEA" w:rsidRDefault="0005607D" w:rsidP="00731FD9">
      <w:pPr>
        <w:autoSpaceDE w:val="0"/>
        <w:autoSpaceDN w:val="0"/>
        <w:adjustRightInd w:val="0"/>
        <w:spacing w:after="0" w:line="240" w:lineRule="atLeast"/>
        <w:contextualSpacing/>
        <w:jc w:val="both"/>
        <w:rPr>
          <w:rFonts w:ascii="Arial" w:eastAsia="Times New Roman" w:hAnsi="Arial" w:cs="Arial"/>
          <w:i/>
          <w:iCs/>
          <w:color w:val="000000"/>
          <w:sz w:val="20"/>
          <w:szCs w:val="20"/>
          <w:lang w:val="en-GB" w:eastAsia="fr-FR"/>
        </w:rPr>
      </w:pPr>
      <w:r w:rsidRPr="00372BEA">
        <w:rPr>
          <w:rFonts w:ascii="Arial" w:eastAsia="Times New Roman" w:hAnsi="Arial" w:cs="Arial"/>
          <w:i/>
          <w:iCs/>
          <w:color w:val="000000"/>
          <w:sz w:val="20"/>
          <w:szCs w:val="20"/>
          <w:lang w:val="en-GB" w:eastAsia="fr-FR"/>
        </w:rPr>
        <w:t>The content of guideline 2 has been amended to incorporate the new requirement to collect information from the client on the sustainability preferences. In particular, the supporting guideline outlines the approach to be followed with regards to the collection of the client’s sustainability preferences and the client’s level of sustainability-related expectation. The guideline also outlines the process to be followed in the case of a portfolio approach.</w:t>
      </w:r>
    </w:p>
    <w:p w14:paraId="1DC1254D" w14:textId="77777777" w:rsidR="0005607D" w:rsidRPr="00372BEA" w:rsidRDefault="0005607D" w:rsidP="00731FD9">
      <w:pPr>
        <w:autoSpaceDE w:val="0"/>
        <w:autoSpaceDN w:val="0"/>
        <w:adjustRightInd w:val="0"/>
        <w:spacing w:after="0" w:line="240" w:lineRule="atLeast"/>
        <w:contextualSpacing/>
        <w:jc w:val="both"/>
        <w:rPr>
          <w:rFonts w:ascii="Arial" w:eastAsia="Times New Roman" w:hAnsi="Arial" w:cs="Arial"/>
          <w:i/>
          <w:iCs/>
          <w:color w:val="000000"/>
          <w:sz w:val="20"/>
          <w:szCs w:val="20"/>
          <w:lang w:val="en-GB" w:eastAsia="fr-FR"/>
        </w:rPr>
      </w:pPr>
    </w:p>
    <w:p w14:paraId="15C0C6BA" w14:textId="12A60A04" w:rsidR="0005607D" w:rsidRPr="00372BEA" w:rsidRDefault="0005607D">
      <w:pPr>
        <w:autoSpaceDE w:val="0"/>
        <w:autoSpaceDN w:val="0"/>
        <w:adjustRightInd w:val="0"/>
        <w:spacing w:after="0" w:line="240" w:lineRule="atLeast"/>
        <w:contextualSpacing/>
        <w:jc w:val="both"/>
        <w:rPr>
          <w:rFonts w:ascii="Arial" w:eastAsia="Times New Roman" w:hAnsi="Arial" w:cs="Arial"/>
          <w:i/>
          <w:iCs/>
          <w:color w:val="000000"/>
          <w:sz w:val="20"/>
          <w:szCs w:val="20"/>
          <w:lang w:val="en-GB" w:eastAsia="fr-FR"/>
        </w:rPr>
      </w:pPr>
      <w:r w:rsidRPr="00372BEA">
        <w:rPr>
          <w:rFonts w:ascii="Arial" w:eastAsia="Times New Roman" w:hAnsi="Arial" w:cs="Arial"/>
          <w:i/>
          <w:iCs/>
          <w:color w:val="000000"/>
          <w:sz w:val="20"/>
          <w:szCs w:val="20"/>
          <w:lang w:val="en-GB" w:eastAsia="fr-FR"/>
        </w:rPr>
        <w:t>ESMA considers that the level of information to be collected from clients should include all aspects mentioned in the definition of “sustainability preferences” and should be granular enough to allow for a matching of the client’s sustainability preferences with the sustainability-related features of financial instruments and to allow for a combination of the</w:t>
      </w:r>
    </w:p>
    <w:p w14:paraId="1F94998D" w14:textId="77777777" w:rsidR="0005607D" w:rsidRPr="00372BEA" w:rsidRDefault="0005607D">
      <w:pPr>
        <w:autoSpaceDE w:val="0"/>
        <w:autoSpaceDN w:val="0"/>
        <w:adjustRightInd w:val="0"/>
        <w:spacing w:after="0" w:line="240" w:lineRule="atLeast"/>
        <w:contextualSpacing/>
        <w:jc w:val="both"/>
        <w:rPr>
          <w:rFonts w:ascii="Arial" w:eastAsia="Times New Roman" w:hAnsi="Arial" w:cs="Arial"/>
          <w:i/>
          <w:iCs/>
          <w:color w:val="000000"/>
          <w:sz w:val="20"/>
          <w:szCs w:val="20"/>
          <w:lang w:val="en-GB" w:eastAsia="fr-FR"/>
        </w:rPr>
      </w:pPr>
      <w:r w:rsidRPr="00372BEA">
        <w:rPr>
          <w:rFonts w:ascii="Arial" w:eastAsia="Times New Roman" w:hAnsi="Arial" w:cs="Arial"/>
          <w:i/>
          <w:iCs/>
          <w:color w:val="000000"/>
          <w:sz w:val="20"/>
          <w:szCs w:val="20"/>
          <w:lang w:val="en-GB" w:eastAsia="fr-FR"/>
        </w:rPr>
        <w:t>different aspects included under the definition of sustainability preferences.</w:t>
      </w:r>
    </w:p>
    <w:p w14:paraId="1486A6FF" w14:textId="77777777" w:rsidR="0005607D" w:rsidRPr="00604D97" w:rsidRDefault="0005607D" w:rsidP="00731FD9">
      <w:pPr>
        <w:autoSpaceDE w:val="0"/>
        <w:autoSpaceDN w:val="0"/>
        <w:adjustRightInd w:val="0"/>
        <w:spacing w:after="0" w:line="240" w:lineRule="atLeast"/>
        <w:contextualSpacing/>
        <w:jc w:val="both"/>
        <w:rPr>
          <w:rFonts w:ascii="Arial" w:eastAsia="Times New Roman" w:hAnsi="Arial" w:cs="Arial"/>
          <w:color w:val="000000"/>
          <w:sz w:val="20"/>
          <w:szCs w:val="20"/>
          <w:lang w:val="en-GB" w:eastAsia="fr-FR"/>
        </w:rPr>
      </w:pPr>
    </w:p>
    <w:p w14:paraId="0CC14DC5" w14:textId="6FF04FF4" w:rsidR="0005607D" w:rsidRPr="00372BEA" w:rsidRDefault="0005607D" w:rsidP="00731FD9">
      <w:pPr>
        <w:autoSpaceDE w:val="0"/>
        <w:autoSpaceDN w:val="0"/>
        <w:adjustRightInd w:val="0"/>
        <w:spacing w:after="0" w:line="240" w:lineRule="atLeast"/>
        <w:contextualSpacing/>
        <w:jc w:val="both"/>
        <w:rPr>
          <w:rFonts w:ascii="Arial" w:eastAsia="Times New Roman" w:hAnsi="Arial" w:cs="Arial"/>
          <w:i/>
          <w:iCs/>
          <w:color w:val="000000"/>
          <w:sz w:val="20"/>
          <w:szCs w:val="20"/>
          <w:lang w:val="en-GB" w:eastAsia="fr-FR"/>
        </w:rPr>
      </w:pPr>
      <w:r w:rsidRPr="00372BEA">
        <w:rPr>
          <w:rFonts w:ascii="Arial" w:eastAsia="Times New Roman" w:hAnsi="Arial" w:cs="Arial"/>
          <w:i/>
          <w:iCs/>
          <w:color w:val="000000"/>
          <w:sz w:val="20"/>
          <w:szCs w:val="20"/>
          <w:lang w:val="en-GB" w:eastAsia="fr-FR"/>
        </w:rPr>
        <w:lastRenderedPageBreak/>
        <w:t>Firms should ensure the same level of granularity of information is collected on the client’s sustainability preferences when providing portfolio management or investment advice with a portfolio approach.</w:t>
      </w:r>
    </w:p>
    <w:p w14:paraId="6ED13CD4" w14:textId="77777777" w:rsidR="0005607D" w:rsidRPr="00372BEA" w:rsidRDefault="0005607D" w:rsidP="00731FD9">
      <w:pPr>
        <w:autoSpaceDE w:val="0"/>
        <w:autoSpaceDN w:val="0"/>
        <w:adjustRightInd w:val="0"/>
        <w:spacing w:after="0" w:line="240" w:lineRule="atLeast"/>
        <w:contextualSpacing/>
        <w:jc w:val="both"/>
        <w:rPr>
          <w:rFonts w:ascii="Arial" w:eastAsia="Times New Roman" w:hAnsi="Arial" w:cs="Arial"/>
          <w:i/>
          <w:iCs/>
          <w:color w:val="000000"/>
          <w:sz w:val="20"/>
          <w:szCs w:val="20"/>
          <w:lang w:val="en-GB" w:eastAsia="fr-FR"/>
        </w:rPr>
      </w:pPr>
    </w:p>
    <w:p w14:paraId="1680C4F8" w14:textId="5B38C26A" w:rsidR="0005607D" w:rsidRPr="00372BEA" w:rsidRDefault="0005607D" w:rsidP="00731FD9">
      <w:pPr>
        <w:autoSpaceDE w:val="0"/>
        <w:autoSpaceDN w:val="0"/>
        <w:adjustRightInd w:val="0"/>
        <w:spacing w:after="0" w:line="240" w:lineRule="atLeast"/>
        <w:contextualSpacing/>
        <w:jc w:val="both"/>
        <w:rPr>
          <w:rFonts w:ascii="Arial" w:eastAsia="Times New Roman" w:hAnsi="Arial" w:cs="Arial"/>
          <w:i/>
          <w:iCs/>
          <w:color w:val="000000"/>
          <w:sz w:val="20"/>
          <w:szCs w:val="20"/>
          <w:lang w:val="en-GB" w:eastAsia="fr-FR"/>
        </w:rPr>
      </w:pPr>
      <w:r w:rsidRPr="00372BEA">
        <w:rPr>
          <w:rFonts w:ascii="Arial" w:eastAsia="Times New Roman" w:hAnsi="Arial" w:cs="Arial"/>
          <w:i/>
          <w:iCs/>
          <w:color w:val="000000"/>
          <w:sz w:val="20"/>
          <w:szCs w:val="20"/>
          <w:lang w:val="en-GB" w:eastAsia="fr-FR"/>
        </w:rPr>
        <w:t>It should be noted that, in reflecting the legislative text, the approach suggested for gathering information from clients on their sustainability preferences is substantially based on self-assessment. This is different from the approach that firms are expected to adopt when collecting information on the ‘traditional’ parameters of suitability assessment. Firms are reminded that the existing ESMA guidelines focusing on the measures to be adopted to limit the risks of self-assessment remain confirmed and are not in any way impacted by the new guidance on collecting information on clients’ sustainability preferences.</w:t>
      </w:r>
    </w:p>
    <w:p w14:paraId="253485F2" w14:textId="77777777" w:rsidR="00BF51F6" w:rsidRPr="00372BEA" w:rsidRDefault="00BF51F6" w:rsidP="00731FD9">
      <w:pPr>
        <w:autoSpaceDE w:val="0"/>
        <w:autoSpaceDN w:val="0"/>
        <w:adjustRightInd w:val="0"/>
        <w:spacing w:after="0" w:line="240" w:lineRule="atLeast"/>
        <w:contextualSpacing/>
        <w:jc w:val="both"/>
        <w:rPr>
          <w:rFonts w:ascii="Arial" w:eastAsia="Times New Roman" w:hAnsi="Arial" w:cs="Arial"/>
          <w:color w:val="000000"/>
          <w:sz w:val="20"/>
          <w:szCs w:val="20"/>
          <w:lang w:val="en-GB" w:eastAsia="fr-FR"/>
        </w:rPr>
      </w:pPr>
    </w:p>
    <w:p w14:paraId="76C2C18B" w14:textId="2F72638A" w:rsidR="00067DA0" w:rsidRPr="00372BEA" w:rsidRDefault="00067DA0" w:rsidP="00731FD9">
      <w:pPr>
        <w:autoSpaceDE w:val="0"/>
        <w:autoSpaceDN w:val="0"/>
        <w:adjustRightInd w:val="0"/>
        <w:spacing w:after="0" w:line="240" w:lineRule="atLeast"/>
        <w:jc w:val="both"/>
        <w:rPr>
          <w:rFonts w:ascii="Arial" w:eastAsia="Times New Roman" w:hAnsi="Arial" w:cs="Arial"/>
          <w:b/>
          <w:bCs/>
          <w:color w:val="000000"/>
          <w:sz w:val="20"/>
          <w:szCs w:val="20"/>
          <w:lang w:val="en-GB" w:eastAsia="fr-FR"/>
        </w:rPr>
      </w:pPr>
      <w:proofErr w:type="gramStart"/>
      <w:r w:rsidRPr="00372BEA">
        <w:rPr>
          <w:rFonts w:ascii="Arial" w:eastAsia="Times New Roman" w:hAnsi="Arial" w:cs="Arial"/>
          <w:b/>
          <w:bCs/>
          <w:color w:val="000000"/>
          <w:sz w:val="20"/>
          <w:szCs w:val="20"/>
          <w:lang w:val="en-GB" w:eastAsia="fr-FR"/>
        </w:rPr>
        <w:t>Q3</w:t>
      </w:r>
      <w:proofErr w:type="gramEnd"/>
      <w:r w:rsidRPr="00372BEA">
        <w:rPr>
          <w:rFonts w:ascii="Arial" w:eastAsia="Times New Roman" w:hAnsi="Arial" w:cs="Arial"/>
          <w:b/>
          <w:bCs/>
          <w:color w:val="000000"/>
          <w:sz w:val="20"/>
          <w:szCs w:val="20"/>
          <w:lang w:val="en-GB" w:eastAsia="fr-FR"/>
        </w:rPr>
        <w:tab/>
      </w:r>
      <w:r w:rsidR="00AC729C" w:rsidRPr="00372BEA">
        <w:rPr>
          <w:rFonts w:ascii="Arial" w:eastAsia="Times New Roman" w:hAnsi="Arial" w:cs="Arial"/>
          <w:b/>
          <w:bCs/>
          <w:color w:val="000000"/>
          <w:sz w:val="20"/>
          <w:szCs w:val="20"/>
          <w:lang w:val="en-GB" w:eastAsia="fr-FR"/>
        </w:rPr>
        <w:t>Do you agree with the suggested approach on the arrangements necessary to understand clients and specifically with how the guideline has been updated to take into account of the clients’ sustainability preferences? Please also state the reasons for your answer. Are there other alternative approaches, beyond the one suggested in guideline 2, that you consider compliant with the MiFID II requirements and that ESMA should consider? Please provide examples and details.</w:t>
      </w:r>
    </w:p>
    <w:p w14:paraId="526163B2" w14:textId="77777777" w:rsidR="007B3597" w:rsidRPr="00372BEA" w:rsidRDefault="007B3597"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1F869C29" w14:textId="11D503F8" w:rsidR="00292BBA" w:rsidRPr="00372BEA" w:rsidRDefault="00AD6C0A"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roofErr w:type="gramStart"/>
      <w:r w:rsidRPr="00372BEA">
        <w:rPr>
          <w:rFonts w:ascii="Arial" w:eastAsia="Times New Roman" w:hAnsi="Arial" w:cs="Arial"/>
          <w:color w:val="000000"/>
          <w:sz w:val="20"/>
          <w:szCs w:val="20"/>
          <w:lang w:val="en-GB" w:eastAsia="fr-FR"/>
        </w:rPr>
        <w:t>First of all</w:t>
      </w:r>
      <w:proofErr w:type="gramEnd"/>
      <w:r w:rsidRPr="00372BEA">
        <w:rPr>
          <w:rFonts w:ascii="Arial" w:eastAsia="Times New Roman" w:hAnsi="Arial" w:cs="Arial"/>
          <w:color w:val="000000"/>
          <w:sz w:val="20"/>
          <w:szCs w:val="20"/>
          <w:lang w:val="en-GB" w:eastAsia="fr-FR"/>
        </w:rPr>
        <w:t xml:space="preserve">, </w:t>
      </w:r>
      <w:r w:rsidR="00E67976" w:rsidRPr="00372BEA">
        <w:rPr>
          <w:rFonts w:ascii="Arial" w:eastAsia="Times New Roman" w:hAnsi="Arial" w:cs="Arial"/>
          <w:color w:val="000000"/>
          <w:sz w:val="20"/>
          <w:szCs w:val="20"/>
          <w:lang w:val="en-GB" w:eastAsia="fr-FR"/>
        </w:rPr>
        <w:t>FBF</w:t>
      </w:r>
      <w:r w:rsidR="003F1369" w:rsidRPr="00372BEA">
        <w:rPr>
          <w:rFonts w:ascii="Arial" w:eastAsia="Times New Roman" w:hAnsi="Arial" w:cs="Arial"/>
          <w:color w:val="000000"/>
          <w:sz w:val="20"/>
          <w:szCs w:val="20"/>
          <w:lang w:val="en-GB" w:eastAsia="fr-FR"/>
        </w:rPr>
        <w:t xml:space="preserve"> wishes to </w:t>
      </w:r>
      <w:r w:rsidR="003126B3" w:rsidRPr="00372BEA">
        <w:rPr>
          <w:rFonts w:ascii="Arial" w:eastAsia="Times New Roman" w:hAnsi="Arial" w:cs="Arial"/>
          <w:color w:val="000000"/>
          <w:sz w:val="20"/>
          <w:szCs w:val="20"/>
          <w:lang w:val="en-GB" w:eastAsia="fr-FR"/>
        </w:rPr>
        <w:t xml:space="preserve">draw </w:t>
      </w:r>
      <w:r w:rsidR="00846520" w:rsidRPr="00372BEA">
        <w:rPr>
          <w:rFonts w:ascii="Arial" w:eastAsia="Times New Roman" w:hAnsi="Arial" w:cs="Arial"/>
          <w:color w:val="000000"/>
          <w:sz w:val="20"/>
          <w:szCs w:val="20"/>
          <w:lang w:val="en-GB" w:eastAsia="fr-FR"/>
        </w:rPr>
        <w:t>ESMA’s attention</w:t>
      </w:r>
      <w:r w:rsidRPr="00372BEA">
        <w:rPr>
          <w:rFonts w:ascii="Arial" w:eastAsia="Times New Roman" w:hAnsi="Arial" w:cs="Arial"/>
          <w:color w:val="000000"/>
          <w:sz w:val="20"/>
          <w:szCs w:val="20"/>
          <w:lang w:val="en-GB" w:eastAsia="fr-FR"/>
        </w:rPr>
        <w:t xml:space="preserve"> </w:t>
      </w:r>
      <w:r w:rsidR="00BB4BD7" w:rsidRPr="00372BEA">
        <w:rPr>
          <w:rFonts w:ascii="Arial" w:eastAsia="Times New Roman" w:hAnsi="Arial" w:cs="Arial"/>
          <w:color w:val="000000"/>
          <w:sz w:val="20"/>
          <w:szCs w:val="20"/>
          <w:lang w:val="en-GB" w:eastAsia="fr-FR"/>
        </w:rPr>
        <w:t xml:space="preserve">on </w:t>
      </w:r>
      <w:r w:rsidRPr="00372BEA">
        <w:rPr>
          <w:rFonts w:ascii="Arial" w:eastAsia="Times New Roman" w:hAnsi="Arial" w:cs="Arial"/>
          <w:color w:val="000000"/>
          <w:sz w:val="20"/>
          <w:szCs w:val="20"/>
          <w:lang w:val="en-GB" w:eastAsia="fr-FR"/>
        </w:rPr>
        <w:t>some reading difficulties o</w:t>
      </w:r>
      <w:r w:rsidR="00292BBA" w:rsidRPr="00372BEA">
        <w:rPr>
          <w:rFonts w:ascii="Arial" w:eastAsia="Times New Roman" w:hAnsi="Arial" w:cs="Arial"/>
          <w:color w:val="000000"/>
          <w:sz w:val="20"/>
          <w:szCs w:val="20"/>
          <w:lang w:val="en-GB" w:eastAsia="fr-FR"/>
        </w:rPr>
        <w:t>f the expected process:</w:t>
      </w:r>
    </w:p>
    <w:p w14:paraId="7D9F41E1" w14:textId="02ABD97C" w:rsidR="00A04CF6" w:rsidRPr="00372BEA" w:rsidRDefault="009C5109" w:rsidP="00970615">
      <w:pPr>
        <w:pStyle w:val="Paragraphedeliste"/>
        <w:numPr>
          <w:ilvl w:val="0"/>
          <w:numId w:val="21"/>
        </w:numPr>
        <w:autoSpaceDE w:val="0"/>
        <w:autoSpaceDN w:val="0"/>
        <w:adjustRightInd w:val="0"/>
        <w:spacing w:after="0" w:line="240" w:lineRule="atLeast"/>
        <w:ind w:left="709" w:hanging="283"/>
        <w:jc w:val="both"/>
        <w:rPr>
          <w:rFonts w:ascii="Arial" w:eastAsia="Times New Roman" w:hAnsi="Arial" w:cs="Arial"/>
          <w:color w:val="000000"/>
          <w:sz w:val="20"/>
          <w:szCs w:val="20"/>
          <w:lang w:val="en-GB" w:eastAsia="fr-FR"/>
        </w:rPr>
      </w:pPr>
      <w:r w:rsidRPr="00372BEA">
        <w:rPr>
          <w:rFonts w:ascii="Arial" w:eastAsia="Times New Roman" w:hAnsi="Arial" w:cs="Arial"/>
          <w:color w:val="000000"/>
          <w:sz w:val="20"/>
          <w:szCs w:val="20"/>
          <w:lang w:val="en-GB" w:eastAsia="fr-FR"/>
        </w:rPr>
        <w:t>Concerning</w:t>
      </w:r>
      <w:r w:rsidR="00EE40BF" w:rsidRPr="00372BEA">
        <w:rPr>
          <w:rFonts w:ascii="Arial" w:eastAsia="Times New Roman" w:hAnsi="Arial" w:cs="Arial"/>
          <w:color w:val="000000"/>
          <w:sz w:val="20"/>
          <w:szCs w:val="20"/>
          <w:lang w:val="en-GB" w:eastAsia="fr-FR"/>
        </w:rPr>
        <w:t xml:space="preserve"> the first</w:t>
      </w:r>
      <w:r w:rsidR="008A235D" w:rsidRPr="00372BEA">
        <w:rPr>
          <w:rFonts w:ascii="Arial" w:eastAsia="Times New Roman" w:hAnsi="Arial" w:cs="Arial"/>
          <w:color w:val="000000"/>
          <w:sz w:val="20"/>
          <w:szCs w:val="20"/>
          <w:lang w:val="en-GB" w:eastAsia="fr-FR"/>
        </w:rPr>
        <w:t xml:space="preserve"> </w:t>
      </w:r>
      <w:r w:rsidR="002D7273" w:rsidRPr="00372BEA">
        <w:rPr>
          <w:rFonts w:ascii="Arial" w:eastAsia="Times New Roman" w:hAnsi="Arial" w:cs="Arial"/>
          <w:color w:val="000000"/>
          <w:sz w:val="20"/>
          <w:szCs w:val="20"/>
          <w:lang w:val="en-GB" w:eastAsia="fr-FR"/>
        </w:rPr>
        <w:t>(1</w:t>
      </w:r>
      <w:r w:rsidR="002D7273" w:rsidRPr="00372BEA">
        <w:rPr>
          <w:rFonts w:ascii="Arial" w:eastAsia="Times New Roman" w:hAnsi="Arial" w:cs="Arial"/>
          <w:color w:val="000000"/>
          <w:sz w:val="20"/>
          <w:szCs w:val="20"/>
          <w:vertAlign w:val="superscript"/>
          <w:lang w:val="en-GB" w:eastAsia="fr-FR"/>
        </w:rPr>
        <w:t>st</w:t>
      </w:r>
      <w:r w:rsidR="002D7273" w:rsidRPr="00372BEA">
        <w:rPr>
          <w:rFonts w:ascii="Arial" w:eastAsia="Times New Roman" w:hAnsi="Arial" w:cs="Arial"/>
          <w:color w:val="000000"/>
          <w:sz w:val="20"/>
          <w:szCs w:val="20"/>
          <w:lang w:val="en-GB" w:eastAsia="fr-FR"/>
        </w:rPr>
        <w:t xml:space="preserve">) </w:t>
      </w:r>
      <w:r w:rsidR="008A235D" w:rsidRPr="00372BEA">
        <w:rPr>
          <w:rFonts w:ascii="Arial" w:eastAsia="Times New Roman" w:hAnsi="Arial" w:cs="Arial"/>
          <w:color w:val="000000"/>
          <w:sz w:val="20"/>
          <w:szCs w:val="20"/>
          <w:lang w:val="en-GB" w:eastAsia="fr-FR"/>
        </w:rPr>
        <w:t>step</w:t>
      </w:r>
      <w:r w:rsidR="002D2462" w:rsidRPr="00372BEA">
        <w:rPr>
          <w:rFonts w:ascii="Arial" w:eastAsia="Times New Roman" w:hAnsi="Arial" w:cs="Arial"/>
          <w:color w:val="000000"/>
          <w:sz w:val="20"/>
          <w:szCs w:val="20"/>
          <w:lang w:val="en-GB" w:eastAsia="fr-FR"/>
        </w:rPr>
        <w:t>,</w:t>
      </w:r>
      <w:r w:rsidR="008A235D" w:rsidRPr="00372BEA">
        <w:rPr>
          <w:rFonts w:ascii="Arial" w:eastAsia="Times New Roman" w:hAnsi="Arial" w:cs="Arial"/>
          <w:color w:val="000000"/>
          <w:sz w:val="20"/>
          <w:szCs w:val="20"/>
          <w:lang w:val="en-GB" w:eastAsia="fr-FR"/>
        </w:rPr>
        <w:t xml:space="preserve"> firms could choose to follow (</w:t>
      </w:r>
      <w:r w:rsidRPr="00372BEA">
        <w:rPr>
          <w:rFonts w:ascii="Arial" w:eastAsia="Times New Roman" w:hAnsi="Arial" w:cs="Arial"/>
          <w:color w:val="000000"/>
          <w:sz w:val="20"/>
          <w:szCs w:val="20"/>
          <w:lang w:val="en-GB" w:eastAsia="fr-FR"/>
        </w:rPr>
        <w:t xml:space="preserve">see </w:t>
      </w:r>
      <w:r w:rsidR="005C5930" w:rsidRPr="00372BEA">
        <w:rPr>
          <w:rFonts w:ascii="Arial" w:eastAsia="Times New Roman" w:hAnsi="Arial" w:cs="Arial"/>
          <w:color w:val="000000"/>
          <w:sz w:val="20"/>
          <w:szCs w:val="20"/>
          <w:lang w:val="en-GB" w:eastAsia="fr-FR"/>
        </w:rPr>
        <w:t xml:space="preserve">Guideline 2, § 26, </w:t>
      </w:r>
      <w:r w:rsidR="008A235D" w:rsidRPr="00372BEA">
        <w:rPr>
          <w:rFonts w:ascii="Arial" w:eastAsia="Times New Roman" w:hAnsi="Arial" w:cs="Arial"/>
          <w:color w:val="000000"/>
          <w:sz w:val="20"/>
          <w:szCs w:val="20"/>
          <w:lang w:val="en-GB" w:eastAsia="fr-FR"/>
        </w:rPr>
        <w:t xml:space="preserve">first bullet point): </w:t>
      </w:r>
      <w:r w:rsidR="00A63394" w:rsidRPr="00372BEA">
        <w:rPr>
          <w:rFonts w:ascii="Arial" w:eastAsia="Times New Roman" w:hAnsi="Arial" w:cs="Arial"/>
          <w:color w:val="000000"/>
          <w:sz w:val="20"/>
          <w:szCs w:val="20"/>
          <w:lang w:val="en-GB" w:eastAsia="fr-FR"/>
        </w:rPr>
        <w:t>How d</w:t>
      </w:r>
      <w:r w:rsidR="000057F6" w:rsidRPr="00372BEA">
        <w:rPr>
          <w:rFonts w:ascii="Arial" w:eastAsia="Times New Roman" w:hAnsi="Arial" w:cs="Arial"/>
          <w:color w:val="000000"/>
          <w:sz w:val="20"/>
          <w:szCs w:val="20"/>
          <w:lang w:val="en-GB" w:eastAsia="fr-FR"/>
        </w:rPr>
        <w:t xml:space="preserve">o </w:t>
      </w:r>
      <w:r w:rsidR="005C1B84" w:rsidRPr="00372BEA">
        <w:rPr>
          <w:rFonts w:ascii="Arial" w:eastAsia="Times New Roman" w:hAnsi="Arial" w:cs="Arial"/>
          <w:color w:val="000000"/>
          <w:sz w:val="20"/>
          <w:szCs w:val="20"/>
          <w:lang w:val="en-GB" w:eastAsia="fr-FR"/>
        </w:rPr>
        <w:t xml:space="preserve">the </w:t>
      </w:r>
      <w:r w:rsidR="00926757" w:rsidRPr="00372BEA">
        <w:rPr>
          <w:rFonts w:ascii="Arial" w:eastAsia="Times New Roman" w:hAnsi="Arial" w:cs="Arial"/>
          <w:color w:val="000000"/>
          <w:sz w:val="20"/>
          <w:szCs w:val="20"/>
          <w:lang w:val="en-GB" w:eastAsia="fr-FR"/>
        </w:rPr>
        <w:t>1</w:t>
      </w:r>
      <w:r w:rsidR="00926757" w:rsidRPr="00372BEA">
        <w:rPr>
          <w:rFonts w:ascii="Arial" w:eastAsia="Times New Roman" w:hAnsi="Arial" w:cs="Arial"/>
          <w:color w:val="000000"/>
          <w:sz w:val="20"/>
          <w:szCs w:val="20"/>
          <w:vertAlign w:val="superscript"/>
          <w:lang w:val="en-GB" w:eastAsia="fr-FR"/>
        </w:rPr>
        <w:t>st</w:t>
      </w:r>
      <w:r w:rsidR="00B0771F" w:rsidRPr="00372BEA">
        <w:rPr>
          <w:rFonts w:ascii="Arial" w:eastAsia="Times New Roman" w:hAnsi="Arial" w:cs="Arial"/>
          <w:color w:val="000000"/>
          <w:sz w:val="20"/>
          <w:szCs w:val="20"/>
          <w:vertAlign w:val="superscript"/>
          <w:lang w:val="en-GB" w:eastAsia="fr-FR"/>
        </w:rPr>
        <w:t xml:space="preserve"> </w:t>
      </w:r>
      <w:r w:rsidR="007B3597" w:rsidRPr="00372BEA">
        <w:rPr>
          <w:rFonts w:ascii="Arial" w:eastAsia="Times New Roman" w:hAnsi="Arial" w:cs="Arial"/>
          <w:color w:val="000000"/>
          <w:sz w:val="20"/>
          <w:szCs w:val="20"/>
          <w:lang w:val="en-GB" w:eastAsia="fr-FR"/>
        </w:rPr>
        <w:t xml:space="preserve">indent </w:t>
      </w:r>
      <w:r w:rsidR="008C4E21" w:rsidRPr="00372BEA">
        <w:rPr>
          <w:rFonts w:ascii="Arial" w:eastAsia="Times New Roman" w:hAnsi="Arial" w:cs="Arial"/>
          <w:color w:val="000000"/>
          <w:sz w:val="20"/>
          <w:szCs w:val="20"/>
          <w:lang w:val="en-GB" w:eastAsia="fr-FR"/>
        </w:rPr>
        <w:t>(</w:t>
      </w:r>
      <w:r w:rsidR="00C40B2E" w:rsidRPr="00372BEA">
        <w:rPr>
          <w:rFonts w:ascii="Arial" w:eastAsia="Times New Roman" w:hAnsi="Arial" w:cs="Arial"/>
          <w:color w:val="000000"/>
          <w:sz w:val="20"/>
          <w:szCs w:val="20"/>
          <w:lang w:val="en-GB" w:eastAsia="fr-FR"/>
        </w:rPr>
        <w:t>collection of information</w:t>
      </w:r>
      <w:r w:rsidR="00AC2C23" w:rsidRPr="00372BEA">
        <w:rPr>
          <w:rFonts w:ascii="Arial" w:eastAsia="Times New Roman" w:hAnsi="Arial" w:cs="Arial"/>
          <w:color w:val="000000"/>
          <w:sz w:val="20"/>
          <w:szCs w:val="20"/>
          <w:lang w:val="en-GB" w:eastAsia="fr-FR"/>
        </w:rPr>
        <w:t xml:space="preserve"> on </w:t>
      </w:r>
      <w:r w:rsidR="002369AA" w:rsidRPr="00372BEA">
        <w:rPr>
          <w:rFonts w:ascii="Arial" w:eastAsia="Times New Roman" w:hAnsi="Arial" w:cs="Arial"/>
          <w:color w:val="000000"/>
          <w:sz w:val="20"/>
          <w:szCs w:val="20"/>
          <w:lang w:val="en-GB" w:eastAsia="fr-FR"/>
        </w:rPr>
        <w:t>“</w:t>
      </w:r>
      <w:r w:rsidR="00503AD2" w:rsidRPr="00372BEA">
        <w:rPr>
          <w:rFonts w:ascii="Arial" w:eastAsia="Times New Roman" w:hAnsi="Arial" w:cs="Arial"/>
          <w:b/>
          <w:bCs/>
          <w:i/>
          <w:iCs/>
          <w:color w:val="000000"/>
          <w:sz w:val="20"/>
          <w:szCs w:val="20"/>
          <w:lang w:val="en-GB" w:eastAsia="fr-FR"/>
        </w:rPr>
        <w:t>the</w:t>
      </w:r>
      <w:r w:rsidR="00B94F79" w:rsidRPr="00372BEA">
        <w:rPr>
          <w:rFonts w:ascii="Arial" w:eastAsia="Times New Roman" w:hAnsi="Arial" w:cs="Arial"/>
          <w:b/>
          <w:bCs/>
          <w:i/>
          <w:iCs/>
          <w:color w:val="000000"/>
          <w:sz w:val="20"/>
          <w:szCs w:val="20"/>
          <w:lang w:val="en-GB" w:eastAsia="fr-FR"/>
        </w:rPr>
        <w:t xml:space="preserve"> degrees</w:t>
      </w:r>
      <w:r w:rsidR="00B94F79" w:rsidRPr="00372BEA">
        <w:rPr>
          <w:rFonts w:ascii="Arial" w:eastAsia="Times New Roman" w:hAnsi="Arial" w:cs="Arial"/>
          <w:i/>
          <w:iCs/>
          <w:color w:val="000000"/>
          <w:sz w:val="20"/>
          <w:szCs w:val="20"/>
          <w:lang w:val="en-GB" w:eastAsia="fr-FR"/>
        </w:rPr>
        <w:t xml:space="preserve"> of sustainability related </w:t>
      </w:r>
      <w:r w:rsidR="008E4D49" w:rsidRPr="00372BEA">
        <w:rPr>
          <w:rFonts w:ascii="Arial" w:eastAsia="Times New Roman" w:hAnsi="Arial" w:cs="Arial"/>
          <w:i/>
          <w:iCs/>
          <w:color w:val="000000"/>
          <w:sz w:val="20"/>
          <w:szCs w:val="20"/>
          <w:lang w:val="en-GB" w:eastAsia="fr-FR"/>
        </w:rPr>
        <w:t>expectations</w:t>
      </w:r>
      <w:r w:rsidR="00C40B2E" w:rsidRPr="00372BEA">
        <w:rPr>
          <w:rFonts w:ascii="Arial" w:eastAsia="Times New Roman" w:hAnsi="Arial" w:cs="Arial"/>
          <w:i/>
          <w:iCs/>
          <w:color w:val="000000"/>
          <w:sz w:val="20"/>
          <w:szCs w:val="20"/>
          <w:lang w:val="en-GB" w:eastAsia="fr-FR"/>
        </w:rPr>
        <w:t xml:space="preserve"> of the client</w:t>
      </w:r>
      <w:r w:rsidR="00A21F74" w:rsidRPr="00372BEA">
        <w:rPr>
          <w:rFonts w:ascii="Arial" w:eastAsia="Times New Roman" w:hAnsi="Arial" w:cs="Arial"/>
          <w:color w:val="000000"/>
          <w:sz w:val="20"/>
          <w:szCs w:val="20"/>
          <w:lang w:val="en-GB" w:eastAsia="fr-FR"/>
        </w:rPr>
        <w:t>”)</w:t>
      </w:r>
      <w:r w:rsidR="008C4E21" w:rsidRPr="00372BEA">
        <w:rPr>
          <w:rFonts w:ascii="Arial" w:eastAsia="Times New Roman" w:hAnsi="Arial" w:cs="Arial"/>
          <w:color w:val="000000"/>
          <w:sz w:val="20"/>
          <w:szCs w:val="20"/>
          <w:lang w:val="en-GB" w:eastAsia="fr-FR"/>
        </w:rPr>
        <w:t xml:space="preserve"> </w:t>
      </w:r>
      <w:r w:rsidR="00B94F79" w:rsidRPr="00372BEA">
        <w:rPr>
          <w:rFonts w:ascii="Arial" w:eastAsia="Times New Roman" w:hAnsi="Arial" w:cs="Arial"/>
          <w:color w:val="000000"/>
          <w:sz w:val="20"/>
          <w:szCs w:val="20"/>
          <w:lang w:val="en-GB" w:eastAsia="fr-FR"/>
        </w:rPr>
        <w:t xml:space="preserve">and </w:t>
      </w:r>
      <w:r w:rsidR="005C1B84" w:rsidRPr="00372BEA">
        <w:rPr>
          <w:rFonts w:ascii="Arial" w:eastAsia="Times New Roman" w:hAnsi="Arial" w:cs="Arial"/>
          <w:color w:val="000000"/>
          <w:sz w:val="20"/>
          <w:szCs w:val="20"/>
          <w:lang w:val="en-GB" w:eastAsia="fr-FR"/>
        </w:rPr>
        <w:t>the third</w:t>
      </w:r>
      <w:r w:rsidR="00A63394" w:rsidRPr="00372BEA">
        <w:rPr>
          <w:rFonts w:ascii="Arial" w:eastAsia="Times New Roman" w:hAnsi="Arial" w:cs="Arial"/>
          <w:color w:val="000000"/>
          <w:sz w:val="20"/>
          <w:szCs w:val="20"/>
          <w:lang w:val="en-GB" w:eastAsia="fr-FR"/>
        </w:rPr>
        <w:t xml:space="preserve"> </w:t>
      </w:r>
      <w:r w:rsidR="00926757" w:rsidRPr="00372BEA">
        <w:rPr>
          <w:rFonts w:ascii="Arial" w:eastAsia="Times New Roman" w:hAnsi="Arial" w:cs="Arial"/>
          <w:color w:val="000000"/>
          <w:sz w:val="20"/>
          <w:szCs w:val="20"/>
          <w:lang w:val="en-GB" w:eastAsia="fr-FR"/>
        </w:rPr>
        <w:t>(3</w:t>
      </w:r>
      <w:r w:rsidR="00926757" w:rsidRPr="00372BEA">
        <w:rPr>
          <w:rFonts w:ascii="Arial" w:eastAsia="Times New Roman" w:hAnsi="Arial" w:cs="Arial"/>
          <w:color w:val="000000"/>
          <w:sz w:val="20"/>
          <w:szCs w:val="20"/>
          <w:vertAlign w:val="superscript"/>
          <w:lang w:val="en-GB" w:eastAsia="fr-FR"/>
        </w:rPr>
        <w:t>rd</w:t>
      </w:r>
      <w:r w:rsidR="00926757" w:rsidRPr="00372BEA">
        <w:rPr>
          <w:rFonts w:ascii="Arial" w:eastAsia="Times New Roman" w:hAnsi="Arial" w:cs="Arial"/>
          <w:color w:val="000000"/>
          <w:sz w:val="20"/>
          <w:szCs w:val="20"/>
          <w:lang w:val="en-GB" w:eastAsia="fr-FR"/>
        </w:rPr>
        <w:t xml:space="preserve">) </w:t>
      </w:r>
      <w:r w:rsidR="00A63394" w:rsidRPr="00372BEA">
        <w:rPr>
          <w:rFonts w:ascii="Arial" w:eastAsia="Times New Roman" w:hAnsi="Arial" w:cs="Arial"/>
          <w:color w:val="000000"/>
          <w:sz w:val="20"/>
          <w:szCs w:val="20"/>
          <w:lang w:val="en-GB" w:eastAsia="fr-FR"/>
        </w:rPr>
        <w:t xml:space="preserve">indent </w:t>
      </w:r>
      <w:r w:rsidR="008C4E21" w:rsidRPr="00372BEA">
        <w:rPr>
          <w:rFonts w:ascii="Arial" w:eastAsia="Times New Roman" w:hAnsi="Arial" w:cs="Arial"/>
          <w:color w:val="000000"/>
          <w:sz w:val="20"/>
          <w:szCs w:val="20"/>
          <w:lang w:val="en-GB" w:eastAsia="fr-FR"/>
        </w:rPr>
        <w:t>(</w:t>
      </w:r>
      <w:r w:rsidR="00AC2C23" w:rsidRPr="00372BEA">
        <w:rPr>
          <w:rFonts w:ascii="Arial" w:eastAsia="Times New Roman" w:hAnsi="Arial" w:cs="Arial"/>
          <w:color w:val="000000"/>
          <w:sz w:val="20"/>
          <w:szCs w:val="20"/>
          <w:lang w:val="en-GB" w:eastAsia="fr-FR"/>
        </w:rPr>
        <w:t xml:space="preserve">ask the client </w:t>
      </w:r>
      <w:r w:rsidR="00A63394" w:rsidRPr="00372BEA">
        <w:rPr>
          <w:rFonts w:ascii="Arial" w:eastAsia="Times New Roman" w:hAnsi="Arial" w:cs="Arial"/>
          <w:color w:val="000000"/>
          <w:sz w:val="20"/>
          <w:szCs w:val="20"/>
          <w:lang w:val="en-GB" w:eastAsia="fr-FR"/>
        </w:rPr>
        <w:t>“</w:t>
      </w:r>
      <w:r w:rsidR="00A63394" w:rsidRPr="00372BEA">
        <w:rPr>
          <w:rFonts w:ascii="Arial" w:eastAsia="Times New Roman" w:hAnsi="Arial" w:cs="Arial"/>
          <w:b/>
          <w:bCs/>
          <w:i/>
          <w:iCs/>
          <w:color w:val="000000"/>
          <w:sz w:val="20"/>
          <w:szCs w:val="20"/>
          <w:lang w:val="en-GB" w:eastAsia="fr-FR"/>
        </w:rPr>
        <w:t>to what extent</w:t>
      </w:r>
      <w:r w:rsidR="0098638E" w:rsidRPr="00372BEA">
        <w:rPr>
          <w:rFonts w:ascii="Arial" w:eastAsia="Times New Roman" w:hAnsi="Arial" w:cs="Arial"/>
          <w:i/>
          <w:iCs/>
          <w:color w:val="000000"/>
          <w:sz w:val="20"/>
          <w:szCs w:val="20"/>
          <w:lang w:val="en-GB" w:eastAsia="fr-FR"/>
        </w:rPr>
        <w:t xml:space="preserve"> financial instruments according </w:t>
      </w:r>
      <w:r w:rsidR="005E05AA" w:rsidRPr="00372BEA">
        <w:rPr>
          <w:rFonts w:ascii="Arial" w:eastAsia="Times New Roman" w:hAnsi="Arial" w:cs="Arial"/>
          <w:i/>
          <w:iCs/>
          <w:color w:val="000000"/>
          <w:sz w:val="20"/>
          <w:szCs w:val="20"/>
          <w:lang w:val="en-GB" w:eastAsia="fr-FR"/>
        </w:rPr>
        <w:t>to a) to c) should be included in client’s investment/portfolio</w:t>
      </w:r>
      <w:r w:rsidR="00A63394" w:rsidRPr="00372BEA">
        <w:rPr>
          <w:rFonts w:ascii="Arial" w:eastAsia="Times New Roman" w:hAnsi="Arial" w:cs="Arial"/>
          <w:color w:val="000000"/>
          <w:sz w:val="20"/>
          <w:szCs w:val="20"/>
          <w:lang w:val="en-GB" w:eastAsia="fr-FR"/>
        </w:rPr>
        <w:t>”</w:t>
      </w:r>
      <w:r w:rsidR="008C4E21" w:rsidRPr="00372BEA">
        <w:rPr>
          <w:rFonts w:ascii="Arial" w:eastAsia="Times New Roman" w:hAnsi="Arial" w:cs="Arial"/>
          <w:color w:val="000000"/>
          <w:sz w:val="20"/>
          <w:szCs w:val="20"/>
          <w:lang w:val="en-GB" w:eastAsia="fr-FR"/>
        </w:rPr>
        <w:t>)</w:t>
      </w:r>
      <w:r w:rsidR="000057F6" w:rsidRPr="00372BEA">
        <w:rPr>
          <w:rFonts w:ascii="Arial" w:eastAsia="Times New Roman" w:hAnsi="Arial" w:cs="Arial"/>
          <w:color w:val="000000"/>
          <w:sz w:val="20"/>
          <w:szCs w:val="20"/>
          <w:lang w:val="en-GB" w:eastAsia="fr-FR"/>
        </w:rPr>
        <w:t xml:space="preserve"> articulate?</w:t>
      </w:r>
      <w:r w:rsidR="00A21F74" w:rsidRPr="00372BEA">
        <w:rPr>
          <w:rFonts w:ascii="Arial" w:eastAsia="Times New Roman" w:hAnsi="Arial" w:cs="Arial"/>
          <w:color w:val="000000"/>
          <w:sz w:val="20"/>
          <w:szCs w:val="20"/>
          <w:lang w:val="en-GB" w:eastAsia="fr-FR"/>
        </w:rPr>
        <w:t xml:space="preserve"> </w:t>
      </w:r>
      <w:r w:rsidR="00076BC8" w:rsidRPr="00372BEA">
        <w:rPr>
          <w:rFonts w:ascii="Arial" w:eastAsia="Times New Roman" w:hAnsi="Arial" w:cs="Arial"/>
          <w:color w:val="000000"/>
          <w:sz w:val="20"/>
          <w:szCs w:val="20"/>
          <w:lang w:val="en-GB" w:eastAsia="fr-FR"/>
        </w:rPr>
        <w:t>A reading</w:t>
      </w:r>
      <w:r w:rsidR="00C126B7" w:rsidRPr="00372BEA">
        <w:rPr>
          <w:rFonts w:ascii="Arial" w:eastAsia="Times New Roman" w:hAnsi="Arial" w:cs="Arial"/>
          <w:color w:val="000000"/>
          <w:sz w:val="20"/>
          <w:szCs w:val="20"/>
          <w:lang w:val="en-GB" w:eastAsia="fr-FR"/>
        </w:rPr>
        <w:t xml:space="preserve"> might indicate</w:t>
      </w:r>
      <w:r w:rsidR="00A21F74" w:rsidRPr="00372BEA">
        <w:rPr>
          <w:rFonts w:ascii="Arial" w:eastAsia="Times New Roman" w:hAnsi="Arial" w:cs="Arial"/>
          <w:color w:val="000000"/>
          <w:sz w:val="20"/>
          <w:szCs w:val="20"/>
          <w:lang w:val="en-GB" w:eastAsia="fr-FR"/>
        </w:rPr>
        <w:t xml:space="preserve"> </w:t>
      </w:r>
      <w:r w:rsidR="00C16EA5" w:rsidRPr="00372BEA">
        <w:rPr>
          <w:rFonts w:ascii="Arial" w:eastAsia="Times New Roman" w:hAnsi="Arial" w:cs="Arial"/>
          <w:color w:val="000000"/>
          <w:sz w:val="20"/>
          <w:szCs w:val="20"/>
          <w:lang w:val="en-GB" w:eastAsia="fr-FR"/>
        </w:rPr>
        <w:t>that</w:t>
      </w:r>
      <w:r w:rsidR="00A21F74" w:rsidRPr="00372BEA">
        <w:rPr>
          <w:rFonts w:ascii="Arial" w:eastAsia="Times New Roman" w:hAnsi="Arial" w:cs="Arial"/>
          <w:color w:val="000000"/>
          <w:sz w:val="20"/>
          <w:szCs w:val="20"/>
          <w:lang w:val="en-GB" w:eastAsia="fr-FR"/>
        </w:rPr>
        <w:t xml:space="preserve"> there </w:t>
      </w:r>
      <w:r w:rsidR="003A3076" w:rsidRPr="00372BEA">
        <w:rPr>
          <w:rFonts w:ascii="Arial" w:eastAsia="Times New Roman" w:hAnsi="Arial" w:cs="Arial"/>
          <w:color w:val="000000"/>
          <w:sz w:val="20"/>
          <w:szCs w:val="20"/>
          <w:lang w:val="en-GB" w:eastAsia="fr-FR"/>
        </w:rPr>
        <w:t xml:space="preserve">are </w:t>
      </w:r>
      <w:r w:rsidR="003F1750" w:rsidRPr="00372BEA">
        <w:rPr>
          <w:rFonts w:ascii="Arial" w:eastAsia="Times New Roman" w:hAnsi="Arial" w:cs="Arial"/>
          <w:color w:val="000000"/>
          <w:sz w:val="20"/>
          <w:szCs w:val="20"/>
          <w:lang w:val="en-GB" w:eastAsia="fr-FR"/>
        </w:rPr>
        <w:t>two</w:t>
      </w:r>
      <w:r w:rsidR="003A3076" w:rsidRPr="00372BEA">
        <w:rPr>
          <w:rFonts w:ascii="Arial" w:eastAsia="Times New Roman" w:hAnsi="Arial" w:cs="Arial"/>
          <w:color w:val="000000"/>
          <w:sz w:val="20"/>
          <w:szCs w:val="20"/>
          <w:lang w:val="en-GB" w:eastAsia="fr-FR"/>
        </w:rPr>
        <w:t xml:space="preserve"> (2)</w:t>
      </w:r>
      <w:r w:rsidR="003F1750" w:rsidRPr="00372BEA">
        <w:rPr>
          <w:rFonts w:ascii="Arial" w:eastAsia="Times New Roman" w:hAnsi="Arial" w:cs="Arial"/>
          <w:color w:val="000000"/>
          <w:sz w:val="20"/>
          <w:szCs w:val="20"/>
          <w:lang w:val="en-GB" w:eastAsia="fr-FR"/>
        </w:rPr>
        <w:t xml:space="preserve"> different</w:t>
      </w:r>
      <w:r w:rsidR="007E74CB" w:rsidRPr="00372BEA">
        <w:rPr>
          <w:rFonts w:ascii="Arial" w:eastAsia="Times New Roman" w:hAnsi="Arial" w:cs="Arial"/>
          <w:color w:val="000000"/>
          <w:sz w:val="20"/>
          <w:szCs w:val="20"/>
          <w:lang w:val="en-GB" w:eastAsia="fr-FR"/>
        </w:rPr>
        <w:t xml:space="preserve"> </w:t>
      </w:r>
      <w:r w:rsidR="00202728" w:rsidRPr="00372BEA">
        <w:rPr>
          <w:rFonts w:ascii="Arial" w:eastAsia="Times New Roman" w:hAnsi="Arial" w:cs="Arial"/>
          <w:color w:val="000000"/>
          <w:sz w:val="20"/>
          <w:szCs w:val="20"/>
          <w:lang w:val="en-GB" w:eastAsia="fr-FR"/>
        </w:rPr>
        <w:t xml:space="preserve">proportionality steps </w:t>
      </w:r>
      <w:r w:rsidR="007E74CB" w:rsidRPr="00372BEA">
        <w:rPr>
          <w:rFonts w:ascii="Arial" w:eastAsia="Times New Roman" w:hAnsi="Arial" w:cs="Arial"/>
          <w:color w:val="000000"/>
          <w:sz w:val="20"/>
          <w:szCs w:val="20"/>
          <w:lang w:val="en-GB" w:eastAsia="fr-FR"/>
        </w:rPr>
        <w:t>in a raw</w:t>
      </w:r>
      <w:r w:rsidR="00FB04DB" w:rsidRPr="00372BEA">
        <w:rPr>
          <w:rFonts w:ascii="Arial" w:eastAsia="Times New Roman" w:hAnsi="Arial" w:cs="Arial"/>
          <w:color w:val="000000"/>
          <w:sz w:val="20"/>
          <w:szCs w:val="20"/>
          <w:lang w:val="en-GB" w:eastAsia="fr-FR"/>
        </w:rPr>
        <w:t xml:space="preserve"> which seems </w:t>
      </w:r>
      <w:r w:rsidR="00971D3E" w:rsidRPr="00372BEA">
        <w:rPr>
          <w:rFonts w:ascii="Arial" w:eastAsia="Times New Roman" w:hAnsi="Arial" w:cs="Arial"/>
          <w:color w:val="000000"/>
          <w:sz w:val="20"/>
          <w:szCs w:val="20"/>
          <w:lang w:val="en-GB" w:eastAsia="fr-FR"/>
        </w:rPr>
        <w:t>to</w:t>
      </w:r>
      <w:r w:rsidR="00E1416F" w:rsidRPr="00372BEA">
        <w:rPr>
          <w:rFonts w:ascii="Arial" w:eastAsia="Times New Roman" w:hAnsi="Arial" w:cs="Arial"/>
          <w:color w:val="000000"/>
          <w:sz w:val="20"/>
          <w:szCs w:val="20"/>
          <w:lang w:val="en-GB" w:eastAsia="fr-FR"/>
        </w:rPr>
        <w:t xml:space="preserve"> </w:t>
      </w:r>
      <w:r w:rsidR="00971D3E" w:rsidRPr="00372BEA">
        <w:rPr>
          <w:rFonts w:ascii="Arial" w:eastAsia="Times New Roman" w:hAnsi="Arial" w:cs="Arial"/>
          <w:color w:val="000000"/>
          <w:sz w:val="20"/>
          <w:szCs w:val="20"/>
          <w:lang w:val="en-GB" w:eastAsia="fr-FR"/>
        </w:rPr>
        <w:t>go beyond level</w:t>
      </w:r>
      <w:r w:rsidR="00E1416F" w:rsidRPr="00372BEA">
        <w:rPr>
          <w:rFonts w:ascii="Arial" w:eastAsia="Times New Roman" w:hAnsi="Arial" w:cs="Arial"/>
          <w:color w:val="000000"/>
          <w:sz w:val="20"/>
          <w:szCs w:val="20"/>
          <w:lang w:val="en-GB" w:eastAsia="fr-FR"/>
        </w:rPr>
        <w:t xml:space="preserve"> 2 </w:t>
      </w:r>
      <w:r w:rsidR="00D8696C" w:rsidRPr="00372BEA">
        <w:rPr>
          <w:rFonts w:ascii="Arial" w:eastAsia="Times New Roman" w:hAnsi="Arial" w:cs="Arial"/>
          <w:color w:val="000000"/>
          <w:sz w:val="20"/>
          <w:szCs w:val="20"/>
          <w:lang w:val="en-GB" w:eastAsia="fr-FR"/>
        </w:rPr>
        <w:t>requirements.</w:t>
      </w:r>
    </w:p>
    <w:p w14:paraId="3549B3E4" w14:textId="73BAA588" w:rsidR="00A46ECD" w:rsidRPr="00372BEA" w:rsidRDefault="007F5D67" w:rsidP="00970615">
      <w:pPr>
        <w:pStyle w:val="Paragraphedeliste"/>
        <w:numPr>
          <w:ilvl w:val="0"/>
          <w:numId w:val="21"/>
        </w:numPr>
        <w:autoSpaceDE w:val="0"/>
        <w:autoSpaceDN w:val="0"/>
        <w:adjustRightInd w:val="0"/>
        <w:spacing w:after="0" w:line="240" w:lineRule="atLeast"/>
        <w:ind w:left="709" w:hanging="283"/>
        <w:jc w:val="both"/>
        <w:rPr>
          <w:rFonts w:ascii="Arial" w:eastAsia="Times New Roman" w:hAnsi="Arial" w:cs="Arial"/>
          <w:color w:val="000000"/>
          <w:sz w:val="20"/>
          <w:szCs w:val="20"/>
          <w:lang w:val="en-GB" w:eastAsia="fr-FR"/>
        </w:rPr>
      </w:pPr>
      <w:r w:rsidRPr="00372BEA">
        <w:rPr>
          <w:rFonts w:ascii="Arial" w:eastAsia="Times New Roman" w:hAnsi="Arial" w:cs="Arial"/>
          <w:color w:val="000000"/>
          <w:sz w:val="20"/>
          <w:szCs w:val="20"/>
          <w:lang w:val="en-GB" w:eastAsia="fr-FR"/>
        </w:rPr>
        <w:t xml:space="preserve">A similar question arises </w:t>
      </w:r>
      <w:r w:rsidR="0093483B" w:rsidRPr="00372BEA">
        <w:rPr>
          <w:rFonts w:ascii="Arial" w:eastAsia="Times New Roman" w:hAnsi="Arial" w:cs="Arial"/>
          <w:color w:val="000000"/>
          <w:sz w:val="20"/>
          <w:szCs w:val="20"/>
          <w:lang w:val="en-GB" w:eastAsia="fr-FR"/>
        </w:rPr>
        <w:t xml:space="preserve">on </w:t>
      </w:r>
      <w:r w:rsidR="00A04CF6" w:rsidRPr="00372BEA">
        <w:rPr>
          <w:rFonts w:ascii="Arial" w:eastAsia="Times New Roman" w:hAnsi="Arial" w:cs="Arial"/>
          <w:color w:val="000000"/>
          <w:sz w:val="20"/>
          <w:szCs w:val="20"/>
          <w:lang w:val="en-GB" w:eastAsia="fr-FR"/>
        </w:rPr>
        <w:t xml:space="preserve">proposed §27 in guideline </w:t>
      </w:r>
      <w:r w:rsidR="00F731E8" w:rsidRPr="00372BEA">
        <w:rPr>
          <w:rFonts w:ascii="Arial" w:eastAsia="Times New Roman" w:hAnsi="Arial" w:cs="Arial"/>
          <w:color w:val="000000"/>
          <w:sz w:val="20"/>
          <w:szCs w:val="20"/>
          <w:lang w:val="en-GB" w:eastAsia="fr-FR"/>
        </w:rPr>
        <w:t>2:</w:t>
      </w:r>
      <w:r w:rsidR="00A04CF6" w:rsidRPr="00372BEA">
        <w:rPr>
          <w:rFonts w:ascii="Arial" w:eastAsia="Times New Roman" w:hAnsi="Arial" w:cs="Arial"/>
          <w:color w:val="000000"/>
          <w:sz w:val="20"/>
          <w:szCs w:val="20"/>
          <w:lang w:val="en-GB" w:eastAsia="fr-FR"/>
        </w:rPr>
        <w:t xml:space="preserve"> is the question firms should ask the client about “</w:t>
      </w:r>
      <w:r w:rsidR="00A04CF6" w:rsidRPr="00372BEA">
        <w:rPr>
          <w:rFonts w:ascii="Arial" w:eastAsia="Times New Roman" w:hAnsi="Arial" w:cs="Arial"/>
          <w:i/>
          <w:iCs/>
          <w:color w:val="000000"/>
          <w:sz w:val="20"/>
          <w:szCs w:val="20"/>
          <w:lang w:val="en-GB" w:eastAsia="fr-FR"/>
        </w:rPr>
        <w:t>which part of the portfolio</w:t>
      </w:r>
      <w:r w:rsidR="00A04CF6" w:rsidRPr="00372BEA">
        <w:rPr>
          <w:rFonts w:ascii="Arial" w:eastAsia="Times New Roman" w:hAnsi="Arial" w:cs="Arial"/>
          <w:color w:val="000000"/>
          <w:sz w:val="20"/>
          <w:szCs w:val="20"/>
          <w:lang w:val="en-GB" w:eastAsia="fr-FR"/>
        </w:rPr>
        <w:t>” to be read as a way to implement the “</w:t>
      </w:r>
      <w:r w:rsidR="00A04CF6" w:rsidRPr="00372BEA">
        <w:rPr>
          <w:rFonts w:ascii="Arial" w:eastAsia="Times New Roman" w:hAnsi="Arial" w:cs="Arial"/>
          <w:i/>
          <w:iCs/>
          <w:color w:val="000000"/>
          <w:sz w:val="20"/>
          <w:szCs w:val="20"/>
          <w:lang w:val="en-GB" w:eastAsia="fr-FR"/>
        </w:rPr>
        <w:t>to what extent</w:t>
      </w:r>
      <w:r w:rsidR="00A04CF6" w:rsidRPr="00372BEA">
        <w:rPr>
          <w:rFonts w:ascii="Arial" w:eastAsia="Times New Roman" w:hAnsi="Arial" w:cs="Arial"/>
          <w:color w:val="000000"/>
          <w:sz w:val="20"/>
          <w:szCs w:val="20"/>
          <w:lang w:val="en-GB" w:eastAsia="fr-FR"/>
        </w:rPr>
        <w:t xml:space="preserve">” </w:t>
      </w:r>
      <w:proofErr w:type="gramStart"/>
      <w:r w:rsidR="00A04CF6" w:rsidRPr="00372BEA">
        <w:rPr>
          <w:rFonts w:ascii="Arial" w:eastAsia="Times New Roman" w:hAnsi="Arial" w:cs="Arial"/>
          <w:color w:val="000000"/>
          <w:sz w:val="20"/>
          <w:szCs w:val="20"/>
          <w:lang w:val="en-GB" w:eastAsia="fr-FR"/>
        </w:rPr>
        <w:t>requirement aforementioned</w:t>
      </w:r>
      <w:proofErr w:type="gramEnd"/>
      <w:r w:rsidR="00A04CF6" w:rsidRPr="00372BEA">
        <w:rPr>
          <w:rFonts w:ascii="Arial" w:eastAsia="Times New Roman" w:hAnsi="Arial" w:cs="Arial"/>
          <w:color w:val="000000"/>
          <w:sz w:val="20"/>
          <w:szCs w:val="20"/>
          <w:lang w:val="en-GB" w:eastAsia="fr-FR"/>
        </w:rPr>
        <w:t xml:space="preserve"> (see </w:t>
      </w:r>
      <w:r w:rsidR="00A04CF6" w:rsidRPr="00372BEA">
        <w:rPr>
          <w:rFonts w:ascii="Arial" w:eastAsia="Times New Roman" w:hAnsi="Arial" w:cs="Arial"/>
          <w:i/>
          <w:iCs/>
          <w:color w:val="000000"/>
          <w:sz w:val="20"/>
          <w:szCs w:val="20"/>
          <w:u w:val="single"/>
          <w:lang w:val="en-GB" w:eastAsia="fr-FR"/>
        </w:rPr>
        <w:t>Guideline 2, § 26, 1</w:t>
      </w:r>
      <w:r w:rsidR="00A04CF6" w:rsidRPr="00372BEA">
        <w:rPr>
          <w:rFonts w:ascii="Arial" w:eastAsia="Times New Roman" w:hAnsi="Arial" w:cs="Arial"/>
          <w:i/>
          <w:iCs/>
          <w:color w:val="000000"/>
          <w:sz w:val="20"/>
          <w:szCs w:val="20"/>
          <w:u w:val="single"/>
          <w:vertAlign w:val="superscript"/>
          <w:lang w:val="en-GB" w:eastAsia="fr-FR"/>
        </w:rPr>
        <w:t>st</w:t>
      </w:r>
      <w:r w:rsidR="00A04CF6" w:rsidRPr="00372BEA">
        <w:rPr>
          <w:rFonts w:ascii="Arial" w:eastAsia="Times New Roman" w:hAnsi="Arial" w:cs="Arial"/>
          <w:i/>
          <w:iCs/>
          <w:color w:val="000000"/>
          <w:sz w:val="20"/>
          <w:szCs w:val="20"/>
          <w:u w:val="single"/>
          <w:lang w:val="en-GB" w:eastAsia="fr-FR"/>
        </w:rPr>
        <w:t xml:space="preserve"> bullet point, 3</w:t>
      </w:r>
      <w:r w:rsidR="00A04CF6" w:rsidRPr="00372BEA">
        <w:rPr>
          <w:rFonts w:ascii="Arial" w:eastAsia="Times New Roman" w:hAnsi="Arial" w:cs="Arial"/>
          <w:i/>
          <w:iCs/>
          <w:color w:val="000000"/>
          <w:sz w:val="20"/>
          <w:szCs w:val="20"/>
          <w:u w:val="single"/>
          <w:vertAlign w:val="superscript"/>
          <w:lang w:val="en-GB" w:eastAsia="fr-FR"/>
        </w:rPr>
        <w:t>rd</w:t>
      </w:r>
      <w:r w:rsidR="00A04CF6" w:rsidRPr="00372BEA">
        <w:rPr>
          <w:rFonts w:ascii="Arial" w:eastAsia="Times New Roman" w:hAnsi="Arial" w:cs="Arial"/>
          <w:i/>
          <w:iCs/>
          <w:color w:val="000000"/>
          <w:sz w:val="20"/>
          <w:szCs w:val="20"/>
          <w:u w:val="single"/>
          <w:lang w:val="en-GB" w:eastAsia="fr-FR"/>
        </w:rPr>
        <w:t xml:space="preserve"> indent</w:t>
      </w:r>
      <w:r w:rsidR="00A04CF6" w:rsidRPr="00372BEA">
        <w:rPr>
          <w:rFonts w:ascii="Arial" w:eastAsia="Times New Roman" w:hAnsi="Arial" w:cs="Arial"/>
          <w:color w:val="000000"/>
          <w:sz w:val="20"/>
          <w:szCs w:val="20"/>
          <w:lang w:val="en-GB" w:eastAsia="fr-FR"/>
        </w:rPr>
        <w:t xml:space="preserve">) for services with a portfolio approach? If so, </w:t>
      </w:r>
      <w:r w:rsidR="00563FDC" w:rsidRPr="00372BEA">
        <w:rPr>
          <w:rFonts w:ascii="Arial" w:eastAsia="Times New Roman" w:hAnsi="Arial" w:cs="Arial"/>
          <w:color w:val="000000"/>
          <w:sz w:val="20"/>
          <w:szCs w:val="20"/>
          <w:lang w:val="en-GB" w:eastAsia="fr-FR"/>
        </w:rPr>
        <w:t xml:space="preserve">this </w:t>
      </w:r>
      <w:r w:rsidR="00A04CF6" w:rsidRPr="00372BEA">
        <w:rPr>
          <w:rFonts w:ascii="Arial" w:eastAsia="Times New Roman" w:hAnsi="Arial" w:cs="Arial"/>
          <w:color w:val="000000"/>
          <w:sz w:val="20"/>
          <w:szCs w:val="20"/>
          <w:lang w:val="en-GB" w:eastAsia="fr-FR"/>
        </w:rPr>
        <w:t xml:space="preserve">should be clarified </w:t>
      </w:r>
      <w:r w:rsidR="00563FDC" w:rsidRPr="00372BEA">
        <w:rPr>
          <w:rFonts w:ascii="Arial" w:eastAsia="Times New Roman" w:hAnsi="Arial" w:cs="Arial"/>
          <w:color w:val="000000"/>
          <w:sz w:val="20"/>
          <w:szCs w:val="20"/>
          <w:lang w:val="en-GB" w:eastAsia="fr-FR"/>
        </w:rPr>
        <w:t xml:space="preserve">as well as the fact that </w:t>
      </w:r>
      <w:r w:rsidR="00A04CF6" w:rsidRPr="00372BEA">
        <w:rPr>
          <w:rFonts w:ascii="Arial" w:eastAsia="Times New Roman" w:hAnsi="Arial" w:cs="Arial"/>
          <w:color w:val="000000"/>
          <w:sz w:val="20"/>
          <w:szCs w:val="20"/>
          <w:lang w:val="en-GB" w:eastAsia="fr-FR"/>
        </w:rPr>
        <w:t xml:space="preserve">sustainability preferences do not have to be </w:t>
      </w:r>
      <w:proofErr w:type="gramStart"/>
      <w:r w:rsidR="00A04CF6" w:rsidRPr="00372BEA">
        <w:rPr>
          <w:rFonts w:ascii="Arial" w:eastAsia="Times New Roman" w:hAnsi="Arial" w:cs="Arial"/>
          <w:color w:val="000000"/>
          <w:sz w:val="20"/>
          <w:szCs w:val="20"/>
          <w:lang w:val="en-GB" w:eastAsia="fr-FR"/>
        </w:rPr>
        <w:t>taken into account</w:t>
      </w:r>
      <w:proofErr w:type="gramEnd"/>
      <w:r w:rsidR="00A04CF6" w:rsidRPr="00372BEA">
        <w:rPr>
          <w:rFonts w:ascii="Arial" w:eastAsia="Times New Roman" w:hAnsi="Arial" w:cs="Arial"/>
          <w:color w:val="000000"/>
          <w:sz w:val="20"/>
          <w:szCs w:val="20"/>
          <w:lang w:val="en-GB" w:eastAsia="fr-FR"/>
        </w:rPr>
        <w:t xml:space="preserve"> on the rest of the portfolio</w:t>
      </w:r>
      <w:r w:rsidR="00C2442C" w:rsidRPr="00372BEA">
        <w:rPr>
          <w:rFonts w:ascii="Arial" w:eastAsia="Times New Roman" w:hAnsi="Arial" w:cs="Arial"/>
          <w:color w:val="000000"/>
          <w:sz w:val="20"/>
          <w:szCs w:val="20"/>
          <w:lang w:val="en-GB" w:eastAsia="fr-FR"/>
        </w:rPr>
        <w:t>.</w:t>
      </w:r>
    </w:p>
    <w:p w14:paraId="7728905E" w14:textId="3405F77E" w:rsidR="00125FF4" w:rsidRPr="00372BEA" w:rsidRDefault="00125FF4" w:rsidP="00970615">
      <w:pPr>
        <w:pStyle w:val="Paragraphedeliste"/>
        <w:numPr>
          <w:ilvl w:val="0"/>
          <w:numId w:val="21"/>
        </w:numPr>
        <w:autoSpaceDE w:val="0"/>
        <w:autoSpaceDN w:val="0"/>
        <w:adjustRightInd w:val="0"/>
        <w:spacing w:after="0" w:line="240" w:lineRule="atLeast"/>
        <w:ind w:left="709" w:hanging="283"/>
        <w:jc w:val="both"/>
        <w:rPr>
          <w:rFonts w:ascii="Arial" w:eastAsia="Times New Roman" w:hAnsi="Arial" w:cs="Arial"/>
          <w:color w:val="000000"/>
          <w:sz w:val="20"/>
          <w:szCs w:val="20"/>
          <w:lang w:val="en-GB" w:eastAsia="fr-FR"/>
        </w:rPr>
      </w:pPr>
      <w:r w:rsidRPr="00372BEA">
        <w:rPr>
          <w:rFonts w:ascii="Arial" w:eastAsia="Times New Roman" w:hAnsi="Arial" w:cs="Arial"/>
          <w:color w:val="000000"/>
          <w:sz w:val="20"/>
          <w:szCs w:val="20"/>
          <w:lang w:val="en-GB" w:eastAsia="fr-FR"/>
        </w:rPr>
        <w:t xml:space="preserve">Then, </w:t>
      </w:r>
      <w:r w:rsidR="00E67976" w:rsidRPr="00372BEA">
        <w:rPr>
          <w:rFonts w:ascii="Arial" w:eastAsia="Times New Roman" w:hAnsi="Arial" w:cs="Arial"/>
          <w:color w:val="000000"/>
          <w:sz w:val="20"/>
          <w:szCs w:val="20"/>
          <w:lang w:val="en-GB" w:eastAsia="fr-FR"/>
        </w:rPr>
        <w:t>FBF</w:t>
      </w:r>
      <w:r w:rsidRPr="00372BEA">
        <w:rPr>
          <w:rFonts w:ascii="Arial" w:eastAsia="Times New Roman" w:hAnsi="Arial" w:cs="Arial"/>
          <w:color w:val="000000"/>
          <w:sz w:val="20"/>
          <w:szCs w:val="20"/>
          <w:lang w:val="en-GB" w:eastAsia="fr-FR"/>
        </w:rPr>
        <w:t xml:space="preserve"> does not see why the portfolio approach would be limited to cases where several ESG preferences are expressed by the client (see </w:t>
      </w:r>
      <w:r w:rsidRPr="00372BEA">
        <w:rPr>
          <w:rFonts w:ascii="Arial" w:eastAsia="Times New Roman" w:hAnsi="Arial" w:cs="Arial"/>
          <w:i/>
          <w:iCs/>
          <w:color w:val="000000"/>
          <w:sz w:val="20"/>
          <w:szCs w:val="20"/>
          <w:u w:val="single"/>
          <w:lang w:val="en-GB" w:eastAsia="fr-FR"/>
        </w:rPr>
        <w:t xml:space="preserve">Guideline 2, § 26, </w:t>
      </w:r>
      <w:r w:rsidR="006806FC" w:rsidRPr="00372BEA">
        <w:rPr>
          <w:rFonts w:ascii="Arial" w:eastAsia="Times New Roman" w:hAnsi="Arial" w:cs="Arial"/>
          <w:i/>
          <w:iCs/>
          <w:color w:val="000000"/>
          <w:sz w:val="20"/>
          <w:szCs w:val="20"/>
          <w:u w:val="single"/>
          <w:lang w:val="en-GB" w:eastAsia="fr-FR"/>
        </w:rPr>
        <w:t>2</w:t>
      </w:r>
      <w:r w:rsidR="006806FC" w:rsidRPr="00372BEA">
        <w:rPr>
          <w:rFonts w:ascii="Arial" w:eastAsia="Times New Roman" w:hAnsi="Arial" w:cs="Arial"/>
          <w:i/>
          <w:iCs/>
          <w:color w:val="000000"/>
          <w:sz w:val="20"/>
          <w:szCs w:val="20"/>
          <w:u w:val="single"/>
          <w:vertAlign w:val="superscript"/>
          <w:lang w:val="en-GB" w:eastAsia="fr-FR"/>
        </w:rPr>
        <w:t>nd</w:t>
      </w:r>
      <w:r w:rsidR="006806FC" w:rsidRPr="00372BEA">
        <w:rPr>
          <w:rFonts w:ascii="Arial" w:eastAsia="Times New Roman" w:hAnsi="Arial" w:cs="Arial"/>
          <w:i/>
          <w:iCs/>
          <w:color w:val="000000"/>
          <w:sz w:val="20"/>
          <w:szCs w:val="20"/>
          <w:u w:val="single"/>
          <w:lang w:val="en-GB" w:eastAsia="fr-FR"/>
        </w:rPr>
        <w:t xml:space="preserve"> </w:t>
      </w:r>
      <w:r w:rsidRPr="00372BEA">
        <w:rPr>
          <w:rFonts w:ascii="Arial" w:eastAsia="Times New Roman" w:hAnsi="Arial" w:cs="Arial"/>
          <w:i/>
          <w:iCs/>
          <w:color w:val="000000"/>
          <w:sz w:val="20"/>
          <w:szCs w:val="20"/>
          <w:u w:val="single"/>
          <w:lang w:val="en-GB" w:eastAsia="fr-FR"/>
        </w:rPr>
        <w:t xml:space="preserve">indent, </w:t>
      </w:r>
      <w:r w:rsidR="006806FC" w:rsidRPr="00372BEA">
        <w:rPr>
          <w:rFonts w:ascii="Arial" w:eastAsia="Times New Roman" w:hAnsi="Arial" w:cs="Arial"/>
          <w:i/>
          <w:iCs/>
          <w:color w:val="000000"/>
          <w:sz w:val="20"/>
          <w:szCs w:val="20"/>
          <w:u w:val="single"/>
          <w:lang w:val="en-GB" w:eastAsia="fr-FR"/>
        </w:rPr>
        <w:t>2</w:t>
      </w:r>
      <w:r w:rsidR="006806FC" w:rsidRPr="00372BEA">
        <w:rPr>
          <w:rFonts w:ascii="Arial" w:eastAsia="Times New Roman" w:hAnsi="Arial" w:cs="Arial"/>
          <w:i/>
          <w:iCs/>
          <w:color w:val="000000"/>
          <w:sz w:val="20"/>
          <w:szCs w:val="20"/>
          <w:u w:val="single"/>
          <w:vertAlign w:val="superscript"/>
          <w:lang w:val="en-GB" w:eastAsia="fr-FR"/>
        </w:rPr>
        <w:t>nd</w:t>
      </w:r>
      <w:r w:rsidR="006806FC" w:rsidRPr="00372BEA">
        <w:rPr>
          <w:rFonts w:ascii="Arial" w:eastAsia="Times New Roman" w:hAnsi="Arial" w:cs="Arial"/>
          <w:i/>
          <w:iCs/>
          <w:color w:val="000000"/>
          <w:sz w:val="20"/>
          <w:szCs w:val="20"/>
          <w:u w:val="single"/>
          <w:lang w:val="en-GB" w:eastAsia="fr-FR"/>
        </w:rPr>
        <w:t xml:space="preserve"> </w:t>
      </w:r>
      <w:r w:rsidRPr="00372BEA">
        <w:rPr>
          <w:rFonts w:ascii="Arial" w:eastAsia="Times New Roman" w:hAnsi="Arial" w:cs="Arial"/>
          <w:i/>
          <w:iCs/>
          <w:color w:val="000000"/>
          <w:sz w:val="20"/>
          <w:szCs w:val="20"/>
          <w:u w:val="single"/>
          <w:lang w:val="en-GB" w:eastAsia="fr-FR"/>
        </w:rPr>
        <w:t>sentence</w:t>
      </w:r>
      <w:r w:rsidRPr="00372BEA">
        <w:rPr>
          <w:rFonts w:ascii="Arial" w:eastAsia="Times New Roman" w:hAnsi="Arial" w:cs="Arial"/>
          <w:color w:val="000000"/>
          <w:sz w:val="20"/>
          <w:szCs w:val="20"/>
          <w:lang w:val="en-GB" w:eastAsia="fr-FR"/>
        </w:rPr>
        <w:t>) and considers such approach should always be possible, whatever the client’s ESG preferences are.</w:t>
      </w:r>
    </w:p>
    <w:p w14:paraId="0CD35E62" w14:textId="63F471AA" w:rsidR="00AB3F0F" w:rsidRPr="00372BEA" w:rsidRDefault="00AB3F0F" w:rsidP="00970615">
      <w:pPr>
        <w:pStyle w:val="Paragraphedeliste"/>
        <w:numPr>
          <w:ilvl w:val="0"/>
          <w:numId w:val="21"/>
        </w:numPr>
        <w:autoSpaceDE w:val="0"/>
        <w:autoSpaceDN w:val="0"/>
        <w:adjustRightInd w:val="0"/>
        <w:spacing w:after="0" w:line="240" w:lineRule="atLeast"/>
        <w:ind w:left="709" w:hanging="283"/>
        <w:jc w:val="both"/>
        <w:rPr>
          <w:rFonts w:ascii="Arial" w:eastAsia="Times New Roman" w:hAnsi="Arial" w:cs="Arial"/>
          <w:color w:val="000000"/>
          <w:sz w:val="20"/>
          <w:szCs w:val="20"/>
          <w:lang w:val="en-GB" w:eastAsia="fr-FR"/>
        </w:rPr>
      </w:pPr>
      <w:r w:rsidRPr="00372BEA">
        <w:rPr>
          <w:rFonts w:ascii="Arial" w:eastAsia="Times New Roman" w:hAnsi="Arial" w:cs="Arial"/>
          <w:color w:val="000000"/>
          <w:sz w:val="20"/>
          <w:szCs w:val="20"/>
          <w:lang w:val="en-GB" w:eastAsia="fr-FR"/>
        </w:rPr>
        <w:t>Concerning the 3</w:t>
      </w:r>
      <w:r w:rsidRPr="00372BEA">
        <w:rPr>
          <w:rFonts w:ascii="Arial" w:eastAsia="Times New Roman" w:hAnsi="Arial" w:cs="Arial"/>
          <w:color w:val="000000"/>
          <w:sz w:val="20"/>
          <w:szCs w:val="20"/>
          <w:vertAlign w:val="superscript"/>
          <w:lang w:val="en-GB" w:eastAsia="fr-FR"/>
        </w:rPr>
        <w:t>rd</w:t>
      </w:r>
      <w:r w:rsidRPr="00372BEA">
        <w:rPr>
          <w:rFonts w:ascii="Arial" w:eastAsia="Times New Roman" w:hAnsi="Arial" w:cs="Arial"/>
          <w:color w:val="000000"/>
          <w:sz w:val="20"/>
          <w:szCs w:val="20"/>
          <w:lang w:val="en-GB" w:eastAsia="fr-FR"/>
        </w:rPr>
        <w:t xml:space="preserve"> step (see </w:t>
      </w:r>
      <w:r w:rsidRPr="00372BEA">
        <w:rPr>
          <w:rFonts w:ascii="Arial" w:eastAsia="Times New Roman" w:hAnsi="Arial" w:cs="Arial"/>
          <w:i/>
          <w:iCs/>
          <w:color w:val="000000"/>
          <w:sz w:val="20"/>
          <w:szCs w:val="20"/>
          <w:u w:val="single"/>
          <w:lang w:val="en-GB" w:eastAsia="fr-FR"/>
        </w:rPr>
        <w:t>Guideline 2, § 26, 3</w:t>
      </w:r>
      <w:r w:rsidRPr="00372BEA">
        <w:rPr>
          <w:rFonts w:ascii="Arial" w:eastAsia="Times New Roman" w:hAnsi="Arial" w:cs="Arial"/>
          <w:i/>
          <w:iCs/>
          <w:color w:val="000000"/>
          <w:sz w:val="20"/>
          <w:szCs w:val="20"/>
          <w:u w:val="single"/>
          <w:vertAlign w:val="superscript"/>
          <w:lang w:val="en-GB" w:eastAsia="fr-FR"/>
        </w:rPr>
        <w:t>rd</w:t>
      </w:r>
      <w:r w:rsidRPr="00372BEA">
        <w:rPr>
          <w:rFonts w:ascii="Arial" w:eastAsia="Times New Roman" w:hAnsi="Arial" w:cs="Arial"/>
          <w:i/>
          <w:iCs/>
          <w:color w:val="000000"/>
          <w:sz w:val="20"/>
          <w:szCs w:val="20"/>
          <w:u w:val="single"/>
          <w:lang w:val="en-GB" w:eastAsia="fr-FR"/>
        </w:rPr>
        <w:t xml:space="preserve"> bullet point</w:t>
      </w:r>
      <w:r w:rsidRPr="00372BEA">
        <w:rPr>
          <w:rFonts w:ascii="Arial" w:eastAsia="Times New Roman" w:hAnsi="Arial" w:cs="Arial"/>
          <w:color w:val="000000"/>
          <w:sz w:val="20"/>
          <w:szCs w:val="20"/>
          <w:lang w:val="en-GB" w:eastAsia="fr-FR"/>
        </w:rPr>
        <w:t xml:space="preserve">): </w:t>
      </w:r>
      <w:r w:rsidR="00E67976" w:rsidRPr="00372BEA">
        <w:rPr>
          <w:rFonts w:ascii="Arial" w:eastAsia="Times New Roman" w:hAnsi="Arial" w:cs="Arial"/>
          <w:color w:val="000000"/>
          <w:sz w:val="20"/>
          <w:szCs w:val="20"/>
          <w:lang w:val="en-GB" w:eastAsia="fr-FR"/>
        </w:rPr>
        <w:t>FBF</w:t>
      </w:r>
      <w:r w:rsidRPr="00372BEA">
        <w:rPr>
          <w:rFonts w:ascii="Arial" w:eastAsia="Times New Roman" w:hAnsi="Arial" w:cs="Arial"/>
          <w:color w:val="000000"/>
          <w:sz w:val="20"/>
          <w:szCs w:val="20"/>
          <w:lang w:val="en-GB" w:eastAsia="fr-FR"/>
        </w:rPr>
        <w:t xml:space="preserve"> enquires on the difference between ranges and sizes and therefore, suggest</w:t>
      </w:r>
      <w:r w:rsidR="00776269" w:rsidRPr="00372BEA">
        <w:rPr>
          <w:rFonts w:ascii="Arial" w:eastAsia="Times New Roman" w:hAnsi="Arial" w:cs="Arial"/>
          <w:color w:val="000000"/>
          <w:sz w:val="20"/>
          <w:szCs w:val="20"/>
          <w:lang w:val="en-GB" w:eastAsia="fr-FR"/>
        </w:rPr>
        <w:t>s</w:t>
      </w:r>
      <w:r w:rsidRPr="00372BEA">
        <w:rPr>
          <w:rFonts w:ascii="Arial" w:eastAsia="Times New Roman" w:hAnsi="Arial" w:cs="Arial"/>
          <w:color w:val="000000"/>
          <w:sz w:val="20"/>
          <w:szCs w:val="20"/>
          <w:lang w:val="en-GB" w:eastAsia="fr-FR"/>
        </w:rPr>
        <w:t xml:space="preserve"> ESMA to clarify this point. </w:t>
      </w:r>
    </w:p>
    <w:p w14:paraId="1E86842F" w14:textId="77777777" w:rsidR="00A04CF6" w:rsidRPr="00372BEA" w:rsidRDefault="00A04CF6" w:rsidP="00970615">
      <w:pPr>
        <w:autoSpaceDE w:val="0"/>
        <w:autoSpaceDN w:val="0"/>
        <w:adjustRightInd w:val="0"/>
        <w:spacing w:after="0" w:line="240" w:lineRule="atLeast"/>
        <w:ind w:left="426"/>
        <w:jc w:val="both"/>
        <w:rPr>
          <w:rFonts w:ascii="Arial" w:eastAsia="Times New Roman" w:hAnsi="Arial" w:cs="Arial"/>
          <w:color w:val="000000"/>
          <w:sz w:val="20"/>
          <w:szCs w:val="20"/>
          <w:lang w:val="en-GB" w:eastAsia="fr-FR"/>
        </w:rPr>
      </w:pPr>
    </w:p>
    <w:p w14:paraId="5623AC9A" w14:textId="77777777" w:rsidR="005A60DB" w:rsidRPr="00372BEA" w:rsidRDefault="005A60DB">
      <w:pPr>
        <w:autoSpaceDE w:val="0"/>
        <w:autoSpaceDN w:val="0"/>
        <w:adjustRightInd w:val="0"/>
        <w:spacing w:after="0" w:line="240" w:lineRule="atLeast"/>
        <w:ind w:left="708"/>
        <w:jc w:val="both"/>
        <w:rPr>
          <w:rFonts w:ascii="Arial" w:eastAsia="Times New Roman" w:hAnsi="Arial" w:cs="Arial"/>
          <w:color w:val="000000"/>
          <w:sz w:val="20"/>
          <w:szCs w:val="20"/>
          <w:lang w:val="en-GB" w:eastAsia="fr-FR"/>
        </w:rPr>
      </w:pPr>
      <w:bookmarkStart w:id="1" w:name="_Hlk100336806"/>
    </w:p>
    <w:p w14:paraId="74493B0A" w14:textId="33B97F3E" w:rsidR="00DB197C" w:rsidRPr="00372BEA" w:rsidRDefault="00DB197C" w:rsidP="00AF3DD1">
      <w:pPr>
        <w:autoSpaceDE w:val="0"/>
        <w:autoSpaceDN w:val="0"/>
        <w:adjustRightInd w:val="0"/>
        <w:spacing w:after="0" w:line="240" w:lineRule="atLeast"/>
        <w:jc w:val="both"/>
        <w:rPr>
          <w:rFonts w:ascii="Arial" w:eastAsia="Times New Roman" w:hAnsi="Arial" w:cs="Arial"/>
          <w:color w:val="000000"/>
          <w:sz w:val="20"/>
          <w:szCs w:val="20"/>
          <w:lang w:val="en-GB" w:eastAsia="fr-FR"/>
        </w:rPr>
      </w:pPr>
      <w:r w:rsidRPr="00372BEA">
        <w:rPr>
          <w:rFonts w:ascii="Arial" w:eastAsia="Times New Roman" w:hAnsi="Arial" w:cs="Arial"/>
          <w:color w:val="000000"/>
          <w:sz w:val="20"/>
          <w:szCs w:val="20"/>
          <w:lang w:val="en-GB" w:eastAsia="fr-FR"/>
        </w:rPr>
        <w:t>Second</w:t>
      </w:r>
      <w:r w:rsidR="00056B87" w:rsidRPr="00372BEA">
        <w:rPr>
          <w:rFonts w:ascii="Arial" w:eastAsia="Times New Roman" w:hAnsi="Arial" w:cs="Arial"/>
          <w:color w:val="000000"/>
          <w:sz w:val="20"/>
          <w:szCs w:val="20"/>
          <w:lang w:val="en-GB" w:eastAsia="fr-FR"/>
        </w:rPr>
        <w:t>ly,</w:t>
      </w:r>
      <w:r w:rsidRPr="00372BEA">
        <w:rPr>
          <w:rFonts w:ascii="Arial" w:eastAsia="Times New Roman" w:hAnsi="Arial" w:cs="Arial"/>
          <w:color w:val="000000"/>
          <w:sz w:val="20"/>
          <w:szCs w:val="20"/>
          <w:lang w:val="en-GB" w:eastAsia="fr-FR"/>
        </w:rPr>
        <w:t xml:space="preserve"> </w:t>
      </w:r>
      <w:r w:rsidR="00E67976" w:rsidRPr="00372BEA">
        <w:rPr>
          <w:rFonts w:ascii="Arial" w:eastAsia="Times New Roman" w:hAnsi="Arial" w:cs="Arial"/>
          <w:color w:val="000000"/>
          <w:sz w:val="20"/>
          <w:szCs w:val="20"/>
          <w:lang w:val="en-GB" w:eastAsia="fr-FR"/>
        </w:rPr>
        <w:t>FBF</w:t>
      </w:r>
      <w:r w:rsidRPr="00372BEA">
        <w:rPr>
          <w:rFonts w:ascii="Arial" w:eastAsia="Times New Roman" w:hAnsi="Arial" w:cs="Arial"/>
          <w:color w:val="000000"/>
          <w:sz w:val="20"/>
          <w:szCs w:val="20"/>
          <w:lang w:val="en-GB" w:eastAsia="fr-FR"/>
        </w:rPr>
        <w:t xml:space="preserve"> would like to stress the following points on which </w:t>
      </w:r>
      <w:r w:rsidR="00A45E08" w:rsidRPr="00372BEA">
        <w:rPr>
          <w:rFonts w:ascii="Arial" w:eastAsia="Times New Roman" w:hAnsi="Arial" w:cs="Arial"/>
          <w:color w:val="000000"/>
          <w:sz w:val="20"/>
          <w:szCs w:val="20"/>
          <w:lang w:val="en-GB" w:eastAsia="fr-FR"/>
        </w:rPr>
        <w:t xml:space="preserve">it </w:t>
      </w:r>
      <w:r w:rsidRPr="00372BEA">
        <w:rPr>
          <w:rFonts w:ascii="Arial" w:eastAsia="Times New Roman" w:hAnsi="Arial" w:cs="Arial"/>
          <w:color w:val="000000"/>
          <w:sz w:val="20"/>
          <w:szCs w:val="20"/>
          <w:lang w:val="en-GB" w:eastAsia="fr-FR"/>
        </w:rPr>
        <w:t>does not s</w:t>
      </w:r>
      <w:r w:rsidR="00CD2B99" w:rsidRPr="00372BEA">
        <w:rPr>
          <w:rFonts w:ascii="Arial" w:eastAsia="Times New Roman" w:hAnsi="Arial" w:cs="Arial"/>
          <w:color w:val="000000"/>
          <w:sz w:val="20"/>
          <w:szCs w:val="20"/>
          <w:lang w:val="en-GB" w:eastAsia="fr-FR"/>
        </w:rPr>
        <w:t>hare ESMA’s view:</w:t>
      </w:r>
    </w:p>
    <w:bookmarkEnd w:id="1"/>
    <w:p w14:paraId="6646A9AA" w14:textId="77777777" w:rsidR="00E72D4C" w:rsidRPr="00372BEA" w:rsidRDefault="00E72D4C"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0F27F93D" w14:textId="64A36EF0" w:rsidR="00AC3895" w:rsidRPr="00372BEA" w:rsidRDefault="005C5930" w:rsidP="00970615">
      <w:pPr>
        <w:pStyle w:val="Paragraphedeliste"/>
        <w:numPr>
          <w:ilvl w:val="0"/>
          <w:numId w:val="16"/>
        </w:numPr>
        <w:autoSpaceDE w:val="0"/>
        <w:autoSpaceDN w:val="0"/>
        <w:adjustRightInd w:val="0"/>
        <w:spacing w:after="0" w:line="240" w:lineRule="atLeast"/>
        <w:jc w:val="both"/>
        <w:rPr>
          <w:rFonts w:ascii="Arial" w:eastAsia="Times New Roman" w:hAnsi="Arial" w:cs="Arial"/>
          <w:color w:val="000000"/>
          <w:sz w:val="20"/>
          <w:szCs w:val="20"/>
          <w:lang w:val="en-GB" w:eastAsia="fr-FR"/>
        </w:rPr>
      </w:pPr>
      <w:r w:rsidRPr="00372BEA">
        <w:rPr>
          <w:rFonts w:ascii="Arial" w:eastAsia="Times New Roman" w:hAnsi="Arial" w:cs="Arial"/>
          <w:color w:val="000000"/>
          <w:sz w:val="20"/>
          <w:szCs w:val="20"/>
          <w:lang w:val="en-GB" w:eastAsia="fr-FR"/>
        </w:rPr>
        <w:t>T</w:t>
      </w:r>
      <w:r w:rsidR="00DF09AA" w:rsidRPr="00372BEA">
        <w:rPr>
          <w:rFonts w:ascii="Arial" w:eastAsia="Times New Roman" w:hAnsi="Arial" w:cs="Arial"/>
          <w:color w:val="000000"/>
          <w:sz w:val="20"/>
          <w:szCs w:val="20"/>
          <w:lang w:val="en-GB" w:eastAsia="fr-FR"/>
        </w:rPr>
        <w:t xml:space="preserve">he </w:t>
      </w:r>
      <w:r w:rsidR="00C65777" w:rsidRPr="00372BEA">
        <w:rPr>
          <w:rFonts w:ascii="Arial" w:eastAsia="Times New Roman" w:hAnsi="Arial" w:cs="Arial"/>
          <w:color w:val="000000"/>
          <w:sz w:val="20"/>
          <w:szCs w:val="20"/>
          <w:lang w:val="en-GB" w:eastAsia="fr-FR"/>
        </w:rPr>
        <w:t>second (</w:t>
      </w:r>
      <w:r w:rsidR="00A63394" w:rsidRPr="00372BEA">
        <w:rPr>
          <w:rFonts w:ascii="Arial" w:hAnsi="Arial" w:cs="Arial"/>
          <w:sz w:val="20"/>
          <w:szCs w:val="20"/>
          <w:lang w:val="en-GB" w:eastAsia="fr-FR"/>
        </w:rPr>
        <w:t>2</w:t>
      </w:r>
      <w:r w:rsidR="00A63394" w:rsidRPr="00372BEA">
        <w:rPr>
          <w:rFonts w:ascii="Arial" w:hAnsi="Arial" w:cs="Arial"/>
          <w:sz w:val="20"/>
          <w:szCs w:val="20"/>
          <w:vertAlign w:val="superscript"/>
          <w:lang w:val="en-GB" w:eastAsia="fr-FR"/>
        </w:rPr>
        <w:t>nd</w:t>
      </w:r>
      <w:r w:rsidR="00C65777" w:rsidRPr="00372BEA">
        <w:rPr>
          <w:rFonts w:ascii="Arial" w:hAnsi="Arial" w:cs="Arial"/>
          <w:sz w:val="20"/>
          <w:szCs w:val="20"/>
          <w:lang w:val="en-GB" w:eastAsia="fr-FR"/>
        </w:rPr>
        <w:t xml:space="preserve">) </w:t>
      </w:r>
      <w:r w:rsidR="00A63394" w:rsidRPr="00372BEA">
        <w:rPr>
          <w:rFonts w:ascii="Arial" w:eastAsia="Times New Roman" w:hAnsi="Arial" w:cs="Arial"/>
          <w:color w:val="000000"/>
          <w:sz w:val="20"/>
          <w:szCs w:val="20"/>
          <w:lang w:val="en-GB" w:eastAsia="fr-FR"/>
        </w:rPr>
        <w:t>step</w:t>
      </w:r>
      <w:r w:rsidR="00C133E0" w:rsidRPr="00372BEA">
        <w:rPr>
          <w:rFonts w:ascii="Arial" w:eastAsia="Times New Roman" w:hAnsi="Arial" w:cs="Arial"/>
          <w:color w:val="000000"/>
          <w:sz w:val="20"/>
          <w:szCs w:val="20"/>
          <w:lang w:val="en-GB" w:eastAsia="fr-FR"/>
        </w:rPr>
        <w:t xml:space="preserve"> (</w:t>
      </w:r>
      <w:r w:rsidRPr="00372BEA">
        <w:rPr>
          <w:rFonts w:ascii="Arial" w:eastAsia="Times New Roman" w:hAnsi="Arial" w:cs="Arial"/>
          <w:color w:val="000000"/>
          <w:sz w:val="20"/>
          <w:szCs w:val="20"/>
          <w:lang w:val="en-GB" w:eastAsia="fr-FR"/>
        </w:rPr>
        <w:t xml:space="preserve">see </w:t>
      </w:r>
      <w:r w:rsidRPr="00372BEA">
        <w:rPr>
          <w:rFonts w:ascii="Arial" w:eastAsia="Times New Roman" w:hAnsi="Arial" w:cs="Arial"/>
          <w:i/>
          <w:iCs/>
          <w:color w:val="000000"/>
          <w:sz w:val="20"/>
          <w:szCs w:val="20"/>
          <w:u w:val="single"/>
          <w:lang w:val="en-GB" w:eastAsia="fr-FR"/>
        </w:rPr>
        <w:t xml:space="preserve">Guideline 2, § 26, </w:t>
      </w:r>
      <w:r w:rsidR="00C133E0" w:rsidRPr="00372BEA">
        <w:rPr>
          <w:rFonts w:ascii="Arial" w:hAnsi="Arial" w:cs="Arial"/>
          <w:i/>
          <w:iCs/>
          <w:sz w:val="20"/>
          <w:szCs w:val="20"/>
          <w:u w:val="single"/>
          <w:lang w:val="en-GB" w:eastAsia="fr-FR"/>
        </w:rPr>
        <w:t>2</w:t>
      </w:r>
      <w:r w:rsidR="00C133E0" w:rsidRPr="00372BEA">
        <w:rPr>
          <w:rFonts w:ascii="Arial" w:hAnsi="Arial" w:cs="Arial"/>
          <w:i/>
          <w:iCs/>
          <w:sz w:val="20"/>
          <w:szCs w:val="20"/>
          <w:u w:val="single"/>
          <w:vertAlign w:val="superscript"/>
          <w:lang w:val="en-GB" w:eastAsia="fr-FR"/>
        </w:rPr>
        <w:t>nd</w:t>
      </w:r>
      <w:r w:rsidR="00C133E0" w:rsidRPr="00372BEA">
        <w:rPr>
          <w:rFonts w:ascii="Arial" w:hAnsi="Arial" w:cs="Arial"/>
          <w:i/>
          <w:iCs/>
          <w:sz w:val="20"/>
          <w:szCs w:val="20"/>
          <w:u w:val="single"/>
          <w:lang w:val="en-GB" w:eastAsia="fr-FR"/>
        </w:rPr>
        <w:t xml:space="preserve"> </w:t>
      </w:r>
      <w:r w:rsidR="00C133E0" w:rsidRPr="00372BEA">
        <w:rPr>
          <w:rFonts w:ascii="Arial" w:eastAsia="Times New Roman" w:hAnsi="Arial" w:cs="Arial"/>
          <w:i/>
          <w:iCs/>
          <w:color w:val="000000"/>
          <w:sz w:val="20"/>
          <w:szCs w:val="20"/>
          <w:u w:val="single"/>
          <w:lang w:val="en-GB" w:eastAsia="fr-FR"/>
        </w:rPr>
        <w:t>bullet point</w:t>
      </w:r>
      <w:r w:rsidR="00C133E0" w:rsidRPr="00372BEA">
        <w:rPr>
          <w:rFonts w:ascii="Arial" w:eastAsia="Times New Roman" w:hAnsi="Arial" w:cs="Arial"/>
          <w:color w:val="000000"/>
          <w:sz w:val="20"/>
          <w:szCs w:val="20"/>
          <w:lang w:val="en-GB" w:eastAsia="fr-FR"/>
        </w:rPr>
        <w:t>)</w:t>
      </w:r>
      <w:r w:rsidR="00056B87" w:rsidRPr="00372BEA">
        <w:rPr>
          <w:rFonts w:ascii="Arial" w:eastAsia="Times New Roman" w:hAnsi="Arial" w:cs="Arial"/>
          <w:color w:val="000000"/>
          <w:sz w:val="20"/>
          <w:szCs w:val="20"/>
          <w:lang w:val="en-GB" w:eastAsia="fr-FR"/>
        </w:rPr>
        <w:t xml:space="preserve"> suggested would </w:t>
      </w:r>
      <w:r w:rsidR="00A63394" w:rsidRPr="00372BEA">
        <w:rPr>
          <w:rFonts w:ascii="Arial" w:eastAsia="Times New Roman" w:hAnsi="Arial" w:cs="Arial"/>
          <w:color w:val="000000"/>
          <w:sz w:val="20"/>
          <w:szCs w:val="20"/>
          <w:lang w:val="en-GB" w:eastAsia="fr-FR"/>
        </w:rPr>
        <w:t>requir</w:t>
      </w:r>
      <w:r w:rsidR="00F54D5C" w:rsidRPr="00372BEA">
        <w:rPr>
          <w:rFonts w:ascii="Arial" w:eastAsia="Times New Roman" w:hAnsi="Arial" w:cs="Arial"/>
          <w:color w:val="000000"/>
          <w:sz w:val="20"/>
          <w:szCs w:val="20"/>
          <w:lang w:val="en-GB" w:eastAsia="fr-FR"/>
        </w:rPr>
        <w:t>e</w:t>
      </w:r>
      <w:r w:rsidR="00A63394" w:rsidRPr="00372BEA">
        <w:rPr>
          <w:rFonts w:ascii="Arial" w:eastAsia="Times New Roman" w:hAnsi="Arial" w:cs="Arial"/>
          <w:color w:val="000000"/>
          <w:sz w:val="20"/>
          <w:szCs w:val="20"/>
          <w:lang w:val="en-GB" w:eastAsia="fr-FR"/>
        </w:rPr>
        <w:t xml:space="preserve"> </w:t>
      </w:r>
      <w:r w:rsidR="00B85CBB" w:rsidRPr="00372BEA">
        <w:rPr>
          <w:rFonts w:ascii="Arial" w:eastAsia="Times New Roman" w:hAnsi="Arial" w:cs="Arial"/>
          <w:color w:val="000000"/>
          <w:sz w:val="20"/>
          <w:szCs w:val="20"/>
          <w:lang w:val="en-GB" w:eastAsia="fr-FR"/>
        </w:rPr>
        <w:t xml:space="preserve">a </w:t>
      </w:r>
      <w:r w:rsidR="009F2302" w:rsidRPr="00372BEA">
        <w:rPr>
          <w:rFonts w:ascii="Arial" w:eastAsia="Times New Roman" w:hAnsi="Arial" w:cs="Arial"/>
          <w:color w:val="000000"/>
          <w:sz w:val="20"/>
          <w:szCs w:val="20"/>
          <w:lang w:val="en-GB" w:eastAsia="fr-FR"/>
        </w:rPr>
        <w:t>questioning</w:t>
      </w:r>
      <w:r w:rsidR="00A63394" w:rsidRPr="00372BEA">
        <w:rPr>
          <w:rFonts w:ascii="Arial" w:eastAsia="Times New Roman" w:hAnsi="Arial" w:cs="Arial"/>
          <w:color w:val="000000"/>
          <w:sz w:val="20"/>
          <w:szCs w:val="20"/>
          <w:lang w:val="en-GB" w:eastAsia="fr-FR"/>
        </w:rPr>
        <w:t xml:space="preserve"> on </w:t>
      </w:r>
      <w:r w:rsidR="00A63394" w:rsidRPr="00372BEA">
        <w:rPr>
          <w:rFonts w:ascii="Arial" w:eastAsia="Times New Roman" w:hAnsi="Arial" w:cs="Arial"/>
          <w:b/>
          <w:bCs/>
          <w:color w:val="000000"/>
          <w:sz w:val="20"/>
          <w:szCs w:val="20"/>
          <w:lang w:val="en-GB" w:eastAsia="fr-FR"/>
        </w:rPr>
        <w:t xml:space="preserve">whether such preferences focus on either </w:t>
      </w:r>
      <w:r w:rsidR="007C6092" w:rsidRPr="00372BEA">
        <w:rPr>
          <w:rFonts w:ascii="Arial" w:eastAsia="Times New Roman" w:hAnsi="Arial" w:cs="Arial"/>
          <w:b/>
          <w:bCs/>
          <w:color w:val="000000"/>
          <w:sz w:val="20"/>
          <w:szCs w:val="20"/>
          <w:lang w:val="en-GB" w:eastAsia="fr-FR"/>
        </w:rPr>
        <w:t>environmental (</w:t>
      </w:r>
      <w:r w:rsidR="00A63394" w:rsidRPr="00372BEA">
        <w:rPr>
          <w:rFonts w:ascii="Arial" w:eastAsia="Times New Roman" w:hAnsi="Arial" w:cs="Arial"/>
          <w:b/>
          <w:bCs/>
          <w:color w:val="000000"/>
          <w:sz w:val="20"/>
          <w:szCs w:val="20"/>
          <w:lang w:val="en-GB" w:eastAsia="fr-FR"/>
        </w:rPr>
        <w:t>E</w:t>
      </w:r>
      <w:r w:rsidR="007C6092" w:rsidRPr="00372BEA">
        <w:rPr>
          <w:rFonts w:ascii="Arial" w:eastAsia="Times New Roman" w:hAnsi="Arial" w:cs="Arial"/>
          <w:b/>
          <w:bCs/>
          <w:color w:val="000000"/>
          <w:sz w:val="20"/>
          <w:szCs w:val="20"/>
          <w:lang w:val="en-GB" w:eastAsia="fr-FR"/>
        </w:rPr>
        <w:t>)</w:t>
      </w:r>
      <w:r w:rsidR="00A63394" w:rsidRPr="00372BEA">
        <w:rPr>
          <w:rFonts w:ascii="Arial" w:eastAsia="Times New Roman" w:hAnsi="Arial" w:cs="Arial"/>
          <w:b/>
          <w:bCs/>
          <w:color w:val="000000"/>
          <w:sz w:val="20"/>
          <w:szCs w:val="20"/>
          <w:lang w:val="en-GB" w:eastAsia="fr-FR"/>
        </w:rPr>
        <w:t xml:space="preserve">, </w:t>
      </w:r>
      <w:r w:rsidR="00130B1E" w:rsidRPr="00372BEA">
        <w:rPr>
          <w:rFonts w:ascii="Arial" w:eastAsia="Times New Roman" w:hAnsi="Arial" w:cs="Arial"/>
          <w:b/>
          <w:bCs/>
          <w:color w:val="000000"/>
          <w:sz w:val="20"/>
          <w:szCs w:val="20"/>
          <w:lang w:val="en-GB" w:eastAsia="fr-FR"/>
        </w:rPr>
        <w:t>social (</w:t>
      </w:r>
      <w:r w:rsidR="00A63394" w:rsidRPr="00372BEA">
        <w:rPr>
          <w:rFonts w:ascii="Arial" w:eastAsia="Times New Roman" w:hAnsi="Arial" w:cs="Arial"/>
          <w:b/>
          <w:bCs/>
          <w:color w:val="000000"/>
          <w:sz w:val="20"/>
          <w:szCs w:val="20"/>
          <w:lang w:val="en-GB" w:eastAsia="fr-FR"/>
        </w:rPr>
        <w:t>S</w:t>
      </w:r>
      <w:r w:rsidR="00130B1E" w:rsidRPr="00372BEA">
        <w:rPr>
          <w:rFonts w:ascii="Arial" w:eastAsia="Times New Roman" w:hAnsi="Arial" w:cs="Arial"/>
          <w:b/>
          <w:bCs/>
          <w:color w:val="000000"/>
          <w:sz w:val="20"/>
          <w:szCs w:val="20"/>
          <w:lang w:val="en-GB" w:eastAsia="fr-FR"/>
        </w:rPr>
        <w:t>)</w:t>
      </w:r>
      <w:r w:rsidR="00A63394" w:rsidRPr="00372BEA">
        <w:rPr>
          <w:rFonts w:ascii="Arial" w:eastAsia="Times New Roman" w:hAnsi="Arial" w:cs="Arial"/>
          <w:b/>
          <w:bCs/>
          <w:color w:val="000000"/>
          <w:sz w:val="20"/>
          <w:szCs w:val="20"/>
          <w:lang w:val="en-GB" w:eastAsia="fr-FR"/>
        </w:rPr>
        <w:t xml:space="preserve"> or </w:t>
      </w:r>
      <w:r w:rsidR="00130B1E" w:rsidRPr="00372BEA">
        <w:rPr>
          <w:rFonts w:ascii="Arial" w:eastAsia="Times New Roman" w:hAnsi="Arial" w:cs="Arial"/>
          <w:b/>
          <w:bCs/>
          <w:color w:val="000000"/>
          <w:sz w:val="20"/>
          <w:szCs w:val="20"/>
          <w:lang w:val="en-GB" w:eastAsia="fr-FR"/>
        </w:rPr>
        <w:t>governance (</w:t>
      </w:r>
      <w:r w:rsidR="00A63394" w:rsidRPr="00372BEA">
        <w:rPr>
          <w:rFonts w:ascii="Arial" w:eastAsia="Times New Roman" w:hAnsi="Arial" w:cs="Arial"/>
          <w:b/>
          <w:bCs/>
          <w:color w:val="000000"/>
          <w:sz w:val="20"/>
          <w:szCs w:val="20"/>
          <w:lang w:val="en-GB" w:eastAsia="fr-FR"/>
        </w:rPr>
        <w:t>G</w:t>
      </w:r>
      <w:r w:rsidR="00130B1E" w:rsidRPr="00372BEA">
        <w:rPr>
          <w:rFonts w:ascii="Arial" w:eastAsia="Times New Roman" w:hAnsi="Arial" w:cs="Arial"/>
          <w:b/>
          <w:bCs/>
          <w:color w:val="000000"/>
          <w:sz w:val="20"/>
          <w:szCs w:val="20"/>
          <w:lang w:val="en-GB" w:eastAsia="fr-FR"/>
        </w:rPr>
        <w:t>)</w:t>
      </w:r>
      <w:r w:rsidR="002011FE" w:rsidRPr="00372BEA">
        <w:rPr>
          <w:rFonts w:ascii="Arial" w:eastAsia="Times New Roman" w:hAnsi="Arial" w:cs="Arial"/>
          <w:b/>
          <w:bCs/>
          <w:color w:val="000000"/>
          <w:sz w:val="20"/>
          <w:szCs w:val="20"/>
          <w:lang w:val="en-GB" w:eastAsia="fr-FR"/>
        </w:rPr>
        <w:t xml:space="preserve"> criteria</w:t>
      </w:r>
      <w:r w:rsidR="006C4CE9" w:rsidRPr="00372BEA">
        <w:rPr>
          <w:rFonts w:ascii="Arial" w:eastAsia="Times New Roman" w:hAnsi="Arial" w:cs="Arial"/>
          <w:b/>
          <w:bCs/>
          <w:color w:val="000000"/>
          <w:sz w:val="20"/>
          <w:szCs w:val="20"/>
          <w:lang w:val="en-GB" w:eastAsia="fr-FR"/>
        </w:rPr>
        <w:t xml:space="preserve">. </w:t>
      </w:r>
      <w:r w:rsidR="00E67976" w:rsidRPr="00372BEA">
        <w:rPr>
          <w:rFonts w:ascii="Arial" w:eastAsia="Times New Roman" w:hAnsi="Arial" w:cs="Arial"/>
          <w:b/>
          <w:bCs/>
          <w:color w:val="000000"/>
          <w:sz w:val="20"/>
          <w:szCs w:val="20"/>
          <w:lang w:val="en-GB" w:eastAsia="fr-FR"/>
        </w:rPr>
        <w:t>FBF</w:t>
      </w:r>
      <w:r w:rsidR="00B946CF" w:rsidRPr="00372BEA">
        <w:rPr>
          <w:rFonts w:ascii="Arial" w:eastAsia="Times New Roman" w:hAnsi="Arial" w:cs="Arial"/>
          <w:b/>
          <w:bCs/>
          <w:color w:val="000000"/>
          <w:sz w:val="20"/>
          <w:szCs w:val="20"/>
          <w:lang w:val="en-GB" w:eastAsia="fr-FR"/>
        </w:rPr>
        <w:t xml:space="preserve"> w</w:t>
      </w:r>
      <w:r w:rsidR="007A6656" w:rsidRPr="00372BEA">
        <w:rPr>
          <w:rFonts w:ascii="Arial" w:eastAsia="Times New Roman" w:hAnsi="Arial" w:cs="Arial"/>
          <w:b/>
          <w:bCs/>
          <w:color w:val="000000"/>
          <w:sz w:val="20"/>
          <w:szCs w:val="20"/>
          <w:lang w:val="en-GB" w:eastAsia="fr-FR"/>
        </w:rPr>
        <w:t>ishes to point out that t</w:t>
      </w:r>
      <w:r w:rsidR="006C4CE9" w:rsidRPr="00372BEA">
        <w:rPr>
          <w:rFonts w:ascii="Arial" w:eastAsia="Times New Roman" w:hAnsi="Arial" w:cs="Arial"/>
          <w:b/>
          <w:bCs/>
          <w:color w:val="000000"/>
          <w:sz w:val="20"/>
          <w:szCs w:val="20"/>
          <w:lang w:val="en-GB" w:eastAsia="fr-FR"/>
        </w:rPr>
        <w:t xml:space="preserve">his is </w:t>
      </w:r>
      <w:r w:rsidR="00A63394" w:rsidRPr="00372BEA">
        <w:rPr>
          <w:rFonts w:ascii="Arial" w:eastAsia="Times New Roman" w:hAnsi="Arial" w:cs="Arial"/>
          <w:b/>
          <w:bCs/>
          <w:color w:val="000000"/>
          <w:sz w:val="20"/>
          <w:szCs w:val="20"/>
          <w:lang w:val="en-GB" w:eastAsia="fr-FR"/>
        </w:rPr>
        <w:t>not required</w:t>
      </w:r>
      <w:r w:rsidR="00AB54CA" w:rsidRPr="00372BEA">
        <w:rPr>
          <w:rFonts w:ascii="Arial" w:eastAsia="Times New Roman" w:hAnsi="Arial" w:cs="Arial"/>
          <w:b/>
          <w:bCs/>
          <w:color w:val="000000"/>
          <w:sz w:val="20"/>
          <w:szCs w:val="20"/>
          <w:lang w:val="en-GB" w:eastAsia="fr-FR"/>
        </w:rPr>
        <w:t xml:space="preserve"> by MiFID</w:t>
      </w:r>
      <w:r w:rsidR="002011FE" w:rsidRPr="00372BEA">
        <w:rPr>
          <w:rFonts w:ascii="Arial" w:eastAsia="Times New Roman" w:hAnsi="Arial" w:cs="Arial"/>
          <w:b/>
          <w:bCs/>
          <w:color w:val="000000"/>
          <w:sz w:val="20"/>
          <w:szCs w:val="20"/>
          <w:lang w:val="en-GB" w:eastAsia="fr-FR"/>
        </w:rPr>
        <w:t xml:space="preserve"> II</w:t>
      </w:r>
      <w:r w:rsidR="00AB54CA" w:rsidRPr="00372BEA">
        <w:rPr>
          <w:rFonts w:ascii="Arial" w:eastAsia="Times New Roman" w:hAnsi="Arial" w:cs="Arial"/>
          <w:b/>
          <w:bCs/>
          <w:color w:val="000000"/>
          <w:sz w:val="20"/>
          <w:szCs w:val="20"/>
          <w:lang w:val="en-GB" w:eastAsia="fr-FR"/>
        </w:rPr>
        <w:t xml:space="preserve"> D</w:t>
      </w:r>
      <w:r w:rsidR="002011FE" w:rsidRPr="00372BEA">
        <w:rPr>
          <w:rFonts w:ascii="Arial" w:eastAsia="Times New Roman" w:hAnsi="Arial" w:cs="Arial"/>
          <w:b/>
          <w:bCs/>
          <w:color w:val="000000"/>
          <w:sz w:val="20"/>
          <w:szCs w:val="20"/>
          <w:lang w:val="en-GB" w:eastAsia="fr-FR"/>
        </w:rPr>
        <w:t xml:space="preserve">elegated </w:t>
      </w:r>
      <w:r w:rsidR="00AB54CA" w:rsidRPr="00372BEA">
        <w:rPr>
          <w:rFonts w:ascii="Arial" w:eastAsia="Times New Roman" w:hAnsi="Arial" w:cs="Arial"/>
          <w:b/>
          <w:bCs/>
          <w:color w:val="000000"/>
          <w:sz w:val="20"/>
          <w:szCs w:val="20"/>
          <w:lang w:val="en-GB" w:eastAsia="fr-FR"/>
        </w:rPr>
        <w:t>R</w:t>
      </w:r>
      <w:r w:rsidR="002011FE" w:rsidRPr="00372BEA">
        <w:rPr>
          <w:rFonts w:ascii="Arial" w:eastAsia="Times New Roman" w:hAnsi="Arial" w:cs="Arial"/>
          <w:b/>
          <w:bCs/>
          <w:color w:val="000000"/>
          <w:sz w:val="20"/>
          <w:szCs w:val="20"/>
          <w:lang w:val="en-GB" w:eastAsia="fr-FR"/>
        </w:rPr>
        <w:t>egulation</w:t>
      </w:r>
      <w:r w:rsidR="00AB54CA" w:rsidRPr="00372BEA">
        <w:rPr>
          <w:rFonts w:ascii="Arial" w:eastAsia="Times New Roman" w:hAnsi="Arial" w:cs="Arial"/>
          <w:b/>
          <w:bCs/>
          <w:color w:val="000000"/>
          <w:sz w:val="20"/>
          <w:szCs w:val="20"/>
          <w:lang w:val="en-GB" w:eastAsia="fr-FR"/>
        </w:rPr>
        <w:t>.</w:t>
      </w:r>
      <w:r w:rsidR="00512889" w:rsidRPr="00372BEA">
        <w:rPr>
          <w:rFonts w:ascii="Arial" w:eastAsia="Times New Roman" w:hAnsi="Arial" w:cs="Arial"/>
          <w:b/>
          <w:bCs/>
          <w:color w:val="000000"/>
          <w:sz w:val="20"/>
          <w:szCs w:val="20"/>
          <w:lang w:val="en-GB" w:eastAsia="fr-FR"/>
        </w:rPr>
        <w:t xml:space="preserve"> </w:t>
      </w:r>
      <w:r w:rsidR="006140C4" w:rsidRPr="00372BEA">
        <w:rPr>
          <w:rFonts w:ascii="Arial" w:eastAsia="Times New Roman" w:hAnsi="Arial" w:cs="Arial"/>
          <w:b/>
          <w:bCs/>
          <w:color w:val="000000"/>
          <w:sz w:val="20"/>
          <w:szCs w:val="20"/>
          <w:lang w:val="en-GB" w:eastAsia="fr-FR"/>
        </w:rPr>
        <w:t>T</w:t>
      </w:r>
      <w:r w:rsidR="006140C4" w:rsidRPr="00372BEA">
        <w:rPr>
          <w:rFonts w:ascii="Arial" w:eastAsia="Times New Roman" w:hAnsi="Arial" w:cs="Arial"/>
          <w:color w:val="000000"/>
          <w:sz w:val="20"/>
          <w:szCs w:val="20"/>
          <w:lang w:val="en-GB" w:eastAsia="fr-FR"/>
        </w:rPr>
        <w:t xml:space="preserve">herefore, </w:t>
      </w:r>
      <w:r w:rsidR="00D5450B" w:rsidRPr="00372BEA">
        <w:rPr>
          <w:rFonts w:ascii="Arial" w:eastAsia="Times New Roman" w:hAnsi="Arial" w:cs="Arial"/>
          <w:color w:val="000000"/>
          <w:sz w:val="20"/>
          <w:szCs w:val="20"/>
          <w:lang w:val="en-GB" w:eastAsia="fr-FR"/>
        </w:rPr>
        <w:t xml:space="preserve">even if drafted as a good </w:t>
      </w:r>
      <w:r w:rsidR="00AF3DD1" w:rsidRPr="00372BEA">
        <w:rPr>
          <w:rFonts w:ascii="Arial" w:eastAsia="Times New Roman" w:hAnsi="Arial" w:cs="Arial"/>
          <w:color w:val="000000"/>
          <w:sz w:val="20"/>
          <w:szCs w:val="20"/>
          <w:lang w:val="en-GB" w:eastAsia="fr-FR"/>
        </w:rPr>
        <w:t>practice (</w:t>
      </w:r>
      <w:proofErr w:type="gramStart"/>
      <w:r w:rsidR="004C6E90" w:rsidRPr="00372BEA">
        <w:rPr>
          <w:rFonts w:ascii="Arial" w:eastAsia="Times New Roman" w:hAnsi="Arial" w:cs="Arial"/>
          <w:color w:val="000000"/>
          <w:sz w:val="20"/>
          <w:szCs w:val="20"/>
          <w:lang w:val="en-GB" w:eastAsia="fr-FR"/>
        </w:rPr>
        <w:t>by the use of</w:t>
      </w:r>
      <w:proofErr w:type="gramEnd"/>
      <w:r w:rsidR="004C6E90" w:rsidRPr="00372BEA">
        <w:rPr>
          <w:rFonts w:ascii="Arial" w:eastAsia="Times New Roman" w:hAnsi="Arial" w:cs="Arial"/>
          <w:color w:val="000000"/>
          <w:sz w:val="20"/>
          <w:szCs w:val="20"/>
          <w:lang w:val="en-GB" w:eastAsia="fr-FR"/>
        </w:rPr>
        <w:t xml:space="preserve"> the verb “could” rather than “should</w:t>
      </w:r>
      <w:r w:rsidR="00984E63" w:rsidRPr="00372BEA">
        <w:rPr>
          <w:rFonts w:ascii="Arial" w:eastAsia="Times New Roman" w:hAnsi="Arial" w:cs="Arial"/>
          <w:color w:val="000000"/>
          <w:sz w:val="20"/>
          <w:szCs w:val="20"/>
          <w:lang w:val="en-GB" w:eastAsia="fr-FR"/>
        </w:rPr>
        <w:t>”)</w:t>
      </w:r>
      <w:r w:rsidR="00AF3DD1" w:rsidRPr="00372BEA">
        <w:rPr>
          <w:rFonts w:ascii="Arial" w:eastAsia="Times New Roman" w:hAnsi="Arial" w:cs="Arial"/>
          <w:color w:val="000000"/>
          <w:sz w:val="20"/>
          <w:szCs w:val="20"/>
          <w:lang w:val="en-GB" w:eastAsia="fr-FR"/>
        </w:rPr>
        <w:t xml:space="preserve">, </w:t>
      </w:r>
      <w:r w:rsidR="00CE18FB" w:rsidRPr="00372BEA">
        <w:rPr>
          <w:rFonts w:ascii="Arial" w:eastAsia="Times New Roman" w:hAnsi="Arial" w:cs="Arial"/>
          <w:color w:val="000000"/>
          <w:sz w:val="20"/>
          <w:szCs w:val="20"/>
          <w:lang w:val="en-GB" w:eastAsia="fr-FR"/>
        </w:rPr>
        <w:t xml:space="preserve">according </w:t>
      </w:r>
      <w:r w:rsidR="006140C4" w:rsidRPr="00372BEA">
        <w:rPr>
          <w:rFonts w:ascii="Arial" w:eastAsia="Times New Roman" w:hAnsi="Arial" w:cs="Arial"/>
          <w:color w:val="000000"/>
          <w:sz w:val="20"/>
          <w:szCs w:val="20"/>
          <w:lang w:val="en-GB" w:eastAsia="fr-FR"/>
        </w:rPr>
        <w:t xml:space="preserve">to </w:t>
      </w:r>
      <w:r w:rsidR="00E67976" w:rsidRPr="00372BEA">
        <w:rPr>
          <w:rFonts w:ascii="Arial" w:eastAsia="Times New Roman" w:hAnsi="Arial" w:cs="Arial"/>
          <w:color w:val="000000"/>
          <w:sz w:val="20"/>
          <w:szCs w:val="20"/>
          <w:lang w:val="en-GB" w:eastAsia="fr-FR"/>
        </w:rPr>
        <w:t>FBF</w:t>
      </w:r>
      <w:r w:rsidR="006140C4" w:rsidRPr="00372BEA">
        <w:rPr>
          <w:rFonts w:ascii="Arial" w:eastAsia="Times New Roman" w:hAnsi="Arial" w:cs="Arial"/>
          <w:color w:val="000000"/>
          <w:sz w:val="20"/>
          <w:szCs w:val="20"/>
          <w:lang w:val="en-GB" w:eastAsia="fr-FR"/>
        </w:rPr>
        <w:t xml:space="preserve">, this </w:t>
      </w:r>
      <w:r w:rsidR="006F6556" w:rsidRPr="00372BEA">
        <w:rPr>
          <w:rFonts w:ascii="Arial" w:eastAsia="Times New Roman" w:hAnsi="Arial" w:cs="Arial"/>
          <w:color w:val="000000"/>
          <w:sz w:val="20"/>
          <w:szCs w:val="20"/>
          <w:lang w:val="en-GB" w:eastAsia="fr-FR"/>
        </w:rPr>
        <w:t>2</w:t>
      </w:r>
      <w:r w:rsidR="006F6556" w:rsidRPr="00372BEA">
        <w:rPr>
          <w:rFonts w:ascii="Arial" w:eastAsia="Times New Roman" w:hAnsi="Arial" w:cs="Arial"/>
          <w:color w:val="000000"/>
          <w:sz w:val="20"/>
          <w:szCs w:val="20"/>
          <w:vertAlign w:val="superscript"/>
          <w:lang w:val="en-GB" w:eastAsia="fr-FR"/>
        </w:rPr>
        <w:t>nd</w:t>
      </w:r>
      <w:r w:rsidR="006F6556" w:rsidRPr="00372BEA">
        <w:rPr>
          <w:rFonts w:ascii="Arial" w:eastAsia="Times New Roman" w:hAnsi="Arial" w:cs="Arial"/>
          <w:color w:val="000000"/>
          <w:sz w:val="20"/>
          <w:szCs w:val="20"/>
          <w:lang w:val="en-GB" w:eastAsia="fr-FR"/>
        </w:rPr>
        <w:t xml:space="preserve"> </w:t>
      </w:r>
      <w:r w:rsidR="006140C4" w:rsidRPr="00372BEA">
        <w:rPr>
          <w:rFonts w:ascii="Arial" w:eastAsia="Times New Roman" w:hAnsi="Arial" w:cs="Arial"/>
          <w:color w:val="000000"/>
          <w:sz w:val="20"/>
          <w:szCs w:val="20"/>
          <w:lang w:val="en-GB" w:eastAsia="fr-FR"/>
        </w:rPr>
        <w:t>step should be deleted</w:t>
      </w:r>
      <w:r w:rsidR="009D587A" w:rsidRPr="00372BEA">
        <w:rPr>
          <w:rFonts w:ascii="Arial" w:eastAsia="Times New Roman" w:hAnsi="Arial" w:cs="Arial"/>
          <w:color w:val="000000"/>
          <w:sz w:val="20"/>
          <w:szCs w:val="20"/>
          <w:lang w:val="en-GB" w:eastAsia="fr-FR"/>
        </w:rPr>
        <w:t>.</w:t>
      </w:r>
    </w:p>
    <w:p w14:paraId="71FF56C8" w14:textId="77777777" w:rsidR="00840089" w:rsidRPr="00372BEA" w:rsidRDefault="00840089"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05E8D303" w14:textId="6CE3C9A6" w:rsidR="00E94FCB" w:rsidRPr="00372BEA" w:rsidRDefault="005B4086" w:rsidP="001B406D">
      <w:pPr>
        <w:pStyle w:val="Paragraphedeliste"/>
        <w:numPr>
          <w:ilvl w:val="0"/>
          <w:numId w:val="16"/>
        </w:numPr>
        <w:autoSpaceDE w:val="0"/>
        <w:autoSpaceDN w:val="0"/>
        <w:adjustRightInd w:val="0"/>
        <w:spacing w:after="0" w:line="240" w:lineRule="atLeast"/>
        <w:jc w:val="both"/>
        <w:rPr>
          <w:rFonts w:ascii="Arial" w:eastAsia="Times New Roman" w:hAnsi="Arial" w:cs="Arial"/>
          <w:color w:val="000000"/>
          <w:sz w:val="20"/>
          <w:szCs w:val="20"/>
          <w:lang w:val="en-GB" w:eastAsia="fr-FR"/>
        </w:rPr>
      </w:pPr>
      <w:r w:rsidRPr="00372BEA">
        <w:rPr>
          <w:rFonts w:ascii="Arial" w:eastAsia="Times New Roman" w:hAnsi="Arial" w:cs="Arial"/>
          <w:color w:val="000000"/>
          <w:sz w:val="20"/>
          <w:szCs w:val="20"/>
          <w:lang w:val="en-GB" w:eastAsia="fr-FR"/>
        </w:rPr>
        <w:t xml:space="preserve">As for </w:t>
      </w:r>
      <w:r w:rsidR="00C727E8" w:rsidRPr="00372BEA">
        <w:rPr>
          <w:rFonts w:ascii="Arial" w:eastAsia="Times New Roman" w:hAnsi="Arial" w:cs="Arial"/>
          <w:color w:val="000000"/>
          <w:sz w:val="20"/>
          <w:szCs w:val="20"/>
          <w:lang w:val="en-GB" w:eastAsia="fr-FR"/>
        </w:rPr>
        <w:t>as</w:t>
      </w:r>
      <w:r w:rsidR="0039605C" w:rsidRPr="00372BEA">
        <w:rPr>
          <w:rFonts w:ascii="Arial" w:eastAsia="Times New Roman" w:hAnsi="Arial" w:cs="Arial"/>
          <w:color w:val="000000"/>
          <w:sz w:val="20"/>
          <w:szCs w:val="20"/>
          <w:lang w:val="en-GB" w:eastAsia="fr-FR"/>
        </w:rPr>
        <w:t>sessing clients’ pref</w:t>
      </w:r>
      <w:r w:rsidR="00056B87" w:rsidRPr="00372BEA">
        <w:rPr>
          <w:rFonts w:ascii="Arial" w:eastAsia="Times New Roman" w:hAnsi="Arial" w:cs="Arial"/>
          <w:color w:val="000000"/>
          <w:sz w:val="20"/>
          <w:szCs w:val="20"/>
          <w:lang w:val="en-GB" w:eastAsia="fr-FR"/>
        </w:rPr>
        <w:t>er</w:t>
      </w:r>
      <w:r w:rsidR="0039605C" w:rsidRPr="00372BEA">
        <w:rPr>
          <w:rFonts w:ascii="Arial" w:eastAsia="Times New Roman" w:hAnsi="Arial" w:cs="Arial"/>
          <w:color w:val="000000"/>
          <w:sz w:val="20"/>
          <w:szCs w:val="20"/>
          <w:lang w:val="en-GB" w:eastAsia="fr-FR"/>
        </w:rPr>
        <w:t xml:space="preserve">ences </w:t>
      </w:r>
      <w:r w:rsidR="00F1097F" w:rsidRPr="00372BEA">
        <w:rPr>
          <w:rFonts w:ascii="Arial" w:eastAsia="Times New Roman" w:hAnsi="Arial" w:cs="Arial"/>
          <w:color w:val="000000"/>
          <w:sz w:val="20"/>
          <w:szCs w:val="20"/>
          <w:lang w:val="en-GB" w:eastAsia="fr-FR"/>
        </w:rPr>
        <w:t xml:space="preserve">for financial instruments that consider PAIs, it has to be noted that whereas </w:t>
      </w:r>
      <w:r w:rsidR="003420E7" w:rsidRPr="00372BEA">
        <w:rPr>
          <w:rFonts w:ascii="Arial" w:eastAsia="Times New Roman" w:hAnsi="Arial" w:cs="Arial"/>
          <w:color w:val="000000"/>
          <w:sz w:val="20"/>
          <w:szCs w:val="20"/>
          <w:lang w:val="en-GB" w:eastAsia="fr-FR"/>
        </w:rPr>
        <w:t xml:space="preserve">MiFID </w:t>
      </w:r>
      <w:r w:rsidR="008231AD" w:rsidRPr="00372BEA">
        <w:rPr>
          <w:rFonts w:ascii="Arial" w:eastAsia="Times New Roman" w:hAnsi="Arial" w:cs="Arial"/>
          <w:color w:val="000000"/>
          <w:sz w:val="20"/>
          <w:szCs w:val="20"/>
          <w:lang w:val="en-GB" w:eastAsia="fr-FR"/>
        </w:rPr>
        <w:t xml:space="preserve">II </w:t>
      </w:r>
      <w:r w:rsidR="003420E7" w:rsidRPr="00372BEA">
        <w:rPr>
          <w:rFonts w:ascii="Arial" w:eastAsia="Times New Roman" w:hAnsi="Arial" w:cs="Arial"/>
          <w:color w:val="000000"/>
          <w:sz w:val="20"/>
          <w:szCs w:val="20"/>
          <w:lang w:val="en-GB" w:eastAsia="fr-FR"/>
        </w:rPr>
        <w:t>D</w:t>
      </w:r>
      <w:r w:rsidR="008231AD" w:rsidRPr="00372BEA">
        <w:rPr>
          <w:rFonts w:ascii="Arial" w:eastAsia="Times New Roman" w:hAnsi="Arial" w:cs="Arial"/>
          <w:color w:val="000000"/>
          <w:sz w:val="20"/>
          <w:szCs w:val="20"/>
          <w:lang w:val="en-GB" w:eastAsia="fr-FR"/>
        </w:rPr>
        <w:t xml:space="preserve">elegated </w:t>
      </w:r>
      <w:r w:rsidR="003420E7" w:rsidRPr="00372BEA">
        <w:rPr>
          <w:rFonts w:ascii="Arial" w:eastAsia="Times New Roman" w:hAnsi="Arial" w:cs="Arial"/>
          <w:color w:val="000000"/>
          <w:sz w:val="20"/>
          <w:szCs w:val="20"/>
          <w:lang w:val="en-GB" w:eastAsia="fr-FR"/>
        </w:rPr>
        <w:t>R</w:t>
      </w:r>
      <w:r w:rsidR="008231AD" w:rsidRPr="00372BEA">
        <w:rPr>
          <w:rFonts w:ascii="Arial" w:eastAsia="Times New Roman" w:hAnsi="Arial" w:cs="Arial"/>
          <w:color w:val="000000"/>
          <w:sz w:val="20"/>
          <w:szCs w:val="20"/>
          <w:lang w:val="en-GB" w:eastAsia="fr-FR"/>
        </w:rPr>
        <w:t>egulation</w:t>
      </w:r>
      <w:r w:rsidR="003420E7" w:rsidRPr="00372BEA">
        <w:rPr>
          <w:rFonts w:ascii="Arial" w:eastAsia="Times New Roman" w:hAnsi="Arial" w:cs="Arial"/>
          <w:color w:val="000000"/>
          <w:sz w:val="20"/>
          <w:szCs w:val="20"/>
          <w:lang w:val="en-GB" w:eastAsia="fr-FR"/>
        </w:rPr>
        <w:t xml:space="preserve"> </w:t>
      </w:r>
      <w:r w:rsidR="00775D7C" w:rsidRPr="00372BEA">
        <w:rPr>
          <w:rFonts w:ascii="Arial" w:eastAsia="Times New Roman" w:hAnsi="Arial" w:cs="Arial"/>
          <w:color w:val="000000"/>
          <w:sz w:val="20"/>
          <w:szCs w:val="20"/>
          <w:lang w:val="en-GB" w:eastAsia="fr-FR"/>
        </w:rPr>
        <w:t>requires</w:t>
      </w:r>
      <w:r w:rsidR="00AC3895" w:rsidRPr="00372BEA">
        <w:rPr>
          <w:rFonts w:ascii="Arial" w:eastAsia="Times New Roman" w:hAnsi="Arial" w:cs="Arial"/>
          <w:color w:val="000000"/>
          <w:sz w:val="20"/>
          <w:szCs w:val="20"/>
          <w:lang w:val="en-GB" w:eastAsia="fr-FR"/>
        </w:rPr>
        <w:t xml:space="preserve"> qualitative </w:t>
      </w:r>
      <w:r w:rsidR="00AC3895" w:rsidRPr="00372BEA">
        <w:rPr>
          <w:rFonts w:ascii="Arial" w:eastAsia="Times New Roman" w:hAnsi="Arial" w:cs="Arial"/>
          <w:b/>
          <w:bCs/>
          <w:color w:val="000000"/>
          <w:sz w:val="20"/>
          <w:szCs w:val="20"/>
          <w:lang w:val="en-GB" w:eastAsia="fr-FR"/>
        </w:rPr>
        <w:t xml:space="preserve">or </w:t>
      </w:r>
      <w:r w:rsidR="00AC3895" w:rsidRPr="00372BEA">
        <w:rPr>
          <w:rFonts w:ascii="Arial" w:eastAsia="Times New Roman" w:hAnsi="Arial" w:cs="Arial"/>
          <w:color w:val="000000"/>
          <w:sz w:val="20"/>
          <w:szCs w:val="20"/>
          <w:lang w:val="en-GB" w:eastAsia="fr-FR"/>
        </w:rPr>
        <w:t xml:space="preserve">quantitative </w:t>
      </w:r>
      <w:r w:rsidR="003E686C" w:rsidRPr="00372BEA">
        <w:rPr>
          <w:rFonts w:ascii="Arial" w:eastAsia="Times New Roman" w:hAnsi="Arial" w:cs="Arial"/>
          <w:color w:val="000000"/>
          <w:sz w:val="20"/>
          <w:szCs w:val="20"/>
          <w:lang w:val="en-GB" w:eastAsia="fr-FR"/>
        </w:rPr>
        <w:t>elements to</w:t>
      </w:r>
      <w:r w:rsidR="00775D7C" w:rsidRPr="00372BEA">
        <w:rPr>
          <w:rFonts w:ascii="Arial" w:eastAsia="Times New Roman" w:hAnsi="Arial" w:cs="Arial"/>
          <w:color w:val="000000"/>
          <w:sz w:val="20"/>
          <w:szCs w:val="20"/>
          <w:lang w:val="en-GB" w:eastAsia="fr-FR"/>
        </w:rPr>
        <w:t xml:space="preserve"> be taken into account </w:t>
      </w:r>
      <w:r w:rsidR="000B2617" w:rsidRPr="00372BEA">
        <w:rPr>
          <w:rFonts w:ascii="Arial" w:eastAsia="Times New Roman" w:hAnsi="Arial" w:cs="Arial"/>
          <w:color w:val="000000"/>
          <w:sz w:val="20"/>
          <w:szCs w:val="20"/>
          <w:lang w:val="en-GB" w:eastAsia="fr-FR"/>
        </w:rPr>
        <w:t xml:space="preserve">(see </w:t>
      </w:r>
      <w:bookmarkStart w:id="2" w:name="_Hlk98162472"/>
      <w:r w:rsidR="000B2617" w:rsidRPr="00372BEA">
        <w:rPr>
          <w:rFonts w:ascii="Arial" w:eastAsia="Times New Roman" w:hAnsi="Arial" w:cs="Arial"/>
          <w:i/>
          <w:iCs/>
          <w:color w:val="000000"/>
          <w:sz w:val="20"/>
          <w:szCs w:val="20"/>
          <w:u w:val="single"/>
          <w:lang w:val="en-GB" w:eastAsia="fr-FR"/>
        </w:rPr>
        <w:t>MiFID II Delegated Re</w:t>
      </w:r>
      <w:r w:rsidR="00D422F4" w:rsidRPr="00372BEA">
        <w:rPr>
          <w:rFonts w:ascii="Arial" w:eastAsia="Times New Roman" w:hAnsi="Arial" w:cs="Arial"/>
          <w:i/>
          <w:iCs/>
          <w:color w:val="000000"/>
          <w:sz w:val="20"/>
          <w:szCs w:val="20"/>
          <w:u w:val="single"/>
          <w:lang w:val="en-GB" w:eastAsia="fr-FR"/>
        </w:rPr>
        <w:t>g</w:t>
      </w:r>
      <w:r w:rsidR="000B2617" w:rsidRPr="00372BEA">
        <w:rPr>
          <w:rFonts w:ascii="Arial" w:eastAsia="Times New Roman" w:hAnsi="Arial" w:cs="Arial"/>
          <w:i/>
          <w:iCs/>
          <w:color w:val="000000"/>
          <w:sz w:val="20"/>
          <w:szCs w:val="20"/>
          <w:u w:val="single"/>
          <w:lang w:val="en-GB" w:eastAsia="fr-FR"/>
        </w:rPr>
        <w:t>ulation</w:t>
      </w:r>
      <w:r w:rsidR="00D422F4" w:rsidRPr="00372BEA">
        <w:rPr>
          <w:rFonts w:ascii="Arial" w:eastAsia="Times New Roman" w:hAnsi="Arial" w:cs="Arial"/>
          <w:i/>
          <w:iCs/>
          <w:color w:val="000000"/>
          <w:sz w:val="20"/>
          <w:szCs w:val="20"/>
          <w:u w:val="single"/>
          <w:lang w:val="en-GB" w:eastAsia="fr-FR"/>
        </w:rPr>
        <w:t xml:space="preserve"> amended</w:t>
      </w:r>
      <w:r w:rsidR="000B2617" w:rsidRPr="00372BEA">
        <w:rPr>
          <w:rFonts w:ascii="Arial" w:eastAsia="Times New Roman" w:hAnsi="Arial" w:cs="Arial"/>
          <w:i/>
          <w:iCs/>
          <w:color w:val="000000"/>
          <w:sz w:val="20"/>
          <w:szCs w:val="20"/>
          <w:u w:val="single"/>
          <w:lang w:val="en-GB" w:eastAsia="fr-FR"/>
        </w:rPr>
        <w:t xml:space="preserve">, </w:t>
      </w:r>
      <w:r w:rsidR="00D422F4" w:rsidRPr="00372BEA">
        <w:rPr>
          <w:rFonts w:ascii="Arial" w:eastAsia="Times New Roman" w:hAnsi="Arial" w:cs="Arial"/>
          <w:i/>
          <w:iCs/>
          <w:color w:val="000000"/>
          <w:sz w:val="20"/>
          <w:szCs w:val="20"/>
          <w:u w:val="single"/>
          <w:lang w:val="en-GB" w:eastAsia="fr-FR"/>
        </w:rPr>
        <w:t>Art. 2 (7), c)</w:t>
      </w:r>
      <w:bookmarkEnd w:id="2"/>
      <w:r w:rsidR="000B2617" w:rsidRPr="00372BEA">
        <w:rPr>
          <w:rFonts w:ascii="Arial" w:eastAsia="Times New Roman" w:hAnsi="Arial" w:cs="Arial"/>
          <w:color w:val="000000"/>
          <w:sz w:val="20"/>
          <w:szCs w:val="20"/>
          <w:lang w:val="en-GB" w:eastAsia="fr-FR"/>
        </w:rPr>
        <w:t>)</w:t>
      </w:r>
      <w:r w:rsidR="00B06037" w:rsidRPr="00372BEA">
        <w:rPr>
          <w:rFonts w:ascii="Arial" w:eastAsia="Times New Roman" w:hAnsi="Arial" w:cs="Arial"/>
          <w:color w:val="000000"/>
          <w:sz w:val="20"/>
          <w:szCs w:val="20"/>
          <w:lang w:val="en-GB" w:eastAsia="fr-FR"/>
        </w:rPr>
        <w:t>,</w:t>
      </w:r>
      <w:r w:rsidR="009F2302" w:rsidRPr="00372BEA">
        <w:rPr>
          <w:rFonts w:ascii="Arial" w:eastAsia="Times New Roman" w:hAnsi="Arial" w:cs="Arial"/>
          <w:color w:val="000000"/>
          <w:sz w:val="20"/>
          <w:szCs w:val="20"/>
          <w:lang w:val="en-GB" w:eastAsia="fr-FR"/>
        </w:rPr>
        <w:t xml:space="preserve"> </w:t>
      </w:r>
      <w:r w:rsidR="00B82F84" w:rsidRPr="00372BEA">
        <w:rPr>
          <w:rFonts w:ascii="Arial" w:eastAsia="Times New Roman" w:hAnsi="Arial" w:cs="Arial"/>
          <w:color w:val="000000"/>
          <w:sz w:val="20"/>
          <w:szCs w:val="20"/>
          <w:lang w:val="en-GB" w:eastAsia="fr-FR"/>
        </w:rPr>
        <w:t>the Draft guideline</w:t>
      </w:r>
      <w:r w:rsidR="009F2302" w:rsidRPr="00372BEA">
        <w:rPr>
          <w:rFonts w:ascii="Arial" w:eastAsia="Times New Roman" w:hAnsi="Arial" w:cs="Arial"/>
          <w:color w:val="000000"/>
          <w:sz w:val="20"/>
          <w:szCs w:val="20"/>
          <w:lang w:val="en-GB" w:eastAsia="fr-FR"/>
        </w:rPr>
        <w:t>s</w:t>
      </w:r>
      <w:r w:rsidR="00167435" w:rsidRPr="00372BEA">
        <w:rPr>
          <w:rFonts w:ascii="Arial" w:eastAsia="Times New Roman" w:hAnsi="Arial" w:cs="Arial"/>
          <w:color w:val="000000"/>
          <w:sz w:val="20"/>
          <w:szCs w:val="20"/>
          <w:lang w:val="en-GB" w:eastAsia="fr-FR"/>
        </w:rPr>
        <w:t xml:space="preserve"> </w:t>
      </w:r>
      <w:r w:rsidR="00F1097F" w:rsidRPr="00372BEA">
        <w:rPr>
          <w:rFonts w:ascii="Arial" w:eastAsia="Times New Roman" w:hAnsi="Arial" w:cs="Arial"/>
          <w:color w:val="000000"/>
          <w:sz w:val="20"/>
          <w:szCs w:val="20"/>
          <w:lang w:val="en-GB" w:eastAsia="fr-FR"/>
        </w:rPr>
        <w:t>(</w:t>
      </w:r>
      <w:r w:rsidR="005A253C" w:rsidRPr="00372BEA">
        <w:rPr>
          <w:rFonts w:ascii="Arial" w:eastAsia="Times New Roman" w:hAnsi="Arial" w:cs="Arial"/>
          <w:color w:val="000000"/>
          <w:sz w:val="20"/>
          <w:szCs w:val="20"/>
          <w:lang w:val="en-GB" w:eastAsia="fr-FR"/>
        </w:rPr>
        <w:t xml:space="preserve">see </w:t>
      </w:r>
      <w:r w:rsidR="005A253C" w:rsidRPr="00372BEA">
        <w:rPr>
          <w:rFonts w:ascii="Arial" w:eastAsia="Times New Roman" w:hAnsi="Arial" w:cs="Arial"/>
          <w:i/>
          <w:iCs/>
          <w:color w:val="000000"/>
          <w:sz w:val="20"/>
          <w:szCs w:val="20"/>
          <w:u w:val="single"/>
          <w:lang w:val="en-GB" w:eastAsia="fr-FR"/>
        </w:rPr>
        <w:t xml:space="preserve">Guideline 2, §26, </w:t>
      </w:r>
      <w:r w:rsidR="00F1097F" w:rsidRPr="00372BEA">
        <w:rPr>
          <w:rFonts w:ascii="Arial" w:eastAsia="Times New Roman" w:hAnsi="Arial" w:cs="Arial"/>
          <w:i/>
          <w:iCs/>
          <w:color w:val="000000"/>
          <w:sz w:val="20"/>
          <w:szCs w:val="20"/>
          <w:u w:val="single"/>
          <w:lang w:val="en-GB" w:eastAsia="fr-FR"/>
        </w:rPr>
        <w:t>fourth (4</w:t>
      </w:r>
      <w:r w:rsidR="00F1097F" w:rsidRPr="00372BEA">
        <w:rPr>
          <w:rFonts w:ascii="Arial" w:eastAsia="Times New Roman" w:hAnsi="Arial" w:cs="Arial"/>
          <w:i/>
          <w:iCs/>
          <w:color w:val="000000"/>
          <w:sz w:val="20"/>
          <w:szCs w:val="20"/>
          <w:u w:val="single"/>
          <w:vertAlign w:val="superscript"/>
          <w:lang w:val="en-GB" w:eastAsia="fr-FR"/>
        </w:rPr>
        <w:t>th</w:t>
      </w:r>
      <w:r w:rsidR="00F1097F" w:rsidRPr="00372BEA">
        <w:rPr>
          <w:rFonts w:ascii="Arial" w:eastAsia="Times New Roman" w:hAnsi="Arial" w:cs="Arial"/>
          <w:i/>
          <w:iCs/>
          <w:color w:val="000000"/>
          <w:sz w:val="20"/>
          <w:szCs w:val="20"/>
          <w:u w:val="single"/>
          <w:lang w:val="en-GB" w:eastAsia="fr-FR"/>
        </w:rPr>
        <w:t>) bullet point</w:t>
      </w:r>
      <w:r w:rsidR="00F1097F" w:rsidRPr="00372BEA">
        <w:rPr>
          <w:rFonts w:ascii="Arial" w:eastAsia="Times New Roman" w:hAnsi="Arial" w:cs="Arial"/>
          <w:color w:val="000000"/>
          <w:sz w:val="20"/>
          <w:szCs w:val="20"/>
          <w:lang w:val="en-GB" w:eastAsia="fr-FR"/>
        </w:rPr>
        <w:t xml:space="preserve">) </w:t>
      </w:r>
      <w:r w:rsidR="00167435" w:rsidRPr="00372BEA">
        <w:rPr>
          <w:rFonts w:ascii="Arial" w:eastAsia="Times New Roman" w:hAnsi="Arial" w:cs="Arial"/>
          <w:color w:val="000000"/>
          <w:sz w:val="20"/>
          <w:szCs w:val="20"/>
          <w:lang w:val="en-GB" w:eastAsia="fr-FR"/>
        </w:rPr>
        <w:t>require both</w:t>
      </w:r>
      <w:r w:rsidR="00AC3895" w:rsidRPr="00372BEA">
        <w:rPr>
          <w:rFonts w:ascii="Arial" w:eastAsia="Times New Roman" w:hAnsi="Arial" w:cs="Arial"/>
          <w:color w:val="000000"/>
          <w:sz w:val="20"/>
          <w:szCs w:val="20"/>
          <w:lang w:val="en-GB" w:eastAsia="fr-FR"/>
        </w:rPr>
        <w:t xml:space="preserve"> qualitative </w:t>
      </w:r>
      <w:r w:rsidR="00AC3895" w:rsidRPr="00372BEA">
        <w:rPr>
          <w:rFonts w:ascii="Arial" w:eastAsia="Times New Roman" w:hAnsi="Arial" w:cs="Arial"/>
          <w:b/>
          <w:bCs/>
          <w:color w:val="000000"/>
          <w:sz w:val="20"/>
          <w:szCs w:val="20"/>
          <w:lang w:val="en-GB" w:eastAsia="fr-FR"/>
        </w:rPr>
        <w:t xml:space="preserve">and </w:t>
      </w:r>
      <w:r w:rsidR="00AC3895" w:rsidRPr="00372BEA">
        <w:rPr>
          <w:rFonts w:ascii="Arial" w:eastAsia="Times New Roman" w:hAnsi="Arial" w:cs="Arial"/>
          <w:color w:val="000000"/>
          <w:sz w:val="20"/>
          <w:szCs w:val="20"/>
          <w:lang w:val="en-GB" w:eastAsia="fr-FR"/>
        </w:rPr>
        <w:t>quantitative elements</w:t>
      </w:r>
      <w:r w:rsidR="002B3C69" w:rsidRPr="00372BEA">
        <w:rPr>
          <w:rFonts w:ascii="Arial" w:eastAsia="Times New Roman" w:hAnsi="Arial" w:cs="Arial"/>
          <w:color w:val="000000"/>
          <w:sz w:val="20"/>
          <w:szCs w:val="20"/>
          <w:lang w:val="en-GB" w:eastAsia="fr-FR"/>
        </w:rPr>
        <w:t xml:space="preserve"> (</w:t>
      </w:r>
      <w:r w:rsidR="00057428" w:rsidRPr="00372BEA">
        <w:rPr>
          <w:rFonts w:ascii="Arial" w:eastAsia="Times New Roman" w:hAnsi="Arial" w:cs="Arial"/>
          <w:color w:val="000000"/>
          <w:sz w:val="20"/>
          <w:szCs w:val="20"/>
          <w:lang w:val="en-GB" w:eastAsia="fr-FR"/>
        </w:rPr>
        <w:t>“</w:t>
      </w:r>
      <w:r w:rsidR="00B74204" w:rsidRPr="00372BEA">
        <w:rPr>
          <w:rFonts w:ascii="Arial" w:hAnsi="Arial" w:cs="Arial"/>
          <w:i/>
          <w:iCs/>
          <w:sz w:val="20"/>
          <w:szCs w:val="20"/>
          <w:lang w:val="en-GB"/>
        </w:rPr>
        <w:t>the information collected should cover the PAI and qualitative and quantitative elements mentioned under c</w:t>
      </w:r>
      <w:r w:rsidR="007C4CAA" w:rsidRPr="00372BEA">
        <w:rPr>
          <w:rFonts w:ascii="Arial" w:hAnsi="Arial" w:cs="Arial"/>
          <w:sz w:val="20"/>
          <w:szCs w:val="20"/>
          <w:lang w:val="en-GB"/>
        </w:rPr>
        <w:t>”</w:t>
      </w:r>
      <w:r w:rsidR="00B74204" w:rsidRPr="00372BEA">
        <w:rPr>
          <w:rFonts w:ascii="Arial" w:hAnsi="Arial" w:cs="Arial"/>
          <w:sz w:val="20"/>
          <w:szCs w:val="20"/>
          <w:lang w:val="en-GB"/>
        </w:rPr>
        <w:t>)</w:t>
      </w:r>
      <w:r w:rsidR="00AC3895" w:rsidRPr="00372BEA">
        <w:rPr>
          <w:rFonts w:ascii="Arial" w:eastAsia="Times New Roman" w:hAnsi="Arial" w:cs="Arial"/>
          <w:color w:val="000000"/>
          <w:sz w:val="20"/>
          <w:szCs w:val="20"/>
          <w:lang w:val="en-GB" w:eastAsia="fr-FR"/>
        </w:rPr>
        <w:t>.</w:t>
      </w:r>
      <w:r w:rsidR="00167435" w:rsidRPr="00372BEA">
        <w:rPr>
          <w:rFonts w:ascii="Arial" w:eastAsia="Times New Roman" w:hAnsi="Arial" w:cs="Arial"/>
          <w:color w:val="000000"/>
          <w:sz w:val="20"/>
          <w:szCs w:val="20"/>
          <w:lang w:val="en-GB" w:eastAsia="fr-FR"/>
        </w:rPr>
        <w:t xml:space="preserve"> </w:t>
      </w:r>
      <w:r w:rsidR="00E67976" w:rsidRPr="00372BEA">
        <w:rPr>
          <w:rFonts w:ascii="Arial" w:eastAsia="Times New Roman" w:hAnsi="Arial" w:cs="Arial"/>
          <w:b/>
          <w:bCs/>
          <w:color w:val="000000"/>
          <w:sz w:val="20"/>
          <w:szCs w:val="20"/>
          <w:lang w:val="en-GB" w:eastAsia="fr-FR"/>
        </w:rPr>
        <w:t>FBF</w:t>
      </w:r>
      <w:r w:rsidR="004043DA" w:rsidRPr="00372BEA">
        <w:rPr>
          <w:rFonts w:ascii="Arial" w:eastAsia="Times New Roman" w:hAnsi="Arial" w:cs="Arial"/>
          <w:b/>
          <w:bCs/>
          <w:color w:val="000000"/>
          <w:sz w:val="20"/>
          <w:szCs w:val="20"/>
          <w:lang w:val="en-GB" w:eastAsia="fr-FR"/>
        </w:rPr>
        <w:t xml:space="preserve"> considers </w:t>
      </w:r>
      <w:r w:rsidR="004773FE" w:rsidRPr="00372BEA">
        <w:rPr>
          <w:rFonts w:ascii="Arial" w:eastAsia="Times New Roman" w:hAnsi="Arial" w:cs="Arial"/>
          <w:b/>
          <w:bCs/>
          <w:color w:val="000000"/>
          <w:sz w:val="20"/>
          <w:szCs w:val="20"/>
          <w:lang w:val="en-GB" w:eastAsia="fr-FR"/>
        </w:rPr>
        <w:t>this</w:t>
      </w:r>
      <w:r w:rsidR="004043DA" w:rsidRPr="00372BEA">
        <w:rPr>
          <w:rFonts w:ascii="Arial" w:eastAsia="Times New Roman" w:hAnsi="Arial" w:cs="Arial"/>
          <w:b/>
          <w:bCs/>
          <w:color w:val="000000"/>
          <w:sz w:val="20"/>
          <w:szCs w:val="20"/>
          <w:lang w:val="en-GB" w:eastAsia="fr-FR"/>
        </w:rPr>
        <w:t xml:space="preserve"> </w:t>
      </w:r>
      <w:r w:rsidR="00167435" w:rsidRPr="00372BEA">
        <w:rPr>
          <w:rFonts w:ascii="Arial" w:eastAsia="Times New Roman" w:hAnsi="Arial" w:cs="Arial"/>
          <w:b/>
          <w:bCs/>
          <w:color w:val="000000"/>
          <w:sz w:val="20"/>
          <w:szCs w:val="20"/>
          <w:lang w:val="en-GB" w:eastAsia="fr-FR"/>
        </w:rPr>
        <w:t>go</w:t>
      </w:r>
      <w:r w:rsidR="009C1758" w:rsidRPr="00372BEA">
        <w:rPr>
          <w:rFonts w:ascii="Arial" w:eastAsia="Times New Roman" w:hAnsi="Arial" w:cs="Arial"/>
          <w:b/>
          <w:bCs/>
          <w:color w:val="000000"/>
          <w:sz w:val="20"/>
          <w:szCs w:val="20"/>
          <w:lang w:val="en-GB" w:eastAsia="fr-FR"/>
        </w:rPr>
        <w:t>es</w:t>
      </w:r>
      <w:r w:rsidR="00167435" w:rsidRPr="00372BEA">
        <w:rPr>
          <w:rFonts w:ascii="Arial" w:eastAsia="Times New Roman" w:hAnsi="Arial" w:cs="Arial"/>
          <w:b/>
          <w:bCs/>
          <w:color w:val="000000"/>
          <w:sz w:val="20"/>
          <w:szCs w:val="20"/>
          <w:lang w:val="en-GB" w:eastAsia="fr-FR"/>
        </w:rPr>
        <w:t xml:space="preserve"> beyond </w:t>
      </w:r>
      <w:r w:rsidR="009C1758" w:rsidRPr="00372BEA">
        <w:rPr>
          <w:rFonts w:ascii="Arial" w:eastAsia="Times New Roman" w:hAnsi="Arial" w:cs="Arial"/>
          <w:b/>
          <w:bCs/>
          <w:color w:val="000000"/>
          <w:sz w:val="20"/>
          <w:szCs w:val="20"/>
          <w:lang w:val="en-GB" w:eastAsia="fr-FR"/>
        </w:rPr>
        <w:t xml:space="preserve">MiFID II </w:t>
      </w:r>
      <w:r w:rsidR="00167435" w:rsidRPr="00372BEA">
        <w:rPr>
          <w:rFonts w:ascii="Arial" w:eastAsia="Times New Roman" w:hAnsi="Arial" w:cs="Arial"/>
          <w:b/>
          <w:bCs/>
          <w:color w:val="000000"/>
          <w:sz w:val="20"/>
          <w:szCs w:val="20"/>
          <w:lang w:val="en-GB" w:eastAsia="fr-FR"/>
        </w:rPr>
        <w:t>D</w:t>
      </w:r>
      <w:r w:rsidR="009C1758" w:rsidRPr="00372BEA">
        <w:rPr>
          <w:rFonts w:ascii="Arial" w:eastAsia="Times New Roman" w:hAnsi="Arial" w:cs="Arial"/>
          <w:b/>
          <w:bCs/>
          <w:color w:val="000000"/>
          <w:sz w:val="20"/>
          <w:szCs w:val="20"/>
          <w:lang w:val="en-GB" w:eastAsia="fr-FR"/>
        </w:rPr>
        <w:t xml:space="preserve">elegated </w:t>
      </w:r>
      <w:r w:rsidR="00167435" w:rsidRPr="00372BEA">
        <w:rPr>
          <w:rFonts w:ascii="Arial" w:eastAsia="Times New Roman" w:hAnsi="Arial" w:cs="Arial"/>
          <w:b/>
          <w:bCs/>
          <w:color w:val="000000"/>
          <w:sz w:val="20"/>
          <w:szCs w:val="20"/>
          <w:lang w:val="en-GB" w:eastAsia="fr-FR"/>
        </w:rPr>
        <w:t>R</w:t>
      </w:r>
      <w:r w:rsidR="009C1758" w:rsidRPr="00372BEA">
        <w:rPr>
          <w:rFonts w:ascii="Arial" w:eastAsia="Times New Roman" w:hAnsi="Arial" w:cs="Arial"/>
          <w:b/>
          <w:bCs/>
          <w:color w:val="000000"/>
          <w:sz w:val="20"/>
          <w:szCs w:val="20"/>
          <w:lang w:val="en-GB" w:eastAsia="fr-FR"/>
        </w:rPr>
        <w:t>egulation</w:t>
      </w:r>
      <w:r w:rsidR="00167435" w:rsidRPr="00372BEA">
        <w:rPr>
          <w:rFonts w:ascii="Arial" w:eastAsia="Times New Roman" w:hAnsi="Arial" w:cs="Arial"/>
          <w:b/>
          <w:bCs/>
          <w:color w:val="000000"/>
          <w:sz w:val="20"/>
          <w:szCs w:val="20"/>
          <w:lang w:val="en-GB" w:eastAsia="fr-FR"/>
        </w:rPr>
        <w:t>.</w:t>
      </w:r>
    </w:p>
    <w:p w14:paraId="13A3FB72" w14:textId="77777777" w:rsidR="0010728C" w:rsidRPr="00372BEA" w:rsidRDefault="0010728C" w:rsidP="00371458">
      <w:pPr>
        <w:pStyle w:val="Paragraphedeliste"/>
        <w:rPr>
          <w:rFonts w:ascii="Arial" w:eastAsia="Times New Roman" w:hAnsi="Arial" w:cs="Arial"/>
          <w:color w:val="000000"/>
          <w:sz w:val="20"/>
          <w:szCs w:val="20"/>
          <w:lang w:val="en-GB" w:eastAsia="fr-FR"/>
        </w:rPr>
      </w:pPr>
    </w:p>
    <w:p w14:paraId="6C594452" w14:textId="3375769F" w:rsidR="001421DA" w:rsidRPr="00372BEA" w:rsidRDefault="0047071F" w:rsidP="00970615">
      <w:pPr>
        <w:pStyle w:val="Paragraphedeliste"/>
        <w:numPr>
          <w:ilvl w:val="0"/>
          <w:numId w:val="16"/>
        </w:numPr>
        <w:autoSpaceDE w:val="0"/>
        <w:autoSpaceDN w:val="0"/>
        <w:adjustRightInd w:val="0"/>
        <w:spacing w:after="0" w:line="240" w:lineRule="atLeast"/>
        <w:jc w:val="both"/>
        <w:rPr>
          <w:rFonts w:ascii="Arial" w:eastAsia="Times New Roman" w:hAnsi="Arial" w:cs="Arial"/>
          <w:color w:val="000000"/>
          <w:sz w:val="20"/>
          <w:szCs w:val="20"/>
          <w:lang w:val="en-GB" w:eastAsia="fr-FR"/>
        </w:rPr>
      </w:pPr>
      <w:r w:rsidRPr="00372BEA">
        <w:rPr>
          <w:rFonts w:ascii="Arial" w:eastAsia="Times New Roman" w:hAnsi="Arial" w:cs="Arial"/>
          <w:color w:val="000000"/>
          <w:sz w:val="20"/>
          <w:szCs w:val="20"/>
          <w:lang w:val="en-GB" w:eastAsia="fr-FR"/>
        </w:rPr>
        <w:t xml:space="preserve">In addition, </w:t>
      </w:r>
      <w:r w:rsidR="00E67976" w:rsidRPr="00372BEA">
        <w:rPr>
          <w:rFonts w:ascii="Arial" w:eastAsia="Times New Roman" w:hAnsi="Arial" w:cs="Arial"/>
          <w:color w:val="000000"/>
          <w:sz w:val="20"/>
          <w:szCs w:val="20"/>
          <w:lang w:val="en-GB" w:eastAsia="fr-FR"/>
        </w:rPr>
        <w:t>FBF</w:t>
      </w:r>
      <w:r w:rsidR="00F17518" w:rsidRPr="00372BEA">
        <w:rPr>
          <w:rFonts w:ascii="Arial" w:eastAsia="Times New Roman" w:hAnsi="Arial" w:cs="Arial"/>
          <w:color w:val="000000"/>
          <w:sz w:val="20"/>
          <w:szCs w:val="20"/>
          <w:lang w:val="en-GB" w:eastAsia="fr-FR"/>
        </w:rPr>
        <w:t xml:space="preserve"> is </w:t>
      </w:r>
      <w:r w:rsidR="00293614" w:rsidRPr="00372BEA">
        <w:rPr>
          <w:rFonts w:ascii="Arial" w:eastAsia="Times New Roman" w:hAnsi="Arial" w:cs="Arial"/>
          <w:color w:val="000000"/>
          <w:sz w:val="20"/>
          <w:szCs w:val="20"/>
          <w:lang w:val="en-GB" w:eastAsia="fr-FR"/>
        </w:rPr>
        <w:t xml:space="preserve">unclear on </w:t>
      </w:r>
      <w:r w:rsidR="00653892" w:rsidRPr="00372BEA">
        <w:rPr>
          <w:rFonts w:ascii="Arial" w:eastAsia="Times New Roman" w:hAnsi="Arial" w:cs="Arial"/>
          <w:color w:val="000000"/>
          <w:sz w:val="20"/>
          <w:szCs w:val="20"/>
          <w:lang w:val="en-GB" w:eastAsia="fr-FR"/>
        </w:rPr>
        <w:t>w</w:t>
      </w:r>
      <w:r w:rsidR="00C57230" w:rsidRPr="00372BEA">
        <w:rPr>
          <w:rFonts w:ascii="Arial" w:eastAsia="Times New Roman" w:hAnsi="Arial" w:cs="Arial"/>
          <w:color w:val="000000"/>
          <w:sz w:val="20"/>
          <w:szCs w:val="20"/>
          <w:lang w:val="en-GB" w:eastAsia="fr-FR"/>
        </w:rPr>
        <w:t>hat</w:t>
      </w:r>
      <w:r w:rsidR="009E491A" w:rsidRPr="00372BEA">
        <w:rPr>
          <w:rFonts w:ascii="Arial" w:eastAsia="Times New Roman" w:hAnsi="Arial" w:cs="Arial"/>
          <w:color w:val="000000"/>
          <w:sz w:val="20"/>
          <w:szCs w:val="20"/>
          <w:lang w:val="en-GB" w:eastAsia="fr-FR"/>
        </w:rPr>
        <w:t xml:space="preserve"> </w:t>
      </w:r>
      <w:r w:rsidR="00380E0E" w:rsidRPr="00372BEA">
        <w:rPr>
          <w:rFonts w:ascii="Arial" w:eastAsia="Times New Roman" w:hAnsi="Arial" w:cs="Arial"/>
          <w:color w:val="000000"/>
          <w:sz w:val="20"/>
          <w:szCs w:val="20"/>
          <w:lang w:val="en-GB" w:eastAsia="fr-FR"/>
        </w:rPr>
        <w:t>would</w:t>
      </w:r>
      <w:r w:rsidR="009E491A" w:rsidRPr="00372BEA">
        <w:rPr>
          <w:rFonts w:ascii="Arial" w:eastAsia="Times New Roman" w:hAnsi="Arial" w:cs="Arial"/>
          <w:color w:val="000000"/>
          <w:sz w:val="20"/>
          <w:szCs w:val="20"/>
          <w:lang w:val="en-GB" w:eastAsia="fr-FR"/>
        </w:rPr>
        <w:t xml:space="preserve"> the</w:t>
      </w:r>
      <w:r w:rsidR="000B210D" w:rsidRPr="00372BEA">
        <w:rPr>
          <w:rFonts w:ascii="Arial" w:eastAsia="Times New Roman" w:hAnsi="Arial" w:cs="Arial"/>
          <w:color w:val="000000"/>
          <w:sz w:val="20"/>
          <w:szCs w:val="20"/>
          <w:lang w:val="en-GB" w:eastAsia="fr-FR"/>
        </w:rPr>
        <w:t xml:space="preserve"> </w:t>
      </w:r>
      <w:r w:rsidR="007A0ECB" w:rsidRPr="00372BEA">
        <w:rPr>
          <w:rFonts w:ascii="Arial" w:eastAsia="Times New Roman" w:hAnsi="Arial" w:cs="Arial"/>
          <w:color w:val="000000"/>
          <w:sz w:val="20"/>
          <w:szCs w:val="20"/>
          <w:lang w:val="en-GB" w:eastAsia="fr-FR"/>
        </w:rPr>
        <w:t>expected</w:t>
      </w:r>
      <w:r w:rsidR="009E491A" w:rsidRPr="00372BEA">
        <w:rPr>
          <w:rFonts w:ascii="Arial" w:eastAsia="Times New Roman" w:hAnsi="Arial" w:cs="Arial"/>
          <w:color w:val="000000"/>
          <w:sz w:val="20"/>
          <w:szCs w:val="20"/>
          <w:lang w:val="en-GB" w:eastAsia="fr-FR"/>
        </w:rPr>
        <w:t xml:space="preserve"> quantitative approach </w:t>
      </w:r>
      <w:proofErr w:type="gramStart"/>
      <w:r w:rsidR="009E491A" w:rsidRPr="00372BEA">
        <w:rPr>
          <w:rFonts w:ascii="Arial" w:eastAsia="Times New Roman" w:hAnsi="Arial" w:cs="Arial"/>
          <w:color w:val="000000"/>
          <w:sz w:val="20"/>
          <w:szCs w:val="20"/>
          <w:lang w:val="en-GB" w:eastAsia="fr-FR"/>
        </w:rPr>
        <w:t>consist</w:t>
      </w:r>
      <w:proofErr w:type="gramEnd"/>
      <w:r w:rsidR="009E491A" w:rsidRPr="00372BEA">
        <w:rPr>
          <w:rFonts w:ascii="Arial" w:eastAsia="Times New Roman" w:hAnsi="Arial" w:cs="Arial"/>
          <w:color w:val="000000"/>
          <w:sz w:val="20"/>
          <w:szCs w:val="20"/>
          <w:lang w:val="en-GB" w:eastAsia="fr-FR"/>
        </w:rPr>
        <w:t xml:space="preserve"> in</w:t>
      </w:r>
      <w:r w:rsidR="00293614" w:rsidRPr="00372BEA">
        <w:rPr>
          <w:rFonts w:ascii="Arial" w:eastAsia="Times New Roman" w:hAnsi="Arial" w:cs="Arial"/>
          <w:color w:val="000000"/>
          <w:sz w:val="20"/>
          <w:szCs w:val="20"/>
          <w:lang w:val="en-GB" w:eastAsia="fr-FR"/>
        </w:rPr>
        <w:t>.</w:t>
      </w:r>
      <w:r w:rsidR="005819B9" w:rsidRPr="00372BEA">
        <w:rPr>
          <w:rFonts w:ascii="Arial" w:eastAsia="Times New Roman" w:hAnsi="Arial" w:cs="Arial"/>
          <w:color w:val="000000"/>
          <w:sz w:val="20"/>
          <w:szCs w:val="20"/>
          <w:lang w:val="en-GB" w:eastAsia="fr-FR"/>
        </w:rPr>
        <w:t xml:space="preserve"> </w:t>
      </w:r>
      <w:proofErr w:type="gramStart"/>
      <w:r w:rsidR="00293614" w:rsidRPr="00372BEA">
        <w:rPr>
          <w:rFonts w:ascii="Arial" w:eastAsia="Times New Roman" w:hAnsi="Arial" w:cs="Arial"/>
          <w:color w:val="000000"/>
          <w:sz w:val="20"/>
          <w:szCs w:val="20"/>
          <w:lang w:val="en-GB" w:eastAsia="fr-FR"/>
        </w:rPr>
        <w:t>Therefor</w:t>
      </w:r>
      <w:r w:rsidR="00CE7A92" w:rsidRPr="00372BEA">
        <w:rPr>
          <w:rFonts w:ascii="Arial" w:eastAsia="Times New Roman" w:hAnsi="Arial" w:cs="Arial"/>
          <w:color w:val="000000"/>
          <w:sz w:val="20"/>
          <w:szCs w:val="20"/>
          <w:lang w:val="en-GB" w:eastAsia="fr-FR"/>
        </w:rPr>
        <w:t>e</w:t>
      </w:r>
      <w:proofErr w:type="gramEnd"/>
      <w:r w:rsidR="008B515A" w:rsidRPr="00372BEA">
        <w:rPr>
          <w:rFonts w:ascii="Arial" w:eastAsia="Times New Roman" w:hAnsi="Arial" w:cs="Arial"/>
          <w:color w:val="000000"/>
          <w:sz w:val="20"/>
          <w:szCs w:val="20"/>
          <w:lang w:val="en-GB" w:eastAsia="fr-FR"/>
        </w:rPr>
        <w:t xml:space="preserve"> </w:t>
      </w:r>
      <w:r w:rsidR="00E67976" w:rsidRPr="00372BEA">
        <w:rPr>
          <w:rFonts w:ascii="Arial" w:eastAsia="Times New Roman" w:hAnsi="Arial" w:cs="Arial"/>
          <w:color w:val="000000"/>
          <w:sz w:val="20"/>
          <w:szCs w:val="20"/>
          <w:lang w:val="en-GB" w:eastAsia="fr-FR"/>
        </w:rPr>
        <w:t>FBF</w:t>
      </w:r>
      <w:r w:rsidR="00CE7A92" w:rsidRPr="00372BEA">
        <w:rPr>
          <w:rFonts w:ascii="Arial" w:eastAsia="Times New Roman" w:hAnsi="Arial" w:cs="Arial"/>
          <w:color w:val="000000"/>
          <w:sz w:val="20"/>
          <w:szCs w:val="20"/>
          <w:lang w:val="en-GB" w:eastAsia="fr-FR"/>
        </w:rPr>
        <w:t xml:space="preserve"> deems useful to point that such </w:t>
      </w:r>
      <w:r w:rsidR="007C1677" w:rsidRPr="00372BEA">
        <w:rPr>
          <w:rFonts w:ascii="Arial" w:eastAsia="Times New Roman" w:hAnsi="Arial" w:cs="Arial"/>
          <w:color w:val="000000"/>
          <w:sz w:val="20"/>
          <w:szCs w:val="20"/>
          <w:lang w:val="en-GB" w:eastAsia="fr-FR"/>
        </w:rPr>
        <w:t xml:space="preserve">approach </w:t>
      </w:r>
      <w:r w:rsidR="00FD7AD8" w:rsidRPr="00372BEA">
        <w:rPr>
          <w:rFonts w:ascii="Arial" w:eastAsia="Times New Roman" w:hAnsi="Arial" w:cs="Arial"/>
          <w:color w:val="000000"/>
          <w:sz w:val="20"/>
          <w:szCs w:val="20"/>
          <w:lang w:val="en-GB" w:eastAsia="fr-FR"/>
        </w:rPr>
        <w:t xml:space="preserve">should </w:t>
      </w:r>
      <w:r w:rsidR="00F319CC" w:rsidRPr="00372BEA">
        <w:rPr>
          <w:rFonts w:ascii="Arial" w:eastAsia="Times New Roman" w:hAnsi="Arial" w:cs="Arial"/>
          <w:color w:val="000000"/>
          <w:sz w:val="20"/>
          <w:szCs w:val="20"/>
          <w:lang w:val="en-GB" w:eastAsia="fr-FR"/>
        </w:rPr>
        <w:t>in no case</w:t>
      </w:r>
      <w:r w:rsidR="00FD7AD8" w:rsidRPr="00372BEA">
        <w:rPr>
          <w:rFonts w:ascii="Arial" w:eastAsia="Times New Roman" w:hAnsi="Arial" w:cs="Arial"/>
          <w:color w:val="000000"/>
          <w:sz w:val="20"/>
          <w:szCs w:val="20"/>
          <w:lang w:val="en-GB" w:eastAsia="fr-FR"/>
        </w:rPr>
        <w:t xml:space="preserve"> require a </w:t>
      </w:r>
      <w:r w:rsidR="000F4A64" w:rsidRPr="00372BEA">
        <w:rPr>
          <w:rFonts w:ascii="Arial" w:eastAsia="Times New Roman" w:hAnsi="Arial" w:cs="Arial"/>
          <w:color w:val="000000"/>
          <w:sz w:val="20"/>
          <w:szCs w:val="20"/>
          <w:lang w:val="en-GB" w:eastAsia="fr-FR"/>
        </w:rPr>
        <w:t>quantified assessment of exte</w:t>
      </w:r>
      <w:r w:rsidR="001B5329" w:rsidRPr="00372BEA">
        <w:rPr>
          <w:rFonts w:ascii="Arial" w:eastAsia="Times New Roman" w:hAnsi="Arial" w:cs="Arial"/>
          <w:color w:val="000000"/>
          <w:sz w:val="20"/>
          <w:szCs w:val="20"/>
          <w:lang w:val="en-GB" w:eastAsia="fr-FR"/>
        </w:rPr>
        <w:t xml:space="preserve">rnalities </w:t>
      </w:r>
      <w:r w:rsidR="00BE3A5A" w:rsidRPr="00372BEA">
        <w:rPr>
          <w:rFonts w:ascii="Arial" w:eastAsia="Times New Roman" w:hAnsi="Arial" w:cs="Arial"/>
          <w:color w:val="000000"/>
          <w:sz w:val="20"/>
          <w:szCs w:val="20"/>
          <w:lang w:val="en-GB" w:eastAsia="fr-FR"/>
        </w:rPr>
        <w:t>as it</w:t>
      </w:r>
      <w:r w:rsidR="001B5329" w:rsidRPr="00372BEA">
        <w:rPr>
          <w:rFonts w:ascii="Arial" w:eastAsia="Times New Roman" w:hAnsi="Arial" w:cs="Arial"/>
          <w:color w:val="000000"/>
          <w:sz w:val="20"/>
          <w:szCs w:val="20"/>
          <w:lang w:val="en-GB" w:eastAsia="fr-FR"/>
        </w:rPr>
        <w:t xml:space="preserve"> is</w:t>
      </w:r>
      <w:r w:rsidR="001421DA" w:rsidRPr="00372BEA">
        <w:rPr>
          <w:rFonts w:ascii="Arial" w:eastAsia="Times New Roman" w:hAnsi="Arial" w:cs="Arial"/>
          <w:color w:val="000000"/>
          <w:sz w:val="20"/>
          <w:szCs w:val="20"/>
          <w:lang w:val="en-GB" w:eastAsia="fr-FR"/>
        </w:rPr>
        <w:t xml:space="preserve"> completely unworkable.</w:t>
      </w:r>
    </w:p>
    <w:p w14:paraId="316FDA07" w14:textId="5CDF63EF" w:rsidR="009A5A73" w:rsidRPr="00604D97" w:rsidRDefault="005572F4">
      <w:pPr>
        <w:pStyle w:val="Paragraphedeliste"/>
        <w:autoSpaceDE w:val="0"/>
        <w:autoSpaceDN w:val="0"/>
        <w:adjustRightInd w:val="0"/>
        <w:spacing w:after="0" w:line="240" w:lineRule="atLeast"/>
        <w:ind w:left="720"/>
        <w:jc w:val="both"/>
        <w:rPr>
          <w:rFonts w:ascii="Arial" w:eastAsia="Times New Roman" w:hAnsi="Arial" w:cs="Arial"/>
          <w:color w:val="000000"/>
          <w:sz w:val="20"/>
          <w:szCs w:val="20"/>
          <w:lang w:val="en-GB" w:eastAsia="fr-FR"/>
        </w:rPr>
      </w:pPr>
      <w:r w:rsidRPr="00372BEA">
        <w:rPr>
          <w:rFonts w:ascii="Arial" w:eastAsia="Times New Roman" w:hAnsi="Arial" w:cs="Arial"/>
          <w:color w:val="000000"/>
          <w:sz w:val="20"/>
          <w:szCs w:val="20"/>
          <w:lang w:val="en-GB" w:eastAsia="fr-FR"/>
        </w:rPr>
        <w:t xml:space="preserve">Furthermore, </w:t>
      </w:r>
      <w:r w:rsidR="00E67976" w:rsidRPr="00372BEA">
        <w:rPr>
          <w:rFonts w:ascii="Arial" w:eastAsia="Times New Roman" w:hAnsi="Arial" w:cs="Arial"/>
          <w:color w:val="000000"/>
          <w:sz w:val="20"/>
          <w:szCs w:val="20"/>
          <w:lang w:val="en-GB" w:eastAsia="fr-FR"/>
        </w:rPr>
        <w:t>FBF</w:t>
      </w:r>
      <w:r w:rsidR="00E36C87" w:rsidRPr="00372BEA">
        <w:rPr>
          <w:rFonts w:ascii="Arial" w:eastAsia="Times New Roman" w:hAnsi="Arial" w:cs="Arial"/>
          <w:color w:val="000000"/>
          <w:sz w:val="20"/>
          <w:szCs w:val="20"/>
          <w:lang w:val="en-GB" w:eastAsia="fr-FR"/>
        </w:rPr>
        <w:t xml:space="preserve"> wishes to </w:t>
      </w:r>
      <w:r w:rsidR="00D42F3D" w:rsidRPr="00372BEA">
        <w:rPr>
          <w:rFonts w:ascii="Arial" w:eastAsia="Times New Roman" w:hAnsi="Arial" w:cs="Arial"/>
          <w:color w:val="000000"/>
          <w:sz w:val="20"/>
          <w:szCs w:val="20"/>
          <w:lang w:val="en-GB" w:eastAsia="fr-FR"/>
        </w:rPr>
        <w:t xml:space="preserve">emphasize the </w:t>
      </w:r>
      <w:r w:rsidR="00DB6A08" w:rsidRPr="00372BEA">
        <w:rPr>
          <w:rFonts w:ascii="Arial" w:eastAsia="Times New Roman" w:hAnsi="Arial" w:cs="Arial"/>
          <w:color w:val="000000"/>
          <w:sz w:val="20"/>
          <w:szCs w:val="20"/>
          <w:lang w:val="en-GB" w:eastAsia="fr-FR"/>
        </w:rPr>
        <w:t xml:space="preserve">fact it is </w:t>
      </w:r>
      <w:r w:rsidR="00F758EE" w:rsidRPr="00372BEA">
        <w:rPr>
          <w:rFonts w:ascii="Arial" w:eastAsia="Times New Roman" w:hAnsi="Arial" w:cs="Arial"/>
          <w:color w:val="000000"/>
          <w:sz w:val="20"/>
          <w:szCs w:val="20"/>
          <w:lang w:val="en-GB" w:eastAsia="fr-FR"/>
        </w:rPr>
        <w:t xml:space="preserve">primordial </w:t>
      </w:r>
      <w:r w:rsidR="001F3564" w:rsidRPr="00372BEA">
        <w:rPr>
          <w:rFonts w:ascii="Arial" w:eastAsia="Times New Roman" w:hAnsi="Arial" w:cs="Arial"/>
          <w:color w:val="000000"/>
          <w:sz w:val="20"/>
          <w:szCs w:val="20"/>
          <w:lang w:val="en-GB" w:eastAsia="fr-FR"/>
        </w:rPr>
        <w:t xml:space="preserve">for </w:t>
      </w:r>
      <w:r w:rsidR="00F758EE" w:rsidRPr="00372BEA">
        <w:rPr>
          <w:rFonts w:ascii="Arial" w:eastAsia="Times New Roman" w:hAnsi="Arial" w:cs="Arial"/>
          <w:color w:val="000000"/>
          <w:sz w:val="20"/>
          <w:szCs w:val="20"/>
          <w:lang w:val="en-GB" w:eastAsia="fr-FR"/>
        </w:rPr>
        <w:t xml:space="preserve">firms </w:t>
      </w:r>
      <w:r w:rsidR="001F3564" w:rsidRPr="00372BEA">
        <w:rPr>
          <w:rFonts w:ascii="Arial" w:eastAsia="Times New Roman" w:hAnsi="Arial" w:cs="Arial"/>
          <w:color w:val="000000"/>
          <w:sz w:val="20"/>
          <w:szCs w:val="20"/>
          <w:lang w:val="en-GB" w:eastAsia="fr-FR"/>
        </w:rPr>
        <w:t>to be</w:t>
      </w:r>
      <w:r w:rsidR="009D4711" w:rsidRPr="00372BEA">
        <w:rPr>
          <w:rFonts w:ascii="Arial" w:eastAsia="Times New Roman" w:hAnsi="Arial" w:cs="Arial"/>
          <w:color w:val="000000"/>
          <w:sz w:val="20"/>
          <w:szCs w:val="20"/>
          <w:lang w:val="en-GB" w:eastAsia="fr-FR"/>
        </w:rPr>
        <w:t xml:space="preserve"> allo</w:t>
      </w:r>
      <w:r w:rsidR="00BC0D2A" w:rsidRPr="00372BEA">
        <w:rPr>
          <w:rFonts w:ascii="Arial" w:eastAsia="Times New Roman" w:hAnsi="Arial" w:cs="Arial"/>
          <w:color w:val="000000"/>
          <w:sz w:val="20"/>
          <w:szCs w:val="20"/>
          <w:lang w:val="en-GB" w:eastAsia="fr-FR"/>
        </w:rPr>
        <w:t>w</w:t>
      </w:r>
      <w:r w:rsidR="009D4711" w:rsidRPr="00372BEA">
        <w:rPr>
          <w:rFonts w:ascii="Arial" w:eastAsia="Times New Roman" w:hAnsi="Arial" w:cs="Arial"/>
          <w:color w:val="000000"/>
          <w:sz w:val="20"/>
          <w:szCs w:val="20"/>
          <w:lang w:val="en-GB" w:eastAsia="fr-FR"/>
        </w:rPr>
        <w:t xml:space="preserve">ed sufficient flexibility to </w:t>
      </w:r>
      <w:r w:rsidR="00CA0513" w:rsidRPr="00372BEA">
        <w:rPr>
          <w:rFonts w:ascii="Arial" w:eastAsia="Times New Roman" w:hAnsi="Arial" w:cs="Arial"/>
          <w:color w:val="000000"/>
          <w:sz w:val="20"/>
          <w:szCs w:val="20"/>
          <w:lang w:val="en-GB" w:eastAsia="fr-FR"/>
        </w:rPr>
        <w:t>tackle the PAI</w:t>
      </w:r>
      <w:r w:rsidR="001B406D" w:rsidRPr="00372BEA">
        <w:rPr>
          <w:rFonts w:ascii="Arial" w:eastAsia="Times New Roman" w:hAnsi="Arial" w:cs="Arial"/>
          <w:color w:val="000000"/>
          <w:sz w:val="20"/>
          <w:szCs w:val="20"/>
          <w:lang w:val="en-GB" w:eastAsia="fr-FR"/>
        </w:rPr>
        <w:t>s</w:t>
      </w:r>
      <w:r w:rsidR="002F0C86" w:rsidRPr="00372BEA">
        <w:rPr>
          <w:rFonts w:ascii="Arial" w:eastAsia="Times New Roman" w:hAnsi="Arial" w:cs="Arial"/>
          <w:color w:val="000000"/>
          <w:sz w:val="20"/>
          <w:szCs w:val="20"/>
          <w:lang w:val="en-GB" w:eastAsia="fr-FR"/>
        </w:rPr>
        <w:t xml:space="preserve"> in a comprehensible manner</w:t>
      </w:r>
      <w:r w:rsidR="002F72FB" w:rsidRPr="00372BEA">
        <w:rPr>
          <w:rFonts w:ascii="Arial" w:eastAsia="Times New Roman" w:hAnsi="Arial" w:cs="Arial"/>
          <w:color w:val="000000"/>
          <w:sz w:val="20"/>
          <w:szCs w:val="20"/>
          <w:lang w:val="en-GB" w:eastAsia="fr-FR"/>
        </w:rPr>
        <w:t xml:space="preserve">, </w:t>
      </w:r>
      <w:r w:rsidR="007C1677" w:rsidRPr="00372BEA">
        <w:rPr>
          <w:rFonts w:ascii="Arial" w:eastAsia="Times New Roman" w:hAnsi="Arial" w:cs="Arial"/>
          <w:color w:val="000000"/>
          <w:sz w:val="20"/>
          <w:szCs w:val="20"/>
          <w:lang w:val="en-GB" w:eastAsia="fr-FR"/>
        </w:rPr>
        <w:t xml:space="preserve">that is </w:t>
      </w:r>
      <w:r w:rsidR="002F72FB" w:rsidRPr="00372BEA">
        <w:rPr>
          <w:rFonts w:ascii="Arial" w:eastAsia="Times New Roman" w:hAnsi="Arial" w:cs="Arial"/>
          <w:color w:val="000000"/>
          <w:sz w:val="20"/>
          <w:szCs w:val="20"/>
          <w:lang w:val="en-GB" w:eastAsia="fr-FR"/>
        </w:rPr>
        <w:t xml:space="preserve">intelligible </w:t>
      </w:r>
      <w:r w:rsidR="00BC0D2A" w:rsidRPr="00372BEA">
        <w:rPr>
          <w:rFonts w:ascii="Arial" w:eastAsia="Times New Roman" w:hAnsi="Arial" w:cs="Arial"/>
          <w:color w:val="000000"/>
          <w:sz w:val="20"/>
          <w:szCs w:val="20"/>
          <w:lang w:val="en-GB" w:eastAsia="fr-FR"/>
        </w:rPr>
        <w:t>for clients (and bankers).</w:t>
      </w:r>
      <w:r w:rsidR="00BC0D2A" w:rsidRPr="00604D97">
        <w:rPr>
          <w:rFonts w:ascii="Arial" w:eastAsia="Times New Roman" w:hAnsi="Arial" w:cs="Arial"/>
          <w:color w:val="000000"/>
          <w:sz w:val="20"/>
          <w:szCs w:val="20"/>
          <w:lang w:val="en-GB" w:eastAsia="fr-FR"/>
        </w:rPr>
        <w:t xml:space="preserve"> Indeed, </w:t>
      </w:r>
      <w:r w:rsidR="00C85BC4" w:rsidRPr="00604D97">
        <w:rPr>
          <w:rFonts w:ascii="Arial" w:eastAsia="Times New Roman" w:hAnsi="Arial" w:cs="Arial"/>
          <w:color w:val="000000"/>
          <w:sz w:val="20"/>
          <w:szCs w:val="20"/>
          <w:lang w:val="en-GB" w:eastAsia="fr-FR"/>
        </w:rPr>
        <w:t xml:space="preserve">and </w:t>
      </w:r>
      <w:r w:rsidR="00132EBA" w:rsidRPr="00604D97">
        <w:rPr>
          <w:rFonts w:ascii="Arial" w:eastAsia="Times New Roman" w:hAnsi="Arial" w:cs="Arial"/>
          <w:color w:val="000000"/>
          <w:sz w:val="20"/>
          <w:szCs w:val="20"/>
          <w:lang w:val="en-GB" w:eastAsia="fr-FR"/>
        </w:rPr>
        <w:t xml:space="preserve">as </w:t>
      </w:r>
      <w:r w:rsidR="00432F52" w:rsidRPr="00604D97">
        <w:rPr>
          <w:rFonts w:ascii="Arial" w:eastAsia="Times New Roman" w:hAnsi="Arial" w:cs="Arial"/>
          <w:color w:val="000000"/>
          <w:sz w:val="20"/>
          <w:szCs w:val="20"/>
          <w:lang w:val="en-GB" w:eastAsia="fr-FR"/>
        </w:rPr>
        <w:t>it was</w:t>
      </w:r>
      <w:r w:rsidR="001F3564" w:rsidRPr="00604D97">
        <w:rPr>
          <w:rFonts w:ascii="Arial" w:eastAsia="Times New Roman" w:hAnsi="Arial" w:cs="Arial"/>
          <w:color w:val="000000"/>
          <w:sz w:val="20"/>
          <w:szCs w:val="20"/>
          <w:lang w:val="en-GB" w:eastAsia="fr-FR"/>
        </w:rPr>
        <w:t xml:space="preserve"> in a way</w:t>
      </w:r>
      <w:r w:rsidR="00432F52" w:rsidRPr="00604D97">
        <w:rPr>
          <w:rFonts w:ascii="Arial" w:eastAsia="Times New Roman" w:hAnsi="Arial" w:cs="Arial"/>
          <w:color w:val="000000"/>
          <w:sz w:val="20"/>
          <w:szCs w:val="20"/>
          <w:lang w:val="en-GB" w:eastAsia="fr-FR"/>
        </w:rPr>
        <w:t xml:space="preserve"> </w:t>
      </w:r>
      <w:proofErr w:type="gramStart"/>
      <w:r w:rsidR="00132EBA" w:rsidRPr="00604D97">
        <w:rPr>
          <w:rFonts w:ascii="Arial" w:eastAsia="Times New Roman" w:hAnsi="Arial" w:cs="Arial"/>
          <w:color w:val="000000"/>
          <w:sz w:val="20"/>
          <w:szCs w:val="20"/>
          <w:lang w:val="en-GB" w:eastAsia="fr-FR"/>
        </w:rPr>
        <w:t>taken into account</w:t>
      </w:r>
      <w:proofErr w:type="gramEnd"/>
      <w:r w:rsidR="00132EBA" w:rsidRPr="00604D97">
        <w:rPr>
          <w:rFonts w:ascii="Arial" w:eastAsia="Times New Roman" w:hAnsi="Arial" w:cs="Arial"/>
          <w:color w:val="000000"/>
          <w:sz w:val="20"/>
          <w:szCs w:val="20"/>
          <w:lang w:val="en-GB" w:eastAsia="fr-FR"/>
        </w:rPr>
        <w:t xml:space="preserve"> in the 4</w:t>
      </w:r>
      <w:r w:rsidR="00132EBA" w:rsidRPr="00604D97">
        <w:rPr>
          <w:rFonts w:ascii="Arial" w:eastAsia="Times New Roman" w:hAnsi="Arial" w:cs="Arial"/>
          <w:color w:val="000000"/>
          <w:sz w:val="20"/>
          <w:szCs w:val="20"/>
          <w:vertAlign w:val="superscript"/>
          <w:lang w:val="en-GB" w:eastAsia="fr-FR"/>
        </w:rPr>
        <w:t>th</w:t>
      </w:r>
      <w:r w:rsidR="00132EBA" w:rsidRPr="00604D97">
        <w:rPr>
          <w:rFonts w:ascii="Arial" w:eastAsia="Times New Roman" w:hAnsi="Arial" w:cs="Arial"/>
          <w:color w:val="000000"/>
          <w:sz w:val="20"/>
          <w:szCs w:val="20"/>
          <w:lang w:val="en-GB" w:eastAsia="fr-FR"/>
        </w:rPr>
        <w:t xml:space="preserve"> bullet point of the proposed § 26</w:t>
      </w:r>
      <w:r w:rsidR="00432F52" w:rsidRPr="00604D97">
        <w:rPr>
          <w:rFonts w:ascii="Arial" w:eastAsia="Times New Roman" w:hAnsi="Arial" w:cs="Arial"/>
          <w:color w:val="000000"/>
          <w:sz w:val="20"/>
          <w:szCs w:val="20"/>
          <w:lang w:val="en-GB" w:eastAsia="fr-FR"/>
        </w:rPr>
        <w:t xml:space="preserve"> of the </w:t>
      </w:r>
      <w:r w:rsidR="00432F52" w:rsidRPr="00604D97">
        <w:rPr>
          <w:rFonts w:ascii="Arial" w:eastAsia="Times New Roman" w:hAnsi="Arial" w:cs="Arial"/>
          <w:color w:val="000000"/>
          <w:sz w:val="20"/>
          <w:szCs w:val="20"/>
          <w:lang w:val="en-GB" w:eastAsia="fr-FR"/>
        </w:rPr>
        <w:lastRenderedPageBreak/>
        <w:t xml:space="preserve">Draft </w:t>
      </w:r>
      <w:r w:rsidR="00A928E3" w:rsidRPr="00604D97">
        <w:rPr>
          <w:rFonts w:ascii="Arial" w:eastAsia="Times New Roman" w:hAnsi="Arial" w:cs="Arial"/>
          <w:color w:val="000000"/>
          <w:sz w:val="20"/>
          <w:szCs w:val="20"/>
          <w:lang w:val="en-GB" w:eastAsia="fr-FR"/>
        </w:rPr>
        <w:t>g</w:t>
      </w:r>
      <w:r w:rsidR="00432F52" w:rsidRPr="00604D97">
        <w:rPr>
          <w:rFonts w:ascii="Arial" w:eastAsia="Times New Roman" w:hAnsi="Arial" w:cs="Arial"/>
          <w:color w:val="000000"/>
          <w:sz w:val="20"/>
          <w:szCs w:val="20"/>
          <w:lang w:val="en-GB" w:eastAsia="fr-FR"/>
        </w:rPr>
        <w:t>uidelines</w:t>
      </w:r>
      <w:r w:rsidR="00132EBA" w:rsidRPr="00604D97">
        <w:rPr>
          <w:rFonts w:ascii="Arial" w:eastAsia="Times New Roman" w:hAnsi="Arial" w:cs="Arial"/>
          <w:color w:val="000000"/>
          <w:sz w:val="20"/>
          <w:szCs w:val="20"/>
          <w:lang w:val="en-GB" w:eastAsia="fr-FR"/>
        </w:rPr>
        <w:t xml:space="preserve">, </w:t>
      </w:r>
      <w:r w:rsidR="006803D5" w:rsidRPr="00604D97">
        <w:rPr>
          <w:rFonts w:ascii="Arial" w:eastAsia="Times New Roman" w:hAnsi="Arial" w:cs="Arial"/>
          <w:color w:val="000000"/>
          <w:sz w:val="20"/>
          <w:szCs w:val="20"/>
          <w:lang w:val="en-GB" w:eastAsia="fr-FR"/>
        </w:rPr>
        <w:t xml:space="preserve">it is not reasonable to </w:t>
      </w:r>
      <w:r w:rsidR="00DA629D" w:rsidRPr="00604D97">
        <w:rPr>
          <w:rFonts w:ascii="Arial" w:eastAsia="Times New Roman" w:hAnsi="Arial" w:cs="Arial"/>
          <w:color w:val="000000"/>
          <w:sz w:val="20"/>
          <w:szCs w:val="20"/>
          <w:lang w:val="en-GB" w:eastAsia="fr-FR"/>
        </w:rPr>
        <w:t xml:space="preserve">require from </w:t>
      </w:r>
      <w:r w:rsidR="006803D5" w:rsidRPr="00604D97">
        <w:rPr>
          <w:rFonts w:ascii="Arial" w:eastAsia="Times New Roman" w:hAnsi="Arial" w:cs="Arial"/>
          <w:color w:val="000000"/>
          <w:sz w:val="20"/>
          <w:szCs w:val="20"/>
          <w:lang w:val="en-GB" w:eastAsia="fr-FR"/>
        </w:rPr>
        <w:t xml:space="preserve">firms </w:t>
      </w:r>
      <w:r w:rsidR="001A2CDA" w:rsidRPr="00604D97">
        <w:rPr>
          <w:rFonts w:ascii="Arial" w:eastAsia="Times New Roman" w:hAnsi="Arial" w:cs="Arial"/>
          <w:color w:val="000000"/>
          <w:sz w:val="20"/>
          <w:szCs w:val="20"/>
          <w:lang w:val="en-GB" w:eastAsia="fr-FR"/>
        </w:rPr>
        <w:t xml:space="preserve">to </w:t>
      </w:r>
      <w:r w:rsidR="00D87A8E" w:rsidRPr="00604D97">
        <w:rPr>
          <w:rFonts w:ascii="Arial" w:eastAsia="Times New Roman" w:hAnsi="Arial" w:cs="Arial"/>
          <w:color w:val="000000"/>
          <w:sz w:val="20"/>
          <w:szCs w:val="20"/>
          <w:lang w:val="en-GB" w:eastAsia="fr-FR"/>
        </w:rPr>
        <w:t>outline ev</w:t>
      </w:r>
      <w:r w:rsidR="000F5DAE" w:rsidRPr="00604D97">
        <w:rPr>
          <w:rFonts w:ascii="Arial" w:eastAsia="Times New Roman" w:hAnsi="Arial" w:cs="Arial"/>
          <w:color w:val="000000"/>
          <w:sz w:val="20"/>
          <w:szCs w:val="20"/>
          <w:lang w:val="en-GB" w:eastAsia="fr-FR"/>
        </w:rPr>
        <w:t>ery SFDR PAI</w:t>
      </w:r>
      <w:r w:rsidR="001B2A14" w:rsidRPr="00604D97">
        <w:rPr>
          <w:rFonts w:ascii="Arial" w:eastAsia="Times New Roman" w:hAnsi="Arial" w:cs="Arial"/>
          <w:color w:val="000000"/>
          <w:sz w:val="20"/>
          <w:szCs w:val="20"/>
          <w:lang w:val="en-GB" w:eastAsia="fr-FR"/>
        </w:rPr>
        <w:t>s</w:t>
      </w:r>
      <w:r w:rsidR="00F97AF9" w:rsidRPr="00604D97">
        <w:rPr>
          <w:rFonts w:ascii="Arial" w:eastAsia="Times New Roman" w:hAnsi="Arial" w:cs="Arial"/>
          <w:color w:val="000000"/>
          <w:sz w:val="20"/>
          <w:szCs w:val="20"/>
          <w:lang w:val="en-GB" w:eastAsia="fr-FR"/>
        </w:rPr>
        <w:t xml:space="preserve"> (18 PAIs altogether)</w:t>
      </w:r>
      <w:r w:rsidR="000F5DAE" w:rsidRPr="00604D97">
        <w:rPr>
          <w:rFonts w:ascii="Arial" w:eastAsia="Times New Roman" w:hAnsi="Arial" w:cs="Arial"/>
          <w:color w:val="000000"/>
          <w:sz w:val="20"/>
          <w:szCs w:val="20"/>
          <w:lang w:val="en-GB" w:eastAsia="fr-FR"/>
        </w:rPr>
        <w:t xml:space="preserve"> to the clients in order to </w:t>
      </w:r>
      <w:r w:rsidR="006F52D8" w:rsidRPr="00604D97">
        <w:rPr>
          <w:rFonts w:ascii="Arial" w:eastAsia="Times New Roman" w:hAnsi="Arial" w:cs="Arial"/>
          <w:color w:val="000000"/>
          <w:sz w:val="20"/>
          <w:szCs w:val="20"/>
          <w:lang w:val="en-GB" w:eastAsia="fr-FR"/>
        </w:rPr>
        <w:t xml:space="preserve">“rate” each of them. </w:t>
      </w:r>
      <w:r w:rsidR="00BD4DAC" w:rsidRPr="00604D97">
        <w:rPr>
          <w:rFonts w:ascii="Arial" w:eastAsia="Times New Roman" w:hAnsi="Arial" w:cs="Arial"/>
          <w:color w:val="000000"/>
          <w:sz w:val="20"/>
          <w:szCs w:val="20"/>
          <w:lang w:val="en-GB" w:eastAsia="fr-FR"/>
        </w:rPr>
        <w:t xml:space="preserve">Therefore, </w:t>
      </w:r>
      <w:r w:rsidR="00E67976" w:rsidRPr="00604D97">
        <w:rPr>
          <w:rFonts w:ascii="Arial" w:eastAsia="Times New Roman" w:hAnsi="Arial" w:cs="Arial"/>
          <w:color w:val="000000"/>
          <w:sz w:val="20"/>
          <w:szCs w:val="20"/>
          <w:lang w:val="en-GB" w:eastAsia="fr-FR"/>
        </w:rPr>
        <w:t>FBF</w:t>
      </w:r>
      <w:r w:rsidR="00BD4DAC" w:rsidRPr="00604D97">
        <w:rPr>
          <w:rFonts w:ascii="Arial" w:eastAsia="Times New Roman" w:hAnsi="Arial" w:cs="Arial"/>
          <w:color w:val="000000"/>
          <w:sz w:val="20"/>
          <w:szCs w:val="20"/>
          <w:lang w:val="en-GB" w:eastAsia="fr-FR"/>
        </w:rPr>
        <w:t xml:space="preserve"> is in favour</w:t>
      </w:r>
      <w:r w:rsidR="00CE2C60" w:rsidRPr="00604D97">
        <w:rPr>
          <w:rFonts w:ascii="Arial" w:eastAsia="Times New Roman" w:hAnsi="Arial" w:cs="Arial"/>
          <w:color w:val="000000"/>
          <w:sz w:val="20"/>
          <w:szCs w:val="20"/>
          <w:lang w:val="en-GB" w:eastAsia="fr-FR"/>
        </w:rPr>
        <w:t xml:space="preserve"> of </w:t>
      </w:r>
      <w:r w:rsidR="002B4AE3" w:rsidRPr="00604D97">
        <w:rPr>
          <w:rFonts w:ascii="Arial" w:eastAsia="Times New Roman" w:hAnsi="Arial" w:cs="Arial"/>
          <w:color w:val="000000"/>
          <w:sz w:val="20"/>
          <w:szCs w:val="20"/>
          <w:lang w:val="en-GB" w:eastAsia="fr-FR"/>
        </w:rPr>
        <w:t xml:space="preserve">grouping the PAIs </w:t>
      </w:r>
      <w:r w:rsidR="00291729" w:rsidRPr="00604D97">
        <w:rPr>
          <w:rFonts w:ascii="Arial" w:eastAsia="Times New Roman" w:hAnsi="Arial" w:cs="Arial"/>
          <w:color w:val="000000"/>
          <w:sz w:val="20"/>
          <w:szCs w:val="20"/>
          <w:lang w:val="en-GB" w:eastAsia="fr-FR"/>
        </w:rPr>
        <w:t>as per the</w:t>
      </w:r>
      <w:r w:rsidR="00B05973" w:rsidRPr="00604D97">
        <w:rPr>
          <w:rFonts w:ascii="Arial" w:eastAsia="Times New Roman" w:hAnsi="Arial" w:cs="Arial"/>
          <w:color w:val="000000"/>
          <w:sz w:val="20"/>
          <w:szCs w:val="20"/>
          <w:lang w:val="en-GB" w:eastAsia="fr-FR"/>
        </w:rPr>
        <w:t xml:space="preserve"> </w:t>
      </w:r>
      <w:bookmarkStart w:id="3" w:name="_Hlk98252153"/>
      <w:r w:rsidR="00B05973" w:rsidRPr="00604D97">
        <w:rPr>
          <w:rFonts w:ascii="Arial" w:eastAsia="Times New Roman" w:hAnsi="Arial" w:cs="Arial"/>
          <w:color w:val="000000"/>
          <w:sz w:val="20"/>
          <w:szCs w:val="20"/>
          <w:lang w:val="en-GB" w:eastAsia="fr-FR"/>
        </w:rPr>
        <w:t xml:space="preserve">SFDR RTS </w:t>
      </w:r>
      <w:bookmarkEnd w:id="3"/>
      <w:r w:rsidR="00B05973" w:rsidRPr="00604D97">
        <w:rPr>
          <w:rFonts w:ascii="Arial" w:eastAsia="Times New Roman" w:hAnsi="Arial" w:cs="Arial"/>
          <w:color w:val="000000"/>
          <w:sz w:val="20"/>
          <w:szCs w:val="20"/>
          <w:lang w:val="en-GB" w:eastAsia="fr-FR"/>
        </w:rPr>
        <w:t>categories</w:t>
      </w:r>
      <w:r w:rsidR="0055062C" w:rsidRPr="00604D97">
        <w:rPr>
          <w:rFonts w:ascii="Arial" w:eastAsia="Times New Roman" w:hAnsi="Arial" w:cs="Arial"/>
          <w:color w:val="000000"/>
          <w:sz w:val="20"/>
          <w:szCs w:val="20"/>
          <w:lang w:val="en-GB" w:eastAsia="fr-FR"/>
        </w:rPr>
        <w:t xml:space="preserve"> (</w:t>
      </w:r>
      <w:r w:rsidR="00F97AF9" w:rsidRPr="00604D97">
        <w:rPr>
          <w:rFonts w:ascii="Arial" w:eastAsia="Times New Roman" w:hAnsi="Arial" w:cs="Arial"/>
          <w:color w:val="000000"/>
          <w:sz w:val="20"/>
          <w:szCs w:val="20"/>
          <w:lang w:val="en-GB" w:eastAsia="fr-FR"/>
        </w:rPr>
        <w:t>9 categories)</w:t>
      </w:r>
      <w:r w:rsidR="00B05973" w:rsidRPr="00604D97">
        <w:rPr>
          <w:rFonts w:ascii="Arial" w:eastAsia="Times New Roman" w:hAnsi="Arial" w:cs="Arial"/>
          <w:color w:val="000000"/>
          <w:sz w:val="20"/>
          <w:szCs w:val="20"/>
          <w:lang w:val="en-GB" w:eastAsia="fr-FR"/>
        </w:rPr>
        <w:t xml:space="preserve"> and </w:t>
      </w:r>
      <w:r w:rsidR="003D1876" w:rsidRPr="00604D97">
        <w:rPr>
          <w:rFonts w:ascii="Arial" w:eastAsia="Times New Roman" w:hAnsi="Arial" w:cs="Arial"/>
          <w:color w:val="000000"/>
          <w:sz w:val="20"/>
          <w:szCs w:val="20"/>
          <w:lang w:val="en-GB" w:eastAsia="fr-FR"/>
        </w:rPr>
        <w:t>to use for each of them</w:t>
      </w:r>
      <w:r w:rsidR="00B05973" w:rsidRPr="00604D97">
        <w:rPr>
          <w:rFonts w:ascii="Arial" w:eastAsia="Times New Roman" w:hAnsi="Arial" w:cs="Arial"/>
          <w:color w:val="000000"/>
          <w:sz w:val="20"/>
          <w:szCs w:val="20"/>
          <w:lang w:val="en-GB" w:eastAsia="fr-FR"/>
        </w:rPr>
        <w:t xml:space="preserve"> a binary approach</w:t>
      </w:r>
      <w:r w:rsidR="00154F03" w:rsidRPr="00604D97">
        <w:rPr>
          <w:rFonts w:ascii="Arial" w:eastAsia="Times New Roman" w:hAnsi="Arial" w:cs="Arial"/>
          <w:color w:val="000000"/>
          <w:sz w:val="20"/>
          <w:szCs w:val="20"/>
          <w:lang w:val="en-GB" w:eastAsia="fr-FR"/>
        </w:rPr>
        <w:t xml:space="preserve"> </w:t>
      </w:r>
      <w:r w:rsidR="00AB0482" w:rsidRPr="00604D97">
        <w:rPr>
          <w:rFonts w:ascii="Arial" w:eastAsia="Times New Roman" w:hAnsi="Arial" w:cs="Arial"/>
          <w:color w:val="000000"/>
          <w:sz w:val="20"/>
          <w:szCs w:val="20"/>
          <w:lang w:val="en-GB" w:eastAsia="fr-FR"/>
        </w:rPr>
        <w:t>Y</w:t>
      </w:r>
      <w:r w:rsidR="00154F03" w:rsidRPr="00604D97">
        <w:rPr>
          <w:rFonts w:ascii="Arial" w:eastAsia="Times New Roman" w:hAnsi="Arial" w:cs="Arial"/>
          <w:color w:val="000000"/>
          <w:sz w:val="20"/>
          <w:szCs w:val="20"/>
          <w:lang w:val="en-GB" w:eastAsia="fr-FR"/>
        </w:rPr>
        <w:t xml:space="preserve">es/ </w:t>
      </w:r>
      <w:r w:rsidR="00AB0482" w:rsidRPr="00604D97">
        <w:rPr>
          <w:rFonts w:ascii="Arial" w:eastAsia="Times New Roman" w:hAnsi="Arial" w:cs="Arial"/>
          <w:color w:val="000000"/>
          <w:sz w:val="20"/>
          <w:szCs w:val="20"/>
          <w:lang w:val="en-GB" w:eastAsia="fr-FR"/>
        </w:rPr>
        <w:t>N</w:t>
      </w:r>
      <w:r w:rsidR="00154F03" w:rsidRPr="00604D97">
        <w:rPr>
          <w:rFonts w:ascii="Arial" w:eastAsia="Times New Roman" w:hAnsi="Arial" w:cs="Arial"/>
          <w:color w:val="000000"/>
          <w:sz w:val="20"/>
          <w:szCs w:val="20"/>
          <w:lang w:val="en-GB" w:eastAsia="fr-FR"/>
        </w:rPr>
        <w:t>o</w:t>
      </w:r>
      <w:r w:rsidR="00AB0482" w:rsidRPr="00604D97">
        <w:rPr>
          <w:rFonts w:ascii="Arial" w:eastAsia="Times New Roman" w:hAnsi="Arial" w:cs="Arial"/>
          <w:color w:val="000000"/>
          <w:sz w:val="20"/>
          <w:szCs w:val="20"/>
          <w:lang w:val="en-GB" w:eastAsia="fr-FR"/>
        </w:rPr>
        <w:t>.</w:t>
      </w:r>
      <w:r w:rsidR="00B05973" w:rsidRPr="00604D97">
        <w:rPr>
          <w:rFonts w:ascii="Arial" w:eastAsia="Times New Roman" w:hAnsi="Arial" w:cs="Arial"/>
          <w:color w:val="000000"/>
          <w:sz w:val="20"/>
          <w:szCs w:val="20"/>
          <w:lang w:val="en-GB" w:eastAsia="fr-FR"/>
        </w:rPr>
        <w:t xml:space="preserve"> </w:t>
      </w:r>
      <w:r w:rsidR="00E46F43" w:rsidRPr="00604D97">
        <w:rPr>
          <w:rFonts w:ascii="Arial" w:eastAsia="Times New Roman" w:hAnsi="Arial" w:cs="Arial"/>
          <w:color w:val="000000"/>
          <w:sz w:val="20"/>
          <w:szCs w:val="20"/>
          <w:lang w:val="en-GB" w:eastAsia="fr-FR"/>
        </w:rPr>
        <w:t>T</w:t>
      </w:r>
      <w:r w:rsidR="00A4730F" w:rsidRPr="00604D97">
        <w:rPr>
          <w:rFonts w:ascii="Arial" w:eastAsia="Times New Roman" w:hAnsi="Arial" w:cs="Arial"/>
          <w:color w:val="000000"/>
          <w:sz w:val="20"/>
          <w:szCs w:val="20"/>
          <w:lang w:val="en-GB" w:eastAsia="fr-FR"/>
        </w:rPr>
        <w:t xml:space="preserve">his </w:t>
      </w:r>
      <w:r w:rsidR="0026784B" w:rsidRPr="00604D97">
        <w:rPr>
          <w:rFonts w:ascii="Arial" w:eastAsia="Times New Roman" w:hAnsi="Arial" w:cs="Arial"/>
          <w:color w:val="000000"/>
          <w:sz w:val="20"/>
          <w:szCs w:val="20"/>
          <w:lang w:val="en-GB" w:eastAsia="fr-FR"/>
        </w:rPr>
        <w:t>Y</w:t>
      </w:r>
      <w:r w:rsidR="000658A7" w:rsidRPr="00604D97">
        <w:rPr>
          <w:rFonts w:ascii="Arial" w:eastAsia="Times New Roman" w:hAnsi="Arial" w:cs="Arial"/>
          <w:color w:val="000000"/>
          <w:sz w:val="20"/>
          <w:szCs w:val="20"/>
          <w:lang w:val="en-GB" w:eastAsia="fr-FR"/>
        </w:rPr>
        <w:t xml:space="preserve">es/ </w:t>
      </w:r>
      <w:r w:rsidR="0026784B" w:rsidRPr="00604D97">
        <w:rPr>
          <w:rFonts w:ascii="Arial" w:eastAsia="Times New Roman" w:hAnsi="Arial" w:cs="Arial"/>
          <w:color w:val="000000"/>
          <w:sz w:val="20"/>
          <w:szCs w:val="20"/>
          <w:lang w:val="en-GB" w:eastAsia="fr-FR"/>
        </w:rPr>
        <w:t>N</w:t>
      </w:r>
      <w:r w:rsidR="000658A7" w:rsidRPr="00604D97">
        <w:rPr>
          <w:rFonts w:ascii="Arial" w:eastAsia="Times New Roman" w:hAnsi="Arial" w:cs="Arial"/>
          <w:color w:val="000000"/>
          <w:sz w:val="20"/>
          <w:szCs w:val="20"/>
          <w:lang w:val="en-GB" w:eastAsia="fr-FR"/>
        </w:rPr>
        <w:t xml:space="preserve">o approach by families of PAIs </w:t>
      </w:r>
      <w:r w:rsidR="00E46F43" w:rsidRPr="00604D97">
        <w:rPr>
          <w:rFonts w:ascii="Arial" w:eastAsia="Times New Roman" w:hAnsi="Arial" w:cs="Arial"/>
          <w:color w:val="000000"/>
          <w:sz w:val="20"/>
          <w:szCs w:val="20"/>
          <w:lang w:val="en-GB" w:eastAsia="fr-FR"/>
        </w:rPr>
        <w:t xml:space="preserve">would be workable both for clients to express their preferences with </w:t>
      </w:r>
      <w:r w:rsidR="005D5EFF" w:rsidRPr="00604D97">
        <w:rPr>
          <w:rFonts w:ascii="Arial" w:eastAsia="Times New Roman" w:hAnsi="Arial" w:cs="Arial"/>
          <w:color w:val="000000"/>
          <w:sz w:val="20"/>
          <w:szCs w:val="20"/>
          <w:lang w:val="en-GB" w:eastAsia="fr-FR"/>
        </w:rPr>
        <w:t>clarity and for firms to take them into account in their advice</w:t>
      </w:r>
      <w:r w:rsidR="00DD31F4" w:rsidRPr="00604D97">
        <w:rPr>
          <w:rFonts w:ascii="Arial" w:eastAsia="Times New Roman" w:hAnsi="Arial" w:cs="Arial"/>
          <w:color w:val="000000"/>
          <w:sz w:val="20"/>
          <w:szCs w:val="20"/>
          <w:lang w:val="en-GB" w:eastAsia="fr-FR"/>
        </w:rPr>
        <w:t xml:space="preserve"> more easily</w:t>
      </w:r>
      <w:r w:rsidR="005D5EFF" w:rsidRPr="00604D97">
        <w:rPr>
          <w:rFonts w:ascii="Arial" w:eastAsia="Times New Roman" w:hAnsi="Arial" w:cs="Arial"/>
          <w:color w:val="000000"/>
          <w:sz w:val="20"/>
          <w:szCs w:val="20"/>
          <w:lang w:val="en-GB" w:eastAsia="fr-FR"/>
        </w:rPr>
        <w:t>.</w:t>
      </w:r>
      <w:r w:rsidR="00372BEA">
        <w:rPr>
          <w:rFonts w:ascii="Arial" w:eastAsia="Times New Roman" w:hAnsi="Arial" w:cs="Arial"/>
          <w:color w:val="000000"/>
          <w:sz w:val="20"/>
          <w:szCs w:val="20"/>
          <w:lang w:val="en-GB" w:eastAsia="fr-FR"/>
        </w:rPr>
        <w:t xml:space="preserve"> </w:t>
      </w:r>
    </w:p>
    <w:p w14:paraId="3C2318BC" w14:textId="4C483FDB" w:rsidR="003A40D7" w:rsidRPr="00604D97" w:rsidRDefault="003A40D7" w:rsidP="00970615">
      <w:pPr>
        <w:pStyle w:val="Paragraphedeliste"/>
        <w:autoSpaceDE w:val="0"/>
        <w:autoSpaceDN w:val="0"/>
        <w:adjustRightInd w:val="0"/>
        <w:spacing w:after="0" w:line="240" w:lineRule="atLeast"/>
        <w:ind w:left="720"/>
        <w:jc w:val="both"/>
        <w:rPr>
          <w:rFonts w:ascii="Arial" w:eastAsia="Times New Roman" w:hAnsi="Arial" w:cs="Arial"/>
          <w:color w:val="000000"/>
          <w:sz w:val="20"/>
          <w:szCs w:val="20"/>
          <w:lang w:val="en-GB" w:eastAsia="fr-FR"/>
        </w:rPr>
      </w:pPr>
    </w:p>
    <w:p w14:paraId="7CBC808D" w14:textId="47B66890" w:rsidR="009A5A73" w:rsidRPr="00604D97" w:rsidRDefault="009A5A73"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bookmarkStart w:id="4" w:name="_Hlk98171201"/>
      <w:r w:rsidRPr="00604D97">
        <w:rPr>
          <w:rFonts w:ascii="Arial" w:eastAsia="Times New Roman" w:hAnsi="Arial" w:cs="Arial"/>
          <w:color w:val="000000"/>
          <w:sz w:val="20"/>
          <w:szCs w:val="20"/>
          <w:lang w:val="en-GB" w:eastAsia="fr-FR"/>
        </w:rPr>
        <w:t xml:space="preserve">Finally, in </w:t>
      </w:r>
      <w:r w:rsidR="00E67976" w:rsidRPr="00604D97">
        <w:rPr>
          <w:rFonts w:ascii="Arial" w:eastAsia="Times New Roman" w:hAnsi="Arial" w:cs="Arial"/>
          <w:color w:val="000000"/>
          <w:sz w:val="20"/>
          <w:szCs w:val="20"/>
          <w:lang w:val="en-GB" w:eastAsia="fr-FR"/>
        </w:rPr>
        <w:t>FBF</w:t>
      </w:r>
      <w:r w:rsidRPr="00604D97">
        <w:rPr>
          <w:rFonts w:ascii="Arial" w:eastAsia="Times New Roman" w:hAnsi="Arial" w:cs="Arial"/>
          <w:color w:val="000000"/>
          <w:sz w:val="20"/>
          <w:szCs w:val="20"/>
          <w:lang w:val="en-GB" w:eastAsia="fr-FR"/>
        </w:rPr>
        <w:t xml:space="preserve">’s view, </w:t>
      </w:r>
      <w:r w:rsidR="004F25F0" w:rsidRPr="00604D97">
        <w:rPr>
          <w:rFonts w:ascii="Arial" w:eastAsia="Times New Roman" w:hAnsi="Arial" w:cs="Arial"/>
          <w:color w:val="000000"/>
          <w:sz w:val="20"/>
          <w:szCs w:val="20"/>
          <w:lang w:val="en-GB" w:eastAsia="fr-FR"/>
        </w:rPr>
        <w:t xml:space="preserve">since at least for a </w:t>
      </w:r>
      <w:r w:rsidR="00A10D2B" w:rsidRPr="00604D97">
        <w:rPr>
          <w:rFonts w:ascii="Arial" w:eastAsia="Times New Roman" w:hAnsi="Arial" w:cs="Arial"/>
          <w:color w:val="000000"/>
          <w:sz w:val="20"/>
          <w:szCs w:val="20"/>
          <w:lang w:val="en-GB" w:eastAsia="fr-FR"/>
        </w:rPr>
        <w:t>certain</w:t>
      </w:r>
      <w:r w:rsidR="004F25F0" w:rsidRPr="00604D97">
        <w:rPr>
          <w:rFonts w:ascii="Arial" w:eastAsia="Times New Roman" w:hAnsi="Arial" w:cs="Arial"/>
          <w:color w:val="000000"/>
          <w:sz w:val="20"/>
          <w:szCs w:val="20"/>
          <w:lang w:val="en-GB" w:eastAsia="fr-FR"/>
        </w:rPr>
        <w:t xml:space="preserve"> period of time, investors will probably not be able </w:t>
      </w:r>
      <w:r w:rsidR="00456FD7" w:rsidRPr="00604D97">
        <w:rPr>
          <w:rFonts w:ascii="Arial" w:eastAsia="Times New Roman" w:hAnsi="Arial" w:cs="Arial"/>
          <w:color w:val="000000"/>
          <w:sz w:val="20"/>
          <w:szCs w:val="20"/>
          <w:lang w:val="en-GB" w:eastAsia="fr-FR"/>
        </w:rPr>
        <w:t>to grasp</w:t>
      </w:r>
      <w:r w:rsidR="00A10D2B" w:rsidRPr="00604D97">
        <w:rPr>
          <w:rFonts w:ascii="Arial" w:eastAsia="Times New Roman" w:hAnsi="Arial" w:cs="Arial"/>
          <w:color w:val="000000"/>
          <w:sz w:val="20"/>
          <w:szCs w:val="20"/>
          <w:lang w:val="en-GB" w:eastAsia="fr-FR"/>
        </w:rPr>
        <w:t xml:space="preserve"> all the underlying </w:t>
      </w:r>
      <w:r w:rsidR="00822F8D" w:rsidRPr="00604D97">
        <w:rPr>
          <w:rFonts w:ascii="Arial" w:eastAsia="Times New Roman" w:hAnsi="Arial" w:cs="Arial"/>
          <w:color w:val="000000"/>
          <w:sz w:val="20"/>
          <w:szCs w:val="20"/>
          <w:lang w:val="en-GB" w:eastAsia="fr-FR"/>
        </w:rPr>
        <w:t>sustainability</w:t>
      </w:r>
      <w:r w:rsidR="0078646C" w:rsidRPr="00604D97">
        <w:rPr>
          <w:rFonts w:ascii="Arial" w:eastAsia="Times New Roman" w:hAnsi="Arial" w:cs="Arial"/>
          <w:color w:val="000000"/>
          <w:sz w:val="20"/>
          <w:szCs w:val="20"/>
          <w:lang w:val="en-GB" w:eastAsia="fr-FR"/>
        </w:rPr>
        <w:t xml:space="preserve"> preferences</w:t>
      </w:r>
      <w:r w:rsidR="00A10D2B" w:rsidRPr="00604D97">
        <w:rPr>
          <w:rFonts w:ascii="Arial" w:eastAsia="Times New Roman" w:hAnsi="Arial" w:cs="Arial"/>
          <w:color w:val="000000"/>
          <w:sz w:val="20"/>
          <w:szCs w:val="20"/>
          <w:lang w:val="en-GB" w:eastAsia="fr-FR"/>
        </w:rPr>
        <w:t xml:space="preserve"> concepts, it is essential </w:t>
      </w:r>
      <w:r w:rsidR="00822F8D" w:rsidRPr="00604D97">
        <w:rPr>
          <w:rFonts w:ascii="Arial" w:eastAsia="Times New Roman" w:hAnsi="Arial" w:cs="Arial"/>
          <w:color w:val="000000"/>
          <w:sz w:val="20"/>
          <w:szCs w:val="20"/>
          <w:lang w:val="en-GB" w:eastAsia="fr-FR"/>
        </w:rPr>
        <w:t xml:space="preserve">ESMA </w:t>
      </w:r>
      <w:r w:rsidRPr="00604D97">
        <w:rPr>
          <w:rFonts w:ascii="Arial" w:eastAsia="Times New Roman" w:hAnsi="Arial" w:cs="Arial"/>
          <w:color w:val="000000"/>
          <w:sz w:val="20"/>
          <w:szCs w:val="20"/>
          <w:lang w:val="en-GB" w:eastAsia="fr-FR"/>
        </w:rPr>
        <w:t xml:space="preserve">guidelines clarify that even if ISPs would be required to questions on </w:t>
      </w:r>
      <w:r w:rsidR="005B31E0" w:rsidRPr="00604D97">
        <w:rPr>
          <w:rFonts w:ascii="Arial" w:eastAsia="Times New Roman" w:hAnsi="Arial" w:cs="Arial"/>
          <w:color w:val="000000"/>
          <w:sz w:val="20"/>
          <w:szCs w:val="20"/>
          <w:lang w:val="en-GB" w:eastAsia="fr-FR"/>
        </w:rPr>
        <w:t xml:space="preserve">a), b) </w:t>
      </w:r>
      <w:r w:rsidR="00A10D2B" w:rsidRPr="00604D97">
        <w:rPr>
          <w:rFonts w:ascii="Arial" w:eastAsia="Times New Roman" w:hAnsi="Arial" w:cs="Arial"/>
          <w:color w:val="000000"/>
          <w:sz w:val="20"/>
          <w:szCs w:val="20"/>
          <w:lang w:val="en-GB" w:eastAsia="fr-FR"/>
        </w:rPr>
        <w:t>and</w:t>
      </w:r>
      <w:r w:rsidR="005B31E0" w:rsidRPr="00604D97">
        <w:rPr>
          <w:rFonts w:ascii="Arial" w:eastAsia="Times New Roman" w:hAnsi="Arial" w:cs="Arial"/>
          <w:color w:val="000000"/>
          <w:sz w:val="20"/>
          <w:szCs w:val="20"/>
          <w:lang w:val="en-GB" w:eastAsia="fr-FR"/>
        </w:rPr>
        <w:t xml:space="preserve"> c) clients’ preferences, </w:t>
      </w:r>
      <w:r w:rsidR="005B31E0" w:rsidRPr="00604D97">
        <w:rPr>
          <w:rFonts w:ascii="Arial" w:eastAsia="Times New Roman" w:hAnsi="Arial" w:cs="Arial"/>
          <w:b/>
          <w:bCs/>
          <w:color w:val="000000"/>
          <w:sz w:val="20"/>
          <w:szCs w:val="20"/>
          <w:lang w:val="en-GB" w:eastAsia="fr-FR"/>
        </w:rPr>
        <w:t xml:space="preserve">clients should always be </w:t>
      </w:r>
      <w:r w:rsidR="004F25F0" w:rsidRPr="00604D97">
        <w:rPr>
          <w:rFonts w:ascii="Arial" w:eastAsia="Times New Roman" w:hAnsi="Arial" w:cs="Arial"/>
          <w:b/>
          <w:bCs/>
          <w:color w:val="000000"/>
          <w:sz w:val="20"/>
          <w:szCs w:val="20"/>
          <w:lang w:val="en-GB" w:eastAsia="fr-FR"/>
        </w:rPr>
        <w:t>l</w:t>
      </w:r>
      <w:r w:rsidR="005B31E0" w:rsidRPr="00604D97">
        <w:rPr>
          <w:rFonts w:ascii="Arial" w:eastAsia="Times New Roman" w:hAnsi="Arial" w:cs="Arial"/>
          <w:b/>
          <w:bCs/>
          <w:color w:val="000000"/>
          <w:sz w:val="20"/>
          <w:szCs w:val="20"/>
          <w:lang w:val="en-GB" w:eastAsia="fr-FR"/>
        </w:rPr>
        <w:t xml:space="preserve">eft the possibility to answer they do not have any </w:t>
      </w:r>
      <w:r w:rsidR="0038245B" w:rsidRPr="00604D97">
        <w:rPr>
          <w:rFonts w:ascii="Arial" w:eastAsia="Times New Roman" w:hAnsi="Arial" w:cs="Arial"/>
          <w:b/>
          <w:bCs/>
          <w:color w:val="000000"/>
          <w:sz w:val="20"/>
          <w:szCs w:val="20"/>
          <w:lang w:val="en-GB" w:eastAsia="fr-FR"/>
        </w:rPr>
        <w:t xml:space="preserve">sustainability </w:t>
      </w:r>
      <w:r w:rsidR="005B31E0" w:rsidRPr="00604D97">
        <w:rPr>
          <w:rFonts w:ascii="Arial" w:eastAsia="Times New Roman" w:hAnsi="Arial" w:cs="Arial"/>
          <w:b/>
          <w:bCs/>
          <w:color w:val="000000"/>
          <w:sz w:val="20"/>
          <w:szCs w:val="20"/>
          <w:lang w:val="en-GB" w:eastAsia="fr-FR"/>
        </w:rPr>
        <w:t xml:space="preserve">preferences on </w:t>
      </w:r>
      <w:r w:rsidR="00AA0B3A" w:rsidRPr="00604D97">
        <w:rPr>
          <w:rFonts w:ascii="Arial" w:eastAsia="Times New Roman" w:hAnsi="Arial" w:cs="Arial"/>
          <w:b/>
          <w:bCs/>
          <w:color w:val="000000"/>
          <w:sz w:val="20"/>
          <w:szCs w:val="20"/>
          <w:lang w:val="en-GB" w:eastAsia="fr-FR"/>
        </w:rPr>
        <w:t xml:space="preserve">some or all </w:t>
      </w:r>
      <w:r w:rsidR="004F25F0" w:rsidRPr="00604D97">
        <w:rPr>
          <w:rFonts w:ascii="Arial" w:eastAsia="Times New Roman" w:hAnsi="Arial" w:cs="Arial"/>
          <w:b/>
          <w:bCs/>
          <w:color w:val="000000"/>
          <w:sz w:val="20"/>
          <w:szCs w:val="20"/>
          <w:lang w:val="en-GB" w:eastAsia="fr-FR"/>
        </w:rPr>
        <w:t>of these criteria.</w:t>
      </w:r>
      <w:r w:rsidR="004F25F0" w:rsidRPr="00604D97">
        <w:rPr>
          <w:rFonts w:ascii="Arial" w:eastAsia="Times New Roman" w:hAnsi="Arial" w:cs="Arial"/>
          <w:color w:val="000000"/>
          <w:sz w:val="20"/>
          <w:szCs w:val="20"/>
          <w:lang w:val="en-GB" w:eastAsia="fr-FR"/>
        </w:rPr>
        <w:t xml:space="preserve"> </w:t>
      </w:r>
    </w:p>
    <w:p w14:paraId="6D4F6806" w14:textId="16B80481" w:rsidR="00B07BDE" w:rsidRPr="00604D97" w:rsidRDefault="00B07BDE" w:rsidP="00731FD9">
      <w:pPr>
        <w:autoSpaceDE w:val="0"/>
        <w:autoSpaceDN w:val="0"/>
        <w:adjustRightInd w:val="0"/>
        <w:spacing w:after="0" w:line="240" w:lineRule="atLeast"/>
        <w:jc w:val="both"/>
        <w:rPr>
          <w:rFonts w:ascii="Arial" w:hAnsi="Arial" w:cs="Arial"/>
          <w:sz w:val="20"/>
          <w:lang w:val="en-GB"/>
        </w:rPr>
      </w:pPr>
    </w:p>
    <w:bookmarkEnd w:id="4"/>
    <w:p w14:paraId="2C9193A5" w14:textId="77777777" w:rsidR="009E211B" w:rsidRPr="00604D97" w:rsidRDefault="009E211B" w:rsidP="00731FD9">
      <w:pPr>
        <w:autoSpaceDE w:val="0"/>
        <w:autoSpaceDN w:val="0"/>
        <w:adjustRightInd w:val="0"/>
        <w:spacing w:after="0" w:line="240" w:lineRule="atLeast"/>
        <w:jc w:val="both"/>
        <w:rPr>
          <w:rFonts w:ascii="Arial" w:hAnsi="Arial" w:cs="Arial"/>
          <w:sz w:val="20"/>
          <w:lang w:val="en-GB"/>
        </w:rPr>
      </w:pPr>
    </w:p>
    <w:p w14:paraId="7C8A9688" w14:textId="349ED471" w:rsidR="00067DA0" w:rsidRPr="00604D97" w:rsidRDefault="00067DA0" w:rsidP="00C92BC4">
      <w:pPr>
        <w:autoSpaceDE w:val="0"/>
        <w:autoSpaceDN w:val="0"/>
        <w:adjustRightInd w:val="0"/>
        <w:spacing w:after="0" w:line="240" w:lineRule="atLeast"/>
        <w:jc w:val="both"/>
        <w:rPr>
          <w:rFonts w:ascii="Arial" w:eastAsia="Times New Roman" w:hAnsi="Arial" w:cs="Arial"/>
          <w:b/>
          <w:bCs/>
          <w:color w:val="000000"/>
          <w:sz w:val="20"/>
          <w:szCs w:val="20"/>
          <w:lang w:val="en-GB" w:eastAsia="fr-FR"/>
        </w:rPr>
      </w:pPr>
      <w:proofErr w:type="gramStart"/>
      <w:r w:rsidRPr="00604D97">
        <w:rPr>
          <w:rFonts w:ascii="Arial" w:eastAsia="Times New Roman" w:hAnsi="Arial" w:cs="Arial"/>
          <w:b/>
          <w:bCs/>
          <w:color w:val="000000"/>
          <w:sz w:val="20"/>
          <w:szCs w:val="20"/>
          <w:lang w:val="en-GB" w:eastAsia="fr-FR"/>
        </w:rPr>
        <w:t>Q4</w:t>
      </w:r>
      <w:proofErr w:type="gramEnd"/>
      <w:r w:rsidRPr="00604D97">
        <w:rPr>
          <w:rFonts w:ascii="Arial" w:eastAsia="Times New Roman" w:hAnsi="Arial" w:cs="Arial"/>
          <w:b/>
          <w:bCs/>
          <w:color w:val="000000"/>
          <w:sz w:val="20"/>
          <w:szCs w:val="20"/>
          <w:lang w:val="en-GB" w:eastAsia="fr-FR"/>
        </w:rPr>
        <w:tab/>
      </w:r>
      <w:r w:rsidR="00395B75" w:rsidRPr="00604D97">
        <w:rPr>
          <w:rFonts w:ascii="Arial" w:eastAsia="Times New Roman" w:hAnsi="Arial" w:cs="Arial"/>
          <w:b/>
          <w:bCs/>
          <w:color w:val="000000"/>
          <w:sz w:val="20"/>
          <w:szCs w:val="20"/>
          <w:lang w:val="en-US" w:eastAsia="fr-FR"/>
        </w:rPr>
        <w:t>Do you believe that further guidance is needed to clarify how firms should assess</w:t>
      </w:r>
      <w:r w:rsidR="00C92BC4" w:rsidRPr="00604D97">
        <w:rPr>
          <w:rFonts w:ascii="Arial" w:eastAsia="Times New Roman" w:hAnsi="Arial" w:cs="Arial"/>
          <w:b/>
          <w:bCs/>
          <w:color w:val="000000"/>
          <w:sz w:val="20"/>
          <w:szCs w:val="20"/>
          <w:lang w:val="en-GB" w:eastAsia="fr-FR"/>
        </w:rPr>
        <w:t xml:space="preserve"> </w:t>
      </w:r>
      <w:r w:rsidR="00395B75" w:rsidRPr="00604D97">
        <w:rPr>
          <w:rFonts w:ascii="Arial" w:eastAsia="Times New Roman" w:hAnsi="Arial" w:cs="Arial"/>
          <w:b/>
          <w:bCs/>
          <w:color w:val="000000"/>
          <w:sz w:val="20"/>
          <w:szCs w:val="20"/>
          <w:lang w:val="en-GB" w:eastAsia="fr-FR"/>
        </w:rPr>
        <w:t>clients’ sustainability preferences?</w:t>
      </w:r>
    </w:p>
    <w:p w14:paraId="0456709D" w14:textId="77777777" w:rsidR="00A10BEE" w:rsidRPr="00604D97" w:rsidRDefault="00A10BEE" w:rsidP="00731FD9">
      <w:pPr>
        <w:autoSpaceDE w:val="0"/>
        <w:autoSpaceDN w:val="0"/>
        <w:adjustRightInd w:val="0"/>
        <w:spacing w:after="0" w:line="240" w:lineRule="atLeast"/>
        <w:jc w:val="both"/>
        <w:rPr>
          <w:rFonts w:ascii="Arial" w:hAnsi="Arial" w:cs="Arial"/>
          <w:b/>
          <w:color w:val="000000"/>
          <w:sz w:val="20"/>
          <w:lang w:val="en-GB"/>
        </w:rPr>
      </w:pPr>
    </w:p>
    <w:p w14:paraId="40C18069" w14:textId="68841E0C" w:rsidR="002710D0" w:rsidRPr="00604D97" w:rsidRDefault="00E67976" w:rsidP="00731FD9">
      <w:p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FBF</w:t>
      </w:r>
      <w:r w:rsidR="00770430" w:rsidRPr="00604D97">
        <w:rPr>
          <w:rFonts w:ascii="Arial" w:hAnsi="Arial" w:cs="Arial"/>
          <w:color w:val="000000"/>
          <w:sz w:val="20"/>
          <w:lang w:val="en-GB"/>
        </w:rPr>
        <w:t xml:space="preserve"> </w:t>
      </w:r>
      <w:r w:rsidR="00702D4A" w:rsidRPr="00604D97">
        <w:rPr>
          <w:rFonts w:ascii="Arial" w:hAnsi="Arial" w:cs="Arial"/>
          <w:color w:val="000000"/>
          <w:sz w:val="20"/>
          <w:lang w:val="en-GB"/>
        </w:rPr>
        <w:t>considers</w:t>
      </w:r>
      <w:r w:rsidR="00747EB2" w:rsidRPr="00604D97">
        <w:rPr>
          <w:rFonts w:ascii="Arial" w:hAnsi="Arial" w:cs="Arial"/>
          <w:color w:val="000000"/>
          <w:sz w:val="20"/>
          <w:lang w:val="en-GB"/>
        </w:rPr>
        <w:t xml:space="preserve"> that </w:t>
      </w:r>
      <w:r w:rsidR="009375C2" w:rsidRPr="00604D97">
        <w:rPr>
          <w:rFonts w:ascii="Arial" w:hAnsi="Arial" w:cs="Arial"/>
          <w:color w:val="000000"/>
          <w:sz w:val="20"/>
          <w:lang w:val="en-GB"/>
        </w:rPr>
        <w:t>sev</w:t>
      </w:r>
      <w:r w:rsidR="00116617" w:rsidRPr="00604D97">
        <w:rPr>
          <w:rFonts w:ascii="Arial" w:hAnsi="Arial" w:cs="Arial"/>
          <w:color w:val="000000"/>
          <w:sz w:val="20"/>
          <w:lang w:val="en-GB"/>
        </w:rPr>
        <w:t>e</w:t>
      </w:r>
      <w:r w:rsidR="009375C2" w:rsidRPr="00604D97">
        <w:rPr>
          <w:rFonts w:ascii="Arial" w:hAnsi="Arial" w:cs="Arial"/>
          <w:color w:val="000000"/>
          <w:sz w:val="20"/>
          <w:lang w:val="en-GB"/>
        </w:rPr>
        <w:t>ral</w:t>
      </w:r>
      <w:r w:rsidR="00C70700" w:rsidRPr="00604D97">
        <w:rPr>
          <w:rFonts w:ascii="Arial" w:hAnsi="Arial" w:cs="Arial"/>
          <w:color w:val="000000"/>
          <w:sz w:val="20"/>
          <w:lang w:val="en-GB"/>
        </w:rPr>
        <w:t xml:space="preserve"> </w:t>
      </w:r>
      <w:r w:rsidR="00747EB2" w:rsidRPr="00604D97">
        <w:rPr>
          <w:rFonts w:ascii="Arial" w:hAnsi="Arial" w:cs="Arial"/>
          <w:color w:val="000000"/>
          <w:sz w:val="20"/>
          <w:lang w:val="en-GB"/>
        </w:rPr>
        <w:t>points should be clarified</w:t>
      </w:r>
      <w:r w:rsidR="002710D0" w:rsidRPr="00604D97">
        <w:rPr>
          <w:rFonts w:ascii="Arial" w:hAnsi="Arial" w:cs="Arial"/>
          <w:color w:val="000000"/>
          <w:sz w:val="20"/>
          <w:lang w:val="en-GB"/>
        </w:rPr>
        <w:t>:</w:t>
      </w:r>
    </w:p>
    <w:p w14:paraId="10E994AB" w14:textId="77777777" w:rsidR="0084244B" w:rsidRPr="00604D97" w:rsidRDefault="0084244B" w:rsidP="00731FD9">
      <w:pPr>
        <w:autoSpaceDE w:val="0"/>
        <w:autoSpaceDN w:val="0"/>
        <w:adjustRightInd w:val="0"/>
        <w:spacing w:after="0" w:line="240" w:lineRule="atLeast"/>
        <w:jc w:val="both"/>
        <w:rPr>
          <w:rFonts w:ascii="Arial" w:hAnsi="Arial" w:cs="Arial"/>
          <w:color w:val="000000"/>
          <w:sz w:val="20"/>
          <w:lang w:val="en-GB"/>
        </w:rPr>
      </w:pPr>
    </w:p>
    <w:p w14:paraId="0E8526EF" w14:textId="102D7ABD" w:rsidR="00CC535A" w:rsidRPr="00604D97" w:rsidRDefault="00E21FD7" w:rsidP="00A339EC">
      <w:pPr>
        <w:pStyle w:val="Paragraphedeliste"/>
        <w:numPr>
          <w:ilvl w:val="0"/>
          <w:numId w:val="16"/>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b/>
          <w:bCs/>
          <w:color w:val="000000"/>
          <w:sz w:val="20"/>
          <w:lang w:val="en-GB"/>
        </w:rPr>
        <w:t xml:space="preserve">Are </w:t>
      </w:r>
      <w:r w:rsidR="0064389E" w:rsidRPr="00604D97">
        <w:rPr>
          <w:rFonts w:ascii="Arial" w:hAnsi="Arial" w:cs="Arial"/>
          <w:b/>
          <w:bCs/>
          <w:color w:val="000000"/>
          <w:sz w:val="20"/>
          <w:lang w:val="en-GB"/>
        </w:rPr>
        <w:t xml:space="preserve">answers to </w:t>
      </w:r>
      <w:r w:rsidRPr="00604D97">
        <w:rPr>
          <w:rFonts w:ascii="Arial" w:hAnsi="Arial" w:cs="Arial"/>
          <w:b/>
          <w:bCs/>
          <w:color w:val="000000"/>
          <w:sz w:val="20"/>
          <w:lang w:val="en-GB"/>
        </w:rPr>
        <w:t>questions on a) b) and c) preferences intended to be alternative or cumulative</w:t>
      </w:r>
      <w:r w:rsidR="007A0CF5" w:rsidRPr="00604D97">
        <w:rPr>
          <w:rFonts w:ascii="Arial" w:hAnsi="Arial" w:cs="Arial"/>
          <w:b/>
          <w:bCs/>
          <w:color w:val="000000"/>
          <w:sz w:val="20"/>
          <w:lang w:val="en-GB"/>
        </w:rPr>
        <w:t xml:space="preserve"> when considered at the level of one specific financial instrument</w:t>
      </w:r>
      <w:r w:rsidRPr="00604D97">
        <w:rPr>
          <w:rFonts w:ascii="Arial" w:hAnsi="Arial" w:cs="Arial"/>
          <w:b/>
          <w:bCs/>
          <w:color w:val="000000"/>
          <w:sz w:val="20"/>
          <w:lang w:val="en-GB"/>
        </w:rPr>
        <w:t>?</w:t>
      </w:r>
      <w:r w:rsidR="00CE07FD" w:rsidRPr="00604D97">
        <w:rPr>
          <w:rFonts w:ascii="Arial" w:hAnsi="Arial" w:cs="Arial"/>
          <w:color w:val="000000"/>
          <w:sz w:val="20"/>
          <w:lang w:val="en-GB"/>
        </w:rPr>
        <w:t xml:space="preserve"> </w:t>
      </w:r>
      <w:r w:rsidR="00E67976" w:rsidRPr="00604D97">
        <w:rPr>
          <w:rFonts w:ascii="Arial" w:hAnsi="Arial" w:cs="Arial"/>
          <w:color w:val="000000"/>
          <w:sz w:val="20"/>
          <w:lang w:val="en-GB"/>
        </w:rPr>
        <w:t>FBF</w:t>
      </w:r>
      <w:r w:rsidR="00CE07FD" w:rsidRPr="00604D97">
        <w:rPr>
          <w:rFonts w:ascii="Arial" w:hAnsi="Arial" w:cs="Arial"/>
          <w:color w:val="000000"/>
          <w:sz w:val="20"/>
          <w:lang w:val="en-GB"/>
        </w:rPr>
        <w:t xml:space="preserve">’s </w:t>
      </w:r>
      <w:r w:rsidR="00F21C90" w:rsidRPr="00604D97">
        <w:rPr>
          <w:rFonts w:ascii="Arial" w:hAnsi="Arial" w:cs="Arial"/>
          <w:color w:val="000000"/>
          <w:sz w:val="20"/>
          <w:lang w:val="en-GB"/>
        </w:rPr>
        <w:t xml:space="preserve">reading is that </w:t>
      </w:r>
      <w:r w:rsidR="003A4756" w:rsidRPr="00604D97">
        <w:rPr>
          <w:rFonts w:ascii="Arial" w:hAnsi="Arial" w:cs="Arial"/>
          <w:b/>
          <w:bCs/>
          <w:color w:val="000000"/>
          <w:sz w:val="20"/>
          <w:lang w:val="en-GB"/>
        </w:rPr>
        <w:t xml:space="preserve">positive answers to </w:t>
      </w:r>
      <w:r w:rsidR="00F21C90" w:rsidRPr="00604D97">
        <w:rPr>
          <w:rFonts w:ascii="Arial" w:hAnsi="Arial" w:cs="Arial"/>
          <w:b/>
          <w:bCs/>
          <w:color w:val="000000"/>
          <w:sz w:val="20"/>
          <w:lang w:val="en-GB"/>
        </w:rPr>
        <w:t>questions on</w:t>
      </w:r>
      <w:r w:rsidR="003A4756" w:rsidRPr="00604D97">
        <w:rPr>
          <w:rFonts w:ascii="Arial" w:hAnsi="Arial" w:cs="Arial"/>
          <w:b/>
          <w:bCs/>
          <w:color w:val="000000"/>
          <w:sz w:val="20"/>
          <w:lang w:val="en-GB"/>
        </w:rPr>
        <w:t xml:space="preserve"> </w:t>
      </w:r>
      <w:r w:rsidR="00F21C90" w:rsidRPr="00604D97">
        <w:rPr>
          <w:rFonts w:ascii="Arial" w:hAnsi="Arial" w:cs="Arial"/>
          <w:b/>
          <w:bCs/>
          <w:color w:val="000000"/>
          <w:sz w:val="20"/>
          <w:lang w:val="en-GB"/>
        </w:rPr>
        <w:t>a)</w:t>
      </w:r>
      <w:r w:rsidR="00500876" w:rsidRPr="00604D97">
        <w:rPr>
          <w:rFonts w:ascii="Arial" w:hAnsi="Arial" w:cs="Arial"/>
          <w:b/>
          <w:bCs/>
          <w:color w:val="000000"/>
          <w:sz w:val="20"/>
          <w:lang w:val="en-GB"/>
        </w:rPr>
        <w:t>,</w:t>
      </w:r>
      <w:r w:rsidR="00F21C90" w:rsidRPr="00604D97">
        <w:rPr>
          <w:rFonts w:ascii="Arial" w:hAnsi="Arial" w:cs="Arial"/>
          <w:b/>
          <w:bCs/>
          <w:color w:val="000000"/>
          <w:sz w:val="20"/>
          <w:lang w:val="en-GB"/>
        </w:rPr>
        <w:t xml:space="preserve"> b) an</w:t>
      </w:r>
      <w:r w:rsidR="003A4756" w:rsidRPr="00604D97">
        <w:rPr>
          <w:rFonts w:ascii="Arial" w:hAnsi="Arial" w:cs="Arial"/>
          <w:b/>
          <w:bCs/>
          <w:color w:val="000000"/>
          <w:sz w:val="20"/>
          <w:lang w:val="en-GB"/>
        </w:rPr>
        <w:t xml:space="preserve">d c) preferences should be read </w:t>
      </w:r>
      <w:r w:rsidR="00A31758" w:rsidRPr="00604D97">
        <w:rPr>
          <w:rFonts w:ascii="Arial" w:hAnsi="Arial" w:cs="Arial"/>
          <w:b/>
          <w:bCs/>
          <w:color w:val="000000"/>
          <w:sz w:val="20"/>
          <w:lang w:val="en-GB"/>
        </w:rPr>
        <w:t>as allowing the ISP to advice on ei</w:t>
      </w:r>
      <w:r w:rsidR="00EF4A18" w:rsidRPr="00604D97">
        <w:rPr>
          <w:rFonts w:ascii="Arial" w:hAnsi="Arial" w:cs="Arial"/>
          <w:b/>
          <w:bCs/>
          <w:color w:val="000000"/>
          <w:sz w:val="20"/>
          <w:lang w:val="en-GB"/>
        </w:rPr>
        <w:t xml:space="preserve">ther financial </w:t>
      </w:r>
      <w:proofErr w:type="gramStart"/>
      <w:r w:rsidR="00EF4A18" w:rsidRPr="00604D97">
        <w:rPr>
          <w:rFonts w:ascii="Arial" w:hAnsi="Arial" w:cs="Arial"/>
          <w:b/>
          <w:bCs/>
          <w:color w:val="000000"/>
          <w:sz w:val="20"/>
          <w:lang w:val="en-GB"/>
        </w:rPr>
        <w:t>instruments</w:t>
      </w:r>
      <w:proofErr w:type="gramEnd"/>
      <w:r w:rsidR="00EF4A18" w:rsidRPr="00604D97">
        <w:rPr>
          <w:rFonts w:ascii="Arial" w:hAnsi="Arial" w:cs="Arial"/>
          <w:b/>
          <w:bCs/>
          <w:color w:val="000000"/>
          <w:sz w:val="20"/>
          <w:lang w:val="en-GB"/>
        </w:rPr>
        <w:t xml:space="preserve"> with </w:t>
      </w:r>
      <w:r w:rsidR="00E51865" w:rsidRPr="00604D97">
        <w:rPr>
          <w:rFonts w:ascii="Arial" w:hAnsi="Arial" w:cs="Arial"/>
          <w:b/>
          <w:bCs/>
          <w:color w:val="000000"/>
          <w:sz w:val="20"/>
          <w:lang w:val="en-GB"/>
        </w:rPr>
        <w:t>a</w:t>
      </w:r>
      <w:r w:rsidR="00720C77" w:rsidRPr="00604D97">
        <w:rPr>
          <w:rFonts w:ascii="Arial" w:hAnsi="Arial" w:cs="Arial"/>
          <w:b/>
          <w:bCs/>
          <w:color w:val="000000"/>
          <w:sz w:val="20"/>
          <w:lang w:val="en-GB"/>
        </w:rPr>
        <w:t>)</w:t>
      </w:r>
      <w:r w:rsidR="00E51865" w:rsidRPr="00604D97">
        <w:rPr>
          <w:rFonts w:ascii="Arial" w:hAnsi="Arial" w:cs="Arial"/>
          <w:b/>
          <w:bCs/>
          <w:color w:val="000000"/>
          <w:sz w:val="20"/>
          <w:lang w:val="en-GB"/>
        </w:rPr>
        <w:t xml:space="preserve"> or b</w:t>
      </w:r>
      <w:r w:rsidR="00720C77" w:rsidRPr="00604D97">
        <w:rPr>
          <w:rFonts w:ascii="Arial" w:hAnsi="Arial" w:cs="Arial"/>
          <w:b/>
          <w:bCs/>
          <w:color w:val="000000"/>
          <w:sz w:val="20"/>
          <w:lang w:val="en-GB"/>
        </w:rPr>
        <w:t>)</w:t>
      </w:r>
      <w:r w:rsidR="00E51865" w:rsidRPr="00604D97">
        <w:rPr>
          <w:rFonts w:ascii="Arial" w:hAnsi="Arial" w:cs="Arial"/>
          <w:b/>
          <w:bCs/>
          <w:color w:val="000000"/>
          <w:sz w:val="20"/>
          <w:lang w:val="en-GB"/>
        </w:rPr>
        <w:t xml:space="preserve"> or c</w:t>
      </w:r>
      <w:r w:rsidR="00720C77" w:rsidRPr="00604D97">
        <w:rPr>
          <w:rFonts w:ascii="Arial" w:hAnsi="Arial" w:cs="Arial"/>
          <w:b/>
          <w:bCs/>
          <w:color w:val="000000"/>
          <w:sz w:val="20"/>
          <w:lang w:val="en-GB"/>
        </w:rPr>
        <w:t>)</w:t>
      </w:r>
      <w:r w:rsidR="00E51865" w:rsidRPr="00604D97">
        <w:rPr>
          <w:rFonts w:ascii="Arial" w:hAnsi="Arial" w:cs="Arial"/>
          <w:b/>
          <w:bCs/>
          <w:color w:val="000000"/>
          <w:sz w:val="20"/>
          <w:lang w:val="en-GB"/>
        </w:rPr>
        <w:t xml:space="preserve"> </w:t>
      </w:r>
      <w:r w:rsidR="00EF4A18" w:rsidRPr="00604D97">
        <w:rPr>
          <w:rFonts w:ascii="Arial" w:hAnsi="Arial" w:cs="Arial"/>
          <w:b/>
          <w:bCs/>
          <w:color w:val="000000"/>
          <w:sz w:val="20"/>
          <w:lang w:val="en-GB"/>
        </w:rPr>
        <w:t>characteristics</w:t>
      </w:r>
      <w:r w:rsidR="00E51865" w:rsidRPr="00604D97">
        <w:rPr>
          <w:rFonts w:ascii="Arial" w:hAnsi="Arial" w:cs="Arial"/>
          <w:b/>
          <w:bCs/>
          <w:color w:val="000000"/>
          <w:sz w:val="20"/>
          <w:lang w:val="en-GB"/>
        </w:rPr>
        <w:t>.</w:t>
      </w:r>
      <w:r w:rsidR="00E51865" w:rsidRPr="00604D97">
        <w:rPr>
          <w:rFonts w:ascii="Arial" w:hAnsi="Arial" w:cs="Arial"/>
          <w:color w:val="000000"/>
          <w:sz w:val="20"/>
          <w:lang w:val="en-GB"/>
        </w:rPr>
        <w:t xml:space="preserve"> S</w:t>
      </w:r>
      <w:r w:rsidR="00CE07FD" w:rsidRPr="00604D97">
        <w:rPr>
          <w:rFonts w:ascii="Arial" w:hAnsi="Arial" w:cs="Arial"/>
          <w:color w:val="000000"/>
          <w:sz w:val="20"/>
          <w:lang w:val="en-GB"/>
        </w:rPr>
        <w:t>uch reading is</w:t>
      </w:r>
      <w:r w:rsidR="00E51865" w:rsidRPr="00604D97">
        <w:rPr>
          <w:rFonts w:ascii="Arial" w:hAnsi="Arial" w:cs="Arial"/>
          <w:color w:val="000000"/>
          <w:sz w:val="20"/>
          <w:lang w:val="en-GB"/>
        </w:rPr>
        <w:t xml:space="preserve">, according to </w:t>
      </w:r>
      <w:r w:rsidR="00E67976" w:rsidRPr="00604D97">
        <w:rPr>
          <w:rFonts w:ascii="Arial" w:hAnsi="Arial" w:cs="Arial"/>
          <w:color w:val="000000"/>
          <w:sz w:val="20"/>
          <w:lang w:val="en-GB"/>
        </w:rPr>
        <w:t>FBF</w:t>
      </w:r>
      <w:r w:rsidR="00E51865" w:rsidRPr="00604D97">
        <w:rPr>
          <w:rFonts w:ascii="Arial" w:hAnsi="Arial" w:cs="Arial"/>
          <w:color w:val="000000"/>
          <w:sz w:val="20"/>
          <w:lang w:val="en-GB"/>
        </w:rPr>
        <w:t>, in</w:t>
      </w:r>
      <w:r w:rsidR="00CE07FD" w:rsidRPr="00604D97">
        <w:rPr>
          <w:rFonts w:ascii="Arial" w:hAnsi="Arial" w:cs="Arial"/>
          <w:color w:val="000000"/>
          <w:sz w:val="20"/>
          <w:lang w:val="en-GB"/>
        </w:rPr>
        <w:t xml:space="preserve"> line with the upcoming Article 2.7 Delegated Regulation (EU) 2017/565 that requires clients to </w:t>
      </w:r>
      <w:r w:rsidR="00E51865" w:rsidRPr="00604D97">
        <w:rPr>
          <w:rFonts w:ascii="Arial" w:hAnsi="Arial" w:cs="Arial"/>
          <w:color w:val="000000"/>
          <w:sz w:val="20"/>
          <w:lang w:val="en-GB"/>
        </w:rPr>
        <w:t>choose</w:t>
      </w:r>
      <w:r w:rsidR="00CE07FD" w:rsidRPr="00604D97">
        <w:rPr>
          <w:rFonts w:ascii="Arial" w:hAnsi="Arial" w:cs="Arial"/>
          <w:color w:val="000000"/>
          <w:sz w:val="20"/>
          <w:lang w:val="en-GB"/>
        </w:rPr>
        <w:t xml:space="preserve"> “</w:t>
      </w:r>
      <w:r w:rsidR="00CE07FD" w:rsidRPr="00604D97">
        <w:rPr>
          <w:rFonts w:ascii="Arial" w:hAnsi="Arial" w:cs="Arial"/>
          <w:i/>
          <w:iCs/>
          <w:color w:val="000000"/>
          <w:sz w:val="20"/>
          <w:lang w:val="en-GB"/>
        </w:rPr>
        <w:t xml:space="preserve">as to whether and, if so, to what extent, </w:t>
      </w:r>
      <w:r w:rsidR="00CE07FD" w:rsidRPr="00604D97">
        <w:rPr>
          <w:rFonts w:ascii="Arial" w:hAnsi="Arial" w:cs="Arial"/>
          <w:b/>
          <w:bCs/>
          <w:i/>
          <w:iCs/>
          <w:color w:val="000000"/>
          <w:sz w:val="20"/>
          <w:lang w:val="en-GB"/>
        </w:rPr>
        <w:t>one or more</w:t>
      </w:r>
      <w:r w:rsidR="00CE07FD" w:rsidRPr="00604D97">
        <w:rPr>
          <w:rFonts w:ascii="Arial" w:hAnsi="Arial" w:cs="Arial"/>
          <w:i/>
          <w:iCs/>
          <w:color w:val="000000"/>
          <w:sz w:val="20"/>
          <w:lang w:val="en-GB"/>
        </w:rPr>
        <w:t xml:space="preserve"> of the following financial instruments shall be integrated into his or her investment</w:t>
      </w:r>
      <w:r w:rsidR="0097710E" w:rsidRPr="00604D97">
        <w:rPr>
          <w:rFonts w:ascii="Arial" w:hAnsi="Arial" w:cs="Arial"/>
          <w:color w:val="000000"/>
          <w:sz w:val="20"/>
          <w:lang w:val="en-GB"/>
        </w:rPr>
        <w:t xml:space="preserve"> (</w:t>
      </w:r>
      <w:r w:rsidR="00CE07FD" w:rsidRPr="00604D97">
        <w:rPr>
          <w:rFonts w:ascii="Arial" w:hAnsi="Arial" w:cs="Arial"/>
          <w:i/>
          <w:iCs/>
          <w:color w:val="000000"/>
          <w:sz w:val="20"/>
          <w:lang w:val="en-GB"/>
        </w:rPr>
        <w:t>…</w:t>
      </w:r>
      <w:r w:rsidR="0097710E" w:rsidRPr="00604D97">
        <w:rPr>
          <w:rFonts w:ascii="Arial" w:hAnsi="Arial" w:cs="Arial"/>
          <w:color w:val="000000"/>
          <w:sz w:val="20"/>
          <w:lang w:val="en-GB"/>
        </w:rPr>
        <w:t>)</w:t>
      </w:r>
      <w:r w:rsidR="00CE07FD" w:rsidRPr="00604D97">
        <w:rPr>
          <w:rFonts w:ascii="Arial" w:hAnsi="Arial" w:cs="Arial"/>
          <w:color w:val="000000"/>
          <w:sz w:val="20"/>
          <w:lang w:val="en-GB"/>
        </w:rPr>
        <w:t xml:space="preserve">”. </w:t>
      </w:r>
      <w:r w:rsidR="0097710E" w:rsidRPr="00604D97">
        <w:rPr>
          <w:rFonts w:ascii="Arial" w:hAnsi="Arial" w:cs="Arial"/>
          <w:color w:val="000000"/>
          <w:sz w:val="20"/>
          <w:lang w:val="en-GB"/>
        </w:rPr>
        <w:t>According t</w:t>
      </w:r>
      <w:r w:rsidR="0096579A" w:rsidRPr="00604D97">
        <w:rPr>
          <w:rFonts w:ascii="Arial" w:hAnsi="Arial" w:cs="Arial"/>
          <w:color w:val="000000"/>
          <w:sz w:val="20"/>
          <w:lang w:val="en-GB"/>
        </w:rPr>
        <w:t xml:space="preserve">o </w:t>
      </w:r>
      <w:r w:rsidR="00E67976" w:rsidRPr="00604D97">
        <w:rPr>
          <w:rFonts w:ascii="Arial" w:hAnsi="Arial" w:cs="Arial"/>
          <w:color w:val="000000"/>
          <w:sz w:val="20"/>
          <w:lang w:val="en-GB"/>
        </w:rPr>
        <w:t>FBF</w:t>
      </w:r>
      <w:r w:rsidR="0096579A" w:rsidRPr="00604D97">
        <w:rPr>
          <w:rFonts w:ascii="Arial" w:hAnsi="Arial" w:cs="Arial"/>
          <w:color w:val="000000"/>
          <w:sz w:val="20"/>
          <w:lang w:val="en-GB"/>
        </w:rPr>
        <w:t>, such drafting, without any ambiguity, leaves room for achieving clien</w:t>
      </w:r>
      <w:r w:rsidR="006734FD" w:rsidRPr="00604D97">
        <w:rPr>
          <w:rFonts w:ascii="Arial" w:hAnsi="Arial" w:cs="Arial"/>
          <w:color w:val="000000"/>
          <w:sz w:val="20"/>
          <w:lang w:val="en-GB"/>
        </w:rPr>
        <w:t xml:space="preserve">ts’ </w:t>
      </w:r>
      <w:r w:rsidR="00330856" w:rsidRPr="00604D97">
        <w:rPr>
          <w:rFonts w:ascii="Arial" w:hAnsi="Arial" w:cs="Arial"/>
          <w:color w:val="000000"/>
          <w:sz w:val="20"/>
          <w:lang w:val="en-GB"/>
        </w:rPr>
        <w:t>sustainability</w:t>
      </w:r>
      <w:r w:rsidR="006734FD" w:rsidRPr="00604D97">
        <w:rPr>
          <w:rFonts w:ascii="Arial" w:hAnsi="Arial" w:cs="Arial"/>
          <w:color w:val="000000"/>
          <w:sz w:val="20"/>
          <w:lang w:val="en-GB"/>
        </w:rPr>
        <w:t xml:space="preserve"> preferences either through </w:t>
      </w:r>
      <w:r w:rsidR="006734FD" w:rsidRPr="00604D97">
        <w:rPr>
          <w:rFonts w:ascii="Arial" w:hAnsi="Arial" w:cs="Arial"/>
          <w:b/>
          <w:bCs/>
          <w:color w:val="000000"/>
          <w:sz w:val="20"/>
          <w:lang w:val="en-GB"/>
        </w:rPr>
        <w:t>one or through several instruments</w:t>
      </w:r>
      <w:r w:rsidR="00726532" w:rsidRPr="00604D97">
        <w:rPr>
          <w:rFonts w:ascii="Arial" w:hAnsi="Arial" w:cs="Arial"/>
          <w:b/>
          <w:bCs/>
          <w:color w:val="000000"/>
          <w:sz w:val="20"/>
          <w:lang w:val="en-GB"/>
        </w:rPr>
        <w:t xml:space="preserve"> </w:t>
      </w:r>
      <w:r w:rsidR="00726532" w:rsidRPr="00604D97">
        <w:rPr>
          <w:rFonts w:ascii="Arial" w:hAnsi="Arial" w:cs="Arial"/>
          <w:color w:val="000000"/>
          <w:sz w:val="20"/>
          <w:lang w:val="en-GB"/>
        </w:rPr>
        <w:t xml:space="preserve">meaning that if the client choses the 3 </w:t>
      </w:r>
      <w:r w:rsidR="008629F1" w:rsidRPr="00604D97">
        <w:rPr>
          <w:rFonts w:ascii="Arial" w:hAnsi="Arial" w:cs="Arial"/>
          <w:color w:val="000000"/>
          <w:sz w:val="20"/>
          <w:lang w:val="en-GB"/>
        </w:rPr>
        <w:t>criteria</w:t>
      </w:r>
      <w:r w:rsidR="00726532" w:rsidRPr="00604D97">
        <w:rPr>
          <w:rFonts w:ascii="Arial" w:hAnsi="Arial" w:cs="Arial"/>
          <w:color w:val="000000"/>
          <w:sz w:val="20"/>
          <w:lang w:val="en-GB"/>
        </w:rPr>
        <w:t xml:space="preserve"> </w:t>
      </w:r>
      <w:r w:rsidR="00C633A7" w:rsidRPr="00604D97">
        <w:rPr>
          <w:rFonts w:ascii="Arial" w:hAnsi="Arial" w:cs="Arial"/>
          <w:color w:val="000000"/>
          <w:sz w:val="20"/>
          <w:lang w:val="en-GB"/>
        </w:rPr>
        <w:t>a)</w:t>
      </w:r>
      <w:r w:rsidR="0077594F" w:rsidRPr="00604D97">
        <w:rPr>
          <w:rFonts w:ascii="Arial" w:hAnsi="Arial" w:cs="Arial"/>
          <w:color w:val="000000"/>
          <w:sz w:val="20"/>
          <w:lang w:val="en-GB"/>
        </w:rPr>
        <w:t>,</w:t>
      </w:r>
      <w:r w:rsidR="00C633A7" w:rsidRPr="00604D97">
        <w:rPr>
          <w:rFonts w:ascii="Arial" w:hAnsi="Arial" w:cs="Arial"/>
          <w:color w:val="000000"/>
          <w:sz w:val="20"/>
          <w:lang w:val="en-GB"/>
        </w:rPr>
        <w:t xml:space="preserve"> b) and c), his</w:t>
      </w:r>
      <w:r w:rsidR="0077594F" w:rsidRPr="00604D97">
        <w:rPr>
          <w:rFonts w:ascii="Arial" w:hAnsi="Arial" w:cs="Arial"/>
          <w:color w:val="000000"/>
          <w:sz w:val="20"/>
          <w:lang w:val="en-GB"/>
        </w:rPr>
        <w:t>/her</w:t>
      </w:r>
      <w:r w:rsidR="00C633A7" w:rsidRPr="00604D97">
        <w:rPr>
          <w:rFonts w:ascii="Arial" w:hAnsi="Arial" w:cs="Arial"/>
          <w:color w:val="000000"/>
          <w:sz w:val="20"/>
          <w:lang w:val="en-GB"/>
        </w:rPr>
        <w:t xml:space="preserve"> preferences could </w:t>
      </w:r>
      <w:r w:rsidR="00C93486" w:rsidRPr="00604D97">
        <w:rPr>
          <w:rFonts w:ascii="Arial" w:hAnsi="Arial" w:cs="Arial"/>
          <w:color w:val="000000"/>
          <w:sz w:val="20"/>
          <w:lang w:val="en-GB"/>
        </w:rPr>
        <w:t>be met</w:t>
      </w:r>
      <w:r w:rsidR="00C633A7" w:rsidRPr="00604D97">
        <w:rPr>
          <w:rFonts w:ascii="Arial" w:hAnsi="Arial" w:cs="Arial"/>
          <w:color w:val="000000"/>
          <w:sz w:val="20"/>
          <w:lang w:val="en-GB"/>
        </w:rPr>
        <w:t xml:space="preserve"> either through advising </w:t>
      </w:r>
      <w:r w:rsidR="00FC566E" w:rsidRPr="00604D97">
        <w:rPr>
          <w:rFonts w:ascii="Arial" w:hAnsi="Arial" w:cs="Arial"/>
          <w:color w:val="000000"/>
          <w:sz w:val="20"/>
          <w:lang w:val="en-GB"/>
        </w:rPr>
        <w:t xml:space="preserve">only </w:t>
      </w:r>
      <w:r w:rsidR="008629F1" w:rsidRPr="00604D97">
        <w:rPr>
          <w:rFonts w:ascii="Arial" w:hAnsi="Arial" w:cs="Arial"/>
          <w:color w:val="000000"/>
          <w:sz w:val="20"/>
          <w:lang w:val="en-GB"/>
        </w:rPr>
        <w:t xml:space="preserve">financial </w:t>
      </w:r>
      <w:r w:rsidR="00C633A7" w:rsidRPr="00604D97">
        <w:rPr>
          <w:rFonts w:ascii="Arial" w:hAnsi="Arial" w:cs="Arial"/>
          <w:color w:val="000000"/>
          <w:sz w:val="20"/>
          <w:lang w:val="en-GB"/>
        </w:rPr>
        <w:t xml:space="preserve">instruments </w:t>
      </w:r>
      <w:r w:rsidR="008629F1" w:rsidRPr="00604D97">
        <w:rPr>
          <w:rFonts w:ascii="Arial" w:hAnsi="Arial" w:cs="Arial"/>
          <w:color w:val="000000"/>
          <w:sz w:val="20"/>
          <w:lang w:val="en-GB"/>
        </w:rPr>
        <w:t xml:space="preserve">presenting the 3 characteristics or </w:t>
      </w:r>
      <w:r w:rsidR="00FC566E" w:rsidRPr="00604D97">
        <w:rPr>
          <w:rFonts w:ascii="Arial" w:hAnsi="Arial" w:cs="Arial"/>
          <w:color w:val="000000"/>
          <w:sz w:val="20"/>
          <w:lang w:val="en-GB"/>
        </w:rPr>
        <w:t>through advising financial instruments that all together, meet the 3 criteria.</w:t>
      </w:r>
      <w:r w:rsidR="00B95EF4" w:rsidRPr="00604D97">
        <w:rPr>
          <w:rFonts w:ascii="Arial" w:hAnsi="Arial" w:cs="Arial"/>
          <w:color w:val="000000"/>
          <w:sz w:val="20"/>
          <w:lang w:val="en-GB"/>
        </w:rPr>
        <w:t xml:space="preserve"> </w:t>
      </w:r>
      <w:r w:rsidR="00FB5523" w:rsidRPr="00604D97">
        <w:rPr>
          <w:rFonts w:ascii="Arial" w:hAnsi="Arial" w:cs="Arial"/>
          <w:color w:val="000000"/>
          <w:sz w:val="20"/>
          <w:lang w:val="en-GB"/>
        </w:rPr>
        <w:t xml:space="preserve">It also </w:t>
      </w:r>
      <w:proofErr w:type="gramStart"/>
      <w:r w:rsidR="00FB5523" w:rsidRPr="00604D97">
        <w:rPr>
          <w:rFonts w:ascii="Arial" w:hAnsi="Arial" w:cs="Arial"/>
          <w:color w:val="000000"/>
          <w:sz w:val="20"/>
          <w:lang w:val="en-GB"/>
        </w:rPr>
        <w:t>has to</w:t>
      </w:r>
      <w:proofErr w:type="gramEnd"/>
      <w:r w:rsidR="00FB5523" w:rsidRPr="00604D97">
        <w:rPr>
          <w:rFonts w:ascii="Arial" w:hAnsi="Arial" w:cs="Arial"/>
          <w:color w:val="000000"/>
          <w:sz w:val="20"/>
          <w:lang w:val="en-GB"/>
        </w:rPr>
        <w:t xml:space="preserve"> be noted that § 24 of </w:t>
      </w:r>
      <w:r w:rsidR="00D673CE" w:rsidRPr="00604D97">
        <w:rPr>
          <w:rFonts w:ascii="Arial" w:hAnsi="Arial" w:cs="Arial"/>
          <w:color w:val="000000"/>
          <w:sz w:val="20"/>
          <w:lang w:val="en-GB"/>
        </w:rPr>
        <w:t xml:space="preserve">section 2.2 </w:t>
      </w:r>
      <w:r w:rsidR="009038FD" w:rsidRPr="00604D97">
        <w:rPr>
          <w:rFonts w:ascii="Arial" w:hAnsi="Arial" w:cs="Arial"/>
          <w:color w:val="000000"/>
          <w:sz w:val="20"/>
          <w:lang w:val="en-GB"/>
        </w:rPr>
        <w:t xml:space="preserve">of ESMA consultation paper </w:t>
      </w:r>
      <w:r w:rsidR="00950B41" w:rsidRPr="00604D97">
        <w:rPr>
          <w:rFonts w:ascii="Arial" w:hAnsi="Arial" w:cs="Arial"/>
          <w:color w:val="000000"/>
          <w:sz w:val="20"/>
          <w:lang w:val="en-GB"/>
        </w:rPr>
        <w:t>states that</w:t>
      </w:r>
      <w:r w:rsidR="002835E3" w:rsidRPr="00604D97">
        <w:rPr>
          <w:rFonts w:ascii="Arial" w:hAnsi="Arial" w:cs="Arial"/>
          <w:i/>
          <w:iCs/>
          <w:color w:val="000000"/>
          <w:sz w:val="20"/>
          <w:lang w:val="en-GB"/>
        </w:rPr>
        <w:t>”</w:t>
      </w:r>
      <w:r w:rsidR="00950B41" w:rsidRPr="00604D97">
        <w:rPr>
          <w:rFonts w:ascii="Arial" w:hAnsi="Arial" w:cs="Arial"/>
          <w:i/>
          <w:iCs/>
          <w:color w:val="000000"/>
          <w:sz w:val="20"/>
          <w:lang w:val="en-GB"/>
        </w:rPr>
        <w:t xml:space="preserve"> </w:t>
      </w:r>
      <w:r w:rsidR="00306011" w:rsidRPr="00604D97">
        <w:rPr>
          <w:rFonts w:ascii="Arial" w:hAnsi="Arial" w:cs="Arial"/>
          <w:i/>
          <w:iCs/>
          <w:color w:val="000000"/>
          <w:sz w:val="20"/>
          <w:lang w:val="en-GB"/>
        </w:rPr>
        <w:t xml:space="preserve">information collected on </w:t>
      </w:r>
      <w:r w:rsidR="002835E3" w:rsidRPr="00604D97">
        <w:rPr>
          <w:rFonts w:ascii="Arial" w:hAnsi="Arial" w:cs="Arial"/>
          <w:i/>
          <w:iCs/>
          <w:color w:val="000000"/>
          <w:sz w:val="20"/>
          <w:lang w:val="en-GB"/>
        </w:rPr>
        <w:t>clients</w:t>
      </w:r>
      <w:r w:rsidR="00306011" w:rsidRPr="00604D97">
        <w:rPr>
          <w:rFonts w:ascii="Arial" w:hAnsi="Arial" w:cs="Arial"/>
          <w:i/>
          <w:iCs/>
          <w:color w:val="000000"/>
          <w:sz w:val="20"/>
          <w:lang w:val="en-GB"/>
        </w:rPr>
        <w:t>’ ESG prefer</w:t>
      </w:r>
      <w:r w:rsidR="00D87D3C" w:rsidRPr="00604D97">
        <w:rPr>
          <w:rFonts w:ascii="Arial" w:hAnsi="Arial" w:cs="Arial"/>
          <w:i/>
          <w:iCs/>
          <w:color w:val="000000"/>
          <w:sz w:val="20"/>
          <w:lang w:val="en-GB"/>
        </w:rPr>
        <w:t xml:space="preserve">ences </w:t>
      </w:r>
      <w:r w:rsidR="002835E3" w:rsidRPr="00604D97">
        <w:rPr>
          <w:rFonts w:ascii="Arial" w:hAnsi="Arial" w:cs="Arial"/>
          <w:i/>
          <w:iCs/>
          <w:color w:val="000000"/>
          <w:sz w:val="20"/>
          <w:lang w:val="en-GB"/>
        </w:rPr>
        <w:t>should</w:t>
      </w:r>
      <w:r w:rsidR="00D87D3C" w:rsidRPr="00604D97">
        <w:rPr>
          <w:rFonts w:ascii="Arial" w:hAnsi="Arial" w:cs="Arial"/>
          <w:i/>
          <w:iCs/>
          <w:color w:val="000000"/>
          <w:sz w:val="20"/>
          <w:lang w:val="en-GB"/>
        </w:rPr>
        <w:t xml:space="preserve"> allow </w:t>
      </w:r>
      <w:r w:rsidR="00603A0B" w:rsidRPr="00604D97">
        <w:rPr>
          <w:rFonts w:ascii="Arial" w:hAnsi="Arial" w:cs="Arial"/>
          <w:i/>
          <w:iCs/>
          <w:color w:val="000000"/>
          <w:sz w:val="20"/>
          <w:lang w:val="en-GB"/>
        </w:rPr>
        <w:t xml:space="preserve">for a combination of the different aspects included under the definition of sustainability preferences”. </w:t>
      </w:r>
      <w:r w:rsidR="008A2766" w:rsidRPr="00604D97">
        <w:rPr>
          <w:rFonts w:ascii="Arial" w:hAnsi="Arial" w:cs="Arial"/>
          <w:color w:val="000000"/>
          <w:sz w:val="20"/>
          <w:lang w:val="en-GB"/>
        </w:rPr>
        <w:t xml:space="preserve">In </w:t>
      </w:r>
      <w:r w:rsidR="00E67976" w:rsidRPr="00604D97">
        <w:rPr>
          <w:rFonts w:ascii="Arial" w:hAnsi="Arial" w:cs="Arial"/>
          <w:color w:val="000000"/>
          <w:sz w:val="20"/>
          <w:lang w:val="en-GB"/>
        </w:rPr>
        <w:t>FBF</w:t>
      </w:r>
      <w:r w:rsidR="008A2766" w:rsidRPr="00604D97">
        <w:rPr>
          <w:rFonts w:ascii="Arial" w:hAnsi="Arial" w:cs="Arial"/>
          <w:color w:val="000000"/>
          <w:sz w:val="20"/>
          <w:lang w:val="en-GB"/>
        </w:rPr>
        <w:t>’s opinion</w:t>
      </w:r>
      <w:r w:rsidR="00603A0B" w:rsidRPr="00604D97">
        <w:rPr>
          <w:rFonts w:ascii="Arial" w:hAnsi="Arial" w:cs="Arial"/>
          <w:color w:val="000000"/>
          <w:sz w:val="20"/>
          <w:lang w:val="en-GB"/>
        </w:rPr>
        <w:t>, such clarification only makes sens</w:t>
      </w:r>
      <w:r w:rsidR="00817116" w:rsidRPr="00604D97">
        <w:rPr>
          <w:rFonts w:ascii="Arial" w:hAnsi="Arial" w:cs="Arial"/>
          <w:color w:val="000000"/>
          <w:sz w:val="20"/>
          <w:lang w:val="en-GB"/>
        </w:rPr>
        <w:t>e</w:t>
      </w:r>
      <w:r w:rsidR="00603A0B" w:rsidRPr="00604D97">
        <w:rPr>
          <w:rFonts w:ascii="Arial" w:hAnsi="Arial" w:cs="Arial"/>
          <w:color w:val="000000"/>
          <w:sz w:val="20"/>
          <w:lang w:val="en-GB"/>
        </w:rPr>
        <w:t xml:space="preserve"> in </w:t>
      </w:r>
      <w:r w:rsidR="007D4296" w:rsidRPr="00604D97">
        <w:rPr>
          <w:rFonts w:ascii="Arial" w:hAnsi="Arial" w:cs="Arial"/>
          <w:color w:val="000000"/>
          <w:sz w:val="20"/>
          <w:lang w:val="en-GB"/>
        </w:rPr>
        <w:t xml:space="preserve">the </w:t>
      </w:r>
      <w:r w:rsidR="00603A0B" w:rsidRPr="00604D97">
        <w:rPr>
          <w:rFonts w:ascii="Arial" w:hAnsi="Arial" w:cs="Arial"/>
          <w:color w:val="000000"/>
          <w:sz w:val="20"/>
          <w:lang w:val="en-GB"/>
        </w:rPr>
        <w:t xml:space="preserve">case the preferences </w:t>
      </w:r>
      <w:r w:rsidR="00817116" w:rsidRPr="00604D97">
        <w:rPr>
          <w:rFonts w:ascii="Arial" w:hAnsi="Arial" w:cs="Arial"/>
          <w:color w:val="000000"/>
          <w:sz w:val="20"/>
          <w:lang w:val="en-GB"/>
        </w:rPr>
        <w:t>were to be viewed, at first</w:t>
      </w:r>
      <w:r w:rsidR="00EF6D1E" w:rsidRPr="00604D97">
        <w:rPr>
          <w:rFonts w:ascii="Arial" w:hAnsi="Arial" w:cs="Arial"/>
          <w:color w:val="000000"/>
          <w:sz w:val="20"/>
          <w:lang w:val="en-GB"/>
        </w:rPr>
        <w:t>,</w:t>
      </w:r>
      <w:r w:rsidR="00817116" w:rsidRPr="00604D97">
        <w:rPr>
          <w:rFonts w:ascii="Arial" w:hAnsi="Arial" w:cs="Arial"/>
          <w:color w:val="000000"/>
          <w:sz w:val="20"/>
          <w:lang w:val="en-GB"/>
        </w:rPr>
        <w:t xml:space="preserve"> as alternative.</w:t>
      </w:r>
      <w:r w:rsidR="00D87D3C" w:rsidRPr="00604D97">
        <w:rPr>
          <w:rFonts w:ascii="Arial" w:hAnsi="Arial" w:cs="Arial"/>
          <w:i/>
          <w:iCs/>
          <w:color w:val="000000"/>
          <w:sz w:val="20"/>
          <w:lang w:val="en-GB"/>
        </w:rPr>
        <w:t xml:space="preserve"> </w:t>
      </w:r>
      <w:r w:rsidR="00817116" w:rsidRPr="00604D97">
        <w:rPr>
          <w:rFonts w:ascii="Arial" w:hAnsi="Arial" w:cs="Arial"/>
          <w:color w:val="000000"/>
          <w:sz w:val="20"/>
          <w:lang w:val="en-GB"/>
        </w:rPr>
        <w:t>Finally, s</w:t>
      </w:r>
      <w:r w:rsidR="00CE07FD" w:rsidRPr="00604D97">
        <w:rPr>
          <w:rFonts w:ascii="Arial" w:hAnsi="Arial" w:cs="Arial"/>
          <w:color w:val="000000"/>
          <w:sz w:val="20"/>
          <w:lang w:val="en-GB"/>
        </w:rPr>
        <w:t xml:space="preserve">uch reading </w:t>
      </w:r>
      <w:r w:rsidR="00817116" w:rsidRPr="00604D97">
        <w:rPr>
          <w:rFonts w:ascii="Arial" w:hAnsi="Arial" w:cs="Arial"/>
          <w:color w:val="000000"/>
          <w:sz w:val="20"/>
          <w:lang w:val="en-GB"/>
        </w:rPr>
        <w:t xml:space="preserve">seems </w:t>
      </w:r>
      <w:r w:rsidR="00817116" w:rsidRPr="00604D97">
        <w:rPr>
          <w:rFonts w:ascii="Arial" w:hAnsi="Arial" w:cs="Arial"/>
          <w:b/>
          <w:bCs/>
          <w:color w:val="000000"/>
          <w:sz w:val="20"/>
          <w:lang w:val="en-GB"/>
        </w:rPr>
        <w:t>essential</w:t>
      </w:r>
      <w:r w:rsidR="00CE07FD" w:rsidRPr="00604D97">
        <w:rPr>
          <w:rFonts w:ascii="Arial" w:hAnsi="Arial" w:cs="Arial"/>
          <w:b/>
          <w:bCs/>
          <w:color w:val="000000"/>
          <w:sz w:val="20"/>
          <w:lang w:val="en-GB"/>
        </w:rPr>
        <w:t xml:space="preserve"> </w:t>
      </w:r>
      <w:r w:rsidR="00D86CAB" w:rsidRPr="00604D97">
        <w:rPr>
          <w:rFonts w:ascii="Arial" w:hAnsi="Arial" w:cs="Arial"/>
          <w:b/>
          <w:bCs/>
          <w:color w:val="000000"/>
          <w:sz w:val="20"/>
          <w:lang w:val="en-GB"/>
        </w:rPr>
        <w:t>to allow more flexibility on the advice provided</w:t>
      </w:r>
      <w:r w:rsidR="00D86CAB" w:rsidRPr="00604D97">
        <w:rPr>
          <w:rFonts w:ascii="Arial" w:hAnsi="Arial" w:cs="Arial"/>
          <w:color w:val="000000"/>
          <w:sz w:val="20"/>
          <w:lang w:val="en-GB"/>
        </w:rPr>
        <w:t xml:space="preserve"> t</w:t>
      </w:r>
      <w:r w:rsidR="00DC0087" w:rsidRPr="00604D97">
        <w:rPr>
          <w:rFonts w:ascii="Arial" w:hAnsi="Arial" w:cs="Arial"/>
          <w:color w:val="000000"/>
          <w:sz w:val="20"/>
          <w:lang w:val="en-GB"/>
        </w:rPr>
        <w:t>o</w:t>
      </w:r>
      <w:r w:rsidR="00D86CAB" w:rsidRPr="00604D97">
        <w:rPr>
          <w:rFonts w:ascii="Arial" w:hAnsi="Arial" w:cs="Arial"/>
          <w:color w:val="000000"/>
          <w:sz w:val="20"/>
          <w:lang w:val="en-GB"/>
        </w:rPr>
        <w:t xml:space="preserve"> client</w:t>
      </w:r>
      <w:r w:rsidR="00CB69E6" w:rsidRPr="00604D97">
        <w:rPr>
          <w:rFonts w:ascii="Arial" w:hAnsi="Arial" w:cs="Arial"/>
          <w:color w:val="000000"/>
          <w:sz w:val="20"/>
          <w:lang w:val="en-GB"/>
        </w:rPr>
        <w:t>s</w:t>
      </w:r>
      <w:r w:rsidR="003B54D2" w:rsidRPr="00604D97">
        <w:rPr>
          <w:rFonts w:ascii="Arial" w:hAnsi="Arial" w:cs="Arial"/>
          <w:color w:val="000000"/>
          <w:sz w:val="20"/>
          <w:lang w:val="en-GB"/>
        </w:rPr>
        <w:t xml:space="preserve"> </w:t>
      </w:r>
      <w:r w:rsidR="00DB4C11" w:rsidRPr="00604D97">
        <w:rPr>
          <w:rFonts w:ascii="Arial" w:hAnsi="Arial" w:cs="Arial"/>
          <w:color w:val="000000"/>
          <w:sz w:val="20"/>
          <w:lang w:val="en-GB"/>
        </w:rPr>
        <w:t xml:space="preserve">considering </w:t>
      </w:r>
      <w:r w:rsidR="0045675A" w:rsidRPr="00604D97">
        <w:rPr>
          <w:rFonts w:ascii="Arial" w:hAnsi="Arial" w:cs="Arial"/>
          <w:color w:val="000000"/>
          <w:sz w:val="20"/>
          <w:lang w:val="en-GB"/>
        </w:rPr>
        <w:t xml:space="preserve">the </w:t>
      </w:r>
      <w:r w:rsidR="0045675A" w:rsidRPr="00604D97">
        <w:rPr>
          <w:rFonts w:ascii="Arial" w:hAnsi="Arial" w:cs="Arial"/>
          <w:b/>
          <w:bCs/>
          <w:color w:val="000000"/>
          <w:sz w:val="20"/>
          <w:lang w:val="en-GB"/>
        </w:rPr>
        <w:t>lack of maturity of the market on ESG criteria</w:t>
      </w:r>
      <w:r w:rsidR="003B54D2" w:rsidRPr="00604D97">
        <w:rPr>
          <w:rFonts w:ascii="Arial" w:hAnsi="Arial" w:cs="Arial"/>
          <w:b/>
          <w:bCs/>
          <w:color w:val="000000"/>
          <w:sz w:val="20"/>
          <w:lang w:val="en-GB"/>
        </w:rPr>
        <w:t>.</w:t>
      </w:r>
    </w:p>
    <w:p w14:paraId="4557C1E5" w14:textId="77777777" w:rsidR="00FD6944" w:rsidRPr="00604D97" w:rsidRDefault="00FD6944" w:rsidP="00970615">
      <w:pPr>
        <w:autoSpaceDE w:val="0"/>
        <w:autoSpaceDN w:val="0"/>
        <w:adjustRightInd w:val="0"/>
        <w:spacing w:after="0" w:line="240" w:lineRule="atLeast"/>
        <w:ind w:left="360"/>
        <w:jc w:val="both"/>
        <w:rPr>
          <w:rFonts w:ascii="Arial" w:hAnsi="Arial" w:cs="Arial"/>
          <w:color w:val="000000"/>
          <w:sz w:val="20"/>
          <w:lang w:val="en-GB"/>
        </w:rPr>
      </w:pPr>
    </w:p>
    <w:p w14:paraId="15E18EDA" w14:textId="31CCFADC" w:rsidR="00C70700" w:rsidRPr="00604D97" w:rsidRDefault="00116617" w:rsidP="00BB4BD7">
      <w:pPr>
        <w:pStyle w:val="Paragraphedeliste"/>
        <w:numPr>
          <w:ilvl w:val="0"/>
          <w:numId w:val="16"/>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b/>
          <w:bCs/>
          <w:color w:val="000000"/>
          <w:sz w:val="20"/>
          <w:lang w:val="en-GB"/>
        </w:rPr>
        <w:t>What are the exact</w:t>
      </w:r>
      <w:r w:rsidR="001573A5" w:rsidRPr="00604D97">
        <w:rPr>
          <w:rFonts w:ascii="Arial" w:hAnsi="Arial" w:cs="Arial"/>
          <w:b/>
          <w:bCs/>
          <w:color w:val="000000"/>
          <w:sz w:val="20"/>
          <w:lang w:val="en-GB"/>
        </w:rPr>
        <w:t xml:space="preserve"> expectations </w:t>
      </w:r>
      <w:r w:rsidR="009E37BB" w:rsidRPr="00604D97">
        <w:rPr>
          <w:rFonts w:ascii="Arial" w:hAnsi="Arial" w:cs="Arial"/>
          <w:b/>
          <w:bCs/>
          <w:color w:val="000000"/>
          <w:sz w:val="20"/>
          <w:lang w:val="en-GB"/>
        </w:rPr>
        <w:t xml:space="preserve">on how firms should question </w:t>
      </w:r>
      <w:r w:rsidR="00850F05" w:rsidRPr="00604D97">
        <w:rPr>
          <w:rFonts w:ascii="Arial" w:hAnsi="Arial" w:cs="Arial"/>
          <w:b/>
          <w:bCs/>
          <w:color w:val="000000"/>
          <w:sz w:val="20"/>
          <w:lang w:val="en-GB"/>
        </w:rPr>
        <w:t xml:space="preserve">clients </w:t>
      </w:r>
      <w:r w:rsidR="00F06BE8" w:rsidRPr="00604D97">
        <w:rPr>
          <w:rFonts w:ascii="Arial" w:hAnsi="Arial" w:cs="Arial"/>
          <w:b/>
          <w:bCs/>
          <w:color w:val="000000"/>
          <w:sz w:val="20"/>
          <w:lang w:val="en-GB"/>
        </w:rPr>
        <w:t xml:space="preserve">who </w:t>
      </w:r>
      <w:r w:rsidR="00850F05" w:rsidRPr="00604D97">
        <w:rPr>
          <w:rFonts w:ascii="Arial" w:hAnsi="Arial" w:cs="Arial"/>
          <w:b/>
          <w:bCs/>
          <w:color w:val="000000"/>
          <w:sz w:val="20"/>
          <w:lang w:val="en-GB"/>
        </w:rPr>
        <w:t xml:space="preserve">have ESG preferences </w:t>
      </w:r>
      <w:r w:rsidR="00664FE0" w:rsidRPr="00604D97">
        <w:rPr>
          <w:rFonts w:ascii="Arial" w:hAnsi="Arial" w:cs="Arial"/>
          <w:b/>
          <w:bCs/>
          <w:color w:val="000000"/>
          <w:sz w:val="20"/>
          <w:lang w:val="en-GB"/>
        </w:rPr>
        <w:t>on “</w:t>
      </w:r>
      <w:r w:rsidR="00664FE0" w:rsidRPr="00604D97">
        <w:rPr>
          <w:rFonts w:ascii="Arial" w:hAnsi="Arial" w:cs="Arial"/>
          <w:b/>
          <w:bCs/>
          <w:i/>
          <w:iCs/>
          <w:color w:val="000000"/>
          <w:sz w:val="20"/>
          <w:lang w:val="en-GB"/>
        </w:rPr>
        <w:t>to what extent</w:t>
      </w:r>
      <w:r w:rsidR="00664FE0" w:rsidRPr="00604D97">
        <w:rPr>
          <w:rFonts w:ascii="Arial" w:hAnsi="Arial" w:cs="Arial"/>
          <w:color w:val="000000"/>
          <w:sz w:val="20"/>
          <w:lang w:val="en-GB"/>
        </w:rPr>
        <w:t>”</w:t>
      </w:r>
      <w:r w:rsidR="00CB5934" w:rsidRPr="00604D97">
        <w:rPr>
          <w:rFonts w:ascii="Arial" w:hAnsi="Arial" w:cs="Arial"/>
          <w:color w:val="000000"/>
          <w:sz w:val="20"/>
          <w:lang w:val="en-GB"/>
        </w:rPr>
        <w:t xml:space="preserve"> they have sustainability preferences?</w:t>
      </w:r>
    </w:p>
    <w:p w14:paraId="5B3B6B46" w14:textId="384C7012" w:rsidR="002710D0" w:rsidRPr="00604D97" w:rsidRDefault="002710D0" w:rsidP="00970615">
      <w:pPr>
        <w:autoSpaceDE w:val="0"/>
        <w:autoSpaceDN w:val="0"/>
        <w:adjustRightInd w:val="0"/>
        <w:spacing w:after="0" w:line="240" w:lineRule="atLeast"/>
        <w:ind w:left="360"/>
        <w:jc w:val="both"/>
        <w:rPr>
          <w:rFonts w:ascii="Arial" w:hAnsi="Arial" w:cs="Arial"/>
          <w:color w:val="000000"/>
          <w:sz w:val="20"/>
          <w:lang w:val="en-GB"/>
        </w:rPr>
      </w:pPr>
    </w:p>
    <w:p w14:paraId="5FBFCD90" w14:textId="15EFB0F4" w:rsidR="008314E6" w:rsidRPr="00604D97" w:rsidRDefault="00B310B1" w:rsidP="00970615">
      <w:pPr>
        <w:pStyle w:val="Paragraphedeliste"/>
        <w:numPr>
          <w:ilvl w:val="1"/>
          <w:numId w:val="16"/>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The</w:t>
      </w:r>
      <w:r w:rsidR="008314E6" w:rsidRPr="00604D97">
        <w:rPr>
          <w:rFonts w:ascii="Arial" w:hAnsi="Arial" w:cs="Arial"/>
          <w:color w:val="000000"/>
          <w:sz w:val="20"/>
          <w:lang w:val="en-GB"/>
        </w:rPr>
        <w:t xml:space="preserve"> guidelines should clarify </w:t>
      </w:r>
      <w:r w:rsidR="000C00C7" w:rsidRPr="00604D97">
        <w:rPr>
          <w:rFonts w:ascii="Arial" w:hAnsi="Arial" w:cs="Arial"/>
          <w:color w:val="000000"/>
          <w:sz w:val="20"/>
          <w:lang w:val="en-GB"/>
        </w:rPr>
        <w:t>that</w:t>
      </w:r>
      <w:r w:rsidR="00A4044E" w:rsidRPr="00604D97">
        <w:rPr>
          <w:rFonts w:ascii="Arial" w:hAnsi="Arial" w:cs="Arial"/>
          <w:color w:val="000000"/>
          <w:sz w:val="20"/>
          <w:lang w:val="en-GB"/>
        </w:rPr>
        <w:t>,</w:t>
      </w:r>
      <w:r w:rsidR="000C00C7" w:rsidRPr="00604D97">
        <w:rPr>
          <w:rFonts w:ascii="Arial" w:hAnsi="Arial" w:cs="Arial"/>
          <w:color w:val="000000"/>
          <w:sz w:val="20"/>
          <w:lang w:val="en-GB"/>
        </w:rPr>
        <w:t xml:space="preserve"> </w:t>
      </w:r>
      <w:r w:rsidR="000C00C7" w:rsidRPr="00604D97">
        <w:rPr>
          <w:rFonts w:ascii="Arial" w:hAnsi="Arial" w:cs="Arial"/>
          <w:b/>
          <w:bCs/>
          <w:color w:val="000000"/>
          <w:sz w:val="20"/>
          <w:lang w:val="en-GB"/>
        </w:rPr>
        <w:t xml:space="preserve">for services without a portfolio approach, </w:t>
      </w:r>
      <w:r w:rsidR="00E051BA" w:rsidRPr="00604D97">
        <w:rPr>
          <w:rFonts w:ascii="Arial" w:hAnsi="Arial" w:cs="Arial"/>
          <w:b/>
          <w:bCs/>
          <w:color w:val="000000"/>
          <w:sz w:val="20"/>
          <w:lang w:val="en-GB"/>
        </w:rPr>
        <w:t>the “</w:t>
      </w:r>
      <w:r w:rsidR="00E051BA" w:rsidRPr="00604D97">
        <w:rPr>
          <w:rFonts w:ascii="Arial" w:hAnsi="Arial" w:cs="Arial"/>
          <w:b/>
          <w:bCs/>
          <w:i/>
          <w:iCs/>
          <w:color w:val="000000"/>
          <w:sz w:val="20"/>
          <w:lang w:val="en-GB"/>
        </w:rPr>
        <w:t>to what extent</w:t>
      </w:r>
      <w:r w:rsidR="004D177C" w:rsidRPr="00604D97">
        <w:rPr>
          <w:rFonts w:ascii="Arial" w:hAnsi="Arial" w:cs="Arial"/>
          <w:b/>
          <w:bCs/>
          <w:color w:val="000000"/>
          <w:sz w:val="20"/>
          <w:lang w:val="en-GB"/>
        </w:rPr>
        <w:t>”</w:t>
      </w:r>
      <w:r w:rsidR="00E051BA" w:rsidRPr="00604D97">
        <w:rPr>
          <w:rFonts w:ascii="Arial" w:hAnsi="Arial" w:cs="Arial"/>
          <w:b/>
          <w:bCs/>
          <w:color w:val="000000"/>
          <w:sz w:val="20"/>
          <w:lang w:val="en-GB"/>
        </w:rPr>
        <w:t xml:space="preserve"> criterion should not be </w:t>
      </w:r>
      <w:proofErr w:type="gramStart"/>
      <w:r w:rsidR="00E051BA" w:rsidRPr="00604D97">
        <w:rPr>
          <w:rFonts w:ascii="Arial" w:hAnsi="Arial" w:cs="Arial"/>
          <w:b/>
          <w:bCs/>
          <w:color w:val="000000"/>
          <w:sz w:val="20"/>
          <w:lang w:val="en-GB"/>
        </w:rPr>
        <w:t xml:space="preserve">taken into </w:t>
      </w:r>
      <w:r w:rsidR="004831A3" w:rsidRPr="00604D97">
        <w:rPr>
          <w:rFonts w:ascii="Arial" w:hAnsi="Arial" w:cs="Arial"/>
          <w:b/>
          <w:bCs/>
          <w:color w:val="000000"/>
          <w:sz w:val="20"/>
          <w:lang w:val="en-GB"/>
        </w:rPr>
        <w:t>account</w:t>
      </w:r>
      <w:proofErr w:type="gramEnd"/>
      <w:r w:rsidR="004831A3" w:rsidRPr="00604D97">
        <w:rPr>
          <w:rFonts w:ascii="Arial" w:hAnsi="Arial" w:cs="Arial"/>
          <w:color w:val="000000"/>
          <w:sz w:val="20"/>
          <w:lang w:val="en-GB"/>
        </w:rPr>
        <w:t>.</w:t>
      </w:r>
      <w:r w:rsidR="00A105FC" w:rsidRPr="00604D97">
        <w:rPr>
          <w:rFonts w:ascii="Arial" w:eastAsia="Times New Roman" w:hAnsi="Arial" w:cs="Arial"/>
          <w:color w:val="000000"/>
          <w:sz w:val="20"/>
          <w:szCs w:val="20"/>
          <w:lang w:val="en-GB" w:eastAsia="fr-FR"/>
        </w:rPr>
        <w:t xml:space="preserve"> For such service, </w:t>
      </w:r>
      <w:r w:rsidR="00C87368" w:rsidRPr="00604D97">
        <w:rPr>
          <w:rFonts w:ascii="Arial" w:eastAsia="Times New Roman" w:hAnsi="Arial" w:cs="Arial"/>
          <w:color w:val="000000"/>
          <w:sz w:val="20"/>
          <w:szCs w:val="20"/>
          <w:lang w:val="en-GB" w:eastAsia="fr-FR"/>
        </w:rPr>
        <w:t xml:space="preserve">according </w:t>
      </w:r>
      <w:r w:rsidR="00A105FC" w:rsidRPr="00604D97">
        <w:rPr>
          <w:rFonts w:ascii="Arial" w:eastAsia="Times New Roman" w:hAnsi="Arial" w:cs="Arial"/>
          <w:color w:val="000000"/>
          <w:sz w:val="20"/>
          <w:szCs w:val="20"/>
          <w:lang w:val="en-GB" w:eastAsia="fr-FR"/>
        </w:rPr>
        <w:t xml:space="preserve">to </w:t>
      </w:r>
      <w:r w:rsidR="00E67976" w:rsidRPr="00604D97">
        <w:rPr>
          <w:rFonts w:ascii="Arial" w:eastAsia="Times New Roman" w:hAnsi="Arial" w:cs="Arial"/>
          <w:color w:val="000000"/>
          <w:sz w:val="20"/>
          <w:szCs w:val="20"/>
          <w:lang w:val="en-GB" w:eastAsia="fr-FR"/>
        </w:rPr>
        <w:t>FBF</w:t>
      </w:r>
      <w:r w:rsidR="00A105FC" w:rsidRPr="00604D97">
        <w:rPr>
          <w:rFonts w:ascii="Arial" w:eastAsia="Times New Roman" w:hAnsi="Arial" w:cs="Arial"/>
          <w:color w:val="000000"/>
          <w:sz w:val="20"/>
          <w:szCs w:val="20"/>
          <w:lang w:val="en-GB" w:eastAsia="fr-FR"/>
        </w:rPr>
        <w:t xml:space="preserve">, </w:t>
      </w:r>
      <w:r w:rsidR="00A105FC" w:rsidRPr="00604D97">
        <w:rPr>
          <w:rFonts w:ascii="Arial" w:eastAsia="Times New Roman" w:hAnsi="Arial" w:cs="Arial"/>
          <w:b/>
          <w:bCs/>
          <w:color w:val="000000"/>
          <w:sz w:val="20"/>
          <w:szCs w:val="20"/>
          <w:lang w:val="en-GB" w:eastAsia="fr-FR"/>
        </w:rPr>
        <w:t xml:space="preserve">the approach can only be binary: </w:t>
      </w:r>
      <w:r w:rsidR="00C85D1B" w:rsidRPr="00604D97">
        <w:rPr>
          <w:rFonts w:ascii="Arial" w:eastAsia="Times New Roman" w:hAnsi="Arial" w:cs="Arial"/>
          <w:b/>
          <w:bCs/>
          <w:color w:val="000000"/>
          <w:sz w:val="20"/>
          <w:szCs w:val="20"/>
          <w:lang w:val="en-GB" w:eastAsia="fr-FR"/>
        </w:rPr>
        <w:t>“</w:t>
      </w:r>
      <w:r w:rsidR="00A105FC" w:rsidRPr="00604D97">
        <w:rPr>
          <w:rFonts w:ascii="Arial" w:eastAsia="Times New Roman" w:hAnsi="Arial" w:cs="Arial"/>
          <w:b/>
          <w:bCs/>
          <w:color w:val="000000"/>
          <w:sz w:val="20"/>
          <w:szCs w:val="20"/>
          <w:lang w:val="en-GB" w:eastAsia="fr-FR"/>
        </w:rPr>
        <w:t>yes or no</w:t>
      </w:r>
      <w:r w:rsidR="00A105FC" w:rsidRPr="00604D97">
        <w:rPr>
          <w:rFonts w:ascii="Arial" w:eastAsia="Times New Roman" w:hAnsi="Arial" w:cs="Arial"/>
          <w:color w:val="000000"/>
          <w:sz w:val="20"/>
          <w:szCs w:val="20"/>
          <w:lang w:val="en-GB" w:eastAsia="fr-FR"/>
        </w:rPr>
        <w:t xml:space="preserve"> does the client have any ESG preference for a specific transaction</w:t>
      </w:r>
      <w:r w:rsidR="00C85D1B" w:rsidRPr="00604D97">
        <w:rPr>
          <w:rFonts w:ascii="Arial" w:eastAsia="Times New Roman" w:hAnsi="Arial" w:cs="Arial"/>
          <w:color w:val="000000"/>
          <w:sz w:val="20"/>
          <w:szCs w:val="20"/>
          <w:lang w:val="en-GB" w:eastAsia="fr-FR"/>
        </w:rPr>
        <w:t>?”</w:t>
      </w:r>
      <w:r w:rsidR="00A105FC" w:rsidRPr="00604D97">
        <w:rPr>
          <w:rFonts w:ascii="Arial" w:eastAsia="Times New Roman" w:hAnsi="Arial" w:cs="Arial"/>
          <w:color w:val="000000"/>
          <w:sz w:val="20"/>
          <w:szCs w:val="20"/>
          <w:lang w:val="en-GB" w:eastAsia="fr-FR"/>
        </w:rPr>
        <w:t xml:space="preserve"> In any case, </w:t>
      </w:r>
      <w:r w:rsidR="00E67976" w:rsidRPr="00604D97">
        <w:rPr>
          <w:rFonts w:ascii="Arial" w:eastAsia="Times New Roman" w:hAnsi="Arial" w:cs="Arial"/>
          <w:color w:val="000000"/>
          <w:sz w:val="20"/>
          <w:szCs w:val="20"/>
          <w:lang w:val="en-GB" w:eastAsia="fr-FR"/>
        </w:rPr>
        <w:t>FBF</w:t>
      </w:r>
      <w:r w:rsidR="00A105FC" w:rsidRPr="00604D97">
        <w:rPr>
          <w:rFonts w:ascii="Arial" w:eastAsia="Times New Roman" w:hAnsi="Arial" w:cs="Arial"/>
          <w:color w:val="000000"/>
          <w:sz w:val="20"/>
          <w:szCs w:val="20"/>
          <w:lang w:val="en-GB" w:eastAsia="fr-FR"/>
        </w:rPr>
        <w:t xml:space="preserve"> would like to draw ESMA’s attention </w:t>
      </w:r>
      <w:r w:rsidR="008E5F9E" w:rsidRPr="00604D97">
        <w:rPr>
          <w:rFonts w:ascii="Arial" w:eastAsia="Times New Roman" w:hAnsi="Arial" w:cs="Arial"/>
          <w:color w:val="000000"/>
          <w:sz w:val="20"/>
          <w:szCs w:val="20"/>
          <w:lang w:val="en-GB" w:eastAsia="fr-FR"/>
        </w:rPr>
        <w:t xml:space="preserve">to </w:t>
      </w:r>
      <w:r w:rsidR="00A105FC" w:rsidRPr="00604D97">
        <w:rPr>
          <w:rFonts w:ascii="Arial" w:eastAsia="Times New Roman" w:hAnsi="Arial" w:cs="Arial"/>
          <w:color w:val="000000"/>
          <w:sz w:val="20"/>
          <w:szCs w:val="20"/>
          <w:lang w:val="en-GB" w:eastAsia="fr-FR"/>
        </w:rPr>
        <w:t>the possibility to provide “one shot” advice should be preserved, the reason being there is a</w:t>
      </w:r>
      <w:r w:rsidR="00D429D2" w:rsidRPr="00604D97">
        <w:rPr>
          <w:rFonts w:ascii="Arial" w:eastAsia="Times New Roman" w:hAnsi="Arial" w:cs="Arial"/>
          <w:color w:val="000000"/>
          <w:sz w:val="20"/>
          <w:szCs w:val="20"/>
          <w:lang w:val="en-GB" w:eastAsia="fr-FR"/>
        </w:rPr>
        <w:t xml:space="preserve"> client</w:t>
      </w:r>
      <w:r w:rsidR="00A105FC" w:rsidRPr="00604D97">
        <w:rPr>
          <w:rFonts w:ascii="Arial" w:eastAsia="Times New Roman" w:hAnsi="Arial" w:cs="Arial"/>
          <w:color w:val="000000"/>
          <w:sz w:val="20"/>
          <w:szCs w:val="20"/>
          <w:lang w:val="en-GB" w:eastAsia="fr-FR"/>
        </w:rPr>
        <w:t xml:space="preserve"> demand for such service. </w:t>
      </w:r>
    </w:p>
    <w:p w14:paraId="27B5DEDB" w14:textId="5E2E990F" w:rsidR="00BD0DAC" w:rsidRPr="00604D97" w:rsidRDefault="00E051BA" w:rsidP="00435EC2">
      <w:pPr>
        <w:pStyle w:val="Paragraphedeliste"/>
        <w:numPr>
          <w:ilvl w:val="1"/>
          <w:numId w:val="16"/>
        </w:numPr>
        <w:autoSpaceDE w:val="0"/>
        <w:autoSpaceDN w:val="0"/>
        <w:adjustRightInd w:val="0"/>
        <w:spacing w:after="0" w:line="240" w:lineRule="atLeast"/>
        <w:jc w:val="both"/>
        <w:rPr>
          <w:rFonts w:ascii="Arial" w:hAnsi="Arial" w:cs="Arial"/>
          <w:color w:val="000000"/>
          <w:sz w:val="20"/>
          <w:lang w:val="en-GB"/>
        </w:rPr>
      </w:pPr>
      <w:bookmarkStart w:id="5" w:name="_Hlk100564350"/>
      <w:r w:rsidRPr="00604D97">
        <w:rPr>
          <w:rFonts w:ascii="Arial" w:hAnsi="Arial" w:cs="Arial"/>
          <w:b/>
          <w:bCs/>
          <w:color w:val="000000"/>
          <w:sz w:val="20"/>
          <w:lang w:val="en-GB"/>
        </w:rPr>
        <w:t>For services with portfolio approach</w:t>
      </w:r>
      <w:r w:rsidRPr="00604D97">
        <w:rPr>
          <w:rFonts w:ascii="Arial" w:hAnsi="Arial" w:cs="Arial"/>
          <w:color w:val="000000"/>
          <w:sz w:val="20"/>
          <w:lang w:val="en-GB"/>
        </w:rPr>
        <w:t>, it s</w:t>
      </w:r>
      <w:r w:rsidR="003C60DD" w:rsidRPr="00604D97">
        <w:rPr>
          <w:rFonts w:ascii="Arial" w:hAnsi="Arial" w:cs="Arial"/>
          <w:color w:val="000000"/>
          <w:sz w:val="20"/>
          <w:lang w:val="en-GB"/>
        </w:rPr>
        <w:t xml:space="preserve">hould be </w:t>
      </w:r>
      <w:r w:rsidR="00EB5075" w:rsidRPr="00604D97">
        <w:rPr>
          <w:rFonts w:ascii="Arial" w:hAnsi="Arial" w:cs="Arial"/>
          <w:color w:val="000000"/>
          <w:sz w:val="20"/>
          <w:lang w:val="en-GB"/>
        </w:rPr>
        <w:t>clarified</w:t>
      </w:r>
      <w:r w:rsidR="003C60DD" w:rsidRPr="00604D97">
        <w:rPr>
          <w:rFonts w:ascii="Arial" w:hAnsi="Arial" w:cs="Arial"/>
          <w:color w:val="000000"/>
          <w:sz w:val="20"/>
          <w:lang w:val="en-GB"/>
        </w:rPr>
        <w:t xml:space="preserve"> t</w:t>
      </w:r>
      <w:r w:rsidR="004831A3" w:rsidRPr="00604D97">
        <w:rPr>
          <w:rFonts w:ascii="Arial" w:hAnsi="Arial" w:cs="Arial"/>
          <w:color w:val="000000"/>
          <w:sz w:val="20"/>
          <w:lang w:val="en-GB"/>
        </w:rPr>
        <w:t>hat t</w:t>
      </w:r>
      <w:r w:rsidR="003C60DD" w:rsidRPr="00604D97">
        <w:rPr>
          <w:rFonts w:ascii="Arial" w:hAnsi="Arial" w:cs="Arial"/>
          <w:color w:val="000000"/>
          <w:sz w:val="20"/>
          <w:lang w:val="en-GB"/>
        </w:rPr>
        <w:t>he “</w:t>
      </w:r>
      <w:r w:rsidR="003C60DD" w:rsidRPr="00604D97">
        <w:rPr>
          <w:rFonts w:ascii="Arial" w:hAnsi="Arial" w:cs="Arial"/>
          <w:i/>
          <w:iCs/>
          <w:color w:val="000000"/>
          <w:sz w:val="20"/>
          <w:lang w:val="en-GB"/>
        </w:rPr>
        <w:t>to wh</w:t>
      </w:r>
      <w:r w:rsidR="004831A3" w:rsidRPr="00604D97">
        <w:rPr>
          <w:rFonts w:ascii="Arial" w:hAnsi="Arial" w:cs="Arial"/>
          <w:i/>
          <w:iCs/>
          <w:color w:val="000000"/>
          <w:sz w:val="20"/>
          <w:lang w:val="en-GB"/>
        </w:rPr>
        <w:t>a</w:t>
      </w:r>
      <w:r w:rsidR="003C60DD" w:rsidRPr="00604D97">
        <w:rPr>
          <w:rFonts w:ascii="Arial" w:hAnsi="Arial" w:cs="Arial"/>
          <w:i/>
          <w:iCs/>
          <w:color w:val="000000"/>
          <w:sz w:val="20"/>
          <w:lang w:val="en-GB"/>
        </w:rPr>
        <w:t>t extent</w:t>
      </w:r>
      <w:r w:rsidR="004C30C8" w:rsidRPr="00604D97">
        <w:rPr>
          <w:rFonts w:ascii="Arial" w:hAnsi="Arial" w:cs="Arial"/>
          <w:color w:val="000000"/>
          <w:sz w:val="20"/>
          <w:lang w:val="en-GB"/>
        </w:rPr>
        <w:t xml:space="preserve">” </w:t>
      </w:r>
      <w:r w:rsidR="004831A3" w:rsidRPr="00604D97">
        <w:rPr>
          <w:rFonts w:ascii="Arial" w:hAnsi="Arial" w:cs="Arial"/>
          <w:color w:val="000000"/>
          <w:sz w:val="20"/>
          <w:lang w:val="en-GB"/>
        </w:rPr>
        <w:t>criterion</w:t>
      </w:r>
      <w:r w:rsidR="003C60DD" w:rsidRPr="00604D97">
        <w:rPr>
          <w:rFonts w:ascii="Arial" w:hAnsi="Arial" w:cs="Arial"/>
          <w:color w:val="000000"/>
          <w:sz w:val="20"/>
          <w:lang w:val="en-GB"/>
        </w:rPr>
        <w:t xml:space="preserve"> </w:t>
      </w:r>
      <w:r w:rsidR="00EB5075" w:rsidRPr="00604D97">
        <w:rPr>
          <w:rFonts w:ascii="Arial" w:hAnsi="Arial" w:cs="Arial"/>
          <w:color w:val="000000"/>
          <w:sz w:val="20"/>
          <w:lang w:val="en-GB"/>
        </w:rPr>
        <w:t>could</w:t>
      </w:r>
      <w:r w:rsidR="003C60DD" w:rsidRPr="00604D97">
        <w:rPr>
          <w:rFonts w:ascii="Arial" w:hAnsi="Arial" w:cs="Arial"/>
          <w:color w:val="000000"/>
          <w:sz w:val="20"/>
          <w:lang w:val="en-GB"/>
        </w:rPr>
        <w:t xml:space="preserve"> </w:t>
      </w:r>
      <w:r w:rsidR="00EB5075" w:rsidRPr="00604D97">
        <w:rPr>
          <w:rFonts w:ascii="Arial" w:hAnsi="Arial" w:cs="Arial"/>
          <w:color w:val="000000"/>
          <w:sz w:val="20"/>
          <w:lang w:val="en-GB"/>
        </w:rPr>
        <w:t>take</w:t>
      </w:r>
      <w:r w:rsidR="003C60DD" w:rsidRPr="00604D97">
        <w:rPr>
          <w:rFonts w:ascii="Arial" w:hAnsi="Arial" w:cs="Arial"/>
          <w:color w:val="000000"/>
          <w:sz w:val="20"/>
          <w:lang w:val="en-GB"/>
        </w:rPr>
        <w:t xml:space="preserve"> the form o</w:t>
      </w:r>
      <w:r w:rsidR="008509D6" w:rsidRPr="00604D97">
        <w:rPr>
          <w:rFonts w:ascii="Arial" w:hAnsi="Arial" w:cs="Arial"/>
          <w:color w:val="000000"/>
          <w:sz w:val="20"/>
          <w:lang w:val="en-GB"/>
        </w:rPr>
        <w:t>f</w:t>
      </w:r>
      <w:r w:rsidR="003C60DD" w:rsidRPr="00604D97">
        <w:rPr>
          <w:rFonts w:ascii="Arial" w:hAnsi="Arial" w:cs="Arial"/>
          <w:color w:val="000000"/>
          <w:sz w:val="20"/>
          <w:lang w:val="en-GB"/>
        </w:rPr>
        <w:t xml:space="preserve"> a </w:t>
      </w:r>
      <w:r w:rsidR="00EB5075" w:rsidRPr="00604D97">
        <w:rPr>
          <w:rFonts w:ascii="Arial" w:hAnsi="Arial" w:cs="Arial"/>
          <w:b/>
          <w:bCs/>
          <w:color w:val="000000"/>
          <w:sz w:val="20"/>
          <w:lang w:val="en-GB"/>
        </w:rPr>
        <w:t>percentage</w:t>
      </w:r>
      <w:r w:rsidR="003C60DD" w:rsidRPr="00604D97">
        <w:rPr>
          <w:rFonts w:ascii="Arial" w:hAnsi="Arial" w:cs="Arial"/>
          <w:b/>
          <w:bCs/>
          <w:color w:val="000000"/>
          <w:sz w:val="20"/>
          <w:lang w:val="en-GB"/>
        </w:rPr>
        <w:t xml:space="preserve"> of the portfolio</w:t>
      </w:r>
      <w:r w:rsidR="00F96C18" w:rsidRPr="00604D97">
        <w:rPr>
          <w:rFonts w:ascii="Arial" w:hAnsi="Arial" w:cs="Arial"/>
          <w:color w:val="000000"/>
          <w:sz w:val="20"/>
          <w:lang w:val="en-GB"/>
        </w:rPr>
        <w:t xml:space="preserve"> the client wishes to dedicate to ESG </w:t>
      </w:r>
      <w:r w:rsidR="00EB5075" w:rsidRPr="00604D97">
        <w:rPr>
          <w:rFonts w:ascii="Arial" w:hAnsi="Arial" w:cs="Arial"/>
          <w:color w:val="000000"/>
          <w:sz w:val="20"/>
          <w:lang w:val="en-GB"/>
        </w:rPr>
        <w:t>investments</w:t>
      </w:r>
      <w:r w:rsidR="00F96C18" w:rsidRPr="00604D97">
        <w:rPr>
          <w:rFonts w:ascii="Arial" w:hAnsi="Arial" w:cs="Arial"/>
          <w:color w:val="000000"/>
          <w:sz w:val="20"/>
          <w:lang w:val="en-GB"/>
        </w:rPr>
        <w:t xml:space="preserve">. </w:t>
      </w:r>
    </w:p>
    <w:p w14:paraId="72CDC633" w14:textId="276430BF" w:rsidR="00E051BA" w:rsidRPr="00604D97" w:rsidRDefault="006D64CD" w:rsidP="00435EC2">
      <w:pPr>
        <w:pStyle w:val="Paragraphedeliste"/>
        <w:numPr>
          <w:ilvl w:val="1"/>
          <w:numId w:val="16"/>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Moreover</w:t>
      </w:r>
      <w:r w:rsidR="00F96C18" w:rsidRPr="00604D97">
        <w:rPr>
          <w:rFonts w:ascii="Arial" w:hAnsi="Arial" w:cs="Arial"/>
          <w:color w:val="000000"/>
          <w:sz w:val="20"/>
          <w:lang w:val="en-GB"/>
        </w:rPr>
        <w:t xml:space="preserve">, </w:t>
      </w:r>
      <w:r w:rsidR="007953D3" w:rsidRPr="00604D97">
        <w:rPr>
          <w:rFonts w:ascii="Arial" w:hAnsi="Arial" w:cs="Arial"/>
          <w:color w:val="000000"/>
          <w:sz w:val="20"/>
          <w:lang w:val="en-GB"/>
        </w:rPr>
        <w:t xml:space="preserve">in case the alternative approach suggested above was not </w:t>
      </w:r>
      <w:r w:rsidR="00BF3B12" w:rsidRPr="00604D97">
        <w:rPr>
          <w:rFonts w:ascii="Arial" w:hAnsi="Arial" w:cs="Arial"/>
          <w:color w:val="000000"/>
          <w:sz w:val="20"/>
          <w:lang w:val="en-GB"/>
        </w:rPr>
        <w:t xml:space="preserve">adopted, </w:t>
      </w:r>
      <w:r w:rsidR="00F96C18" w:rsidRPr="00604D97">
        <w:rPr>
          <w:rFonts w:ascii="Arial" w:hAnsi="Arial" w:cs="Arial"/>
          <w:color w:val="000000"/>
          <w:sz w:val="20"/>
          <w:lang w:val="en-GB"/>
        </w:rPr>
        <w:t xml:space="preserve">it should be </w:t>
      </w:r>
      <w:r w:rsidR="004831A3" w:rsidRPr="00604D97">
        <w:rPr>
          <w:rFonts w:ascii="Arial" w:hAnsi="Arial" w:cs="Arial"/>
          <w:color w:val="000000"/>
          <w:sz w:val="20"/>
          <w:lang w:val="en-GB"/>
        </w:rPr>
        <w:t>clarified</w:t>
      </w:r>
      <w:r w:rsidR="00F96C18" w:rsidRPr="00604D97">
        <w:rPr>
          <w:rFonts w:ascii="Arial" w:hAnsi="Arial" w:cs="Arial"/>
          <w:color w:val="000000"/>
          <w:sz w:val="20"/>
          <w:lang w:val="en-GB"/>
        </w:rPr>
        <w:t xml:space="preserve"> that</w:t>
      </w:r>
      <w:r w:rsidR="00737032" w:rsidRPr="00604D97">
        <w:rPr>
          <w:rFonts w:ascii="Arial" w:hAnsi="Arial" w:cs="Arial"/>
          <w:color w:val="000000"/>
          <w:sz w:val="20"/>
          <w:lang w:val="en-GB"/>
        </w:rPr>
        <w:t xml:space="preserve">, </w:t>
      </w:r>
      <w:bookmarkStart w:id="6" w:name="_Hlk100569959"/>
      <w:r w:rsidR="00737032" w:rsidRPr="00604D97">
        <w:rPr>
          <w:rFonts w:ascii="Arial" w:hAnsi="Arial" w:cs="Arial"/>
          <w:color w:val="000000"/>
          <w:sz w:val="20"/>
          <w:lang w:val="en-GB"/>
        </w:rPr>
        <w:t>for services with portfolio approach</w:t>
      </w:r>
      <w:bookmarkEnd w:id="6"/>
      <w:r w:rsidR="00737032" w:rsidRPr="00604D97">
        <w:rPr>
          <w:rFonts w:ascii="Arial" w:hAnsi="Arial" w:cs="Arial"/>
          <w:color w:val="000000"/>
          <w:sz w:val="20"/>
          <w:lang w:val="en-GB"/>
        </w:rPr>
        <w:t xml:space="preserve">, </w:t>
      </w:r>
      <w:r w:rsidR="00384A10" w:rsidRPr="00604D97">
        <w:rPr>
          <w:rFonts w:ascii="Arial" w:hAnsi="Arial" w:cs="Arial"/>
          <w:b/>
          <w:bCs/>
          <w:color w:val="000000"/>
          <w:sz w:val="20"/>
          <w:lang w:val="en-GB"/>
        </w:rPr>
        <w:t xml:space="preserve">the preferences </w:t>
      </w:r>
      <w:proofErr w:type="gramStart"/>
      <w:r w:rsidR="00BF3B12" w:rsidRPr="00604D97">
        <w:rPr>
          <w:rFonts w:ascii="Arial" w:hAnsi="Arial" w:cs="Arial"/>
          <w:b/>
          <w:bCs/>
          <w:color w:val="000000"/>
          <w:sz w:val="20"/>
          <w:lang w:val="en-GB"/>
        </w:rPr>
        <w:t>have to</w:t>
      </w:r>
      <w:proofErr w:type="gramEnd"/>
      <w:r w:rsidR="00BF3B12" w:rsidRPr="00604D97">
        <w:rPr>
          <w:rFonts w:ascii="Arial" w:hAnsi="Arial" w:cs="Arial"/>
          <w:b/>
          <w:bCs/>
          <w:color w:val="000000"/>
          <w:sz w:val="20"/>
          <w:lang w:val="en-GB"/>
        </w:rPr>
        <w:t xml:space="preserve"> </w:t>
      </w:r>
      <w:r w:rsidR="00384A10" w:rsidRPr="00604D97">
        <w:rPr>
          <w:rFonts w:ascii="Arial" w:hAnsi="Arial" w:cs="Arial"/>
          <w:b/>
          <w:bCs/>
          <w:color w:val="000000"/>
          <w:sz w:val="20"/>
          <w:lang w:val="en-GB"/>
        </w:rPr>
        <w:t>be achieved at the level of the portfolio and not necessarily on a</w:t>
      </w:r>
      <w:r w:rsidR="009318BF" w:rsidRPr="00604D97">
        <w:rPr>
          <w:rFonts w:ascii="Arial" w:hAnsi="Arial" w:cs="Arial"/>
          <w:b/>
          <w:bCs/>
          <w:color w:val="000000"/>
          <w:sz w:val="20"/>
          <w:lang w:val="en-GB"/>
        </w:rPr>
        <w:t xml:space="preserve">n </w:t>
      </w:r>
      <w:r w:rsidR="00CC7B46" w:rsidRPr="00604D97">
        <w:rPr>
          <w:rFonts w:ascii="Arial" w:hAnsi="Arial" w:cs="Arial"/>
          <w:b/>
          <w:bCs/>
          <w:color w:val="000000"/>
          <w:sz w:val="20"/>
          <w:lang w:val="en-GB"/>
        </w:rPr>
        <w:t>instrument-by-instrument</w:t>
      </w:r>
      <w:r w:rsidR="009318BF" w:rsidRPr="00604D97">
        <w:rPr>
          <w:rFonts w:ascii="Arial" w:hAnsi="Arial" w:cs="Arial"/>
          <w:b/>
          <w:bCs/>
          <w:color w:val="000000"/>
          <w:sz w:val="20"/>
          <w:lang w:val="en-GB"/>
        </w:rPr>
        <w:t xml:space="preserve"> basis</w:t>
      </w:r>
      <w:r w:rsidR="00BF3B12" w:rsidRPr="00604D97">
        <w:rPr>
          <w:rFonts w:ascii="Arial" w:hAnsi="Arial" w:cs="Arial"/>
          <w:color w:val="000000"/>
          <w:sz w:val="20"/>
          <w:lang w:val="en-GB"/>
        </w:rPr>
        <w:t>. This would allow</w:t>
      </w:r>
      <w:r w:rsidR="00544781" w:rsidRPr="00604D97">
        <w:rPr>
          <w:rFonts w:ascii="Arial" w:hAnsi="Arial" w:cs="Arial"/>
          <w:color w:val="000000"/>
          <w:sz w:val="20"/>
          <w:lang w:val="en-GB"/>
        </w:rPr>
        <w:t xml:space="preserve"> </w:t>
      </w:r>
      <w:r w:rsidR="00541D2B" w:rsidRPr="00604D97">
        <w:rPr>
          <w:rFonts w:ascii="Arial" w:hAnsi="Arial" w:cs="Arial"/>
          <w:color w:val="000000"/>
          <w:sz w:val="20"/>
          <w:lang w:val="en-GB"/>
        </w:rPr>
        <w:t xml:space="preserve">an </w:t>
      </w:r>
      <w:proofErr w:type="gramStart"/>
      <w:r w:rsidR="00541D2B" w:rsidRPr="00604D97">
        <w:rPr>
          <w:rFonts w:ascii="Arial" w:hAnsi="Arial" w:cs="Arial"/>
          <w:color w:val="000000"/>
          <w:sz w:val="20"/>
          <w:lang w:val="en-GB"/>
        </w:rPr>
        <w:t>ISP</w:t>
      </w:r>
      <w:r w:rsidR="00544781" w:rsidRPr="00604D97">
        <w:rPr>
          <w:rFonts w:ascii="Arial" w:hAnsi="Arial" w:cs="Arial"/>
          <w:color w:val="000000"/>
          <w:sz w:val="20"/>
          <w:lang w:val="en-GB"/>
        </w:rPr>
        <w:t>,</w:t>
      </w:r>
      <w:r w:rsidR="00D63E92" w:rsidRPr="00604D97">
        <w:rPr>
          <w:rFonts w:ascii="Arial" w:hAnsi="Arial" w:cs="Arial"/>
          <w:color w:val="000000"/>
          <w:sz w:val="20"/>
          <w:lang w:val="en-GB"/>
        </w:rPr>
        <w:t xml:space="preserve"> in cas</w:t>
      </w:r>
      <w:r w:rsidR="004870AA" w:rsidRPr="00604D97">
        <w:rPr>
          <w:rFonts w:ascii="Arial" w:hAnsi="Arial" w:cs="Arial"/>
          <w:color w:val="000000"/>
          <w:sz w:val="20"/>
          <w:lang w:val="en-GB"/>
        </w:rPr>
        <w:t>e</w:t>
      </w:r>
      <w:proofErr w:type="gramEnd"/>
      <w:r w:rsidR="00D63E92" w:rsidRPr="00604D97">
        <w:rPr>
          <w:rFonts w:ascii="Arial" w:hAnsi="Arial" w:cs="Arial"/>
          <w:color w:val="000000"/>
          <w:sz w:val="20"/>
          <w:lang w:val="en-GB"/>
        </w:rPr>
        <w:t xml:space="preserve"> a client would have expressed </w:t>
      </w:r>
      <w:r w:rsidR="004870AA" w:rsidRPr="00604D97">
        <w:rPr>
          <w:rFonts w:ascii="Arial" w:hAnsi="Arial" w:cs="Arial"/>
          <w:color w:val="000000"/>
          <w:sz w:val="20"/>
          <w:lang w:val="en-GB"/>
        </w:rPr>
        <w:t>preferences</w:t>
      </w:r>
      <w:r w:rsidR="00D63E92" w:rsidRPr="00604D97">
        <w:rPr>
          <w:rFonts w:ascii="Arial" w:hAnsi="Arial" w:cs="Arial"/>
          <w:color w:val="000000"/>
          <w:sz w:val="20"/>
          <w:lang w:val="en-GB"/>
        </w:rPr>
        <w:t xml:space="preserve"> </w:t>
      </w:r>
      <w:r w:rsidR="004870AA" w:rsidRPr="00604D97">
        <w:rPr>
          <w:rFonts w:ascii="Arial" w:hAnsi="Arial" w:cs="Arial"/>
          <w:color w:val="000000"/>
          <w:sz w:val="20"/>
          <w:lang w:val="en-GB"/>
        </w:rPr>
        <w:t xml:space="preserve">cumulatively </w:t>
      </w:r>
      <w:r w:rsidR="00D63E92" w:rsidRPr="00604D97">
        <w:rPr>
          <w:rFonts w:ascii="Arial" w:hAnsi="Arial" w:cs="Arial"/>
          <w:color w:val="000000"/>
          <w:sz w:val="20"/>
          <w:lang w:val="en-GB"/>
        </w:rPr>
        <w:t>on the 3 criteria a)</w:t>
      </w:r>
      <w:r w:rsidR="00F10B29" w:rsidRPr="00604D97">
        <w:rPr>
          <w:rFonts w:ascii="Arial" w:hAnsi="Arial" w:cs="Arial"/>
          <w:color w:val="000000"/>
          <w:sz w:val="20"/>
          <w:lang w:val="en-GB"/>
        </w:rPr>
        <w:t>,</w:t>
      </w:r>
      <w:r w:rsidR="00D63E92" w:rsidRPr="00604D97">
        <w:rPr>
          <w:rFonts w:ascii="Arial" w:hAnsi="Arial" w:cs="Arial"/>
          <w:color w:val="000000"/>
          <w:sz w:val="20"/>
          <w:lang w:val="en-GB"/>
        </w:rPr>
        <w:t xml:space="preserve"> b</w:t>
      </w:r>
      <w:r w:rsidR="004870AA" w:rsidRPr="00604D97">
        <w:rPr>
          <w:rFonts w:ascii="Arial" w:hAnsi="Arial" w:cs="Arial"/>
          <w:color w:val="000000"/>
          <w:sz w:val="20"/>
          <w:lang w:val="en-GB"/>
        </w:rPr>
        <w:t>) and c)</w:t>
      </w:r>
      <w:r w:rsidR="00E05D52" w:rsidRPr="00604D97">
        <w:rPr>
          <w:rFonts w:ascii="Arial" w:hAnsi="Arial" w:cs="Arial"/>
          <w:color w:val="000000"/>
          <w:sz w:val="20"/>
          <w:lang w:val="en-GB"/>
        </w:rPr>
        <w:t>,</w:t>
      </w:r>
      <w:r w:rsidR="004870AA" w:rsidRPr="00604D97">
        <w:rPr>
          <w:rFonts w:ascii="Arial" w:hAnsi="Arial" w:cs="Arial"/>
          <w:color w:val="000000"/>
          <w:sz w:val="20"/>
          <w:lang w:val="en-GB"/>
        </w:rPr>
        <w:t xml:space="preserve"> to </w:t>
      </w:r>
      <w:r w:rsidR="00B310B1" w:rsidRPr="00604D97">
        <w:rPr>
          <w:rFonts w:ascii="Arial" w:hAnsi="Arial" w:cs="Arial"/>
          <w:color w:val="000000"/>
          <w:sz w:val="20"/>
          <w:lang w:val="en-GB"/>
        </w:rPr>
        <w:t xml:space="preserve">advise </w:t>
      </w:r>
      <w:r w:rsidR="00254685" w:rsidRPr="00604D97">
        <w:rPr>
          <w:rFonts w:ascii="Arial" w:hAnsi="Arial" w:cs="Arial"/>
          <w:color w:val="000000"/>
          <w:sz w:val="20"/>
          <w:lang w:val="en-GB"/>
        </w:rPr>
        <w:t>on financial instrume</w:t>
      </w:r>
      <w:r w:rsidR="00D25B35" w:rsidRPr="00604D97">
        <w:rPr>
          <w:rFonts w:ascii="Arial" w:hAnsi="Arial" w:cs="Arial"/>
          <w:color w:val="000000"/>
          <w:sz w:val="20"/>
          <w:lang w:val="en-GB"/>
        </w:rPr>
        <w:t>n</w:t>
      </w:r>
      <w:r w:rsidR="00254685" w:rsidRPr="00604D97">
        <w:rPr>
          <w:rFonts w:ascii="Arial" w:hAnsi="Arial" w:cs="Arial"/>
          <w:color w:val="000000"/>
          <w:sz w:val="20"/>
          <w:lang w:val="en-GB"/>
        </w:rPr>
        <w:t xml:space="preserve">ts that might not all </w:t>
      </w:r>
      <w:r w:rsidR="00D25B35" w:rsidRPr="00604D97">
        <w:rPr>
          <w:rFonts w:ascii="Arial" w:hAnsi="Arial" w:cs="Arial"/>
          <w:color w:val="000000"/>
          <w:sz w:val="20"/>
          <w:lang w:val="en-GB"/>
        </w:rPr>
        <w:t>fulfil</w:t>
      </w:r>
      <w:r w:rsidR="00254685" w:rsidRPr="00604D97">
        <w:rPr>
          <w:rFonts w:ascii="Arial" w:hAnsi="Arial" w:cs="Arial"/>
          <w:color w:val="000000"/>
          <w:sz w:val="20"/>
          <w:lang w:val="en-GB"/>
        </w:rPr>
        <w:t xml:space="preserve"> the 3 </w:t>
      </w:r>
      <w:r w:rsidR="00D25B35" w:rsidRPr="00604D97">
        <w:rPr>
          <w:rFonts w:ascii="Arial" w:hAnsi="Arial" w:cs="Arial"/>
          <w:color w:val="000000"/>
          <w:sz w:val="20"/>
          <w:lang w:val="en-GB"/>
        </w:rPr>
        <w:t>preferences</w:t>
      </w:r>
      <w:r w:rsidR="00254685" w:rsidRPr="00604D97">
        <w:rPr>
          <w:rFonts w:ascii="Arial" w:hAnsi="Arial" w:cs="Arial"/>
          <w:color w:val="000000"/>
          <w:sz w:val="20"/>
          <w:lang w:val="en-GB"/>
        </w:rPr>
        <w:t xml:space="preserve"> as long </w:t>
      </w:r>
      <w:r w:rsidR="00E05D52" w:rsidRPr="00604D97">
        <w:rPr>
          <w:rFonts w:ascii="Arial" w:hAnsi="Arial" w:cs="Arial"/>
          <w:color w:val="000000"/>
          <w:sz w:val="20"/>
          <w:lang w:val="en-GB"/>
        </w:rPr>
        <w:t>a</w:t>
      </w:r>
      <w:r w:rsidR="00254685" w:rsidRPr="00604D97">
        <w:rPr>
          <w:rFonts w:ascii="Arial" w:hAnsi="Arial" w:cs="Arial"/>
          <w:color w:val="000000"/>
          <w:sz w:val="20"/>
          <w:lang w:val="en-GB"/>
        </w:rPr>
        <w:t xml:space="preserve">s the portfolio, </w:t>
      </w:r>
      <w:r w:rsidR="00E05D52" w:rsidRPr="00604D97">
        <w:rPr>
          <w:rFonts w:ascii="Arial" w:hAnsi="Arial" w:cs="Arial"/>
          <w:color w:val="000000"/>
          <w:sz w:val="20"/>
          <w:lang w:val="en-GB"/>
        </w:rPr>
        <w:t xml:space="preserve">considered </w:t>
      </w:r>
      <w:r w:rsidR="00254685" w:rsidRPr="00604D97">
        <w:rPr>
          <w:rFonts w:ascii="Arial" w:hAnsi="Arial" w:cs="Arial"/>
          <w:color w:val="000000"/>
          <w:sz w:val="20"/>
          <w:lang w:val="en-GB"/>
        </w:rPr>
        <w:t xml:space="preserve">as a </w:t>
      </w:r>
      <w:r w:rsidR="00BA6B47" w:rsidRPr="00604D97">
        <w:rPr>
          <w:rFonts w:ascii="Arial" w:hAnsi="Arial" w:cs="Arial"/>
          <w:color w:val="000000"/>
          <w:sz w:val="20"/>
          <w:lang w:val="en-GB"/>
        </w:rPr>
        <w:t>whole, reflects</w:t>
      </w:r>
      <w:r w:rsidRPr="00604D97">
        <w:rPr>
          <w:rFonts w:ascii="Arial" w:hAnsi="Arial" w:cs="Arial"/>
          <w:color w:val="000000"/>
          <w:sz w:val="20"/>
          <w:lang w:val="en-GB"/>
        </w:rPr>
        <w:t xml:space="preserve"> the client’s preferences on the 3 criteria.</w:t>
      </w:r>
    </w:p>
    <w:p w14:paraId="70E88AEF" w14:textId="77777777" w:rsidR="006E4248" w:rsidRPr="00604D97" w:rsidRDefault="006E4248" w:rsidP="00970615">
      <w:pPr>
        <w:autoSpaceDE w:val="0"/>
        <w:autoSpaceDN w:val="0"/>
        <w:adjustRightInd w:val="0"/>
        <w:spacing w:after="0" w:line="240" w:lineRule="atLeast"/>
        <w:ind w:left="1080"/>
        <w:jc w:val="both"/>
        <w:rPr>
          <w:rFonts w:ascii="Arial" w:hAnsi="Arial" w:cs="Arial"/>
          <w:color w:val="000000"/>
          <w:sz w:val="20"/>
          <w:lang w:val="en-GB"/>
        </w:rPr>
      </w:pPr>
    </w:p>
    <w:bookmarkEnd w:id="5"/>
    <w:p w14:paraId="7005C144" w14:textId="1B92F8FB" w:rsidR="00BF21BD" w:rsidRPr="00604D97" w:rsidRDefault="006E4248" w:rsidP="00BB4BD7">
      <w:p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lastRenderedPageBreak/>
        <w:t>Additionally</w:t>
      </w:r>
      <w:r w:rsidR="00B20CD5" w:rsidRPr="00604D97">
        <w:rPr>
          <w:rFonts w:ascii="Arial" w:hAnsi="Arial" w:cs="Arial"/>
          <w:color w:val="000000"/>
          <w:sz w:val="20"/>
          <w:lang w:val="en-GB"/>
        </w:rPr>
        <w:t xml:space="preserve">, </w:t>
      </w:r>
      <w:r w:rsidR="00E67976" w:rsidRPr="00604D97">
        <w:rPr>
          <w:rFonts w:ascii="Arial" w:hAnsi="Arial" w:cs="Arial"/>
          <w:color w:val="000000"/>
          <w:sz w:val="20"/>
          <w:lang w:val="en-GB"/>
        </w:rPr>
        <w:t>FBF</w:t>
      </w:r>
      <w:r w:rsidR="00F97DFA" w:rsidRPr="00604D97">
        <w:rPr>
          <w:rFonts w:ascii="Arial" w:hAnsi="Arial" w:cs="Arial"/>
          <w:color w:val="000000"/>
          <w:sz w:val="20"/>
          <w:lang w:val="en-GB"/>
        </w:rPr>
        <w:t xml:space="preserve"> considers </w:t>
      </w:r>
      <w:r w:rsidR="00BF21BD" w:rsidRPr="00604D97">
        <w:rPr>
          <w:rFonts w:ascii="Arial" w:hAnsi="Arial" w:cs="Arial"/>
          <w:b/>
          <w:bCs/>
          <w:color w:val="000000"/>
          <w:sz w:val="20"/>
          <w:lang w:val="en-GB"/>
        </w:rPr>
        <w:t>more flexibility should be provided in the two following instances</w:t>
      </w:r>
      <w:r w:rsidR="00F97AF9" w:rsidRPr="00604D97">
        <w:rPr>
          <w:rFonts w:ascii="Arial" w:hAnsi="Arial" w:cs="Arial"/>
          <w:color w:val="000000"/>
          <w:sz w:val="20"/>
          <w:lang w:val="en-GB"/>
        </w:rPr>
        <w:t>:</w:t>
      </w:r>
    </w:p>
    <w:p w14:paraId="6C1C20B0" w14:textId="77777777" w:rsidR="00544781" w:rsidRPr="00604D97" w:rsidRDefault="00544781" w:rsidP="00BB4BD7">
      <w:pPr>
        <w:autoSpaceDE w:val="0"/>
        <w:autoSpaceDN w:val="0"/>
        <w:adjustRightInd w:val="0"/>
        <w:spacing w:after="0" w:line="240" w:lineRule="atLeast"/>
        <w:jc w:val="both"/>
        <w:rPr>
          <w:rFonts w:ascii="Arial" w:hAnsi="Arial" w:cs="Arial"/>
          <w:color w:val="000000"/>
          <w:sz w:val="20"/>
          <w:lang w:val="en-GB"/>
        </w:rPr>
      </w:pPr>
    </w:p>
    <w:p w14:paraId="51883539" w14:textId="4D4AD651" w:rsidR="005928DA" w:rsidRPr="00604D97" w:rsidRDefault="00267ECF" w:rsidP="00970615">
      <w:pPr>
        <w:pStyle w:val="Paragraphedeliste"/>
        <w:numPr>
          <w:ilvl w:val="0"/>
          <w:numId w:val="16"/>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T</w:t>
      </w:r>
      <w:r w:rsidR="002D0D62" w:rsidRPr="00604D97">
        <w:rPr>
          <w:rFonts w:ascii="Arial" w:hAnsi="Arial" w:cs="Arial"/>
          <w:color w:val="000000"/>
          <w:sz w:val="20"/>
          <w:lang w:val="en-GB"/>
        </w:rPr>
        <w:t xml:space="preserve">he client is </w:t>
      </w:r>
      <w:r w:rsidR="0069439A" w:rsidRPr="00604D97">
        <w:rPr>
          <w:rFonts w:ascii="Arial" w:hAnsi="Arial" w:cs="Arial"/>
          <w:color w:val="000000"/>
          <w:sz w:val="20"/>
          <w:lang w:val="en-GB"/>
        </w:rPr>
        <w:t xml:space="preserve">a </w:t>
      </w:r>
      <w:r w:rsidR="002D0D62" w:rsidRPr="00604D97">
        <w:rPr>
          <w:rFonts w:ascii="Arial" w:hAnsi="Arial" w:cs="Arial"/>
          <w:b/>
          <w:bCs/>
          <w:color w:val="000000"/>
          <w:sz w:val="20"/>
          <w:lang w:val="en-GB"/>
        </w:rPr>
        <w:t xml:space="preserve">professional </w:t>
      </w:r>
      <w:r w:rsidR="0069439A" w:rsidRPr="00604D97">
        <w:rPr>
          <w:rFonts w:ascii="Arial" w:hAnsi="Arial" w:cs="Arial"/>
          <w:b/>
          <w:bCs/>
          <w:color w:val="000000"/>
          <w:sz w:val="20"/>
          <w:lang w:val="en-GB"/>
        </w:rPr>
        <w:t>client,</w:t>
      </w:r>
      <w:r w:rsidR="0069439A" w:rsidRPr="00604D97">
        <w:rPr>
          <w:rFonts w:ascii="Arial" w:hAnsi="Arial" w:cs="Arial"/>
          <w:color w:val="000000"/>
          <w:sz w:val="20"/>
          <w:lang w:val="en-GB"/>
        </w:rPr>
        <w:t xml:space="preserve"> potentially also subje</w:t>
      </w:r>
      <w:r w:rsidR="001F216B" w:rsidRPr="00604D97">
        <w:rPr>
          <w:rFonts w:ascii="Arial" w:hAnsi="Arial" w:cs="Arial"/>
          <w:color w:val="000000"/>
          <w:sz w:val="20"/>
          <w:lang w:val="en-GB"/>
        </w:rPr>
        <w:t>ct</w:t>
      </w:r>
      <w:r w:rsidR="00EB149B" w:rsidRPr="00604D97">
        <w:rPr>
          <w:rFonts w:ascii="Arial" w:hAnsi="Arial" w:cs="Arial"/>
          <w:color w:val="000000"/>
          <w:sz w:val="20"/>
          <w:lang w:val="en-GB"/>
        </w:rPr>
        <w:t xml:space="preserve">, as </w:t>
      </w:r>
      <w:r w:rsidR="000C6DB3" w:rsidRPr="00604D97">
        <w:rPr>
          <w:rFonts w:ascii="Arial" w:hAnsi="Arial" w:cs="Arial"/>
          <w:color w:val="000000"/>
          <w:sz w:val="20"/>
          <w:lang w:val="en-GB"/>
        </w:rPr>
        <w:t>a financial institution,</w:t>
      </w:r>
      <w:r w:rsidR="001F216B" w:rsidRPr="00604D97">
        <w:rPr>
          <w:rFonts w:ascii="Arial" w:hAnsi="Arial" w:cs="Arial"/>
          <w:color w:val="000000"/>
          <w:sz w:val="20"/>
          <w:lang w:val="en-GB"/>
        </w:rPr>
        <w:t xml:space="preserve"> to ESG requirements that may duplicate with the </w:t>
      </w:r>
      <w:r w:rsidR="00EC53C6" w:rsidRPr="00604D97">
        <w:rPr>
          <w:rFonts w:ascii="Arial" w:hAnsi="Arial" w:cs="Arial"/>
          <w:color w:val="000000"/>
          <w:sz w:val="20"/>
          <w:lang w:val="en-GB"/>
        </w:rPr>
        <w:t>o</w:t>
      </w:r>
      <w:r w:rsidR="00F62667" w:rsidRPr="00604D97">
        <w:rPr>
          <w:rFonts w:ascii="Arial" w:hAnsi="Arial" w:cs="Arial"/>
          <w:color w:val="000000"/>
          <w:sz w:val="20"/>
          <w:lang w:val="en-GB"/>
        </w:rPr>
        <w:t>nes made on distributor</w:t>
      </w:r>
      <w:r w:rsidR="00582759" w:rsidRPr="00604D97">
        <w:rPr>
          <w:rFonts w:ascii="Arial" w:hAnsi="Arial" w:cs="Arial"/>
          <w:color w:val="000000"/>
          <w:sz w:val="20"/>
          <w:lang w:val="en-GB"/>
        </w:rPr>
        <w:t xml:space="preserve">s: as an example, </w:t>
      </w:r>
      <w:r w:rsidR="000E366B" w:rsidRPr="00604D97">
        <w:rPr>
          <w:rFonts w:ascii="Arial" w:hAnsi="Arial" w:cs="Arial"/>
          <w:color w:val="000000"/>
          <w:sz w:val="20"/>
          <w:lang w:val="en-GB"/>
        </w:rPr>
        <w:t>an asset ma</w:t>
      </w:r>
      <w:r w:rsidR="00F3113C" w:rsidRPr="00604D97">
        <w:rPr>
          <w:rFonts w:ascii="Arial" w:hAnsi="Arial" w:cs="Arial"/>
          <w:color w:val="000000"/>
          <w:sz w:val="20"/>
          <w:lang w:val="en-GB"/>
        </w:rPr>
        <w:t>na</w:t>
      </w:r>
      <w:r w:rsidR="000E366B" w:rsidRPr="00604D97">
        <w:rPr>
          <w:rFonts w:ascii="Arial" w:hAnsi="Arial" w:cs="Arial"/>
          <w:color w:val="000000"/>
          <w:sz w:val="20"/>
          <w:lang w:val="en-GB"/>
        </w:rPr>
        <w:t xml:space="preserve">ger requiring </w:t>
      </w:r>
      <w:r w:rsidR="004020BC" w:rsidRPr="00604D97">
        <w:rPr>
          <w:rFonts w:ascii="Arial" w:hAnsi="Arial" w:cs="Arial"/>
          <w:color w:val="000000"/>
          <w:sz w:val="20"/>
          <w:lang w:val="en-GB"/>
        </w:rPr>
        <w:t>advice</w:t>
      </w:r>
      <w:r w:rsidR="000E366B" w:rsidRPr="00604D97">
        <w:rPr>
          <w:rFonts w:ascii="Arial" w:hAnsi="Arial" w:cs="Arial"/>
          <w:color w:val="000000"/>
          <w:sz w:val="20"/>
          <w:lang w:val="en-GB"/>
        </w:rPr>
        <w:t xml:space="preserve"> from an investment firm </w:t>
      </w:r>
      <w:r w:rsidR="00F3113C" w:rsidRPr="00604D97">
        <w:rPr>
          <w:rFonts w:ascii="Arial" w:hAnsi="Arial" w:cs="Arial"/>
          <w:color w:val="000000"/>
          <w:sz w:val="20"/>
          <w:lang w:val="en-GB"/>
        </w:rPr>
        <w:t xml:space="preserve">will be </w:t>
      </w:r>
      <w:r w:rsidR="00875C61" w:rsidRPr="00604D97">
        <w:rPr>
          <w:rFonts w:ascii="Arial" w:hAnsi="Arial" w:cs="Arial"/>
          <w:color w:val="000000"/>
          <w:sz w:val="20"/>
          <w:lang w:val="en-GB"/>
        </w:rPr>
        <w:t xml:space="preserve">implementing its own ESG </w:t>
      </w:r>
      <w:r w:rsidR="007C1556" w:rsidRPr="00604D97">
        <w:rPr>
          <w:rFonts w:ascii="Arial" w:hAnsi="Arial" w:cs="Arial"/>
          <w:color w:val="000000"/>
          <w:sz w:val="20"/>
          <w:lang w:val="en-GB"/>
        </w:rPr>
        <w:t xml:space="preserve">investment strategy under its own responsibility so that </w:t>
      </w:r>
      <w:r w:rsidR="000C5CFA" w:rsidRPr="00604D97">
        <w:rPr>
          <w:rFonts w:ascii="Arial" w:hAnsi="Arial" w:cs="Arial"/>
          <w:color w:val="000000"/>
          <w:sz w:val="20"/>
          <w:lang w:val="en-GB"/>
        </w:rPr>
        <w:t xml:space="preserve">a </w:t>
      </w:r>
      <w:r w:rsidR="00496C22" w:rsidRPr="00604D97">
        <w:rPr>
          <w:rFonts w:ascii="Arial" w:hAnsi="Arial" w:cs="Arial"/>
          <w:color w:val="000000"/>
          <w:sz w:val="20"/>
          <w:lang w:val="en-GB"/>
        </w:rPr>
        <w:t>new suitability check will most probably have no added value.</w:t>
      </w:r>
    </w:p>
    <w:p w14:paraId="63C33264" w14:textId="70666822" w:rsidR="00EC53C6" w:rsidRPr="00604D97" w:rsidRDefault="008554AD" w:rsidP="00970615">
      <w:pPr>
        <w:pStyle w:val="Paragraphedeliste"/>
        <w:numPr>
          <w:ilvl w:val="0"/>
          <w:numId w:val="18"/>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The advice requested by clients aim</w:t>
      </w:r>
      <w:r w:rsidR="007305BA" w:rsidRPr="00604D97">
        <w:rPr>
          <w:rFonts w:ascii="Arial" w:hAnsi="Arial" w:cs="Arial"/>
          <w:color w:val="000000"/>
          <w:sz w:val="20"/>
          <w:lang w:val="en-GB"/>
        </w:rPr>
        <w:t>s</w:t>
      </w:r>
      <w:r w:rsidRPr="00604D97">
        <w:rPr>
          <w:rFonts w:ascii="Arial" w:hAnsi="Arial" w:cs="Arial"/>
          <w:color w:val="000000"/>
          <w:sz w:val="20"/>
          <w:lang w:val="en-GB"/>
        </w:rPr>
        <w:t xml:space="preserve"> at </w:t>
      </w:r>
      <w:r w:rsidRPr="00604D97">
        <w:rPr>
          <w:rFonts w:ascii="Arial" w:hAnsi="Arial" w:cs="Arial"/>
          <w:b/>
          <w:bCs/>
          <w:color w:val="000000"/>
          <w:sz w:val="20"/>
          <w:lang w:val="en-GB"/>
        </w:rPr>
        <w:t xml:space="preserve">hedging an existing </w:t>
      </w:r>
      <w:r w:rsidR="00DE6594" w:rsidRPr="00604D97">
        <w:rPr>
          <w:rFonts w:ascii="Arial" w:hAnsi="Arial" w:cs="Arial"/>
          <w:b/>
          <w:bCs/>
          <w:color w:val="000000"/>
          <w:sz w:val="20"/>
          <w:lang w:val="en-GB"/>
        </w:rPr>
        <w:t>exposure</w:t>
      </w:r>
      <w:r w:rsidR="00DE6594" w:rsidRPr="00604D97">
        <w:rPr>
          <w:rFonts w:ascii="Arial" w:hAnsi="Arial" w:cs="Arial"/>
          <w:color w:val="000000"/>
          <w:sz w:val="20"/>
          <w:lang w:val="en-GB"/>
        </w:rPr>
        <w:t>. In such case, ESG preference</w:t>
      </w:r>
      <w:r w:rsidR="00605584" w:rsidRPr="00604D97">
        <w:rPr>
          <w:rFonts w:ascii="Arial" w:hAnsi="Arial" w:cs="Arial"/>
          <w:color w:val="000000"/>
          <w:sz w:val="20"/>
          <w:lang w:val="en-GB"/>
        </w:rPr>
        <w:t>s</w:t>
      </w:r>
      <w:r w:rsidR="00DE6594" w:rsidRPr="00604D97">
        <w:rPr>
          <w:rFonts w:ascii="Arial" w:hAnsi="Arial" w:cs="Arial"/>
          <w:color w:val="000000"/>
          <w:sz w:val="20"/>
          <w:lang w:val="en-GB"/>
        </w:rPr>
        <w:t xml:space="preserve">, </w:t>
      </w:r>
      <w:r w:rsidR="00605584" w:rsidRPr="00604D97">
        <w:rPr>
          <w:rFonts w:ascii="Arial" w:hAnsi="Arial" w:cs="Arial"/>
          <w:color w:val="000000"/>
          <w:sz w:val="20"/>
          <w:lang w:val="en-GB"/>
        </w:rPr>
        <w:t xml:space="preserve">according </w:t>
      </w:r>
      <w:r w:rsidR="00DE6594" w:rsidRPr="00604D97">
        <w:rPr>
          <w:rFonts w:ascii="Arial" w:hAnsi="Arial" w:cs="Arial"/>
          <w:color w:val="000000"/>
          <w:sz w:val="20"/>
          <w:lang w:val="en-GB"/>
        </w:rPr>
        <w:t xml:space="preserve">to </w:t>
      </w:r>
      <w:r w:rsidR="00E67976" w:rsidRPr="00604D97">
        <w:rPr>
          <w:rFonts w:ascii="Arial" w:hAnsi="Arial" w:cs="Arial"/>
          <w:color w:val="000000"/>
          <w:sz w:val="20"/>
          <w:lang w:val="en-GB"/>
        </w:rPr>
        <w:t>FBF</w:t>
      </w:r>
      <w:r w:rsidR="00DE6594" w:rsidRPr="00604D97">
        <w:rPr>
          <w:rFonts w:ascii="Arial" w:hAnsi="Arial" w:cs="Arial"/>
          <w:color w:val="000000"/>
          <w:sz w:val="20"/>
          <w:lang w:val="en-GB"/>
        </w:rPr>
        <w:t xml:space="preserve"> do not make any sense.</w:t>
      </w:r>
    </w:p>
    <w:p w14:paraId="6C353981" w14:textId="77777777" w:rsidR="00F62667" w:rsidRPr="00604D97" w:rsidRDefault="00F62667" w:rsidP="00BB4BD7">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0DA00222" w14:textId="23B5E4FA" w:rsidR="009E211B" w:rsidRPr="00604D97" w:rsidRDefault="00892024"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r w:rsidRPr="00604D97">
        <w:rPr>
          <w:rFonts w:ascii="Arial" w:eastAsia="Times New Roman" w:hAnsi="Arial" w:cs="Arial"/>
          <w:color w:val="000000"/>
          <w:sz w:val="20"/>
          <w:szCs w:val="20"/>
          <w:lang w:val="en-GB" w:eastAsia="fr-FR"/>
        </w:rPr>
        <w:t xml:space="preserve">This should, in </w:t>
      </w:r>
      <w:r w:rsidR="00E67976" w:rsidRPr="00604D97">
        <w:rPr>
          <w:rFonts w:ascii="Arial" w:eastAsia="Times New Roman" w:hAnsi="Arial" w:cs="Arial"/>
          <w:color w:val="000000"/>
          <w:sz w:val="20"/>
          <w:szCs w:val="20"/>
          <w:lang w:val="en-GB" w:eastAsia="fr-FR"/>
        </w:rPr>
        <w:t>FBF</w:t>
      </w:r>
      <w:r w:rsidRPr="00604D97">
        <w:rPr>
          <w:rFonts w:ascii="Arial" w:eastAsia="Times New Roman" w:hAnsi="Arial" w:cs="Arial"/>
          <w:color w:val="000000"/>
          <w:sz w:val="20"/>
          <w:szCs w:val="20"/>
          <w:lang w:val="en-GB" w:eastAsia="fr-FR"/>
        </w:rPr>
        <w:t xml:space="preserve">’s view, also be clarified in the </w:t>
      </w:r>
      <w:r w:rsidR="00605584" w:rsidRPr="00604D97">
        <w:rPr>
          <w:rFonts w:ascii="Arial" w:eastAsia="Times New Roman" w:hAnsi="Arial" w:cs="Arial"/>
          <w:color w:val="000000"/>
          <w:sz w:val="20"/>
          <w:szCs w:val="20"/>
          <w:lang w:val="en-GB" w:eastAsia="fr-FR"/>
        </w:rPr>
        <w:t xml:space="preserve">Draft </w:t>
      </w:r>
      <w:r w:rsidR="00FF25B3" w:rsidRPr="00604D97">
        <w:rPr>
          <w:rFonts w:ascii="Arial" w:eastAsia="Times New Roman" w:hAnsi="Arial" w:cs="Arial"/>
          <w:color w:val="000000"/>
          <w:sz w:val="20"/>
          <w:szCs w:val="20"/>
          <w:lang w:val="en-GB" w:eastAsia="fr-FR"/>
        </w:rPr>
        <w:t>g</w:t>
      </w:r>
      <w:r w:rsidRPr="00604D97">
        <w:rPr>
          <w:rFonts w:ascii="Arial" w:eastAsia="Times New Roman" w:hAnsi="Arial" w:cs="Arial"/>
          <w:color w:val="000000"/>
          <w:sz w:val="20"/>
          <w:szCs w:val="20"/>
          <w:lang w:val="en-GB" w:eastAsia="fr-FR"/>
        </w:rPr>
        <w:t xml:space="preserve">uidelines. </w:t>
      </w:r>
    </w:p>
    <w:p w14:paraId="3A4518DD" w14:textId="6A1C019E" w:rsidR="00E72D4C" w:rsidRPr="00604D97" w:rsidRDefault="00E72D4C"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4F770727" w14:textId="77777777" w:rsidR="002F34F2" w:rsidRPr="00EC00A5" w:rsidRDefault="002F34F2" w:rsidP="00731FD9">
      <w:pPr>
        <w:autoSpaceDE w:val="0"/>
        <w:autoSpaceDN w:val="0"/>
        <w:adjustRightInd w:val="0"/>
        <w:spacing w:after="0" w:line="240" w:lineRule="atLeast"/>
        <w:jc w:val="both"/>
        <w:rPr>
          <w:rFonts w:ascii="Arial" w:eastAsia="Times New Roman" w:hAnsi="Arial" w:cs="Arial"/>
          <w:sz w:val="20"/>
          <w:szCs w:val="20"/>
          <w:lang w:val="en-GB" w:eastAsia="fr-FR"/>
        </w:rPr>
      </w:pPr>
    </w:p>
    <w:p w14:paraId="265087F1" w14:textId="6EC894CE" w:rsidR="00067DA0" w:rsidRPr="00EC00A5" w:rsidRDefault="00067DA0" w:rsidP="00731FD9">
      <w:pPr>
        <w:autoSpaceDE w:val="0"/>
        <w:autoSpaceDN w:val="0"/>
        <w:adjustRightInd w:val="0"/>
        <w:spacing w:after="0" w:line="240" w:lineRule="atLeast"/>
        <w:jc w:val="both"/>
        <w:rPr>
          <w:rFonts w:ascii="Arial" w:eastAsia="Times New Roman" w:hAnsi="Arial" w:cs="Arial"/>
          <w:b/>
          <w:bCs/>
          <w:sz w:val="20"/>
          <w:szCs w:val="20"/>
          <w:lang w:val="en-GB" w:eastAsia="fr-FR"/>
        </w:rPr>
      </w:pPr>
      <w:r w:rsidRPr="00EC00A5">
        <w:rPr>
          <w:rFonts w:ascii="Arial" w:eastAsia="Times New Roman" w:hAnsi="Arial" w:cs="Arial"/>
          <w:b/>
          <w:bCs/>
          <w:sz w:val="20"/>
          <w:szCs w:val="20"/>
          <w:lang w:val="en-GB" w:eastAsia="fr-FR"/>
        </w:rPr>
        <w:t>Q5</w:t>
      </w:r>
      <w:r w:rsidRPr="00EC00A5">
        <w:rPr>
          <w:rFonts w:ascii="Arial" w:eastAsia="Times New Roman" w:hAnsi="Arial" w:cs="Arial"/>
          <w:b/>
          <w:bCs/>
          <w:sz w:val="20"/>
          <w:szCs w:val="20"/>
          <w:lang w:val="en-GB" w:eastAsia="fr-FR"/>
        </w:rPr>
        <w:tab/>
      </w:r>
      <w:r w:rsidR="00327814" w:rsidRPr="00EC00A5">
        <w:rPr>
          <w:rFonts w:ascii="Arial" w:eastAsia="Times New Roman" w:hAnsi="Arial" w:cs="Arial"/>
          <w:b/>
          <w:bCs/>
          <w:sz w:val="20"/>
          <w:szCs w:val="20"/>
          <w:lang w:val="en-GB" w:eastAsia="fr-FR"/>
        </w:rPr>
        <w:t>Where clients have expressed preference for more than one of the three categories of products referred to in letters a), b) or c) of the definition of Article 2(7) of the MiFID II Delegated Regulation, do you think that the Guidelines should provide additional guidance about what is precisely expected from advisors when investigating and prioritizing these simultaneous / overlapping preferences?</w:t>
      </w:r>
    </w:p>
    <w:p w14:paraId="20019C26" w14:textId="78D01446" w:rsidR="00327814" w:rsidRPr="00EC00A5" w:rsidRDefault="00327814" w:rsidP="00731FD9">
      <w:pPr>
        <w:autoSpaceDE w:val="0"/>
        <w:autoSpaceDN w:val="0"/>
        <w:adjustRightInd w:val="0"/>
        <w:spacing w:after="0" w:line="240" w:lineRule="atLeast"/>
        <w:jc w:val="both"/>
        <w:rPr>
          <w:rFonts w:ascii="Arial" w:eastAsia="Times New Roman" w:hAnsi="Arial" w:cs="Arial"/>
          <w:b/>
          <w:bCs/>
          <w:sz w:val="20"/>
          <w:szCs w:val="20"/>
          <w:lang w:val="en-GB" w:eastAsia="fr-FR"/>
        </w:rPr>
      </w:pPr>
    </w:p>
    <w:p w14:paraId="7EEDD978" w14:textId="141E11C8" w:rsidR="00CA76FC" w:rsidRPr="00604D97" w:rsidRDefault="00267ECF" w:rsidP="00970615">
      <w:pPr>
        <w:autoSpaceDE w:val="0"/>
        <w:autoSpaceDN w:val="0"/>
        <w:adjustRightInd w:val="0"/>
        <w:spacing w:after="0" w:line="240" w:lineRule="atLeast"/>
        <w:jc w:val="both"/>
        <w:rPr>
          <w:rFonts w:ascii="Arial" w:hAnsi="Arial" w:cs="Arial"/>
          <w:color w:val="000000"/>
          <w:sz w:val="20"/>
          <w:lang w:val="en-GB"/>
        </w:rPr>
      </w:pPr>
      <w:bookmarkStart w:id="7" w:name="_Hlk97054574"/>
      <w:r w:rsidRPr="00604D97">
        <w:rPr>
          <w:rFonts w:ascii="Arial" w:hAnsi="Arial" w:cs="Arial"/>
          <w:color w:val="000000"/>
          <w:sz w:val="20"/>
          <w:lang w:val="en-GB"/>
        </w:rPr>
        <w:t>Yes</w:t>
      </w:r>
      <w:r w:rsidR="00CA76FC" w:rsidRPr="00604D97">
        <w:rPr>
          <w:rFonts w:ascii="Arial" w:hAnsi="Arial" w:cs="Arial"/>
          <w:color w:val="000000"/>
          <w:sz w:val="20"/>
          <w:lang w:val="en-GB"/>
        </w:rPr>
        <w:t xml:space="preserve">. Two essential points, in </w:t>
      </w:r>
      <w:r w:rsidR="00E67976" w:rsidRPr="00604D97">
        <w:rPr>
          <w:rFonts w:ascii="Arial" w:hAnsi="Arial" w:cs="Arial"/>
          <w:color w:val="000000"/>
          <w:sz w:val="20"/>
          <w:lang w:val="en-GB"/>
        </w:rPr>
        <w:t>FBF</w:t>
      </w:r>
      <w:r w:rsidR="00CA76FC" w:rsidRPr="00604D97">
        <w:rPr>
          <w:rFonts w:ascii="Arial" w:hAnsi="Arial" w:cs="Arial"/>
          <w:color w:val="000000"/>
          <w:sz w:val="20"/>
          <w:lang w:val="en-GB"/>
        </w:rPr>
        <w:t xml:space="preserve">’s </w:t>
      </w:r>
      <w:r w:rsidR="00F75C7C" w:rsidRPr="00604D97">
        <w:rPr>
          <w:rFonts w:ascii="Arial" w:hAnsi="Arial" w:cs="Arial"/>
          <w:color w:val="000000"/>
          <w:sz w:val="20"/>
          <w:lang w:val="en-GB"/>
        </w:rPr>
        <w:t>view,</w:t>
      </w:r>
      <w:r w:rsidR="00CA76FC" w:rsidRPr="00604D97">
        <w:rPr>
          <w:rFonts w:ascii="Arial" w:hAnsi="Arial" w:cs="Arial"/>
          <w:color w:val="000000"/>
          <w:sz w:val="20"/>
          <w:lang w:val="en-GB"/>
        </w:rPr>
        <w:t xml:space="preserve"> need to be expressly clarified in the </w:t>
      </w:r>
      <w:r w:rsidR="00FF25B3" w:rsidRPr="00604D97">
        <w:rPr>
          <w:rFonts w:ascii="Arial" w:hAnsi="Arial" w:cs="Arial"/>
          <w:color w:val="000000"/>
          <w:sz w:val="20"/>
          <w:lang w:val="en-GB"/>
        </w:rPr>
        <w:t>Draft g</w:t>
      </w:r>
      <w:r w:rsidR="00CA76FC" w:rsidRPr="00604D97">
        <w:rPr>
          <w:rFonts w:ascii="Arial" w:hAnsi="Arial" w:cs="Arial"/>
          <w:color w:val="000000"/>
          <w:sz w:val="20"/>
          <w:lang w:val="en-GB"/>
        </w:rPr>
        <w:t>uidelines:</w:t>
      </w:r>
    </w:p>
    <w:p w14:paraId="5A27498F" w14:textId="68FC3AAE" w:rsidR="00173AFF" w:rsidRPr="00604D97" w:rsidRDefault="00B8034F" w:rsidP="00CA76FC">
      <w:pPr>
        <w:pStyle w:val="Paragraphedeliste"/>
        <w:numPr>
          <w:ilvl w:val="0"/>
          <w:numId w:val="18"/>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As previously stated under a</w:t>
      </w:r>
      <w:r w:rsidR="00856377" w:rsidRPr="00604D97">
        <w:rPr>
          <w:rFonts w:ascii="Arial" w:hAnsi="Arial" w:cs="Arial"/>
          <w:color w:val="000000"/>
          <w:sz w:val="20"/>
          <w:lang w:val="en-GB"/>
        </w:rPr>
        <w:t>ns</w:t>
      </w:r>
      <w:r w:rsidRPr="00604D97">
        <w:rPr>
          <w:rFonts w:ascii="Arial" w:hAnsi="Arial" w:cs="Arial"/>
          <w:color w:val="000000"/>
          <w:sz w:val="20"/>
          <w:lang w:val="en-GB"/>
        </w:rPr>
        <w:t xml:space="preserve">wer to Q4, </w:t>
      </w:r>
      <w:r w:rsidR="00E67976" w:rsidRPr="00604D97">
        <w:rPr>
          <w:rFonts w:ascii="Arial" w:hAnsi="Arial" w:cs="Arial"/>
          <w:color w:val="000000"/>
          <w:sz w:val="20"/>
          <w:lang w:val="en-GB"/>
        </w:rPr>
        <w:t>FBF</w:t>
      </w:r>
      <w:r w:rsidR="00173AFF" w:rsidRPr="00604D97">
        <w:rPr>
          <w:rFonts w:ascii="Arial" w:hAnsi="Arial" w:cs="Arial"/>
          <w:color w:val="000000"/>
          <w:sz w:val="20"/>
          <w:lang w:val="en-GB"/>
        </w:rPr>
        <w:t xml:space="preserve">’s reading is that </w:t>
      </w:r>
      <w:r w:rsidR="00173AFF" w:rsidRPr="00604D97">
        <w:rPr>
          <w:rFonts w:ascii="Arial" w:hAnsi="Arial" w:cs="Arial"/>
          <w:b/>
          <w:bCs/>
          <w:color w:val="000000"/>
          <w:sz w:val="20"/>
          <w:lang w:val="en-GB"/>
        </w:rPr>
        <w:t>positive answers to questions on a)</w:t>
      </w:r>
      <w:r w:rsidR="00EA7F40" w:rsidRPr="00604D97">
        <w:rPr>
          <w:rFonts w:ascii="Arial" w:hAnsi="Arial" w:cs="Arial"/>
          <w:b/>
          <w:bCs/>
          <w:color w:val="000000"/>
          <w:sz w:val="20"/>
          <w:lang w:val="en-GB"/>
        </w:rPr>
        <w:t>,</w:t>
      </w:r>
      <w:r w:rsidR="00173AFF" w:rsidRPr="00604D97">
        <w:rPr>
          <w:rFonts w:ascii="Arial" w:hAnsi="Arial" w:cs="Arial"/>
          <w:b/>
          <w:bCs/>
          <w:color w:val="000000"/>
          <w:sz w:val="20"/>
          <w:lang w:val="en-GB"/>
        </w:rPr>
        <w:t xml:space="preserve"> b) and c) preferences should be read as allowing the ISP to advice on either financial </w:t>
      </w:r>
      <w:proofErr w:type="gramStart"/>
      <w:r w:rsidR="00173AFF" w:rsidRPr="00604D97">
        <w:rPr>
          <w:rFonts w:ascii="Arial" w:hAnsi="Arial" w:cs="Arial"/>
          <w:b/>
          <w:bCs/>
          <w:color w:val="000000"/>
          <w:sz w:val="20"/>
          <w:lang w:val="en-GB"/>
        </w:rPr>
        <w:t>instruments</w:t>
      </w:r>
      <w:proofErr w:type="gramEnd"/>
      <w:r w:rsidR="00173AFF" w:rsidRPr="00604D97">
        <w:rPr>
          <w:rFonts w:ascii="Arial" w:hAnsi="Arial" w:cs="Arial"/>
          <w:b/>
          <w:bCs/>
          <w:color w:val="000000"/>
          <w:sz w:val="20"/>
          <w:lang w:val="en-GB"/>
        </w:rPr>
        <w:t xml:space="preserve"> with a or b or c characteristics.</w:t>
      </w:r>
      <w:r w:rsidR="00173AFF" w:rsidRPr="00604D97">
        <w:rPr>
          <w:rFonts w:ascii="Arial" w:hAnsi="Arial" w:cs="Arial"/>
          <w:color w:val="000000"/>
          <w:sz w:val="20"/>
          <w:lang w:val="en-GB"/>
        </w:rPr>
        <w:t xml:space="preserve"> Such reading is, according to </w:t>
      </w:r>
      <w:r w:rsidR="00E67976" w:rsidRPr="00604D97">
        <w:rPr>
          <w:rFonts w:ascii="Arial" w:hAnsi="Arial" w:cs="Arial"/>
          <w:color w:val="000000"/>
          <w:sz w:val="20"/>
          <w:lang w:val="en-GB"/>
        </w:rPr>
        <w:t>FBF</w:t>
      </w:r>
      <w:r w:rsidR="00173AFF" w:rsidRPr="00604D97">
        <w:rPr>
          <w:rFonts w:ascii="Arial" w:hAnsi="Arial" w:cs="Arial"/>
          <w:color w:val="000000"/>
          <w:sz w:val="20"/>
          <w:lang w:val="en-GB"/>
        </w:rPr>
        <w:t>, in line with the upcoming Article 2. 7 Delegated Regulation (EU) 2017/565 that requires clients to choose “</w:t>
      </w:r>
      <w:r w:rsidR="00173AFF" w:rsidRPr="00604D97">
        <w:rPr>
          <w:rFonts w:ascii="Arial" w:hAnsi="Arial" w:cs="Arial"/>
          <w:i/>
          <w:iCs/>
          <w:color w:val="000000"/>
          <w:sz w:val="20"/>
          <w:lang w:val="en-GB"/>
        </w:rPr>
        <w:t xml:space="preserve">as to whether and, if so, to what extent, </w:t>
      </w:r>
      <w:r w:rsidR="00173AFF" w:rsidRPr="00604D97">
        <w:rPr>
          <w:rFonts w:ascii="Arial" w:hAnsi="Arial" w:cs="Arial"/>
          <w:b/>
          <w:bCs/>
          <w:i/>
          <w:iCs/>
          <w:color w:val="000000"/>
          <w:sz w:val="20"/>
          <w:lang w:val="en-GB"/>
        </w:rPr>
        <w:t>one or more</w:t>
      </w:r>
      <w:r w:rsidR="00173AFF" w:rsidRPr="00604D97">
        <w:rPr>
          <w:rFonts w:ascii="Arial" w:hAnsi="Arial" w:cs="Arial"/>
          <w:i/>
          <w:iCs/>
          <w:color w:val="000000"/>
          <w:sz w:val="20"/>
          <w:lang w:val="en-GB"/>
        </w:rPr>
        <w:t xml:space="preserve"> of the following financial instruments shall be integrated into his or her investment</w:t>
      </w:r>
      <w:r w:rsidR="00967515" w:rsidRPr="00604D97">
        <w:rPr>
          <w:rFonts w:ascii="Arial" w:hAnsi="Arial" w:cs="Arial"/>
          <w:color w:val="000000"/>
          <w:sz w:val="20"/>
          <w:lang w:val="en-GB"/>
        </w:rPr>
        <w:t xml:space="preserve"> (</w:t>
      </w:r>
      <w:r w:rsidR="00173AFF" w:rsidRPr="00604D97">
        <w:rPr>
          <w:rFonts w:ascii="Arial" w:hAnsi="Arial" w:cs="Arial"/>
          <w:color w:val="000000"/>
          <w:sz w:val="20"/>
          <w:lang w:val="en-GB"/>
        </w:rPr>
        <w:t>…</w:t>
      </w:r>
      <w:r w:rsidR="00967515" w:rsidRPr="00604D97">
        <w:rPr>
          <w:rFonts w:ascii="Arial" w:hAnsi="Arial" w:cs="Arial"/>
          <w:color w:val="000000"/>
          <w:sz w:val="20"/>
          <w:lang w:val="en-GB"/>
        </w:rPr>
        <w:t>)</w:t>
      </w:r>
      <w:r w:rsidR="00173AFF" w:rsidRPr="00604D97">
        <w:rPr>
          <w:rFonts w:ascii="Arial" w:hAnsi="Arial" w:cs="Arial"/>
          <w:color w:val="000000"/>
          <w:sz w:val="20"/>
          <w:lang w:val="en-GB"/>
        </w:rPr>
        <w:t xml:space="preserve">”. </w:t>
      </w:r>
      <w:r w:rsidR="003E537F" w:rsidRPr="00604D97">
        <w:rPr>
          <w:rFonts w:ascii="Arial" w:hAnsi="Arial" w:cs="Arial"/>
          <w:color w:val="000000"/>
          <w:sz w:val="20"/>
          <w:lang w:val="en-GB"/>
        </w:rPr>
        <w:t>According t</w:t>
      </w:r>
      <w:r w:rsidR="00173AFF" w:rsidRPr="00604D97">
        <w:rPr>
          <w:rFonts w:ascii="Arial" w:hAnsi="Arial" w:cs="Arial"/>
          <w:color w:val="000000"/>
          <w:sz w:val="20"/>
          <w:lang w:val="en-GB"/>
        </w:rPr>
        <w:t xml:space="preserve">o </w:t>
      </w:r>
      <w:r w:rsidR="00E67976" w:rsidRPr="00604D97">
        <w:rPr>
          <w:rFonts w:ascii="Arial" w:hAnsi="Arial" w:cs="Arial"/>
          <w:color w:val="000000"/>
          <w:sz w:val="20"/>
          <w:lang w:val="en-GB"/>
        </w:rPr>
        <w:t>FBF</w:t>
      </w:r>
      <w:r w:rsidR="00173AFF" w:rsidRPr="00604D97">
        <w:rPr>
          <w:rFonts w:ascii="Arial" w:hAnsi="Arial" w:cs="Arial"/>
          <w:color w:val="000000"/>
          <w:sz w:val="20"/>
          <w:lang w:val="en-GB"/>
        </w:rPr>
        <w:t xml:space="preserve">, such drafting, without any ambiguity, leaves room for achieving clients’ ESG preferences either through </w:t>
      </w:r>
      <w:r w:rsidR="00173AFF" w:rsidRPr="00604D97">
        <w:rPr>
          <w:rFonts w:ascii="Arial" w:hAnsi="Arial" w:cs="Arial"/>
          <w:b/>
          <w:bCs/>
          <w:color w:val="000000"/>
          <w:sz w:val="20"/>
          <w:lang w:val="en-GB"/>
        </w:rPr>
        <w:t xml:space="preserve">one or through several instruments </w:t>
      </w:r>
      <w:r w:rsidR="00173AFF" w:rsidRPr="00604D97">
        <w:rPr>
          <w:rFonts w:ascii="Arial" w:hAnsi="Arial" w:cs="Arial"/>
          <w:color w:val="000000"/>
          <w:sz w:val="20"/>
          <w:lang w:val="en-GB"/>
        </w:rPr>
        <w:t>meaning that if the client choses the 3 criteria a)</w:t>
      </w:r>
      <w:r w:rsidR="00967515" w:rsidRPr="00604D97">
        <w:rPr>
          <w:rFonts w:ascii="Arial" w:hAnsi="Arial" w:cs="Arial"/>
          <w:color w:val="000000"/>
          <w:sz w:val="20"/>
          <w:lang w:val="en-GB"/>
        </w:rPr>
        <w:t>,</w:t>
      </w:r>
      <w:r w:rsidR="00173AFF" w:rsidRPr="00604D97">
        <w:rPr>
          <w:rFonts w:ascii="Arial" w:hAnsi="Arial" w:cs="Arial"/>
          <w:color w:val="000000"/>
          <w:sz w:val="20"/>
          <w:lang w:val="en-GB"/>
        </w:rPr>
        <w:t xml:space="preserve"> b) and c), his</w:t>
      </w:r>
      <w:r w:rsidR="00284ECA" w:rsidRPr="00604D97">
        <w:rPr>
          <w:rFonts w:ascii="Arial" w:hAnsi="Arial" w:cs="Arial"/>
          <w:color w:val="000000"/>
          <w:sz w:val="20"/>
          <w:lang w:val="en-GB"/>
        </w:rPr>
        <w:t>/her</w:t>
      </w:r>
      <w:r w:rsidR="00173AFF" w:rsidRPr="00604D97">
        <w:rPr>
          <w:rFonts w:ascii="Arial" w:hAnsi="Arial" w:cs="Arial"/>
          <w:color w:val="000000"/>
          <w:sz w:val="20"/>
          <w:lang w:val="en-GB"/>
        </w:rPr>
        <w:t xml:space="preserve"> preferences could be met either through advising only financial instruments presenting the 3 characteristics or through advising financial instruments that all together, meet the 3 criteria. It also </w:t>
      </w:r>
      <w:proofErr w:type="gramStart"/>
      <w:r w:rsidR="00173AFF" w:rsidRPr="00604D97">
        <w:rPr>
          <w:rFonts w:ascii="Arial" w:hAnsi="Arial" w:cs="Arial"/>
          <w:color w:val="000000"/>
          <w:sz w:val="20"/>
          <w:lang w:val="en-GB"/>
        </w:rPr>
        <w:t>has to</w:t>
      </w:r>
      <w:proofErr w:type="gramEnd"/>
      <w:r w:rsidR="00173AFF" w:rsidRPr="00604D97">
        <w:rPr>
          <w:rFonts w:ascii="Arial" w:hAnsi="Arial" w:cs="Arial"/>
          <w:color w:val="000000"/>
          <w:sz w:val="20"/>
          <w:lang w:val="en-GB"/>
        </w:rPr>
        <w:t xml:space="preserve"> be noted that § 24 of section 2.2 states that</w:t>
      </w:r>
      <w:r w:rsidR="00173AFF" w:rsidRPr="00604D97">
        <w:rPr>
          <w:rFonts w:ascii="Arial" w:hAnsi="Arial" w:cs="Arial"/>
          <w:i/>
          <w:iCs/>
          <w:color w:val="000000"/>
          <w:sz w:val="20"/>
          <w:lang w:val="en-GB"/>
        </w:rPr>
        <w:t xml:space="preserve"> </w:t>
      </w:r>
      <w:r w:rsidR="00284ECA" w:rsidRPr="00604D97">
        <w:rPr>
          <w:rFonts w:ascii="Arial" w:hAnsi="Arial" w:cs="Arial"/>
          <w:color w:val="000000"/>
          <w:sz w:val="20"/>
          <w:lang w:val="en-GB"/>
        </w:rPr>
        <w:t>“</w:t>
      </w:r>
      <w:r w:rsidR="00173AFF" w:rsidRPr="00604D97">
        <w:rPr>
          <w:rFonts w:ascii="Arial" w:hAnsi="Arial" w:cs="Arial"/>
          <w:i/>
          <w:iCs/>
          <w:color w:val="000000"/>
          <w:sz w:val="20"/>
          <w:lang w:val="en-GB"/>
        </w:rPr>
        <w:t>information collected on clients’ ESG preferences should allow for a combination of the different aspects included under the definition of sustainability preferences</w:t>
      </w:r>
      <w:r w:rsidR="00173AFF" w:rsidRPr="00604D97">
        <w:rPr>
          <w:rFonts w:ascii="Arial" w:hAnsi="Arial" w:cs="Arial"/>
          <w:color w:val="000000"/>
          <w:sz w:val="20"/>
          <w:lang w:val="en-GB"/>
        </w:rPr>
        <w:t xml:space="preserve">”. </w:t>
      </w:r>
      <w:r w:rsidR="009D3228" w:rsidRPr="00604D97">
        <w:rPr>
          <w:rFonts w:ascii="Arial" w:hAnsi="Arial" w:cs="Arial"/>
          <w:color w:val="000000"/>
          <w:sz w:val="20"/>
          <w:lang w:val="en-GB"/>
        </w:rPr>
        <w:t xml:space="preserve">In </w:t>
      </w:r>
      <w:r w:rsidR="00E67976" w:rsidRPr="00604D97">
        <w:rPr>
          <w:rFonts w:ascii="Arial" w:hAnsi="Arial" w:cs="Arial"/>
          <w:color w:val="000000"/>
          <w:sz w:val="20"/>
          <w:lang w:val="en-GB"/>
        </w:rPr>
        <w:t>FBF</w:t>
      </w:r>
      <w:r w:rsidR="009D3228" w:rsidRPr="00604D97">
        <w:rPr>
          <w:rFonts w:ascii="Arial" w:hAnsi="Arial" w:cs="Arial"/>
          <w:color w:val="000000"/>
          <w:sz w:val="20"/>
          <w:lang w:val="en-GB"/>
        </w:rPr>
        <w:t>’s opinion</w:t>
      </w:r>
      <w:r w:rsidR="00173AFF" w:rsidRPr="00604D97">
        <w:rPr>
          <w:rFonts w:ascii="Arial" w:hAnsi="Arial" w:cs="Arial"/>
          <w:color w:val="000000"/>
          <w:sz w:val="20"/>
          <w:lang w:val="en-GB"/>
        </w:rPr>
        <w:t xml:space="preserve">, such clarification only makes sense in </w:t>
      </w:r>
      <w:r w:rsidR="009D3228" w:rsidRPr="00604D97">
        <w:rPr>
          <w:rFonts w:ascii="Arial" w:hAnsi="Arial" w:cs="Arial"/>
          <w:color w:val="000000"/>
          <w:sz w:val="20"/>
          <w:lang w:val="en-GB"/>
        </w:rPr>
        <w:t xml:space="preserve">the </w:t>
      </w:r>
      <w:r w:rsidR="00173AFF" w:rsidRPr="00604D97">
        <w:rPr>
          <w:rFonts w:ascii="Arial" w:hAnsi="Arial" w:cs="Arial"/>
          <w:color w:val="000000"/>
          <w:sz w:val="20"/>
          <w:lang w:val="en-GB"/>
        </w:rPr>
        <w:t>case the preferences were to be viewed, at first as alternative. Finally, such reading seems essential</w:t>
      </w:r>
      <w:r w:rsidR="00173AFF" w:rsidRPr="00604D97">
        <w:rPr>
          <w:rFonts w:ascii="Arial" w:hAnsi="Arial" w:cs="Arial"/>
          <w:b/>
          <w:bCs/>
          <w:color w:val="000000"/>
          <w:sz w:val="20"/>
          <w:lang w:val="en-GB"/>
        </w:rPr>
        <w:t xml:space="preserve"> </w:t>
      </w:r>
      <w:r w:rsidR="00173AFF" w:rsidRPr="00604D97">
        <w:rPr>
          <w:rFonts w:ascii="Arial" w:hAnsi="Arial" w:cs="Arial"/>
          <w:color w:val="000000"/>
          <w:sz w:val="20"/>
          <w:lang w:val="en-GB"/>
        </w:rPr>
        <w:t>to allow more flexibility on the advice provided to client</w:t>
      </w:r>
      <w:r w:rsidR="009D3228" w:rsidRPr="00604D97">
        <w:rPr>
          <w:rFonts w:ascii="Arial" w:hAnsi="Arial" w:cs="Arial"/>
          <w:color w:val="000000"/>
          <w:sz w:val="20"/>
          <w:lang w:val="en-GB"/>
        </w:rPr>
        <w:t>s</w:t>
      </w:r>
      <w:r w:rsidR="00456360" w:rsidRPr="00604D97">
        <w:rPr>
          <w:rFonts w:ascii="Arial" w:hAnsi="Arial" w:cs="Arial"/>
          <w:color w:val="000000"/>
          <w:sz w:val="20"/>
          <w:lang w:val="en-GB"/>
        </w:rPr>
        <w:t xml:space="preserve"> considering</w:t>
      </w:r>
      <w:r w:rsidR="00173AFF" w:rsidRPr="00604D97">
        <w:rPr>
          <w:rFonts w:ascii="Arial" w:hAnsi="Arial" w:cs="Arial"/>
          <w:color w:val="000000"/>
          <w:sz w:val="20"/>
          <w:lang w:val="en-GB"/>
        </w:rPr>
        <w:t xml:space="preserve"> the lack of maturity of the market on ESG criteria.</w:t>
      </w:r>
    </w:p>
    <w:p w14:paraId="4049C506" w14:textId="2A748933" w:rsidR="00BD5BE9" w:rsidRPr="009E4F74" w:rsidRDefault="005E4169" w:rsidP="005E4169">
      <w:pPr>
        <w:pStyle w:val="Paragraphedeliste"/>
        <w:numPr>
          <w:ilvl w:val="0"/>
          <w:numId w:val="18"/>
        </w:numPr>
        <w:autoSpaceDE w:val="0"/>
        <w:autoSpaceDN w:val="0"/>
        <w:adjustRightInd w:val="0"/>
        <w:spacing w:after="0" w:line="240" w:lineRule="atLeast"/>
        <w:jc w:val="both"/>
        <w:rPr>
          <w:rFonts w:ascii="Arial" w:hAnsi="Arial" w:cs="Arial"/>
          <w:color w:val="000000"/>
          <w:sz w:val="20"/>
          <w:szCs w:val="20"/>
          <w:lang w:val="en-GB"/>
        </w:rPr>
      </w:pPr>
      <w:r w:rsidRPr="00604D97">
        <w:rPr>
          <w:rFonts w:ascii="Arial" w:hAnsi="Arial" w:cs="Arial"/>
          <w:b/>
          <w:bCs/>
          <w:color w:val="000000"/>
          <w:sz w:val="20"/>
          <w:lang w:val="en-GB"/>
        </w:rPr>
        <w:t xml:space="preserve">For services with </w:t>
      </w:r>
      <w:r w:rsidR="00456360" w:rsidRPr="00604D97">
        <w:rPr>
          <w:rFonts w:ascii="Arial" w:hAnsi="Arial" w:cs="Arial"/>
          <w:b/>
          <w:bCs/>
          <w:color w:val="000000"/>
          <w:sz w:val="20"/>
          <w:lang w:val="en-GB"/>
        </w:rPr>
        <w:t xml:space="preserve">a </w:t>
      </w:r>
      <w:r w:rsidRPr="00604D97">
        <w:rPr>
          <w:rFonts w:ascii="Arial" w:hAnsi="Arial" w:cs="Arial"/>
          <w:b/>
          <w:bCs/>
          <w:color w:val="000000"/>
          <w:sz w:val="20"/>
          <w:lang w:val="en-GB"/>
        </w:rPr>
        <w:t>portfolio approach</w:t>
      </w:r>
      <w:r w:rsidRPr="00604D97">
        <w:rPr>
          <w:rFonts w:ascii="Arial" w:hAnsi="Arial" w:cs="Arial"/>
          <w:color w:val="000000"/>
          <w:sz w:val="20"/>
          <w:lang w:val="en-GB"/>
        </w:rPr>
        <w:t>, it should be clarified that the “</w:t>
      </w:r>
      <w:r w:rsidRPr="00604D97">
        <w:rPr>
          <w:rFonts w:ascii="Arial" w:hAnsi="Arial" w:cs="Arial"/>
          <w:i/>
          <w:iCs/>
          <w:color w:val="000000"/>
          <w:sz w:val="20"/>
          <w:lang w:val="en-GB"/>
        </w:rPr>
        <w:t>to what extent</w:t>
      </w:r>
      <w:r w:rsidR="00456360" w:rsidRPr="00604D97">
        <w:rPr>
          <w:rFonts w:ascii="Arial" w:hAnsi="Arial" w:cs="Arial"/>
          <w:color w:val="000000"/>
          <w:sz w:val="20"/>
          <w:lang w:val="en-GB"/>
        </w:rPr>
        <w:t>”</w:t>
      </w:r>
      <w:r w:rsidRPr="00604D97">
        <w:rPr>
          <w:rFonts w:ascii="Arial" w:hAnsi="Arial" w:cs="Arial"/>
          <w:color w:val="000000"/>
          <w:sz w:val="20"/>
          <w:lang w:val="en-GB"/>
        </w:rPr>
        <w:t xml:space="preserve"> criterion </w:t>
      </w:r>
      <w:r w:rsidRPr="009E4F74">
        <w:rPr>
          <w:rFonts w:ascii="Arial" w:hAnsi="Arial" w:cs="Arial"/>
          <w:color w:val="000000"/>
          <w:sz w:val="20"/>
          <w:szCs w:val="20"/>
          <w:lang w:val="en-GB"/>
        </w:rPr>
        <w:t xml:space="preserve">could take the form of a </w:t>
      </w:r>
      <w:r w:rsidRPr="009E4F74">
        <w:rPr>
          <w:rFonts w:ascii="Arial" w:hAnsi="Arial" w:cs="Arial"/>
          <w:b/>
          <w:bCs/>
          <w:color w:val="000000"/>
          <w:sz w:val="20"/>
          <w:szCs w:val="20"/>
          <w:lang w:val="en-GB"/>
        </w:rPr>
        <w:t>percentage of the portfolio</w:t>
      </w:r>
      <w:r w:rsidRPr="009E4F74">
        <w:rPr>
          <w:rFonts w:ascii="Arial" w:hAnsi="Arial" w:cs="Arial"/>
          <w:color w:val="000000"/>
          <w:sz w:val="20"/>
          <w:szCs w:val="20"/>
          <w:lang w:val="en-GB"/>
        </w:rPr>
        <w:t xml:space="preserve"> the client wishes to dedicate to ESG investments. </w:t>
      </w:r>
    </w:p>
    <w:p w14:paraId="52B01711" w14:textId="15E45BAA" w:rsidR="005E4169" w:rsidRPr="009E4F74" w:rsidRDefault="005E4169" w:rsidP="00970615">
      <w:pPr>
        <w:pStyle w:val="Paragraphedeliste"/>
        <w:numPr>
          <w:ilvl w:val="0"/>
          <w:numId w:val="18"/>
        </w:numPr>
        <w:autoSpaceDE w:val="0"/>
        <w:autoSpaceDN w:val="0"/>
        <w:adjustRightInd w:val="0"/>
        <w:spacing w:after="0" w:line="240" w:lineRule="atLeast"/>
        <w:jc w:val="both"/>
        <w:rPr>
          <w:rFonts w:ascii="Arial" w:hAnsi="Arial" w:cs="Arial"/>
          <w:color w:val="000000"/>
          <w:sz w:val="20"/>
          <w:szCs w:val="20"/>
          <w:lang w:val="en-GB"/>
        </w:rPr>
      </w:pPr>
      <w:r w:rsidRPr="009E4F74">
        <w:rPr>
          <w:rFonts w:ascii="Arial" w:hAnsi="Arial" w:cs="Arial"/>
          <w:color w:val="000000"/>
          <w:sz w:val="20"/>
          <w:szCs w:val="20"/>
          <w:lang w:val="en-GB"/>
        </w:rPr>
        <w:t xml:space="preserve">Moreover, in </w:t>
      </w:r>
      <w:r w:rsidR="007F5263" w:rsidRPr="009E4F74">
        <w:rPr>
          <w:rFonts w:ascii="Arial" w:hAnsi="Arial" w:cs="Arial"/>
          <w:color w:val="000000"/>
          <w:sz w:val="20"/>
          <w:szCs w:val="20"/>
          <w:lang w:val="en-GB"/>
        </w:rPr>
        <w:t xml:space="preserve">the </w:t>
      </w:r>
      <w:r w:rsidRPr="009E4F74">
        <w:rPr>
          <w:rFonts w:ascii="Arial" w:hAnsi="Arial" w:cs="Arial"/>
          <w:color w:val="000000"/>
          <w:sz w:val="20"/>
          <w:szCs w:val="20"/>
          <w:lang w:val="en-GB"/>
        </w:rPr>
        <w:t xml:space="preserve">case </w:t>
      </w:r>
      <w:r w:rsidR="00B41A0D" w:rsidRPr="009E4F74">
        <w:rPr>
          <w:rFonts w:ascii="Arial" w:hAnsi="Arial" w:cs="Arial"/>
          <w:color w:val="000000"/>
          <w:sz w:val="20"/>
          <w:szCs w:val="20"/>
          <w:lang w:val="en-GB"/>
        </w:rPr>
        <w:t xml:space="preserve">where </w:t>
      </w:r>
      <w:r w:rsidRPr="009E4F74">
        <w:rPr>
          <w:rFonts w:ascii="Arial" w:hAnsi="Arial" w:cs="Arial"/>
          <w:color w:val="000000"/>
          <w:sz w:val="20"/>
          <w:szCs w:val="20"/>
          <w:lang w:val="en-GB"/>
        </w:rPr>
        <w:t>the alternative approach suggested above was not adopted, it should be clarified that</w:t>
      </w:r>
      <w:r w:rsidR="00737032" w:rsidRPr="009E4F74">
        <w:rPr>
          <w:rFonts w:ascii="Arial" w:hAnsi="Arial" w:cs="Arial"/>
          <w:color w:val="000000"/>
          <w:sz w:val="20"/>
          <w:szCs w:val="20"/>
          <w:lang w:val="en-GB"/>
        </w:rPr>
        <w:t>,</w:t>
      </w:r>
      <w:r w:rsidRPr="009E4F74">
        <w:rPr>
          <w:rFonts w:ascii="Arial" w:hAnsi="Arial" w:cs="Arial"/>
          <w:color w:val="000000"/>
          <w:sz w:val="20"/>
          <w:szCs w:val="20"/>
          <w:lang w:val="en-GB"/>
        </w:rPr>
        <w:t xml:space="preserve"> </w:t>
      </w:r>
      <w:r w:rsidR="00737032" w:rsidRPr="009E4F74">
        <w:rPr>
          <w:rFonts w:ascii="Arial" w:hAnsi="Arial" w:cs="Arial"/>
          <w:color w:val="000000"/>
          <w:sz w:val="20"/>
          <w:szCs w:val="20"/>
          <w:lang w:val="en-GB"/>
        </w:rPr>
        <w:t xml:space="preserve">for services with </w:t>
      </w:r>
      <w:r w:rsidR="007F5263" w:rsidRPr="009E4F74">
        <w:rPr>
          <w:rFonts w:ascii="Arial" w:hAnsi="Arial" w:cs="Arial"/>
          <w:color w:val="000000"/>
          <w:sz w:val="20"/>
          <w:szCs w:val="20"/>
          <w:lang w:val="en-GB"/>
        </w:rPr>
        <w:t xml:space="preserve">a </w:t>
      </w:r>
      <w:r w:rsidR="00737032" w:rsidRPr="009E4F74">
        <w:rPr>
          <w:rFonts w:ascii="Arial" w:hAnsi="Arial" w:cs="Arial"/>
          <w:color w:val="000000"/>
          <w:sz w:val="20"/>
          <w:szCs w:val="20"/>
          <w:lang w:val="en-GB"/>
        </w:rPr>
        <w:t xml:space="preserve">portfolio approach, </w:t>
      </w:r>
      <w:r w:rsidRPr="009E4F74">
        <w:rPr>
          <w:rFonts w:ascii="Arial" w:hAnsi="Arial" w:cs="Arial"/>
          <w:b/>
          <w:bCs/>
          <w:color w:val="000000"/>
          <w:sz w:val="20"/>
          <w:szCs w:val="20"/>
          <w:lang w:val="en-GB"/>
        </w:rPr>
        <w:t xml:space="preserve">the preferences </w:t>
      </w:r>
      <w:proofErr w:type="gramStart"/>
      <w:r w:rsidRPr="009E4F74">
        <w:rPr>
          <w:rFonts w:ascii="Arial" w:hAnsi="Arial" w:cs="Arial"/>
          <w:b/>
          <w:bCs/>
          <w:color w:val="000000"/>
          <w:sz w:val="20"/>
          <w:szCs w:val="20"/>
          <w:lang w:val="en-GB"/>
        </w:rPr>
        <w:t>have to</w:t>
      </w:r>
      <w:proofErr w:type="gramEnd"/>
      <w:r w:rsidRPr="009E4F74">
        <w:rPr>
          <w:rFonts w:ascii="Arial" w:hAnsi="Arial" w:cs="Arial"/>
          <w:b/>
          <w:bCs/>
          <w:color w:val="000000"/>
          <w:sz w:val="20"/>
          <w:szCs w:val="20"/>
          <w:lang w:val="en-GB"/>
        </w:rPr>
        <w:t xml:space="preserve"> be achieved at the level of the portfolio and not necessarily on an instrument-by-instrument basis</w:t>
      </w:r>
      <w:r w:rsidRPr="009E4F74">
        <w:rPr>
          <w:rFonts w:ascii="Arial" w:hAnsi="Arial" w:cs="Arial"/>
          <w:color w:val="000000"/>
          <w:sz w:val="20"/>
          <w:szCs w:val="20"/>
          <w:lang w:val="en-GB"/>
        </w:rPr>
        <w:t xml:space="preserve">. This would allow an </w:t>
      </w:r>
      <w:proofErr w:type="gramStart"/>
      <w:r w:rsidRPr="009E4F74">
        <w:rPr>
          <w:rFonts w:ascii="Arial" w:hAnsi="Arial" w:cs="Arial"/>
          <w:color w:val="000000"/>
          <w:sz w:val="20"/>
          <w:szCs w:val="20"/>
          <w:lang w:val="en-GB"/>
        </w:rPr>
        <w:t>ISP, in case</w:t>
      </w:r>
      <w:proofErr w:type="gramEnd"/>
      <w:r w:rsidRPr="009E4F74">
        <w:rPr>
          <w:rFonts w:ascii="Arial" w:hAnsi="Arial" w:cs="Arial"/>
          <w:color w:val="000000"/>
          <w:sz w:val="20"/>
          <w:szCs w:val="20"/>
          <w:lang w:val="en-GB"/>
        </w:rPr>
        <w:t xml:space="preserve"> a client would have expressed preferences cumulatively on the 3 criteria a)</w:t>
      </w:r>
      <w:r w:rsidR="00967515" w:rsidRPr="009E4F74">
        <w:rPr>
          <w:rFonts w:ascii="Arial" w:hAnsi="Arial" w:cs="Arial"/>
          <w:color w:val="000000"/>
          <w:sz w:val="20"/>
          <w:szCs w:val="20"/>
          <w:lang w:val="en-GB"/>
        </w:rPr>
        <w:t>,</w:t>
      </w:r>
      <w:r w:rsidRPr="009E4F74">
        <w:rPr>
          <w:rFonts w:ascii="Arial" w:hAnsi="Arial" w:cs="Arial"/>
          <w:color w:val="000000"/>
          <w:sz w:val="20"/>
          <w:szCs w:val="20"/>
          <w:lang w:val="en-GB"/>
        </w:rPr>
        <w:t xml:space="preserve"> b) and c), to advice on financial instruments that might not all fulfil the 3 preferences as long as the portfolio, considered as a whole, reflects the client’s preferences on the 3 criteria.</w:t>
      </w:r>
    </w:p>
    <w:bookmarkEnd w:id="7"/>
    <w:p w14:paraId="312ED0DC" w14:textId="504008A6" w:rsidR="00327814" w:rsidRPr="009E4F74" w:rsidRDefault="00327814" w:rsidP="00970615">
      <w:pPr>
        <w:tabs>
          <w:tab w:val="left" w:pos="5970"/>
        </w:tabs>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2BDED7B3" w14:textId="77777777" w:rsidR="009E211B" w:rsidRPr="009E4F74" w:rsidRDefault="009E211B"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7A7D2B30" w14:textId="047DFB81" w:rsidR="00067DA0" w:rsidRPr="00604D97" w:rsidRDefault="00067DA0" w:rsidP="00742884">
      <w:pPr>
        <w:spacing w:after="0" w:line="240" w:lineRule="atLeast"/>
        <w:jc w:val="both"/>
        <w:rPr>
          <w:rFonts w:ascii="Arial" w:eastAsia="Times New Roman" w:hAnsi="Arial" w:cs="Arial"/>
          <w:b/>
          <w:bCs/>
          <w:color w:val="000000"/>
          <w:sz w:val="20"/>
          <w:szCs w:val="20"/>
          <w:lang w:val="en-GB" w:eastAsia="fr-FR"/>
        </w:rPr>
      </w:pPr>
      <w:proofErr w:type="gramStart"/>
      <w:r w:rsidRPr="009E4F74">
        <w:rPr>
          <w:rFonts w:ascii="Arial" w:eastAsia="Times New Roman" w:hAnsi="Arial" w:cs="Arial"/>
          <w:b/>
          <w:bCs/>
          <w:color w:val="000000"/>
          <w:sz w:val="20"/>
          <w:szCs w:val="20"/>
          <w:lang w:val="en-GB" w:eastAsia="fr-FR"/>
        </w:rPr>
        <w:t>Q6</w:t>
      </w:r>
      <w:proofErr w:type="gramEnd"/>
      <w:r w:rsidRPr="009E4F74">
        <w:rPr>
          <w:rFonts w:ascii="Arial" w:eastAsia="Times New Roman" w:hAnsi="Arial" w:cs="Arial"/>
          <w:b/>
          <w:bCs/>
          <w:color w:val="000000"/>
          <w:sz w:val="20"/>
          <w:szCs w:val="20"/>
          <w:lang w:val="en-GB" w:eastAsia="fr-FR"/>
        </w:rPr>
        <w:tab/>
      </w:r>
      <w:r w:rsidR="00262703" w:rsidRPr="009E4F74">
        <w:rPr>
          <w:rFonts w:ascii="Arial" w:eastAsia="Times New Roman" w:hAnsi="Arial" w:cs="Arial"/>
          <w:b/>
          <w:bCs/>
          <w:color w:val="000000"/>
          <w:sz w:val="20"/>
          <w:szCs w:val="20"/>
          <w:lang w:val="en-GB" w:eastAsia="fr-FR"/>
        </w:rPr>
        <w:t xml:space="preserve">Do you agree with the proposed approach with regard </w:t>
      </w:r>
      <w:bookmarkStart w:id="8" w:name="_Hlk100336868"/>
      <w:r w:rsidR="00262703" w:rsidRPr="009E4F74">
        <w:rPr>
          <w:rFonts w:ascii="Arial" w:eastAsia="Times New Roman" w:hAnsi="Arial" w:cs="Arial"/>
          <w:b/>
          <w:bCs/>
          <w:color w:val="000000"/>
          <w:sz w:val="20"/>
          <w:szCs w:val="20"/>
          <w:lang w:val="en-GB" w:eastAsia="fr-FR"/>
        </w:rPr>
        <w:t xml:space="preserve">to </w:t>
      </w:r>
      <w:bookmarkStart w:id="9" w:name="_Hlk98174881"/>
      <w:r w:rsidR="00262703" w:rsidRPr="009E4F74">
        <w:rPr>
          <w:rFonts w:ascii="Arial" w:eastAsia="Times New Roman" w:hAnsi="Arial" w:cs="Arial"/>
          <w:b/>
          <w:bCs/>
          <w:color w:val="000000"/>
          <w:sz w:val="20"/>
          <w:szCs w:val="20"/>
          <w:lang w:val="en-GB" w:eastAsia="fr-FR"/>
        </w:rPr>
        <w:t>the assessment of ESG preferences in the case of portfolio approach</w:t>
      </w:r>
      <w:bookmarkEnd w:id="8"/>
      <w:bookmarkEnd w:id="9"/>
      <w:r w:rsidR="00262703" w:rsidRPr="009E4F74">
        <w:rPr>
          <w:rFonts w:ascii="Arial" w:eastAsia="Times New Roman" w:hAnsi="Arial" w:cs="Arial"/>
          <w:b/>
          <w:bCs/>
          <w:color w:val="000000"/>
          <w:sz w:val="20"/>
          <w:szCs w:val="20"/>
          <w:lang w:val="en-GB" w:eastAsia="fr-FR"/>
        </w:rPr>
        <w:t>? Are there alternative approaches that ESMA should</w:t>
      </w:r>
      <w:r w:rsidR="00262703" w:rsidRPr="00604D97">
        <w:rPr>
          <w:rFonts w:ascii="Arial" w:eastAsia="Times New Roman" w:hAnsi="Arial" w:cs="Arial"/>
          <w:b/>
          <w:bCs/>
          <w:color w:val="000000"/>
          <w:sz w:val="20"/>
          <w:szCs w:val="20"/>
          <w:lang w:val="en-GB" w:eastAsia="fr-FR"/>
        </w:rPr>
        <w:t xml:space="preserve"> consider? Please provide possible examples.</w:t>
      </w:r>
    </w:p>
    <w:p w14:paraId="7219AD2A" w14:textId="74AC6E2C" w:rsidR="00F118DE" w:rsidRPr="00604D97" w:rsidRDefault="00F118DE"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530A13D3" w14:textId="68E19CD0" w:rsidR="009D4590" w:rsidRPr="00604D97" w:rsidRDefault="00CB3DA8" w:rsidP="009D4590">
      <w:pPr>
        <w:autoSpaceDE w:val="0"/>
        <w:autoSpaceDN w:val="0"/>
        <w:adjustRightInd w:val="0"/>
        <w:spacing w:after="0" w:line="240" w:lineRule="atLeast"/>
        <w:jc w:val="both"/>
        <w:rPr>
          <w:rFonts w:ascii="Arial" w:hAnsi="Arial" w:cs="Arial"/>
          <w:color w:val="000000"/>
          <w:sz w:val="20"/>
          <w:lang w:val="en-GB"/>
        </w:rPr>
      </w:pPr>
      <w:r w:rsidRPr="00604D97">
        <w:rPr>
          <w:rFonts w:ascii="Arial" w:eastAsia="Times New Roman" w:hAnsi="Arial" w:cs="Arial"/>
          <w:color w:val="000000"/>
          <w:sz w:val="20"/>
          <w:szCs w:val="20"/>
          <w:lang w:val="en-GB" w:eastAsia="fr-FR"/>
        </w:rPr>
        <w:t>According t</w:t>
      </w:r>
      <w:r w:rsidR="00612378" w:rsidRPr="00604D97">
        <w:rPr>
          <w:rFonts w:ascii="Arial" w:eastAsia="Times New Roman" w:hAnsi="Arial" w:cs="Arial"/>
          <w:color w:val="000000"/>
          <w:sz w:val="20"/>
          <w:szCs w:val="20"/>
          <w:lang w:val="en-GB" w:eastAsia="fr-FR"/>
        </w:rPr>
        <w:t xml:space="preserve">o </w:t>
      </w:r>
      <w:r w:rsidR="00E67976" w:rsidRPr="00604D97">
        <w:rPr>
          <w:rFonts w:ascii="Arial" w:eastAsia="Times New Roman" w:hAnsi="Arial" w:cs="Arial"/>
          <w:color w:val="000000"/>
          <w:sz w:val="20"/>
          <w:szCs w:val="20"/>
          <w:lang w:val="en-GB" w:eastAsia="fr-FR"/>
        </w:rPr>
        <w:t>FBF</w:t>
      </w:r>
      <w:r w:rsidR="00612378" w:rsidRPr="00604D97">
        <w:rPr>
          <w:rFonts w:ascii="Arial" w:eastAsia="Times New Roman" w:hAnsi="Arial" w:cs="Arial"/>
          <w:color w:val="000000"/>
          <w:sz w:val="20"/>
          <w:szCs w:val="20"/>
          <w:lang w:val="en-GB" w:eastAsia="fr-FR"/>
        </w:rPr>
        <w:t xml:space="preserve">, the proposed </w:t>
      </w:r>
      <w:r w:rsidR="00B27B25" w:rsidRPr="00604D97">
        <w:rPr>
          <w:rFonts w:ascii="Arial" w:eastAsia="Times New Roman" w:hAnsi="Arial" w:cs="Arial"/>
          <w:color w:val="000000"/>
          <w:sz w:val="20"/>
          <w:szCs w:val="20"/>
          <w:lang w:val="en-GB" w:eastAsia="fr-FR"/>
        </w:rPr>
        <w:t>approach</w:t>
      </w:r>
      <w:r w:rsidR="00612378" w:rsidRPr="00604D97">
        <w:rPr>
          <w:rFonts w:ascii="Arial" w:eastAsia="Times New Roman" w:hAnsi="Arial" w:cs="Arial"/>
          <w:color w:val="000000"/>
          <w:sz w:val="20"/>
          <w:szCs w:val="20"/>
          <w:lang w:val="en-GB" w:eastAsia="fr-FR"/>
        </w:rPr>
        <w:t xml:space="preserve"> </w:t>
      </w:r>
      <w:proofErr w:type="gramStart"/>
      <w:r w:rsidR="00612378" w:rsidRPr="00604D97">
        <w:rPr>
          <w:rFonts w:ascii="Arial" w:eastAsia="Times New Roman" w:hAnsi="Arial" w:cs="Arial"/>
          <w:color w:val="000000"/>
          <w:sz w:val="20"/>
          <w:szCs w:val="20"/>
          <w:lang w:val="en-GB" w:eastAsia="fr-FR"/>
        </w:rPr>
        <w:t>with regard to</w:t>
      </w:r>
      <w:proofErr w:type="gramEnd"/>
      <w:r w:rsidR="00612378" w:rsidRPr="00604D97">
        <w:rPr>
          <w:rFonts w:ascii="Arial" w:eastAsia="Times New Roman" w:hAnsi="Arial" w:cs="Arial"/>
          <w:color w:val="000000"/>
          <w:sz w:val="20"/>
          <w:szCs w:val="20"/>
          <w:lang w:val="en-GB" w:eastAsia="fr-FR"/>
        </w:rPr>
        <w:t xml:space="preserve"> the assessment of </w:t>
      </w:r>
      <w:r w:rsidRPr="00604D97">
        <w:rPr>
          <w:rFonts w:ascii="Arial" w:eastAsia="Times New Roman" w:hAnsi="Arial" w:cs="Arial"/>
          <w:color w:val="000000"/>
          <w:sz w:val="20"/>
          <w:szCs w:val="20"/>
          <w:lang w:val="en-GB" w:eastAsia="fr-FR"/>
        </w:rPr>
        <w:t>sustainability</w:t>
      </w:r>
      <w:r w:rsidR="00612378" w:rsidRPr="00604D97">
        <w:rPr>
          <w:rFonts w:ascii="Arial" w:eastAsia="Times New Roman" w:hAnsi="Arial" w:cs="Arial"/>
          <w:color w:val="000000"/>
          <w:sz w:val="20"/>
          <w:szCs w:val="20"/>
          <w:lang w:val="en-GB" w:eastAsia="fr-FR"/>
        </w:rPr>
        <w:t xml:space="preserve"> preferences in the case of </w:t>
      </w:r>
      <w:r w:rsidRPr="00604D97">
        <w:rPr>
          <w:rFonts w:ascii="Arial" w:eastAsia="Times New Roman" w:hAnsi="Arial" w:cs="Arial"/>
          <w:color w:val="000000"/>
          <w:sz w:val="20"/>
          <w:szCs w:val="20"/>
          <w:lang w:val="en-GB" w:eastAsia="fr-FR"/>
        </w:rPr>
        <w:t xml:space="preserve">a </w:t>
      </w:r>
      <w:r w:rsidR="00612378" w:rsidRPr="00604D97">
        <w:rPr>
          <w:rFonts w:ascii="Arial" w:eastAsia="Times New Roman" w:hAnsi="Arial" w:cs="Arial"/>
          <w:color w:val="000000"/>
          <w:sz w:val="20"/>
          <w:szCs w:val="20"/>
          <w:lang w:val="en-GB" w:eastAsia="fr-FR"/>
        </w:rPr>
        <w:t xml:space="preserve">portfolio </w:t>
      </w:r>
      <w:r w:rsidR="00B27B25" w:rsidRPr="00604D97">
        <w:rPr>
          <w:rFonts w:ascii="Arial" w:eastAsia="Times New Roman" w:hAnsi="Arial" w:cs="Arial"/>
          <w:color w:val="000000"/>
          <w:sz w:val="20"/>
          <w:szCs w:val="20"/>
          <w:lang w:val="en-GB" w:eastAsia="fr-FR"/>
        </w:rPr>
        <w:t>approach is</w:t>
      </w:r>
      <w:r w:rsidR="00612378" w:rsidRPr="00604D97">
        <w:rPr>
          <w:rFonts w:ascii="Arial" w:eastAsia="Times New Roman" w:hAnsi="Arial" w:cs="Arial"/>
          <w:color w:val="000000"/>
          <w:sz w:val="20"/>
          <w:szCs w:val="20"/>
          <w:lang w:val="en-GB" w:eastAsia="fr-FR"/>
        </w:rPr>
        <w:t xml:space="preserve"> unclear</w:t>
      </w:r>
      <w:r w:rsidR="009D4590" w:rsidRPr="00604D97">
        <w:rPr>
          <w:rFonts w:ascii="Arial" w:eastAsia="Times New Roman" w:hAnsi="Arial" w:cs="Arial"/>
          <w:color w:val="000000"/>
          <w:sz w:val="20"/>
          <w:szCs w:val="20"/>
          <w:lang w:val="en-GB" w:eastAsia="fr-FR"/>
        </w:rPr>
        <w:t xml:space="preserve"> and the </w:t>
      </w:r>
      <w:r w:rsidRPr="00604D97">
        <w:rPr>
          <w:rFonts w:ascii="Arial" w:eastAsia="Times New Roman" w:hAnsi="Arial" w:cs="Arial"/>
          <w:color w:val="000000"/>
          <w:sz w:val="20"/>
          <w:szCs w:val="20"/>
          <w:lang w:val="en-GB" w:eastAsia="fr-FR"/>
        </w:rPr>
        <w:t xml:space="preserve">Draft </w:t>
      </w:r>
      <w:r w:rsidR="009D4590" w:rsidRPr="00604D97">
        <w:rPr>
          <w:rFonts w:ascii="Arial" w:eastAsia="Times New Roman" w:hAnsi="Arial" w:cs="Arial"/>
          <w:color w:val="000000"/>
          <w:sz w:val="20"/>
          <w:szCs w:val="20"/>
          <w:lang w:val="en-GB" w:eastAsia="fr-FR"/>
        </w:rPr>
        <w:t xml:space="preserve">guidelines should </w:t>
      </w:r>
      <w:r w:rsidR="009D4590" w:rsidRPr="00604D97">
        <w:rPr>
          <w:rFonts w:ascii="Arial" w:hAnsi="Arial" w:cs="Arial"/>
          <w:color w:val="000000"/>
          <w:sz w:val="20"/>
          <w:lang w:val="en-GB"/>
        </w:rPr>
        <w:t>clarify that the “</w:t>
      </w:r>
      <w:r w:rsidR="009D4590" w:rsidRPr="00604D97">
        <w:rPr>
          <w:rFonts w:ascii="Arial" w:hAnsi="Arial" w:cs="Arial"/>
          <w:i/>
          <w:iCs/>
          <w:color w:val="000000"/>
          <w:sz w:val="20"/>
          <w:lang w:val="en-GB"/>
        </w:rPr>
        <w:t>to what extent</w:t>
      </w:r>
      <w:r w:rsidRPr="00604D97">
        <w:rPr>
          <w:rFonts w:ascii="Arial" w:hAnsi="Arial" w:cs="Arial"/>
          <w:color w:val="000000"/>
          <w:sz w:val="20"/>
          <w:lang w:val="en-GB"/>
        </w:rPr>
        <w:t>”</w:t>
      </w:r>
      <w:r w:rsidR="009D4590" w:rsidRPr="00604D97">
        <w:rPr>
          <w:rFonts w:ascii="Arial" w:hAnsi="Arial" w:cs="Arial"/>
          <w:color w:val="000000"/>
          <w:sz w:val="20"/>
          <w:lang w:val="en-GB"/>
        </w:rPr>
        <w:t xml:space="preserve"> criterion could take the form of a </w:t>
      </w:r>
      <w:r w:rsidR="009D4590" w:rsidRPr="00604D97">
        <w:rPr>
          <w:rFonts w:ascii="Arial" w:hAnsi="Arial" w:cs="Arial"/>
          <w:b/>
          <w:bCs/>
          <w:color w:val="000000"/>
          <w:sz w:val="20"/>
          <w:lang w:val="en-GB"/>
        </w:rPr>
        <w:t>percentage of the portfolio</w:t>
      </w:r>
      <w:r w:rsidR="009D4590" w:rsidRPr="00604D97">
        <w:rPr>
          <w:rFonts w:ascii="Arial" w:hAnsi="Arial" w:cs="Arial"/>
          <w:color w:val="000000"/>
          <w:sz w:val="20"/>
          <w:lang w:val="en-GB"/>
        </w:rPr>
        <w:t xml:space="preserve"> the client wishes to dedicate to ESG investments. </w:t>
      </w:r>
    </w:p>
    <w:p w14:paraId="0F47DD22" w14:textId="3249C7E2" w:rsidR="00BE5A1D" w:rsidRPr="00604D97" w:rsidRDefault="009D4590" w:rsidP="00731FD9">
      <w:pPr>
        <w:autoSpaceDE w:val="0"/>
        <w:autoSpaceDN w:val="0"/>
        <w:adjustRightInd w:val="0"/>
        <w:spacing w:after="0" w:line="240" w:lineRule="atLeast"/>
        <w:rPr>
          <w:rFonts w:ascii="Arial" w:eastAsia="Times New Roman" w:hAnsi="Arial" w:cs="Arial"/>
          <w:color w:val="000000"/>
          <w:sz w:val="20"/>
          <w:szCs w:val="20"/>
          <w:lang w:val="en-GB" w:eastAsia="fr-FR"/>
        </w:rPr>
      </w:pPr>
      <w:r w:rsidRPr="00604D97">
        <w:rPr>
          <w:rFonts w:ascii="Arial" w:hAnsi="Arial" w:cs="Arial"/>
          <w:color w:val="000000"/>
          <w:sz w:val="20"/>
          <w:lang w:val="en-GB"/>
        </w:rPr>
        <w:t xml:space="preserve">Moreover, in </w:t>
      </w:r>
      <w:r w:rsidR="00B41A0D" w:rsidRPr="00604D97">
        <w:rPr>
          <w:rFonts w:ascii="Arial" w:hAnsi="Arial" w:cs="Arial"/>
          <w:color w:val="000000"/>
          <w:sz w:val="20"/>
          <w:lang w:val="en-GB"/>
        </w:rPr>
        <w:t xml:space="preserve">the </w:t>
      </w:r>
      <w:r w:rsidRPr="00604D97">
        <w:rPr>
          <w:rFonts w:ascii="Arial" w:hAnsi="Arial" w:cs="Arial"/>
          <w:color w:val="000000"/>
          <w:sz w:val="20"/>
          <w:lang w:val="en-GB"/>
        </w:rPr>
        <w:t xml:space="preserve">case </w:t>
      </w:r>
      <w:r w:rsidR="00B41A0D" w:rsidRPr="00604D97">
        <w:rPr>
          <w:rFonts w:ascii="Arial" w:hAnsi="Arial" w:cs="Arial"/>
          <w:color w:val="000000"/>
          <w:sz w:val="20"/>
          <w:lang w:val="en-GB"/>
        </w:rPr>
        <w:t xml:space="preserve">where </w:t>
      </w:r>
      <w:r w:rsidRPr="00604D97">
        <w:rPr>
          <w:rFonts w:ascii="Arial" w:hAnsi="Arial" w:cs="Arial"/>
          <w:color w:val="000000"/>
          <w:sz w:val="20"/>
          <w:lang w:val="en-GB"/>
        </w:rPr>
        <w:t xml:space="preserve">the alternative approach </w:t>
      </w:r>
      <w:r w:rsidR="002447E3" w:rsidRPr="00604D97">
        <w:rPr>
          <w:rFonts w:ascii="Arial" w:hAnsi="Arial" w:cs="Arial"/>
          <w:color w:val="000000"/>
          <w:sz w:val="20"/>
          <w:lang w:val="en-GB"/>
        </w:rPr>
        <w:t xml:space="preserve">presented under </w:t>
      </w:r>
      <w:r w:rsidR="00E67976" w:rsidRPr="00604D97">
        <w:rPr>
          <w:rFonts w:ascii="Arial" w:hAnsi="Arial" w:cs="Arial"/>
          <w:color w:val="000000"/>
          <w:sz w:val="20"/>
          <w:lang w:val="en-GB"/>
        </w:rPr>
        <w:t>FBF</w:t>
      </w:r>
      <w:r w:rsidR="00CB3DA8" w:rsidRPr="00604D97">
        <w:rPr>
          <w:rFonts w:ascii="Arial" w:hAnsi="Arial" w:cs="Arial"/>
          <w:color w:val="000000"/>
          <w:sz w:val="20"/>
          <w:lang w:val="en-GB"/>
        </w:rPr>
        <w:t xml:space="preserve">’s </w:t>
      </w:r>
      <w:r w:rsidR="002447E3" w:rsidRPr="00604D97">
        <w:rPr>
          <w:rFonts w:ascii="Arial" w:hAnsi="Arial" w:cs="Arial"/>
          <w:color w:val="000000"/>
          <w:sz w:val="20"/>
          <w:lang w:val="en-GB"/>
        </w:rPr>
        <w:t xml:space="preserve">answer to Q5 </w:t>
      </w:r>
      <w:r w:rsidRPr="00604D97">
        <w:rPr>
          <w:rFonts w:ascii="Arial" w:hAnsi="Arial" w:cs="Arial"/>
          <w:color w:val="000000"/>
          <w:sz w:val="20"/>
          <w:lang w:val="en-GB"/>
        </w:rPr>
        <w:t>was not adopted, it should</w:t>
      </w:r>
      <w:r w:rsidR="002447E3" w:rsidRPr="00604D97">
        <w:rPr>
          <w:rFonts w:ascii="Arial" w:hAnsi="Arial" w:cs="Arial"/>
          <w:color w:val="000000"/>
          <w:sz w:val="20"/>
          <w:lang w:val="en-GB"/>
        </w:rPr>
        <w:t xml:space="preserve"> also</w:t>
      </w:r>
      <w:r w:rsidRPr="00604D97">
        <w:rPr>
          <w:rFonts w:ascii="Arial" w:hAnsi="Arial" w:cs="Arial"/>
          <w:color w:val="000000"/>
          <w:sz w:val="20"/>
          <w:lang w:val="en-GB"/>
        </w:rPr>
        <w:t xml:space="preserve"> be clarified </w:t>
      </w:r>
      <w:r w:rsidR="00AB73D1" w:rsidRPr="00604D97">
        <w:rPr>
          <w:rFonts w:ascii="Arial" w:hAnsi="Arial" w:cs="Arial"/>
          <w:color w:val="000000"/>
          <w:sz w:val="20"/>
          <w:lang w:val="en-GB"/>
        </w:rPr>
        <w:t>that for</w:t>
      </w:r>
      <w:r w:rsidR="002447E3" w:rsidRPr="00604D97">
        <w:rPr>
          <w:rFonts w:ascii="Arial" w:hAnsi="Arial" w:cs="Arial"/>
          <w:color w:val="000000"/>
          <w:sz w:val="20"/>
          <w:lang w:val="en-GB"/>
        </w:rPr>
        <w:t xml:space="preserve"> services with </w:t>
      </w:r>
      <w:r w:rsidR="00A81A3A" w:rsidRPr="00604D97">
        <w:rPr>
          <w:rFonts w:ascii="Arial" w:hAnsi="Arial" w:cs="Arial"/>
          <w:color w:val="000000"/>
          <w:sz w:val="20"/>
          <w:lang w:val="en-GB"/>
        </w:rPr>
        <w:t xml:space="preserve">a </w:t>
      </w:r>
      <w:r w:rsidR="00B6792F" w:rsidRPr="00604D97">
        <w:rPr>
          <w:rFonts w:ascii="Arial" w:hAnsi="Arial" w:cs="Arial"/>
          <w:color w:val="000000"/>
          <w:sz w:val="20"/>
          <w:lang w:val="en-GB"/>
        </w:rPr>
        <w:t xml:space="preserve">portfolio approach, </w:t>
      </w:r>
      <w:r w:rsidRPr="00604D97">
        <w:rPr>
          <w:rFonts w:ascii="Arial" w:hAnsi="Arial" w:cs="Arial"/>
          <w:b/>
          <w:bCs/>
          <w:color w:val="000000"/>
          <w:sz w:val="20"/>
          <w:lang w:val="en-GB"/>
        </w:rPr>
        <w:t xml:space="preserve">the </w:t>
      </w:r>
      <w:r w:rsidR="007E7FE5" w:rsidRPr="00604D97">
        <w:rPr>
          <w:rFonts w:ascii="Arial" w:hAnsi="Arial" w:cs="Arial"/>
          <w:b/>
          <w:bCs/>
          <w:color w:val="000000"/>
          <w:sz w:val="20"/>
          <w:lang w:val="en-GB"/>
        </w:rPr>
        <w:t xml:space="preserve">expressed </w:t>
      </w:r>
      <w:r w:rsidRPr="00604D97">
        <w:rPr>
          <w:rFonts w:ascii="Arial" w:hAnsi="Arial" w:cs="Arial"/>
          <w:b/>
          <w:bCs/>
          <w:color w:val="000000"/>
          <w:sz w:val="20"/>
          <w:lang w:val="en-GB"/>
        </w:rPr>
        <w:lastRenderedPageBreak/>
        <w:t xml:space="preserve">preferences </w:t>
      </w:r>
      <w:proofErr w:type="gramStart"/>
      <w:r w:rsidRPr="00604D97">
        <w:rPr>
          <w:rFonts w:ascii="Arial" w:hAnsi="Arial" w:cs="Arial"/>
          <w:b/>
          <w:bCs/>
          <w:color w:val="000000"/>
          <w:sz w:val="20"/>
          <w:lang w:val="en-GB"/>
        </w:rPr>
        <w:t>have to</w:t>
      </w:r>
      <w:proofErr w:type="gramEnd"/>
      <w:r w:rsidRPr="00604D97">
        <w:rPr>
          <w:rFonts w:ascii="Arial" w:hAnsi="Arial" w:cs="Arial"/>
          <w:b/>
          <w:bCs/>
          <w:color w:val="000000"/>
          <w:sz w:val="20"/>
          <w:lang w:val="en-GB"/>
        </w:rPr>
        <w:t xml:space="preserve"> be achieved at the level of the portfolio and not necessarily on an instrument-by-instrument basis</w:t>
      </w:r>
      <w:r w:rsidRPr="00604D97">
        <w:rPr>
          <w:rFonts w:ascii="Arial" w:hAnsi="Arial" w:cs="Arial"/>
          <w:color w:val="000000"/>
          <w:sz w:val="20"/>
          <w:lang w:val="en-GB"/>
        </w:rPr>
        <w:t xml:space="preserve">. This would allow an ISP, in </w:t>
      </w:r>
      <w:r w:rsidR="00821A39" w:rsidRPr="00604D97">
        <w:rPr>
          <w:rFonts w:ascii="Arial" w:hAnsi="Arial" w:cs="Arial"/>
          <w:color w:val="000000"/>
          <w:sz w:val="20"/>
          <w:lang w:val="en-GB"/>
        </w:rPr>
        <w:t xml:space="preserve">the </w:t>
      </w:r>
      <w:r w:rsidRPr="00604D97">
        <w:rPr>
          <w:rFonts w:ascii="Arial" w:hAnsi="Arial" w:cs="Arial"/>
          <w:color w:val="000000"/>
          <w:sz w:val="20"/>
          <w:lang w:val="en-GB"/>
        </w:rPr>
        <w:t xml:space="preserve">case </w:t>
      </w:r>
      <w:r w:rsidR="00821A39" w:rsidRPr="00604D97">
        <w:rPr>
          <w:rFonts w:ascii="Arial" w:hAnsi="Arial" w:cs="Arial"/>
          <w:color w:val="000000"/>
          <w:sz w:val="20"/>
          <w:lang w:val="en-GB"/>
        </w:rPr>
        <w:t xml:space="preserve">where </w:t>
      </w:r>
      <w:r w:rsidRPr="00604D97">
        <w:rPr>
          <w:rFonts w:ascii="Arial" w:hAnsi="Arial" w:cs="Arial"/>
          <w:color w:val="000000"/>
          <w:sz w:val="20"/>
          <w:lang w:val="en-GB"/>
        </w:rPr>
        <w:t xml:space="preserve">a client would have expressed preferences cumulatively on the 3 criteria a) b) and c), to advice on financial instruments that might not all fulfil the 3 preferences </w:t>
      </w:r>
      <w:proofErr w:type="gramStart"/>
      <w:r w:rsidRPr="00604D97">
        <w:rPr>
          <w:rFonts w:ascii="Arial" w:hAnsi="Arial" w:cs="Arial"/>
          <w:color w:val="000000"/>
          <w:sz w:val="20"/>
          <w:lang w:val="en-GB"/>
        </w:rPr>
        <w:t>as long as</w:t>
      </w:r>
      <w:proofErr w:type="gramEnd"/>
      <w:r w:rsidRPr="00604D97">
        <w:rPr>
          <w:rFonts w:ascii="Arial" w:hAnsi="Arial" w:cs="Arial"/>
          <w:color w:val="000000"/>
          <w:sz w:val="20"/>
          <w:lang w:val="en-GB"/>
        </w:rPr>
        <w:t xml:space="preserve"> the portfolio, considered as a whole, reflects the client’s preferences on the 3 criteria.</w:t>
      </w:r>
    </w:p>
    <w:p w14:paraId="7AB85E9D" w14:textId="18DAD75B" w:rsidR="00E05C32" w:rsidRPr="00604D97" w:rsidRDefault="00E05C32"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1E848039" w14:textId="5C37CD18" w:rsidR="00836817" w:rsidRPr="00604D97" w:rsidRDefault="00836817"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63C3E902" w14:textId="77777777" w:rsidR="00836817" w:rsidRPr="00604D97" w:rsidRDefault="00836817"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4C5390BF" w14:textId="5BC27B0A" w:rsidR="002565B0" w:rsidRPr="00604D97" w:rsidRDefault="002565B0"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604D97">
        <w:rPr>
          <w:rFonts w:ascii="Arial" w:eastAsia="Times New Roman" w:hAnsi="Arial" w:cs="Arial"/>
          <w:b/>
          <w:color w:val="365F91" w:themeColor="accent1" w:themeShade="BF"/>
          <w:sz w:val="20"/>
          <w:szCs w:val="20"/>
          <w:u w:val="single"/>
          <w:lang w:val="en-GB" w:eastAsia="fr-FR"/>
        </w:rPr>
        <w:t>Guidelines 3 and 4 – E</w:t>
      </w:r>
      <w:r w:rsidR="00BF6AC7" w:rsidRPr="00604D97">
        <w:rPr>
          <w:rFonts w:ascii="Arial" w:eastAsia="Times New Roman" w:hAnsi="Arial" w:cs="Arial"/>
          <w:b/>
          <w:color w:val="365F91" w:themeColor="accent1" w:themeShade="BF"/>
          <w:sz w:val="20"/>
          <w:szCs w:val="20"/>
          <w:u w:val="single"/>
          <w:lang w:val="en-GB" w:eastAsia="fr-FR"/>
        </w:rPr>
        <w:t>xtent of information to be collected from clients (proportionality) and reliability of client information</w:t>
      </w:r>
    </w:p>
    <w:p w14:paraId="54A60276" w14:textId="0790FE8F" w:rsidR="00262703" w:rsidRPr="00604D97" w:rsidRDefault="00262703"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3F61965A" w14:textId="43251FD4" w:rsidR="00710DF8" w:rsidRPr="00604D97" w:rsidRDefault="00710DF8" w:rsidP="00731FD9">
      <w:pPr>
        <w:autoSpaceDE w:val="0"/>
        <w:autoSpaceDN w:val="0"/>
        <w:adjustRightInd w:val="0"/>
        <w:spacing w:after="0" w:line="240" w:lineRule="atLeast"/>
        <w:rPr>
          <w:rFonts w:ascii="Arial" w:eastAsia="Times New Roman" w:hAnsi="Arial" w:cs="Arial"/>
          <w:color w:val="000000"/>
          <w:sz w:val="20"/>
          <w:szCs w:val="20"/>
          <w:lang w:val="en-GB" w:eastAsia="fr-FR"/>
        </w:rPr>
      </w:pPr>
      <w:r w:rsidRPr="00604D97">
        <w:rPr>
          <w:rFonts w:ascii="Arial" w:eastAsia="Times New Roman" w:hAnsi="Arial" w:cs="Arial"/>
          <w:i/>
          <w:iCs/>
          <w:color w:val="000000"/>
          <w:sz w:val="20"/>
          <w:szCs w:val="20"/>
          <w:lang w:val="en-GB" w:eastAsia="fr-FR"/>
        </w:rPr>
        <w:t>The content of guidelines 3 and 4 has been confirmed and no change has been introduced.</w:t>
      </w:r>
    </w:p>
    <w:p w14:paraId="7E10F8CD" w14:textId="2974530E" w:rsidR="00710DF8" w:rsidRPr="00604D97" w:rsidRDefault="00710DF8"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6EA30FA8" w14:textId="6DCEE304" w:rsidR="00E05C32" w:rsidRPr="00604D97" w:rsidRDefault="00E05C32"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34E802DF" w14:textId="77777777" w:rsidR="00836817" w:rsidRPr="00604D97" w:rsidRDefault="00836817"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27025C9E" w14:textId="0AD78823" w:rsidR="007B32FE" w:rsidRPr="00604D97" w:rsidRDefault="007B32FE"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604D97">
        <w:rPr>
          <w:rFonts w:ascii="Arial" w:eastAsia="Times New Roman" w:hAnsi="Arial" w:cs="Arial"/>
          <w:b/>
          <w:color w:val="365F91" w:themeColor="accent1" w:themeShade="BF"/>
          <w:sz w:val="20"/>
          <w:szCs w:val="20"/>
          <w:u w:val="single"/>
          <w:lang w:val="en-GB" w:eastAsia="fr-FR"/>
        </w:rPr>
        <w:t>Guideline 5 – Updating client information</w:t>
      </w:r>
    </w:p>
    <w:p w14:paraId="7FCDCC8B" w14:textId="77777777" w:rsidR="00710DF8" w:rsidRPr="00604D97" w:rsidRDefault="00710DF8"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72FA20D7" w14:textId="5D719F0E" w:rsidR="00710DF8" w:rsidRPr="00604D97" w:rsidRDefault="00D91472" w:rsidP="00731FD9">
      <w:pPr>
        <w:autoSpaceDE w:val="0"/>
        <w:autoSpaceDN w:val="0"/>
        <w:adjustRightInd w:val="0"/>
        <w:spacing w:after="0" w:line="240" w:lineRule="atLeast"/>
        <w:rPr>
          <w:rFonts w:ascii="Arial" w:eastAsia="Times New Roman" w:hAnsi="Arial" w:cs="Arial"/>
          <w:i/>
          <w:iCs/>
          <w:color w:val="000000"/>
          <w:sz w:val="20"/>
          <w:szCs w:val="20"/>
          <w:lang w:val="en-GB" w:eastAsia="fr-FR"/>
        </w:rPr>
      </w:pPr>
      <w:r w:rsidRPr="00604D97">
        <w:rPr>
          <w:rFonts w:ascii="Arial" w:eastAsia="Times New Roman" w:hAnsi="Arial" w:cs="Arial"/>
          <w:i/>
          <w:iCs/>
          <w:color w:val="000000"/>
          <w:sz w:val="20"/>
          <w:szCs w:val="20"/>
          <w:lang w:val="en-GB" w:eastAsia="fr-FR"/>
        </w:rPr>
        <w:t>A new paragraph has been added to the existing guideline 5 to clarify that, in relation to the collection of the sustainability preferences of a client, this information could be updated as part of the next regular update of the client’s information or during the first meeting with the client following the entry-into-application of the amendments to the MiFID II Delegated Regulation.</w:t>
      </w:r>
    </w:p>
    <w:p w14:paraId="3F2CF885" w14:textId="77777777" w:rsidR="00D91472" w:rsidRPr="00604D97" w:rsidRDefault="00D91472" w:rsidP="00731FD9">
      <w:pPr>
        <w:autoSpaceDE w:val="0"/>
        <w:autoSpaceDN w:val="0"/>
        <w:adjustRightInd w:val="0"/>
        <w:spacing w:after="0" w:line="240" w:lineRule="atLeast"/>
        <w:rPr>
          <w:rFonts w:ascii="Arial" w:eastAsia="Times New Roman" w:hAnsi="Arial" w:cs="Arial"/>
          <w:color w:val="000000"/>
          <w:sz w:val="20"/>
          <w:szCs w:val="20"/>
          <w:lang w:val="en-GB" w:eastAsia="fr-FR"/>
        </w:rPr>
      </w:pPr>
    </w:p>
    <w:p w14:paraId="6333033B" w14:textId="036D7057" w:rsidR="006D2E7D" w:rsidRPr="00604D97" w:rsidRDefault="00067DA0" w:rsidP="00731FD9">
      <w:pPr>
        <w:autoSpaceDE w:val="0"/>
        <w:autoSpaceDN w:val="0"/>
        <w:adjustRightInd w:val="0"/>
        <w:spacing w:after="0" w:line="240" w:lineRule="atLeast"/>
        <w:rPr>
          <w:rFonts w:ascii="Arial" w:eastAsia="Times New Roman" w:hAnsi="Arial" w:cs="Arial"/>
          <w:b/>
          <w:bCs/>
          <w:color w:val="000000"/>
          <w:sz w:val="20"/>
          <w:szCs w:val="20"/>
          <w:lang w:val="en-GB" w:eastAsia="fr-FR"/>
        </w:rPr>
      </w:pPr>
      <w:proofErr w:type="gramStart"/>
      <w:r w:rsidRPr="00604D97">
        <w:rPr>
          <w:rFonts w:ascii="Arial" w:eastAsia="Times New Roman" w:hAnsi="Arial" w:cs="Arial"/>
          <w:b/>
          <w:bCs/>
          <w:color w:val="000000"/>
          <w:sz w:val="20"/>
          <w:szCs w:val="20"/>
          <w:lang w:val="en-GB" w:eastAsia="fr-FR"/>
        </w:rPr>
        <w:t>Q7</w:t>
      </w:r>
      <w:proofErr w:type="gramEnd"/>
      <w:r w:rsidRPr="00604D97">
        <w:rPr>
          <w:rFonts w:ascii="Arial" w:eastAsia="Times New Roman" w:hAnsi="Arial" w:cs="Arial"/>
          <w:b/>
          <w:bCs/>
          <w:color w:val="000000"/>
          <w:sz w:val="20"/>
          <w:szCs w:val="20"/>
          <w:lang w:val="en-GB" w:eastAsia="fr-FR"/>
        </w:rPr>
        <w:tab/>
      </w:r>
      <w:r w:rsidR="00CA4C28" w:rsidRPr="00604D97">
        <w:rPr>
          <w:rFonts w:ascii="Arial" w:eastAsia="Times New Roman" w:hAnsi="Arial" w:cs="Arial"/>
          <w:b/>
          <w:bCs/>
          <w:color w:val="000000"/>
          <w:sz w:val="20"/>
          <w:szCs w:val="20"/>
          <w:lang w:val="en-GB" w:eastAsia="fr-FR"/>
        </w:rPr>
        <w:t>Do you agree with the suggested approach on the topic of ‘updating client information’? Please also state the reasons for your answer.</w:t>
      </w:r>
    </w:p>
    <w:p w14:paraId="7A0825E1" w14:textId="1220007F" w:rsidR="0010046C" w:rsidRPr="00604D97" w:rsidRDefault="0010046C"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05465E4F" w14:textId="6014A062" w:rsidR="00652DA5" w:rsidRPr="00604D97" w:rsidRDefault="00FE7325" w:rsidP="00731FD9">
      <w:pPr>
        <w:autoSpaceDE w:val="0"/>
        <w:autoSpaceDN w:val="0"/>
        <w:adjustRightInd w:val="0"/>
        <w:spacing w:after="0" w:line="240" w:lineRule="atLeast"/>
        <w:jc w:val="both"/>
        <w:rPr>
          <w:rFonts w:ascii="Arial" w:hAnsi="Arial" w:cs="Arial"/>
          <w:sz w:val="20"/>
          <w:szCs w:val="20"/>
          <w:lang w:val="en-GB"/>
        </w:rPr>
      </w:pPr>
      <w:r w:rsidRPr="00604D97">
        <w:rPr>
          <w:rFonts w:ascii="Arial" w:hAnsi="Arial" w:cs="Arial"/>
          <w:color w:val="000000"/>
          <w:sz w:val="20"/>
          <w:szCs w:val="20"/>
          <w:lang w:val="en-GB"/>
        </w:rPr>
        <w:t xml:space="preserve">This </w:t>
      </w:r>
      <w:r w:rsidR="00CB252F" w:rsidRPr="00604D97">
        <w:rPr>
          <w:rFonts w:ascii="Arial" w:hAnsi="Arial" w:cs="Arial"/>
          <w:color w:val="000000"/>
          <w:sz w:val="20"/>
          <w:szCs w:val="20"/>
          <w:lang w:val="en-GB"/>
        </w:rPr>
        <w:t>proposal</w:t>
      </w:r>
      <w:r w:rsidR="003D4B06" w:rsidRPr="00604D97">
        <w:rPr>
          <w:rFonts w:ascii="Arial" w:hAnsi="Arial" w:cs="Arial"/>
          <w:color w:val="000000"/>
          <w:sz w:val="20"/>
          <w:szCs w:val="20"/>
          <w:lang w:val="en-GB"/>
        </w:rPr>
        <w:t xml:space="preserve"> </w:t>
      </w:r>
      <w:r w:rsidR="00AD611B" w:rsidRPr="00604D97">
        <w:rPr>
          <w:rFonts w:ascii="Arial" w:hAnsi="Arial" w:cs="Arial"/>
          <w:color w:val="000000"/>
          <w:sz w:val="20"/>
          <w:szCs w:val="20"/>
          <w:lang w:val="en-GB"/>
        </w:rPr>
        <w:t>goes</w:t>
      </w:r>
      <w:r w:rsidR="009C11AF" w:rsidRPr="00604D97">
        <w:rPr>
          <w:rFonts w:ascii="Arial" w:hAnsi="Arial" w:cs="Arial"/>
          <w:color w:val="000000"/>
          <w:sz w:val="20"/>
          <w:szCs w:val="20"/>
          <w:lang w:val="en-GB"/>
        </w:rPr>
        <w:t xml:space="preserve"> beyon</w:t>
      </w:r>
      <w:r w:rsidR="00203489" w:rsidRPr="00604D97">
        <w:rPr>
          <w:rFonts w:ascii="Arial" w:hAnsi="Arial" w:cs="Arial"/>
          <w:color w:val="000000"/>
          <w:sz w:val="20"/>
          <w:szCs w:val="20"/>
          <w:lang w:val="en-GB"/>
        </w:rPr>
        <w:t>d</w:t>
      </w:r>
      <w:r w:rsidR="009C11AF" w:rsidRPr="00604D97">
        <w:rPr>
          <w:rFonts w:ascii="Arial" w:hAnsi="Arial" w:cs="Arial"/>
          <w:color w:val="000000"/>
          <w:sz w:val="20"/>
          <w:szCs w:val="20"/>
          <w:lang w:val="en-GB"/>
        </w:rPr>
        <w:t xml:space="preserve"> what is currently </w:t>
      </w:r>
      <w:r w:rsidR="00692FDF" w:rsidRPr="00604D97">
        <w:rPr>
          <w:rFonts w:ascii="Arial" w:hAnsi="Arial" w:cs="Arial"/>
          <w:color w:val="000000"/>
          <w:sz w:val="20"/>
          <w:szCs w:val="20"/>
          <w:lang w:val="en-GB"/>
        </w:rPr>
        <w:t xml:space="preserve">provided for under </w:t>
      </w:r>
      <w:r w:rsidR="00BD579F" w:rsidRPr="00604D97">
        <w:rPr>
          <w:rFonts w:ascii="Arial" w:hAnsi="Arial" w:cs="Arial"/>
          <w:color w:val="000000"/>
          <w:sz w:val="20"/>
          <w:szCs w:val="20"/>
          <w:lang w:val="en-GB"/>
        </w:rPr>
        <w:t>R</w:t>
      </w:r>
      <w:r w:rsidR="00692FDF" w:rsidRPr="00604D97">
        <w:rPr>
          <w:rFonts w:ascii="Arial" w:hAnsi="Arial" w:cs="Arial"/>
          <w:color w:val="000000"/>
          <w:sz w:val="20"/>
          <w:szCs w:val="20"/>
          <w:lang w:val="en-GB"/>
        </w:rPr>
        <w:t xml:space="preserve">ecital 4 </w:t>
      </w:r>
      <w:r w:rsidR="0025066A" w:rsidRPr="00604D97">
        <w:rPr>
          <w:rFonts w:ascii="Arial" w:hAnsi="Arial" w:cs="Arial"/>
          <w:color w:val="000000"/>
          <w:sz w:val="20"/>
          <w:szCs w:val="20"/>
          <w:lang w:val="en-GB"/>
        </w:rPr>
        <w:t>of the C</w:t>
      </w:r>
      <w:r w:rsidR="009A0FE9" w:rsidRPr="00604D97">
        <w:rPr>
          <w:rFonts w:ascii="Arial" w:hAnsi="Arial" w:cs="Arial"/>
          <w:color w:val="000000"/>
          <w:sz w:val="20"/>
          <w:szCs w:val="20"/>
          <w:lang w:val="en-GB"/>
        </w:rPr>
        <w:t xml:space="preserve">ommission </w:t>
      </w:r>
      <w:r w:rsidR="00652DA5" w:rsidRPr="00604D97">
        <w:rPr>
          <w:rFonts w:ascii="Arial" w:hAnsi="Arial" w:cs="Arial"/>
          <w:color w:val="000000"/>
          <w:sz w:val="20"/>
          <w:szCs w:val="20"/>
          <w:lang w:val="en-GB"/>
        </w:rPr>
        <w:t>D</w:t>
      </w:r>
      <w:r w:rsidR="009A0FE9" w:rsidRPr="00604D97">
        <w:rPr>
          <w:rFonts w:ascii="Arial" w:hAnsi="Arial" w:cs="Arial"/>
          <w:color w:val="000000"/>
          <w:sz w:val="20"/>
          <w:szCs w:val="20"/>
          <w:lang w:val="en-GB"/>
        </w:rPr>
        <w:t xml:space="preserve">elegated </w:t>
      </w:r>
      <w:r w:rsidR="00AC6C25" w:rsidRPr="00604D97">
        <w:rPr>
          <w:rFonts w:ascii="Arial" w:hAnsi="Arial" w:cs="Arial"/>
          <w:color w:val="000000"/>
          <w:sz w:val="20"/>
          <w:szCs w:val="20"/>
          <w:lang w:val="en-GB"/>
        </w:rPr>
        <w:t>R</w:t>
      </w:r>
      <w:r w:rsidR="009A0FE9" w:rsidRPr="00604D97">
        <w:rPr>
          <w:rFonts w:ascii="Arial" w:hAnsi="Arial" w:cs="Arial"/>
          <w:color w:val="000000"/>
          <w:sz w:val="20"/>
          <w:szCs w:val="20"/>
          <w:lang w:val="en-GB"/>
        </w:rPr>
        <w:t>egulation</w:t>
      </w:r>
      <w:r w:rsidR="0025066A" w:rsidRPr="00604D97">
        <w:rPr>
          <w:rFonts w:ascii="Arial" w:hAnsi="Arial" w:cs="Arial"/>
          <w:sz w:val="20"/>
          <w:szCs w:val="20"/>
          <w:lang w:val="en-GB"/>
        </w:rPr>
        <w:t xml:space="preserve"> (EU) 2021/1253</w:t>
      </w:r>
      <w:r w:rsidR="00415CE4" w:rsidRPr="00604D97">
        <w:rPr>
          <w:rFonts w:ascii="Arial" w:hAnsi="Arial" w:cs="Arial"/>
          <w:sz w:val="20"/>
          <w:szCs w:val="20"/>
          <w:lang w:val="en-GB"/>
        </w:rPr>
        <w:t>: “</w:t>
      </w:r>
      <w:r w:rsidR="00415CE4" w:rsidRPr="00604D97">
        <w:rPr>
          <w:rFonts w:ascii="Arial" w:hAnsi="Arial" w:cs="Arial"/>
          <w:i/>
          <w:iCs/>
          <w:sz w:val="20"/>
          <w:szCs w:val="20"/>
          <w:lang w:val="en-GB"/>
        </w:rPr>
        <w:t>To maintain a high standard of investor protection, investment firms should, when identifying the types of conflicts of interest the existence of which may damage the interests of a client or potential client, include those types of conflicts of interest that stem from the integration of the client’s sustainability preferences For existing clients, for whom a suitability assessment has already been undertaken, investment firms should have the possibility to identify the client’s individual sustainability preferences at the next regular update of the existing suitability assessment.</w:t>
      </w:r>
      <w:r w:rsidR="00415CE4" w:rsidRPr="00604D97">
        <w:rPr>
          <w:rFonts w:ascii="Arial" w:hAnsi="Arial" w:cs="Arial"/>
          <w:sz w:val="20"/>
          <w:szCs w:val="20"/>
          <w:lang w:val="en-GB"/>
        </w:rPr>
        <w:t>”</w:t>
      </w:r>
    </w:p>
    <w:p w14:paraId="02C5B379" w14:textId="176F6713" w:rsidR="00555A88" w:rsidRPr="00604D97" w:rsidRDefault="00652DA5" w:rsidP="00731FD9">
      <w:pPr>
        <w:autoSpaceDE w:val="0"/>
        <w:autoSpaceDN w:val="0"/>
        <w:adjustRightInd w:val="0"/>
        <w:spacing w:after="0" w:line="240" w:lineRule="atLeast"/>
        <w:jc w:val="both"/>
        <w:rPr>
          <w:rFonts w:ascii="Arial" w:hAnsi="Arial" w:cs="Arial"/>
          <w:sz w:val="20"/>
          <w:szCs w:val="20"/>
          <w:lang w:val="en-GB"/>
        </w:rPr>
      </w:pPr>
      <w:r w:rsidRPr="00604D97">
        <w:rPr>
          <w:rFonts w:ascii="Arial" w:hAnsi="Arial" w:cs="Arial"/>
          <w:sz w:val="20"/>
          <w:szCs w:val="20"/>
          <w:lang w:val="en-GB"/>
        </w:rPr>
        <w:t>Thus</w:t>
      </w:r>
      <w:r w:rsidR="00DE20F0" w:rsidRPr="00604D97">
        <w:rPr>
          <w:rFonts w:ascii="Arial" w:hAnsi="Arial" w:cs="Arial"/>
          <w:color w:val="000000"/>
          <w:sz w:val="20"/>
          <w:szCs w:val="20"/>
          <w:lang w:val="en-GB"/>
        </w:rPr>
        <w:t>,</w:t>
      </w:r>
      <w:r w:rsidR="001E347A" w:rsidRPr="00604D97">
        <w:rPr>
          <w:rFonts w:ascii="Arial" w:hAnsi="Arial" w:cs="Arial"/>
          <w:color w:val="000000"/>
          <w:sz w:val="20"/>
          <w:szCs w:val="20"/>
          <w:lang w:val="en-GB"/>
        </w:rPr>
        <w:t xml:space="preserve"> </w:t>
      </w:r>
      <w:r w:rsidR="00FE7325" w:rsidRPr="00604D97">
        <w:rPr>
          <w:rFonts w:ascii="Arial" w:hAnsi="Arial" w:cs="Arial"/>
          <w:color w:val="000000"/>
          <w:sz w:val="20"/>
          <w:szCs w:val="20"/>
          <w:lang w:val="en-GB"/>
        </w:rPr>
        <w:t xml:space="preserve">this </w:t>
      </w:r>
      <w:r w:rsidRPr="00604D97">
        <w:rPr>
          <w:rFonts w:ascii="Arial" w:hAnsi="Arial" w:cs="Arial"/>
          <w:color w:val="000000"/>
          <w:sz w:val="20"/>
          <w:szCs w:val="20"/>
          <w:lang w:val="en-GB"/>
        </w:rPr>
        <w:t>Recital provides</w:t>
      </w:r>
      <w:r w:rsidR="001110A5" w:rsidRPr="00604D97">
        <w:rPr>
          <w:rFonts w:ascii="Arial" w:hAnsi="Arial" w:cs="Arial"/>
          <w:color w:val="000000"/>
          <w:sz w:val="20"/>
          <w:szCs w:val="20"/>
          <w:lang w:val="en-GB"/>
        </w:rPr>
        <w:t xml:space="preserve"> </w:t>
      </w:r>
      <w:r w:rsidR="004016A9" w:rsidRPr="00604D97">
        <w:rPr>
          <w:rFonts w:ascii="Arial" w:hAnsi="Arial" w:cs="Arial"/>
          <w:color w:val="000000"/>
          <w:sz w:val="20"/>
          <w:szCs w:val="20"/>
          <w:lang w:val="en-GB"/>
        </w:rPr>
        <w:t>the possibility for firms to update the client’s</w:t>
      </w:r>
      <w:r w:rsidR="00DE20F0" w:rsidRPr="00604D97">
        <w:rPr>
          <w:rFonts w:ascii="Arial" w:hAnsi="Arial" w:cs="Arial"/>
          <w:color w:val="000000"/>
          <w:sz w:val="20"/>
          <w:szCs w:val="20"/>
          <w:lang w:val="en-GB"/>
        </w:rPr>
        <w:t xml:space="preserve"> </w:t>
      </w:r>
      <w:r w:rsidR="00D97309" w:rsidRPr="00604D97">
        <w:rPr>
          <w:rFonts w:ascii="Arial" w:hAnsi="Arial" w:cs="Arial"/>
          <w:color w:val="000000"/>
          <w:sz w:val="20"/>
          <w:szCs w:val="20"/>
          <w:lang w:val="en-GB"/>
        </w:rPr>
        <w:t xml:space="preserve">sustainability </w:t>
      </w:r>
      <w:r w:rsidR="00DE20F0" w:rsidRPr="00604D97">
        <w:rPr>
          <w:rFonts w:ascii="Arial" w:hAnsi="Arial" w:cs="Arial"/>
          <w:color w:val="000000"/>
          <w:sz w:val="20"/>
          <w:szCs w:val="20"/>
          <w:lang w:val="en-GB"/>
        </w:rPr>
        <w:t xml:space="preserve">preferences </w:t>
      </w:r>
      <w:r w:rsidR="00555A88" w:rsidRPr="00604D97">
        <w:rPr>
          <w:rFonts w:ascii="Arial" w:hAnsi="Arial" w:cs="Arial"/>
          <w:sz w:val="20"/>
          <w:szCs w:val="20"/>
          <w:lang w:val="en-GB"/>
        </w:rPr>
        <w:t>“</w:t>
      </w:r>
      <w:r w:rsidR="000F4344" w:rsidRPr="00604D97">
        <w:rPr>
          <w:rFonts w:ascii="Arial" w:hAnsi="Arial" w:cs="Arial"/>
          <w:i/>
          <w:iCs/>
          <w:sz w:val="20"/>
          <w:szCs w:val="20"/>
          <w:lang w:val="en-GB"/>
        </w:rPr>
        <w:t>at the next regular update of the existing suitability assessment</w:t>
      </w:r>
      <w:r w:rsidR="00555A88" w:rsidRPr="00604D97">
        <w:rPr>
          <w:rFonts w:ascii="Arial" w:hAnsi="Arial" w:cs="Arial"/>
          <w:sz w:val="20"/>
          <w:szCs w:val="20"/>
          <w:lang w:val="en-GB"/>
        </w:rPr>
        <w:t>”</w:t>
      </w:r>
      <w:r w:rsidR="000F4344" w:rsidRPr="00604D97">
        <w:rPr>
          <w:rFonts w:ascii="Arial" w:hAnsi="Arial" w:cs="Arial"/>
          <w:sz w:val="20"/>
          <w:szCs w:val="20"/>
          <w:lang w:val="en-GB"/>
        </w:rPr>
        <w:t>.</w:t>
      </w:r>
    </w:p>
    <w:p w14:paraId="2387196E" w14:textId="5306F8F1" w:rsidR="00903196" w:rsidRPr="009E4F74" w:rsidRDefault="00D751A9" w:rsidP="00731FD9">
      <w:pPr>
        <w:autoSpaceDE w:val="0"/>
        <w:autoSpaceDN w:val="0"/>
        <w:adjustRightInd w:val="0"/>
        <w:spacing w:after="0" w:line="240" w:lineRule="atLeast"/>
        <w:jc w:val="both"/>
        <w:rPr>
          <w:rFonts w:ascii="Arial" w:hAnsi="Arial" w:cs="Arial"/>
          <w:color w:val="000000"/>
          <w:sz w:val="20"/>
          <w:szCs w:val="20"/>
          <w:lang w:val="en-GB"/>
        </w:rPr>
      </w:pPr>
      <w:r w:rsidRPr="00604D97">
        <w:rPr>
          <w:rFonts w:ascii="Arial" w:hAnsi="Arial" w:cs="Arial"/>
          <w:sz w:val="20"/>
          <w:szCs w:val="20"/>
          <w:lang w:val="en-GB"/>
        </w:rPr>
        <w:t>More particularly</w:t>
      </w:r>
      <w:r w:rsidR="00843C14" w:rsidRPr="00604D97">
        <w:rPr>
          <w:rFonts w:ascii="Arial" w:hAnsi="Arial" w:cs="Arial"/>
          <w:sz w:val="20"/>
          <w:szCs w:val="20"/>
          <w:lang w:val="en-GB"/>
        </w:rPr>
        <w:t xml:space="preserve">, </w:t>
      </w:r>
      <w:r w:rsidR="00E67976" w:rsidRPr="00604D97">
        <w:rPr>
          <w:rFonts w:ascii="Arial" w:hAnsi="Arial" w:cs="Arial"/>
          <w:color w:val="000000"/>
          <w:sz w:val="20"/>
          <w:szCs w:val="20"/>
          <w:lang w:val="en-GB"/>
        </w:rPr>
        <w:t>FBF</w:t>
      </w:r>
      <w:r w:rsidR="00C57230" w:rsidRPr="00604D97">
        <w:rPr>
          <w:rFonts w:ascii="Arial" w:hAnsi="Arial" w:cs="Arial"/>
          <w:color w:val="000000"/>
          <w:sz w:val="20"/>
          <w:szCs w:val="20"/>
          <w:lang w:val="en-GB"/>
        </w:rPr>
        <w:t xml:space="preserve"> </w:t>
      </w:r>
      <w:r w:rsidR="00203489" w:rsidRPr="00604D97">
        <w:rPr>
          <w:rFonts w:ascii="Arial" w:hAnsi="Arial" w:cs="Arial"/>
          <w:color w:val="000000"/>
          <w:sz w:val="20"/>
          <w:szCs w:val="20"/>
          <w:lang w:val="en-GB"/>
        </w:rPr>
        <w:t>is not in favour of addi</w:t>
      </w:r>
      <w:r w:rsidR="00903196" w:rsidRPr="00604D97">
        <w:rPr>
          <w:rFonts w:ascii="Arial" w:hAnsi="Arial" w:cs="Arial"/>
          <w:color w:val="000000"/>
          <w:sz w:val="20"/>
          <w:szCs w:val="20"/>
          <w:lang w:val="en-GB"/>
        </w:rPr>
        <w:t>ng</w:t>
      </w:r>
      <w:r w:rsidR="00DE57F6" w:rsidRPr="00604D97">
        <w:rPr>
          <w:rFonts w:ascii="Arial" w:hAnsi="Arial" w:cs="Arial"/>
          <w:color w:val="000000"/>
          <w:sz w:val="20"/>
          <w:szCs w:val="20"/>
          <w:lang w:val="en-GB"/>
        </w:rPr>
        <w:t xml:space="preserve"> the </w:t>
      </w:r>
      <w:r w:rsidR="00495819" w:rsidRPr="00604D97">
        <w:rPr>
          <w:rFonts w:ascii="Arial" w:hAnsi="Arial" w:cs="Arial"/>
          <w:color w:val="000000"/>
          <w:sz w:val="20"/>
          <w:szCs w:val="20"/>
          <w:lang w:val="en-GB"/>
        </w:rPr>
        <w:t>necessity</w:t>
      </w:r>
      <w:r w:rsidR="00DE57F6" w:rsidRPr="00604D97">
        <w:rPr>
          <w:rFonts w:ascii="Arial" w:hAnsi="Arial" w:cs="Arial"/>
          <w:color w:val="000000"/>
          <w:sz w:val="20"/>
          <w:szCs w:val="20"/>
          <w:lang w:val="en-GB"/>
        </w:rPr>
        <w:t xml:space="preserve"> for firms to update </w:t>
      </w:r>
      <w:r w:rsidR="0000792D" w:rsidRPr="00604D97">
        <w:rPr>
          <w:rFonts w:ascii="Arial" w:hAnsi="Arial" w:cs="Arial"/>
          <w:color w:val="000000"/>
          <w:sz w:val="20"/>
          <w:szCs w:val="20"/>
          <w:lang w:val="en-GB"/>
        </w:rPr>
        <w:t>the sustainability preferences of a client</w:t>
      </w:r>
      <w:r w:rsidR="00903196" w:rsidRPr="00604D97">
        <w:rPr>
          <w:rFonts w:ascii="Arial" w:hAnsi="Arial" w:cs="Arial"/>
          <w:color w:val="000000"/>
          <w:sz w:val="20"/>
          <w:szCs w:val="20"/>
          <w:lang w:val="en-GB"/>
        </w:rPr>
        <w:t xml:space="preserve"> “</w:t>
      </w:r>
      <w:r w:rsidR="00903196" w:rsidRPr="00604D97">
        <w:rPr>
          <w:rFonts w:ascii="Arial" w:hAnsi="Arial" w:cs="Arial"/>
          <w:i/>
          <w:iCs/>
          <w:color w:val="000000"/>
          <w:sz w:val="20"/>
          <w:szCs w:val="20"/>
          <w:lang w:val="en-GB"/>
        </w:rPr>
        <w:t xml:space="preserve">during the first </w:t>
      </w:r>
      <w:r w:rsidR="001110A5" w:rsidRPr="00604D97">
        <w:rPr>
          <w:rFonts w:ascii="Arial" w:hAnsi="Arial" w:cs="Arial"/>
          <w:i/>
          <w:iCs/>
          <w:color w:val="000000"/>
          <w:sz w:val="20"/>
          <w:szCs w:val="20"/>
          <w:lang w:val="en-GB"/>
        </w:rPr>
        <w:t>meeting</w:t>
      </w:r>
      <w:r w:rsidR="00903196" w:rsidRPr="00604D97">
        <w:rPr>
          <w:rFonts w:ascii="Arial" w:hAnsi="Arial" w:cs="Arial"/>
          <w:i/>
          <w:iCs/>
          <w:color w:val="000000"/>
          <w:sz w:val="20"/>
          <w:szCs w:val="20"/>
          <w:lang w:val="en-GB"/>
        </w:rPr>
        <w:t xml:space="preserve"> with the client</w:t>
      </w:r>
      <w:r w:rsidR="00903196" w:rsidRPr="00604D97">
        <w:rPr>
          <w:rFonts w:ascii="Arial" w:hAnsi="Arial" w:cs="Arial"/>
          <w:color w:val="000000"/>
          <w:sz w:val="20"/>
          <w:szCs w:val="20"/>
          <w:lang w:val="en-GB"/>
        </w:rPr>
        <w:t>”</w:t>
      </w:r>
      <w:r w:rsidR="00162FA5" w:rsidRPr="00604D97">
        <w:rPr>
          <w:rFonts w:ascii="Arial" w:hAnsi="Arial" w:cs="Arial"/>
          <w:color w:val="000000"/>
          <w:sz w:val="20"/>
          <w:szCs w:val="20"/>
          <w:lang w:val="en-GB"/>
        </w:rPr>
        <w:t>.</w:t>
      </w:r>
      <w:r w:rsidR="004135EE" w:rsidRPr="00604D97">
        <w:rPr>
          <w:rFonts w:ascii="Arial" w:hAnsi="Arial" w:cs="Arial"/>
          <w:color w:val="000000"/>
          <w:sz w:val="20"/>
          <w:szCs w:val="20"/>
          <w:lang w:val="en-GB"/>
        </w:rPr>
        <w:t xml:space="preserve"> As such update will require time</w:t>
      </w:r>
      <w:r w:rsidR="00323DCB" w:rsidRPr="00604D97">
        <w:rPr>
          <w:rFonts w:ascii="Arial" w:hAnsi="Arial" w:cs="Arial"/>
          <w:color w:val="000000"/>
          <w:sz w:val="20"/>
          <w:szCs w:val="20"/>
          <w:lang w:val="en-GB"/>
        </w:rPr>
        <w:t xml:space="preserve"> and availability of mind from the client, it may not fit well in the “first meeting” to take place after </w:t>
      </w:r>
      <w:r w:rsidR="007A0E64" w:rsidRPr="00604D97">
        <w:rPr>
          <w:rFonts w:ascii="Arial" w:hAnsi="Arial" w:cs="Arial"/>
          <w:color w:val="000000"/>
          <w:sz w:val="20"/>
          <w:szCs w:val="20"/>
          <w:lang w:val="en-GB"/>
        </w:rPr>
        <w:t xml:space="preserve">the entry of </w:t>
      </w:r>
      <w:r w:rsidR="007A0E64" w:rsidRPr="009E4F74">
        <w:rPr>
          <w:rFonts w:ascii="Arial" w:hAnsi="Arial" w:cs="Arial"/>
          <w:color w:val="000000"/>
          <w:sz w:val="20"/>
          <w:szCs w:val="20"/>
          <w:lang w:val="en-GB"/>
        </w:rPr>
        <w:t>application of these MIFID II amendments, as such meeting may be on very different matters or even of a duration that does not allow such discussion. In addition</w:t>
      </w:r>
      <w:r w:rsidR="00714F6D" w:rsidRPr="009E4F74">
        <w:rPr>
          <w:rFonts w:ascii="Arial" w:hAnsi="Arial" w:cs="Arial"/>
          <w:color w:val="000000"/>
          <w:sz w:val="20"/>
          <w:szCs w:val="20"/>
          <w:lang w:val="en-GB"/>
        </w:rPr>
        <w:t>, s</w:t>
      </w:r>
      <w:r w:rsidR="00162FA5" w:rsidRPr="009E4F74">
        <w:rPr>
          <w:rFonts w:ascii="Arial" w:hAnsi="Arial" w:cs="Arial"/>
          <w:color w:val="000000"/>
          <w:sz w:val="20"/>
          <w:szCs w:val="20"/>
          <w:lang w:val="en-GB"/>
        </w:rPr>
        <w:t xml:space="preserve">uch </w:t>
      </w:r>
      <w:r w:rsidR="001110A5" w:rsidRPr="009E4F74">
        <w:rPr>
          <w:rFonts w:ascii="Arial" w:hAnsi="Arial" w:cs="Arial"/>
          <w:color w:val="000000"/>
          <w:sz w:val="20"/>
          <w:szCs w:val="20"/>
          <w:lang w:val="en-GB"/>
        </w:rPr>
        <w:t>requirement</w:t>
      </w:r>
      <w:r w:rsidR="00162FA5" w:rsidRPr="009E4F74">
        <w:rPr>
          <w:rFonts w:ascii="Arial" w:hAnsi="Arial" w:cs="Arial"/>
          <w:color w:val="000000"/>
          <w:sz w:val="20"/>
          <w:szCs w:val="20"/>
          <w:lang w:val="en-GB"/>
        </w:rPr>
        <w:t xml:space="preserve"> is viewed as being too </w:t>
      </w:r>
      <w:r w:rsidR="001110A5" w:rsidRPr="009E4F74">
        <w:rPr>
          <w:rFonts w:ascii="Arial" w:hAnsi="Arial" w:cs="Arial"/>
          <w:color w:val="000000"/>
          <w:sz w:val="20"/>
          <w:szCs w:val="20"/>
          <w:lang w:val="en-GB"/>
        </w:rPr>
        <w:t>broadly</w:t>
      </w:r>
      <w:r w:rsidR="00162FA5" w:rsidRPr="009E4F74">
        <w:rPr>
          <w:rFonts w:ascii="Arial" w:hAnsi="Arial" w:cs="Arial"/>
          <w:color w:val="000000"/>
          <w:sz w:val="20"/>
          <w:szCs w:val="20"/>
          <w:lang w:val="en-GB"/>
        </w:rPr>
        <w:t xml:space="preserve"> expresse</w:t>
      </w:r>
      <w:r w:rsidR="001110A5" w:rsidRPr="009E4F74">
        <w:rPr>
          <w:rFonts w:ascii="Arial" w:hAnsi="Arial" w:cs="Arial"/>
          <w:color w:val="000000"/>
          <w:sz w:val="20"/>
          <w:szCs w:val="20"/>
          <w:lang w:val="en-GB"/>
        </w:rPr>
        <w:t>d</w:t>
      </w:r>
      <w:r w:rsidR="00162FA5" w:rsidRPr="009E4F74">
        <w:rPr>
          <w:rFonts w:ascii="Arial" w:hAnsi="Arial" w:cs="Arial"/>
          <w:color w:val="000000"/>
          <w:sz w:val="20"/>
          <w:szCs w:val="20"/>
          <w:lang w:val="en-GB"/>
        </w:rPr>
        <w:t>, potentially giving rise to many disputes about the term</w:t>
      </w:r>
      <w:r w:rsidR="001110A5" w:rsidRPr="009E4F74">
        <w:rPr>
          <w:rFonts w:ascii="Arial" w:hAnsi="Arial" w:cs="Arial"/>
          <w:color w:val="000000"/>
          <w:sz w:val="20"/>
          <w:szCs w:val="20"/>
          <w:lang w:val="en-GB"/>
        </w:rPr>
        <w:t>s “</w:t>
      </w:r>
      <w:r w:rsidR="00134045" w:rsidRPr="009E4F74">
        <w:rPr>
          <w:rFonts w:ascii="Arial" w:hAnsi="Arial" w:cs="Arial"/>
          <w:i/>
          <w:iCs/>
          <w:color w:val="000000"/>
          <w:sz w:val="20"/>
          <w:szCs w:val="20"/>
          <w:lang w:val="en-GB"/>
        </w:rPr>
        <w:t>meeting</w:t>
      </w:r>
      <w:r w:rsidR="001110A5" w:rsidRPr="009E4F74">
        <w:rPr>
          <w:rFonts w:ascii="Arial" w:hAnsi="Arial" w:cs="Arial"/>
          <w:i/>
          <w:iCs/>
          <w:color w:val="000000"/>
          <w:sz w:val="20"/>
          <w:szCs w:val="20"/>
          <w:lang w:val="en-GB"/>
        </w:rPr>
        <w:t xml:space="preserve"> with a client</w:t>
      </w:r>
      <w:r w:rsidR="001110A5" w:rsidRPr="009E4F74">
        <w:rPr>
          <w:rFonts w:ascii="Arial" w:hAnsi="Arial" w:cs="Arial"/>
          <w:color w:val="000000"/>
          <w:sz w:val="20"/>
          <w:szCs w:val="20"/>
          <w:lang w:val="en-GB"/>
        </w:rPr>
        <w:t>”.</w:t>
      </w:r>
    </w:p>
    <w:p w14:paraId="06316CDB" w14:textId="77777777" w:rsidR="00A45458" w:rsidRPr="009E4F74" w:rsidRDefault="00A45458" w:rsidP="00A45458">
      <w:pPr>
        <w:shd w:val="clear" w:color="auto" w:fill="FDFDFD"/>
        <w:spacing w:after="0" w:line="240" w:lineRule="auto"/>
        <w:rPr>
          <w:rFonts w:ascii="Arial" w:eastAsia="Times New Roman" w:hAnsi="Arial" w:cs="Arial"/>
          <w:sz w:val="20"/>
          <w:szCs w:val="20"/>
          <w:lang w:val="en" w:eastAsia="fr-FR"/>
        </w:rPr>
      </w:pPr>
      <w:r w:rsidRPr="009E4F74">
        <w:rPr>
          <w:rFonts w:ascii="Arial" w:eastAsia="Times New Roman" w:hAnsi="Arial" w:cs="Arial"/>
          <w:sz w:val="20"/>
          <w:szCs w:val="20"/>
          <w:lang w:val="en" w:eastAsia="fr-FR"/>
        </w:rPr>
        <w:t>More generally, Guideline 5 already provides for updates to Suitability, the new ESG requirements must be integrated into the update process as provided for in this guideline and not be subject to a dedicated process.</w:t>
      </w:r>
    </w:p>
    <w:p w14:paraId="6E6FF698" w14:textId="0740E074" w:rsidR="004130C7" w:rsidRPr="009E4F74" w:rsidRDefault="004130C7" w:rsidP="00731FD9">
      <w:pPr>
        <w:autoSpaceDE w:val="0"/>
        <w:autoSpaceDN w:val="0"/>
        <w:adjustRightInd w:val="0"/>
        <w:spacing w:after="0" w:line="240" w:lineRule="atLeast"/>
        <w:jc w:val="both"/>
        <w:rPr>
          <w:rFonts w:ascii="Arial" w:hAnsi="Arial" w:cs="Arial"/>
          <w:color w:val="000000"/>
          <w:sz w:val="20"/>
          <w:szCs w:val="20"/>
          <w:lang w:val="en-GB"/>
        </w:rPr>
      </w:pPr>
    </w:p>
    <w:p w14:paraId="507396B0" w14:textId="105A46AF" w:rsidR="00E05C32" w:rsidRPr="009E4F74" w:rsidRDefault="00E05C32" w:rsidP="00731FD9">
      <w:pPr>
        <w:autoSpaceDE w:val="0"/>
        <w:autoSpaceDN w:val="0"/>
        <w:adjustRightInd w:val="0"/>
        <w:spacing w:after="0" w:line="240" w:lineRule="atLeast"/>
        <w:jc w:val="both"/>
        <w:rPr>
          <w:rFonts w:ascii="Arial" w:hAnsi="Arial" w:cs="Arial"/>
          <w:color w:val="000000"/>
          <w:sz w:val="20"/>
          <w:szCs w:val="20"/>
          <w:lang w:val="en-GB"/>
        </w:rPr>
      </w:pPr>
    </w:p>
    <w:p w14:paraId="72565EF2" w14:textId="77777777" w:rsidR="008E6E5B" w:rsidRPr="00604D97" w:rsidRDefault="008E6E5B" w:rsidP="00731FD9">
      <w:pPr>
        <w:autoSpaceDE w:val="0"/>
        <w:autoSpaceDN w:val="0"/>
        <w:adjustRightInd w:val="0"/>
        <w:spacing w:after="0" w:line="240" w:lineRule="atLeast"/>
        <w:jc w:val="both"/>
        <w:rPr>
          <w:rFonts w:ascii="Arial" w:hAnsi="Arial" w:cs="Arial"/>
          <w:color w:val="000000"/>
          <w:sz w:val="20"/>
          <w:lang w:val="en-GB"/>
        </w:rPr>
      </w:pPr>
    </w:p>
    <w:p w14:paraId="42436938" w14:textId="5C0495B8" w:rsidR="00C77633" w:rsidRPr="00604D97" w:rsidRDefault="00C77633"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604D97">
        <w:rPr>
          <w:rFonts w:ascii="Arial" w:eastAsia="Times New Roman" w:hAnsi="Arial" w:cs="Arial"/>
          <w:b/>
          <w:color w:val="365F91" w:themeColor="accent1" w:themeShade="BF"/>
          <w:sz w:val="20"/>
          <w:szCs w:val="20"/>
          <w:u w:val="single"/>
          <w:lang w:val="en-GB" w:eastAsia="fr-FR"/>
        </w:rPr>
        <w:t>Guideline 6 – Client information for legal entities or groups</w:t>
      </w:r>
    </w:p>
    <w:p w14:paraId="095159A9" w14:textId="10E961DE" w:rsidR="00C77633" w:rsidRPr="00604D97" w:rsidRDefault="00C77633"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645C4156" w14:textId="10A5FA21" w:rsidR="00C77633" w:rsidRPr="00604D97" w:rsidRDefault="00F83E06" w:rsidP="00731FD9">
      <w:pPr>
        <w:autoSpaceDE w:val="0"/>
        <w:autoSpaceDN w:val="0"/>
        <w:adjustRightInd w:val="0"/>
        <w:spacing w:after="0" w:line="240" w:lineRule="atLeast"/>
        <w:jc w:val="both"/>
        <w:rPr>
          <w:rFonts w:ascii="Arial" w:eastAsia="Times New Roman" w:hAnsi="Arial" w:cs="Arial"/>
          <w:i/>
          <w:iCs/>
          <w:color w:val="000000"/>
          <w:sz w:val="20"/>
          <w:szCs w:val="20"/>
          <w:lang w:val="en-GB" w:eastAsia="fr-FR"/>
        </w:rPr>
      </w:pPr>
      <w:r w:rsidRPr="00604D97">
        <w:rPr>
          <w:rFonts w:ascii="Arial" w:eastAsia="Times New Roman" w:hAnsi="Arial" w:cs="Arial"/>
          <w:i/>
          <w:iCs/>
          <w:color w:val="000000"/>
          <w:sz w:val="20"/>
          <w:szCs w:val="20"/>
          <w:lang w:val="en-GB" w:eastAsia="fr-FR"/>
        </w:rPr>
        <w:t>The content of guidelines 6 has been confirmed and no change has been introduced.</w:t>
      </w:r>
    </w:p>
    <w:p w14:paraId="24808F6A" w14:textId="76854CAB" w:rsidR="00F83E06" w:rsidRPr="00604D97" w:rsidRDefault="00F83E06"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72DB258B" w14:textId="77777777" w:rsidR="008E6E5B" w:rsidRPr="00604D97" w:rsidRDefault="008E6E5B"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7A354F2D" w14:textId="6A2B67F5" w:rsidR="00F83E06" w:rsidRPr="00604D97" w:rsidRDefault="00F83E06"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6E9ADE26" w14:textId="7288A976" w:rsidR="00F83E06" w:rsidRPr="00604D97" w:rsidRDefault="00F83E06"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604D97">
        <w:rPr>
          <w:rFonts w:ascii="Arial" w:eastAsia="Times New Roman" w:hAnsi="Arial" w:cs="Arial"/>
          <w:b/>
          <w:color w:val="365F91" w:themeColor="accent1" w:themeShade="BF"/>
          <w:sz w:val="20"/>
          <w:szCs w:val="20"/>
          <w:u w:val="single"/>
          <w:lang w:val="en-GB" w:eastAsia="fr-FR"/>
        </w:rPr>
        <w:t xml:space="preserve">Guideline 7 – Arrangements </w:t>
      </w:r>
      <w:r w:rsidR="00C24CE4" w:rsidRPr="00604D97">
        <w:rPr>
          <w:rFonts w:ascii="Arial" w:eastAsia="Times New Roman" w:hAnsi="Arial" w:cs="Arial"/>
          <w:b/>
          <w:color w:val="365F91" w:themeColor="accent1" w:themeShade="BF"/>
          <w:sz w:val="20"/>
          <w:szCs w:val="20"/>
          <w:u w:val="single"/>
          <w:lang w:val="en-GB" w:eastAsia="fr-FR"/>
        </w:rPr>
        <w:t>necessary to understand investment products</w:t>
      </w:r>
    </w:p>
    <w:p w14:paraId="1E401087" w14:textId="005BCE98" w:rsidR="00F83E06" w:rsidRPr="00604D97" w:rsidRDefault="00F83E06"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5D1154AA" w14:textId="0DC564CF" w:rsidR="003E08FB" w:rsidRPr="00604D97" w:rsidRDefault="003805DB" w:rsidP="00731FD9">
      <w:pPr>
        <w:autoSpaceDE w:val="0"/>
        <w:autoSpaceDN w:val="0"/>
        <w:adjustRightInd w:val="0"/>
        <w:spacing w:after="0" w:line="240" w:lineRule="atLeast"/>
        <w:jc w:val="both"/>
        <w:rPr>
          <w:rFonts w:ascii="Arial" w:eastAsia="Times New Roman" w:hAnsi="Arial" w:cs="Arial"/>
          <w:i/>
          <w:iCs/>
          <w:color w:val="000000"/>
          <w:sz w:val="20"/>
          <w:szCs w:val="20"/>
          <w:lang w:val="en-GB" w:eastAsia="fr-FR"/>
        </w:rPr>
      </w:pPr>
      <w:r w:rsidRPr="00604D97">
        <w:rPr>
          <w:rFonts w:ascii="Arial" w:eastAsia="Times New Roman" w:hAnsi="Arial" w:cs="Arial"/>
          <w:i/>
          <w:iCs/>
          <w:color w:val="000000"/>
          <w:sz w:val="20"/>
          <w:szCs w:val="20"/>
          <w:lang w:val="en-GB" w:eastAsia="fr-FR"/>
        </w:rPr>
        <w:t xml:space="preserve">Regarding the arrangements necessary to understand investment products, the supporting guideline has been amended to ensure that the policies and procedures implemented by firms to understand the </w:t>
      </w:r>
      <w:r w:rsidRPr="00604D97">
        <w:rPr>
          <w:rFonts w:ascii="Arial" w:eastAsia="Times New Roman" w:hAnsi="Arial" w:cs="Arial"/>
          <w:i/>
          <w:iCs/>
          <w:color w:val="000000"/>
          <w:sz w:val="20"/>
          <w:szCs w:val="20"/>
          <w:lang w:val="en-GB" w:eastAsia="fr-FR"/>
        </w:rPr>
        <w:lastRenderedPageBreak/>
        <w:t>characteristics, nature and features of investment products take into consideration the investment products’ sustainability factors.</w:t>
      </w:r>
    </w:p>
    <w:p w14:paraId="1C989695" w14:textId="77777777" w:rsidR="005928DA" w:rsidRPr="00604D97" w:rsidRDefault="005928DA"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36573B04" w14:textId="1B961497" w:rsidR="00067DA0" w:rsidRPr="00604D97" w:rsidRDefault="00067DA0" w:rsidP="00731FD9">
      <w:pPr>
        <w:spacing w:after="0" w:line="240" w:lineRule="atLeast"/>
        <w:jc w:val="both"/>
        <w:rPr>
          <w:rFonts w:ascii="Arial" w:eastAsia="Times New Roman" w:hAnsi="Arial" w:cs="Arial"/>
          <w:b/>
          <w:bCs/>
          <w:color w:val="000000"/>
          <w:sz w:val="20"/>
          <w:szCs w:val="20"/>
          <w:lang w:val="en-GB" w:eastAsia="fr-FR"/>
        </w:rPr>
      </w:pPr>
      <w:proofErr w:type="gramStart"/>
      <w:r w:rsidRPr="00604D97">
        <w:rPr>
          <w:rFonts w:ascii="Arial" w:eastAsia="Times New Roman" w:hAnsi="Arial" w:cs="Arial"/>
          <w:b/>
          <w:bCs/>
          <w:color w:val="000000"/>
          <w:sz w:val="20"/>
          <w:szCs w:val="20"/>
          <w:lang w:val="en-GB" w:eastAsia="fr-FR"/>
        </w:rPr>
        <w:t>Q8</w:t>
      </w:r>
      <w:proofErr w:type="gramEnd"/>
      <w:r w:rsidRPr="00604D97">
        <w:rPr>
          <w:rFonts w:ascii="Arial" w:eastAsia="Times New Roman" w:hAnsi="Arial" w:cs="Arial"/>
          <w:b/>
          <w:bCs/>
          <w:color w:val="000000"/>
          <w:sz w:val="20"/>
          <w:szCs w:val="20"/>
          <w:lang w:val="en-GB" w:eastAsia="fr-FR"/>
        </w:rPr>
        <w:tab/>
      </w:r>
      <w:r w:rsidR="00A22411" w:rsidRPr="00604D97">
        <w:rPr>
          <w:rFonts w:ascii="Arial" w:eastAsia="Times New Roman" w:hAnsi="Arial" w:cs="Arial"/>
          <w:b/>
          <w:bCs/>
          <w:color w:val="000000"/>
          <w:sz w:val="20"/>
          <w:szCs w:val="20"/>
          <w:lang w:val="en-GB" w:eastAsia="fr-FR"/>
        </w:rPr>
        <w:t>Do you agree with the suggested approach with regards to the arrangements necessary to understand investment products? Please also state the reasons for your answer.</w:t>
      </w:r>
    </w:p>
    <w:p w14:paraId="27A92E05" w14:textId="77777777" w:rsidR="0087644F" w:rsidRPr="00604D97" w:rsidRDefault="0087644F" w:rsidP="00731FD9">
      <w:pPr>
        <w:spacing w:after="0" w:line="240" w:lineRule="atLeast"/>
        <w:contextualSpacing/>
        <w:jc w:val="both"/>
        <w:rPr>
          <w:rFonts w:ascii="Arial" w:hAnsi="Arial" w:cs="Arial"/>
          <w:color w:val="000000"/>
          <w:sz w:val="20"/>
          <w:lang w:val="en-GB"/>
        </w:rPr>
      </w:pPr>
    </w:p>
    <w:p w14:paraId="2ADD3AA4" w14:textId="21BAF77D" w:rsidR="004B7DB2" w:rsidRPr="00604D97" w:rsidRDefault="009D6034" w:rsidP="00731FD9">
      <w:pPr>
        <w:autoSpaceDE w:val="0"/>
        <w:autoSpaceDN w:val="0"/>
        <w:adjustRightInd w:val="0"/>
        <w:spacing w:after="0" w:line="240" w:lineRule="atLeast"/>
        <w:jc w:val="both"/>
        <w:rPr>
          <w:rFonts w:ascii="Arial" w:hAnsi="Arial" w:cs="Arial"/>
          <w:color w:val="000000"/>
          <w:sz w:val="20"/>
          <w:lang w:val="en-GB"/>
        </w:rPr>
      </w:pPr>
      <w:proofErr w:type="gramStart"/>
      <w:r w:rsidRPr="00604D97">
        <w:rPr>
          <w:rFonts w:ascii="Arial" w:hAnsi="Arial" w:cs="Arial"/>
          <w:color w:val="000000"/>
          <w:sz w:val="20"/>
          <w:lang w:val="en-GB"/>
        </w:rPr>
        <w:t>First of all</w:t>
      </w:r>
      <w:proofErr w:type="gramEnd"/>
      <w:r w:rsidRPr="00604D97">
        <w:rPr>
          <w:rFonts w:ascii="Arial" w:hAnsi="Arial" w:cs="Arial"/>
          <w:color w:val="000000"/>
          <w:sz w:val="20"/>
          <w:lang w:val="en-GB"/>
        </w:rPr>
        <w:t xml:space="preserve">, </w:t>
      </w:r>
      <w:r w:rsidR="00E67976" w:rsidRPr="00604D97">
        <w:rPr>
          <w:rFonts w:ascii="Arial" w:hAnsi="Arial" w:cs="Arial"/>
          <w:color w:val="000000"/>
          <w:sz w:val="20"/>
          <w:lang w:val="en-GB"/>
        </w:rPr>
        <w:t>FBF</w:t>
      </w:r>
      <w:r w:rsidRPr="00604D97">
        <w:rPr>
          <w:rFonts w:ascii="Arial" w:hAnsi="Arial" w:cs="Arial"/>
          <w:color w:val="000000"/>
          <w:sz w:val="20"/>
          <w:lang w:val="en-GB"/>
        </w:rPr>
        <w:t xml:space="preserve"> is concerned about the lack of articulation of the ESMA proposed guidelines on suitability with the revision of the guidelines on MiFID II product governance requirements, which are very much related. In our view, both revisions should occur concomitantly. In this regard, </w:t>
      </w:r>
      <w:r w:rsidR="00E67976" w:rsidRPr="00604D97">
        <w:rPr>
          <w:rFonts w:ascii="Arial" w:hAnsi="Arial" w:cs="Arial"/>
          <w:color w:val="000000"/>
          <w:sz w:val="20"/>
          <w:lang w:val="en-GB"/>
        </w:rPr>
        <w:t>FBF</w:t>
      </w:r>
      <w:r w:rsidRPr="00604D97">
        <w:rPr>
          <w:rFonts w:ascii="Arial" w:hAnsi="Arial" w:cs="Arial"/>
          <w:color w:val="000000"/>
          <w:sz w:val="20"/>
          <w:lang w:val="en-GB"/>
        </w:rPr>
        <w:t xml:space="preserve"> hopes ESMA’s review process of its Guidelines on Product Governance (launch of the consultation, consultation period, publication of the dedicated ESMA Final Report) will be initiated sufficiently ahead of the entry into force of the new MiFID II </w:t>
      </w:r>
      <w:r w:rsidR="00CD31D4" w:rsidRPr="00604D97">
        <w:rPr>
          <w:rFonts w:ascii="Arial" w:hAnsi="Arial" w:cs="Arial"/>
          <w:color w:val="000000"/>
          <w:sz w:val="20"/>
          <w:lang w:val="en-GB"/>
        </w:rPr>
        <w:t xml:space="preserve">suitability </w:t>
      </w:r>
      <w:r w:rsidRPr="00604D97">
        <w:rPr>
          <w:rFonts w:ascii="Arial" w:hAnsi="Arial" w:cs="Arial"/>
          <w:color w:val="000000"/>
          <w:sz w:val="20"/>
          <w:lang w:val="en-GB"/>
        </w:rPr>
        <w:t>requirements so that firms are able to comply in due time.</w:t>
      </w:r>
    </w:p>
    <w:p w14:paraId="0AFBAD67" w14:textId="77777777" w:rsidR="003C74EA" w:rsidRPr="00604D97" w:rsidRDefault="003C74EA" w:rsidP="00731FD9">
      <w:pPr>
        <w:autoSpaceDE w:val="0"/>
        <w:autoSpaceDN w:val="0"/>
        <w:adjustRightInd w:val="0"/>
        <w:spacing w:after="0" w:line="240" w:lineRule="atLeast"/>
        <w:jc w:val="both"/>
        <w:rPr>
          <w:rFonts w:ascii="Arial" w:hAnsi="Arial" w:cs="Arial"/>
          <w:color w:val="000000"/>
          <w:sz w:val="20"/>
          <w:lang w:val="en-GB"/>
        </w:rPr>
      </w:pPr>
    </w:p>
    <w:p w14:paraId="047E4569" w14:textId="1CB53D4B" w:rsidR="000F7BDA" w:rsidRPr="00604D97" w:rsidRDefault="003C74EA" w:rsidP="00372BEA">
      <w:p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 xml:space="preserve">Then, </w:t>
      </w:r>
      <w:r w:rsidR="00E67976" w:rsidRPr="00604D97">
        <w:rPr>
          <w:rFonts w:ascii="Arial" w:hAnsi="Arial" w:cs="Arial"/>
          <w:color w:val="000000"/>
          <w:sz w:val="20"/>
          <w:lang w:val="en-GB"/>
        </w:rPr>
        <w:t>FBF</w:t>
      </w:r>
      <w:r w:rsidR="00B229C0" w:rsidRPr="00604D97">
        <w:rPr>
          <w:rFonts w:ascii="Arial" w:hAnsi="Arial" w:cs="Arial"/>
          <w:color w:val="000000"/>
          <w:sz w:val="20"/>
          <w:lang w:val="en-GB"/>
        </w:rPr>
        <w:t xml:space="preserve"> considers </w:t>
      </w:r>
      <w:r w:rsidR="00B229C0" w:rsidRPr="00604D97">
        <w:rPr>
          <w:rFonts w:ascii="Arial" w:hAnsi="Arial" w:cs="Arial"/>
          <w:b/>
          <w:bCs/>
          <w:color w:val="000000"/>
          <w:sz w:val="20"/>
          <w:lang w:val="en-GB"/>
        </w:rPr>
        <w:t>the s</w:t>
      </w:r>
      <w:r w:rsidR="008E6DDE" w:rsidRPr="00604D97">
        <w:rPr>
          <w:rFonts w:ascii="Arial" w:hAnsi="Arial" w:cs="Arial"/>
          <w:b/>
          <w:bCs/>
          <w:color w:val="000000"/>
          <w:sz w:val="20"/>
          <w:lang w:val="en-GB"/>
        </w:rPr>
        <w:t xml:space="preserve">cope of </w:t>
      </w:r>
      <w:r w:rsidR="00B229C0" w:rsidRPr="00604D97">
        <w:rPr>
          <w:rFonts w:ascii="Arial" w:hAnsi="Arial" w:cs="Arial"/>
          <w:b/>
          <w:bCs/>
          <w:color w:val="000000"/>
          <w:sz w:val="20"/>
          <w:lang w:val="en-GB"/>
        </w:rPr>
        <w:t xml:space="preserve">the proposed </w:t>
      </w:r>
      <w:r w:rsidR="008E6DDE" w:rsidRPr="00604D97">
        <w:rPr>
          <w:rFonts w:ascii="Arial" w:hAnsi="Arial" w:cs="Arial"/>
          <w:b/>
          <w:bCs/>
          <w:color w:val="000000"/>
          <w:sz w:val="20"/>
          <w:lang w:val="en-GB"/>
        </w:rPr>
        <w:t xml:space="preserve">§ 71 should be limited to the products that are marketed </w:t>
      </w:r>
      <w:r w:rsidR="009D6034" w:rsidRPr="00604D97">
        <w:rPr>
          <w:rFonts w:ascii="Arial" w:hAnsi="Arial" w:cs="Arial"/>
          <w:b/>
          <w:bCs/>
          <w:color w:val="000000"/>
          <w:sz w:val="20"/>
          <w:lang w:val="en-GB"/>
        </w:rPr>
        <w:t xml:space="preserve">as having </w:t>
      </w:r>
      <w:r w:rsidR="008E6DDE" w:rsidRPr="00604D97">
        <w:rPr>
          <w:rFonts w:ascii="Arial" w:hAnsi="Arial" w:cs="Arial"/>
          <w:b/>
          <w:bCs/>
          <w:color w:val="000000"/>
          <w:sz w:val="20"/>
          <w:lang w:val="en-GB"/>
        </w:rPr>
        <w:t>ESG characteristics</w:t>
      </w:r>
      <w:r w:rsidR="008E6DDE" w:rsidRPr="00604D97">
        <w:rPr>
          <w:rFonts w:ascii="Arial" w:hAnsi="Arial" w:cs="Arial"/>
          <w:color w:val="000000"/>
          <w:sz w:val="20"/>
          <w:lang w:val="en-GB"/>
        </w:rPr>
        <w:t xml:space="preserve">. The </w:t>
      </w:r>
      <w:r w:rsidR="00B229C0" w:rsidRPr="00604D97">
        <w:rPr>
          <w:rFonts w:ascii="Arial" w:hAnsi="Arial" w:cs="Arial"/>
          <w:color w:val="000000"/>
          <w:sz w:val="20"/>
          <w:lang w:val="en-GB"/>
        </w:rPr>
        <w:t>Draft guidelines</w:t>
      </w:r>
      <w:r w:rsidR="008E6DDE" w:rsidRPr="00604D97">
        <w:rPr>
          <w:rFonts w:ascii="Arial" w:hAnsi="Arial" w:cs="Arial"/>
          <w:color w:val="000000"/>
          <w:sz w:val="20"/>
          <w:lang w:val="en-GB"/>
        </w:rPr>
        <w:t xml:space="preserve"> </w:t>
      </w:r>
      <w:r w:rsidR="00792924" w:rsidRPr="00604D97">
        <w:rPr>
          <w:rFonts w:ascii="Arial" w:hAnsi="Arial" w:cs="Arial"/>
          <w:color w:val="000000"/>
          <w:sz w:val="20"/>
          <w:lang w:val="en-GB"/>
        </w:rPr>
        <w:t>should explicitly</w:t>
      </w:r>
      <w:r w:rsidR="00FB2533" w:rsidRPr="00604D97">
        <w:rPr>
          <w:rFonts w:ascii="Arial" w:hAnsi="Arial" w:cs="Arial"/>
          <w:color w:val="000000"/>
          <w:sz w:val="20"/>
          <w:lang w:val="en-GB"/>
        </w:rPr>
        <w:t xml:space="preserve"> </w:t>
      </w:r>
      <w:r w:rsidR="001B6209" w:rsidRPr="00604D97">
        <w:rPr>
          <w:rFonts w:ascii="Arial" w:hAnsi="Arial" w:cs="Arial"/>
          <w:color w:val="000000"/>
          <w:sz w:val="20"/>
          <w:lang w:val="en-GB"/>
        </w:rPr>
        <w:t>leave open the possibility to consider</w:t>
      </w:r>
      <w:r w:rsidR="00295395" w:rsidRPr="00604D97">
        <w:rPr>
          <w:rFonts w:ascii="Arial" w:hAnsi="Arial" w:cs="Arial"/>
          <w:color w:val="000000"/>
          <w:sz w:val="20"/>
          <w:lang w:val="en-GB"/>
        </w:rPr>
        <w:t xml:space="preserve"> that</w:t>
      </w:r>
      <w:r w:rsidR="001B6209" w:rsidRPr="00604D97">
        <w:rPr>
          <w:rFonts w:ascii="Arial" w:hAnsi="Arial" w:cs="Arial"/>
          <w:color w:val="000000"/>
          <w:sz w:val="20"/>
          <w:lang w:val="en-GB"/>
        </w:rPr>
        <w:t xml:space="preserve"> a product is ESG neutral</w:t>
      </w:r>
      <w:r w:rsidR="00361E8E" w:rsidRPr="00604D97">
        <w:rPr>
          <w:rFonts w:ascii="Arial" w:hAnsi="Arial" w:cs="Arial"/>
          <w:color w:val="000000"/>
          <w:sz w:val="20"/>
          <w:lang w:val="en-GB"/>
        </w:rPr>
        <w:t xml:space="preserve"> and </w:t>
      </w:r>
      <w:r w:rsidR="00AD339F" w:rsidRPr="00604D97">
        <w:rPr>
          <w:rFonts w:ascii="Arial" w:hAnsi="Arial" w:cs="Arial"/>
          <w:color w:val="000000"/>
          <w:sz w:val="20"/>
          <w:lang w:val="en-GB"/>
        </w:rPr>
        <w:t xml:space="preserve">to </w:t>
      </w:r>
      <w:r w:rsidR="00361E8E" w:rsidRPr="00604D97">
        <w:rPr>
          <w:rFonts w:ascii="Arial" w:hAnsi="Arial" w:cs="Arial"/>
          <w:color w:val="000000"/>
          <w:sz w:val="20"/>
          <w:lang w:val="en-GB"/>
        </w:rPr>
        <w:t xml:space="preserve">market it as such </w:t>
      </w:r>
      <w:r w:rsidR="001B6209" w:rsidRPr="00604D97">
        <w:rPr>
          <w:rFonts w:ascii="Arial" w:hAnsi="Arial" w:cs="Arial"/>
          <w:color w:val="000000"/>
          <w:sz w:val="20"/>
          <w:lang w:val="en-GB"/>
        </w:rPr>
        <w:t xml:space="preserve">even </w:t>
      </w:r>
      <w:r w:rsidR="005A3336" w:rsidRPr="00604D97">
        <w:rPr>
          <w:rFonts w:ascii="Arial" w:hAnsi="Arial" w:cs="Arial"/>
          <w:color w:val="000000"/>
          <w:sz w:val="20"/>
          <w:lang w:val="en-GB"/>
        </w:rPr>
        <w:t>when it</w:t>
      </w:r>
      <w:r w:rsidR="001B6209" w:rsidRPr="00604D97">
        <w:rPr>
          <w:rFonts w:ascii="Arial" w:hAnsi="Arial" w:cs="Arial"/>
          <w:color w:val="000000"/>
          <w:sz w:val="20"/>
          <w:lang w:val="en-GB"/>
        </w:rPr>
        <w:t xml:space="preserve"> </w:t>
      </w:r>
      <w:r w:rsidR="002C49D8" w:rsidRPr="00604D97">
        <w:rPr>
          <w:rFonts w:ascii="Arial" w:hAnsi="Arial" w:cs="Arial"/>
          <w:color w:val="000000"/>
          <w:sz w:val="20"/>
          <w:lang w:val="en-GB"/>
        </w:rPr>
        <w:t>has some ESG characteristics.</w:t>
      </w:r>
    </w:p>
    <w:p w14:paraId="2C674482" w14:textId="1E130356" w:rsidR="00C42346" w:rsidRPr="00372BEA" w:rsidRDefault="008C5D95" w:rsidP="00372BEA">
      <w:pPr>
        <w:autoSpaceDE w:val="0"/>
        <w:autoSpaceDN w:val="0"/>
        <w:adjustRightInd w:val="0"/>
        <w:spacing w:after="0" w:line="240" w:lineRule="atLeast"/>
        <w:jc w:val="both"/>
        <w:rPr>
          <w:rFonts w:ascii="Arial" w:hAnsi="Arial" w:cs="Arial"/>
          <w:color w:val="000000"/>
          <w:sz w:val="20"/>
          <w:lang w:val="en-GB"/>
        </w:rPr>
      </w:pPr>
      <w:r w:rsidRPr="00372BEA">
        <w:rPr>
          <w:rFonts w:ascii="Arial" w:hAnsi="Arial" w:cs="Arial"/>
          <w:color w:val="000000"/>
          <w:sz w:val="20"/>
          <w:lang w:val="en-GB"/>
        </w:rPr>
        <w:t>It should be remembered that some products are not relevant in terms of ESG because of their intrinsic characteristics, for example hedging products including rates and exchange rates (</w:t>
      </w:r>
      <w:proofErr w:type="gramStart"/>
      <w:r w:rsidRPr="00372BEA">
        <w:rPr>
          <w:rFonts w:ascii="Arial" w:hAnsi="Arial" w:cs="Arial"/>
          <w:color w:val="000000"/>
          <w:sz w:val="20"/>
          <w:lang w:val="en-GB"/>
        </w:rPr>
        <w:t>e.g.</w:t>
      </w:r>
      <w:proofErr w:type="gramEnd"/>
      <w:r w:rsidRPr="00372BEA">
        <w:rPr>
          <w:rFonts w:ascii="Arial" w:hAnsi="Arial" w:cs="Arial"/>
          <w:color w:val="000000"/>
          <w:sz w:val="20"/>
          <w:lang w:val="en-GB"/>
        </w:rPr>
        <w:t xml:space="preserve"> rate swaps)</w:t>
      </w:r>
      <w:r w:rsidR="007D5966" w:rsidRPr="00372BEA">
        <w:rPr>
          <w:rFonts w:ascii="Arial" w:hAnsi="Arial" w:cs="Arial"/>
          <w:color w:val="000000"/>
          <w:sz w:val="20"/>
          <w:lang w:val="en-GB"/>
        </w:rPr>
        <w:t>, and should be automatically qualified as “neutral” financial products</w:t>
      </w:r>
      <w:r w:rsidRPr="00372BEA">
        <w:rPr>
          <w:rFonts w:ascii="Arial" w:hAnsi="Arial" w:cs="Arial"/>
          <w:color w:val="000000"/>
          <w:sz w:val="20"/>
          <w:lang w:val="en-GB"/>
        </w:rPr>
        <w:t>.</w:t>
      </w:r>
    </w:p>
    <w:p w14:paraId="5A73CE89" w14:textId="27C744DF" w:rsidR="00B23436" w:rsidRPr="00372BEA" w:rsidRDefault="00B23436" w:rsidP="00372BEA">
      <w:pPr>
        <w:autoSpaceDE w:val="0"/>
        <w:autoSpaceDN w:val="0"/>
        <w:adjustRightInd w:val="0"/>
        <w:spacing w:after="0" w:line="240" w:lineRule="atLeast"/>
        <w:jc w:val="both"/>
        <w:rPr>
          <w:rFonts w:ascii="Arial" w:hAnsi="Arial" w:cs="Arial"/>
          <w:color w:val="000000"/>
          <w:sz w:val="20"/>
          <w:lang w:val="en-GB"/>
        </w:rPr>
      </w:pPr>
    </w:p>
    <w:p w14:paraId="22A9F675" w14:textId="77777777" w:rsidR="00B23436" w:rsidRPr="00604D97" w:rsidRDefault="00B23436" w:rsidP="00731FD9">
      <w:pPr>
        <w:spacing w:after="0" w:line="240" w:lineRule="atLeast"/>
        <w:contextualSpacing/>
        <w:jc w:val="both"/>
        <w:rPr>
          <w:rFonts w:ascii="Arial" w:eastAsia="Times New Roman" w:hAnsi="Arial" w:cs="Arial"/>
          <w:color w:val="000000"/>
          <w:sz w:val="20"/>
          <w:szCs w:val="20"/>
          <w:lang w:val="en-US" w:eastAsia="fr-FR"/>
        </w:rPr>
      </w:pPr>
    </w:p>
    <w:p w14:paraId="2E50DE89" w14:textId="636609D8" w:rsidR="005928DA" w:rsidRPr="00604D97" w:rsidRDefault="005928DA" w:rsidP="00EC7D12">
      <w:pPr>
        <w:spacing w:after="0" w:line="240" w:lineRule="atLeast"/>
        <w:rPr>
          <w:rFonts w:ascii="Arial" w:eastAsia="Times New Roman" w:hAnsi="Arial" w:cs="Arial"/>
          <w:color w:val="000000"/>
          <w:sz w:val="20"/>
          <w:szCs w:val="20"/>
          <w:lang w:val="en-US" w:eastAsia="fr-FR"/>
        </w:rPr>
      </w:pPr>
    </w:p>
    <w:p w14:paraId="631E1E3F" w14:textId="2B72C735" w:rsidR="00067DA0" w:rsidRPr="00604D97" w:rsidRDefault="00067DA0" w:rsidP="00731FD9">
      <w:pPr>
        <w:spacing w:after="0" w:line="240" w:lineRule="atLeast"/>
        <w:jc w:val="both"/>
        <w:rPr>
          <w:rFonts w:ascii="Arial" w:eastAsia="Times New Roman" w:hAnsi="Arial" w:cs="Arial"/>
          <w:b/>
          <w:bCs/>
          <w:sz w:val="20"/>
          <w:szCs w:val="20"/>
          <w:lang w:val="en-US" w:eastAsia="fr-FR"/>
        </w:rPr>
      </w:pPr>
      <w:proofErr w:type="gramStart"/>
      <w:r w:rsidRPr="00604D97">
        <w:rPr>
          <w:rFonts w:ascii="Arial" w:eastAsia="Times New Roman" w:hAnsi="Arial" w:cs="Arial"/>
          <w:b/>
          <w:bCs/>
          <w:sz w:val="20"/>
          <w:szCs w:val="20"/>
          <w:lang w:val="en-GB" w:eastAsia="fr-FR"/>
        </w:rPr>
        <w:t>Q9</w:t>
      </w:r>
      <w:proofErr w:type="gramEnd"/>
      <w:r w:rsidRPr="00604D97">
        <w:rPr>
          <w:rFonts w:ascii="Arial" w:eastAsia="Times New Roman" w:hAnsi="Arial" w:cs="Arial"/>
          <w:b/>
          <w:bCs/>
          <w:sz w:val="20"/>
          <w:szCs w:val="20"/>
          <w:lang w:val="en-GB" w:eastAsia="fr-FR"/>
        </w:rPr>
        <w:tab/>
      </w:r>
      <w:r w:rsidR="001E6D67" w:rsidRPr="00604D97">
        <w:rPr>
          <w:rFonts w:ascii="Arial" w:eastAsia="Times New Roman" w:hAnsi="Arial" w:cs="Arial"/>
          <w:b/>
          <w:bCs/>
          <w:sz w:val="20"/>
          <w:szCs w:val="20"/>
          <w:lang w:val="en-US" w:eastAsia="fr-FR"/>
        </w:rPr>
        <w:t xml:space="preserve">Do you believe that further guidance is needed to clarify how firms should take into consideration the </w:t>
      </w:r>
      <w:bookmarkStart w:id="10" w:name="_Hlk97054911"/>
      <w:r w:rsidR="001E6D67" w:rsidRPr="00604D97">
        <w:rPr>
          <w:rFonts w:ascii="Arial" w:eastAsia="Times New Roman" w:hAnsi="Arial" w:cs="Arial"/>
          <w:b/>
          <w:bCs/>
          <w:sz w:val="20"/>
          <w:szCs w:val="20"/>
          <w:lang w:val="en-US" w:eastAsia="fr-FR"/>
        </w:rPr>
        <w:t>investment products’ sustainability factors as part of their policies and procedures</w:t>
      </w:r>
      <w:bookmarkEnd w:id="10"/>
      <w:r w:rsidR="001E6D67" w:rsidRPr="00604D97">
        <w:rPr>
          <w:rFonts w:ascii="Arial" w:eastAsia="Times New Roman" w:hAnsi="Arial" w:cs="Arial"/>
          <w:b/>
          <w:bCs/>
          <w:sz w:val="20"/>
          <w:szCs w:val="20"/>
          <w:lang w:val="en-US" w:eastAsia="fr-FR"/>
        </w:rPr>
        <w:t>? Please also state the reason for your answer.</w:t>
      </w:r>
    </w:p>
    <w:p w14:paraId="6D50FAD1" w14:textId="56B31777" w:rsidR="001E6D67" w:rsidRPr="00604D97" w:rsidRDefault="001E6D67" w:rsidP="00731FD9">
      <w:pPr>
        <w:spacing w:after="0" w:line="240" w:lineRule="atLeast"/>
        <w:jc w:val="both"/>
        <w:rPr>
          <w:rFonts w:ascii="Arial" w:eastAsia="Times New Roman" w:hAnsi="Arial" w:cs="Arial"/>
          <w:sz w:val="20"/>
          <w:szCs w:val="20"/>
          <w:lang w:val="en-US" w:eastAsia="fr-FR"/>
        </w:rPr>
      </w:pPr>
    </w:p>
    <w:p w14:paraId="3CFC07D0" w14:textId="0EBCB9B7" w:rsidR="00C22C31" w:rsidRPr="00604D97" w:rsidRDefault="00372BEA" w:rsidP="00C22C31">
      <w:pPr>
        <w:autoSpaceDE w:val="0"/>
        <w:autoSpaceDN w:val="0"/>
        <w:adjustRightInd w:val="0"/>
        <w:spacing w:after="0" w:line="240" w:lineRule="atLeast"/>
        <w:jc w:val="both"/>
        <w:rPr>
          <w:rFonts w:ascii="Arial" w:hAnsi="Arial" w:cs="Arial"/>
          <w:color w:val="000000"/>
          <w:sz w:val="20"/>
          <w:lang w:val="en-GB"/>
        </w:rPr>
      </w:pPr>
      <w:r>
        <w:rPr>
          <w:rFonts w:ascii="Arial" w:hAnsi="Arial" w:cs="Arial"/>
          <w:color w:val="000000"/>
          <w:sz w:val="20"/>
          <w:lang w:val="en-GB"/>
        </w:rPr>
        <w:t>T</w:t>
      </w:r>
      <w:r w:rsidR="009C58A0" w:rsidRPr="00604D97">
        <w:rPr>
          <w:rFonts w:ascii="Arial" w:hAnsi="Arial" w:cs="Arial"/>
          <w:color w:val="000000"/>
          <w:sz w:val="20"/>
          <w:lang w:val="en-GB"/>
        </w:rPr>
        <w:t xml:space="preserve">he topic of understanding investment products falls under product </w:t>
      </w:r>
      <w:r w:rsidR="00B42A58" w:rsidRPr="00604D97">
        <w:rPr>
          <w:rFonts w:ascii="Arial" w:hAnsi="Arial" w:cs="Arial"/>
          <w:color w:val="000000"/>
          <w:sz w:val="20"/>
          <w:lang w:val="en-GB"/>
        </w:rPr>
        <w:t>governance</w:t>
      </w:r>
      <w:r w:rsidR="009C58A0" w:rsidRPr="00604D97">
        <w:rPr>
          <w:rFonts w:ascii="Arial" w:hAnsi="Arial" w:cs="Arial"/>
          <w:color w:val="000000"/>
          <w:sz w:val="20"/>
          <w:lang w:val="en-GB"/>
        </w:rPr>
        <w:t xml:space="preserve"> </w:t>
      </w:r>
      <w:r w:rsidR="00B42A58" w:rsidRPr="00604D97">
        <w:rPr>
          <w:rFonts w:ascii="Arial" w:hAnsi="Arial" w:cs="Arial"/>
          <w:color w:val="000000"/>
          <w:sz w:val="20"/>
          <w:lang w:val="en-GB"/>
        </w:rPr>
        <w:t>rules</w:t>
      </w:r>
      <w:r w:rsidR="009C58A0" w:rsidRPr="00604D97">
        <w:rPr>
          <w:rFonts w:ascii="Arial" w:hAnsi="Arial" w:cs="Arial"/>
          <w:color w:val="000000"/>
          <w:sz w:val="20"/>
          <w:lang w:val="en-GB"/>
        </w:rPr>
        <w:t xml:space="preserve"> and </w:t>
      </w:r>
      <w:r w:rsidR="005A4244" w:rsidRPr="00604D97">
        <w:rPr>
          <w:rFonts w:ascii="Arial" w:hAnsi="Arial" w:cs="Arial"/>
          <w:color w:val="000000"/>
          <w:sz w:val="20"/>
          <w:lang w:val="en-GB"/>
        </w:rPr>
        <w:t xml:space="preserve">should not be dealt with under the </w:t>
      </w:r>
      <w:r w:rsidR="00B42A58" w:rsidRPr="00604D97">
        <w:rPr>
          <w:rFonts w:ascii="Arial" w:hAnsi="Arial" w:cs="Arial"/>
          <w:color w:val="000000"/>
          <w:sz w:val="20"/>
          <w:lang w:val="en-GB"/>
        </w:rPr>
        <w:t>suitability</w:t>
      </w:r>
      <w:r w:rsidR="005A4244" w:rsidRPr="00604D97">
        <w:rPr>
          <w:rFonts w:ascii="Arial" w:hAnsi="Arial" w:cs="Arial"/>
          <w:color w:val="000000"/>
          <w:sz w:val="20"/>
          <w:lang w:val="en-GB"/>
        </w:rPr>
        <w:t xml:space="preserve"> </w:t>
      </w:r>
      <w:r w:rsidR="00B42A58" w:rsidRPr="00604D97">
        <w:rPr>
          <w:rFonts w:ascii="Arial" w:hAnsi="Arial" w:cs="Arial"/>
          <w:color w:val="000000"/>
          <w:sz w:val="20"/>
          <w:lang w:val="en-GB"/>
        </w:rPr>
        <w:t>guidelines</w:t>
      </w:r>
    </w:p>
    <w:p w14:paraId="30C510FD" w14:textId="2BC48EAE" w:rsidR="00BC553B" w:rsidRPr="00604D97" w:rsidRDefault="00BC553B" w:rsidP="00731FD9">
      <w:pPr>
        <w:spacing w:after="0" w:line="240" w:lineRule="atLeast"/>
        <w:jc w:val="both"/>
        <w:rPr>
          <w:rFonts w:ascii="Arial" w:hAnsi="Arial" w:cs="Arial"/>
          <w:sz w:val="20"/>
          <w:lang w:val="en-GB"/>
        </w:rPr>
      </w:pPr>
    </w:p>
    <w:p w14:paraId="1CFDCC99" w14:textId="6EBE898C" w:rsidR="00E05C32" w:rsidRPr="00604D97" w:rsidRDefault="00B42A58" w:rsidP="00731FD9">
      <w:pPr>
        <w:spacing w:after="0" w:line="240" w:lineRule="atLeast"/>
        <w:jc w:val="both"/>
        <w:rPr>
          <w:rFonts w:ascii="Arial" w:hAnsi="Arial" w:cs="Arial"/>
          <w:sz w:val="20"/>
          <w:lang w:val="en-US"/>
        </w:rPr>
      </w:pPr>
      <w:r w:rsidRPr="00604D97">
        <w:rPr>
          <w:rFonts w:ascii="Arial" w:hAnsi="Arial" w:cs="Arial"/>
          <w:sz w:val="20"/>
          <w:lang w:val="en-US"/>
        </w:rPr>
        <w:t xml:space="preserve">Therefore, </w:t>
      </w:r>
      <w:r w:rsidR="00A11DBF" w:rsidRPr="00604D97">
        <w:rPr>
          <w:rFonts w:ascii="Arial" w:hAnsi="Arial" w:cs="Arial"/>
          <w:sz w:val="20"/>
          <w:lang w:val="en-US"/>
        </w:rPr>
        <w:t xml:space="preserve">according </w:t>
      </w:r>
      <w:r w:rsidRPr="00604D97">
        <w:rPr>
          <w:rFonts w:ascii="Arial" w:hAnsi="Arial" w:cs="Arial"/>
          <w:sz w:val="20"/>
          <w:lang w:val="en-US"/>
        </w:rPr>
        <w:t xml:space="preserve">to </w:t>
      </w:r>
      <w:r w:rsidR="00E67976" w:rsidRPr="00604D97">
        <w:rPr>
          <w:rFonts w:ascii="Arial" w:hAnsi="Arial" w:cs="Arial"/>
          <w:sz w:val="20"/>
          <w:lang w:val="en-US"/>
        </w:rPr>
        <w:t>FBF</w:t>
      </w:r>
      <w:r w:rsidRPr="00604D97">
        <w:rPr>
          <w:rFonts w:ascii="Arial" w:hAnsi="Arial" w:cs="Arial"/>
          <w:sz w:val="20"/>
          <w:lang w:val="en-US"/>
        </w:rPr>
        <w:t xml:space="preserve">, no further clarification should be brought </w:t>
      </w:r>
      <w:r w:rsidR="000D2EE9" w:rsidRPr="00604D97">
        <w:rPr>
          <w:rFonts w:ascii="Arial" w:hAnsi="Arial" w:cs="Arial"/>
          <w:sz w:val="20"/>
          <w:lang w:val="en-US"/>
        </w:rPr>
        <w:t>on this topic</w:t>
      </w:r>
      <w:r w:rsidR="008F34DD" w:rsidRPr="00604D97">
        <w:rPr>
          <w:rFonts w:ascii="Arial" w:hAnsi="Arial" w:cs="Arial"/>
          <w:sz w:val="20"/>
          <w:lang w:val="en-US"/>
        </w:rPr>
        <w:t xml:space="preserve"> in</w:t>
      </w:r>
      <w:r w:rsidR="000D2EE9" w:rsidRPr="00604D97">
        <w:rPr>
          <w:rFonts w:ascii="Arial" w:hAnsi="Arial" w:cs="Arial"/>
          <w:sz w:val="20"/>
          <w:lang w:val="en-US"/>
        </w:rPr>
        <w:t xml:space="preserve"> the suitability guidelines.</w:t>
      </w:r>
    </w:p>
    <w:p w14:paraId="6C57EE2E" w14:textId="245A4D91" w:rsidR="00E05C32" w:rsidRPr="00604D97" w:rsidRDefault="00E05C32" w:rsidP="00731FD9">
      <w:pPr>
        <w:spacing w:after="0" w:line="240" w:lineRule="atLeast"/>
        <w:jc w:val="both"/>
        <w:rPr>
          <w:rFonts w:ascii="Arial" w:hAnsi="Arial" w:cs="Arial"/>
          <w:sz w:val="20"/>
          <w:lang w:val="en-US"/>
        </w:rPr>
      </w:pPr>
    </w:p>
    <w:p w14:paraId="375E8AD1" w14:textId="41005748" w:rsidR="002F34F2" w:rsidRPr="00604D97" w:rsidRDefault="002F34F2" w:rsidP="00731FD9">
      <w:pPr>
        <w:spacing w:after="0" w:line="240" w:lineRule="atLeast"/>
        <w:jc w:val="both"/>
        <w:rPr>
          <w:rFonts w:ascii="Arial" w:hAnsi="Arial" w:cs="Arial"/>
          <w:sz w:val="20"/>
          <w:lang w:val="en-US"/>
        </w:rPr>
      </w:pPr>
    </w:p>
    <w:p w14:paraId="45213973" w14:textId="77777777" w:rsidR="002F34F2" w:rsidRPr="00604D97" w:rsidRDefault="002F34F2" w:rsidP="00731FD9">
      <w:pPr>
        <w:spacing w:after="0" w:line="240" w:lineRule="atLeast"/>
        <w:jc w:val="both"/>
        <w:rPr>
          <w:rFonts w:ascii="Arial" w:hAnsi="Arial" w:cs="Arial"/>
          <w:sz w:val="20"/>
          <w:lang w:val="en-US"/>
        </w:rPr>
      </w:pPr>
    </w:p>
    <w:p w14:paraId="58F2A19A" w14:textId="68A09ED8" w:rsidR="001E6D67" w:rsidRPr="00604D97" w:rsidRDefault="001E6D67"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604D97">
        <w:rPr>
          <w:rFonts w:ascii="Arial" w:eastAsia="Times New Roman" w:hAnsi="Arial" w:cs="Arial"/>
          <w:b/>
          <w:color w:val="365F91" w:themeColor="accent1" w:themeShade="BF"/>
          <w:sz w:val="20"/>
          <w:szCs w:val="20"/>
          <w:u w:val="single"/>
          <w:lang w:val="en-GB" w:eastAsia="fr-FR"/>
        </w:rPr>
        <w:t xml:space="preserve">Guideline 8 – Arrangements necessary </w:t>
      </w:r>
      <w:r w:rsidR="00A772C3" w:rsidRPr="00604D97">
        <w:rPr>
          <w:rFonts w:ascii="Arial" w:eastAsia="Times New Roman" w:hAnsi="Arial" w:cs="Arial"/>
          <w:b/>
          <w:color w:val="365F91" w:themeColor="accent1" w:themeShade="BF"/>
          <w:sz w:val="20"/>
          <w:szCs w:val="20"/>
          <w:u w:val="single"/>
          <w:lang w:val="en-GB" w:eastAsia="fr-FR"/>
        </w:rPr>
        <w:t>to ensure the suitability of an investment</w:t>
      </w:r>
    </w:p>
    <w:p w14:paraId="129428EC" w14:textId="59D6EBA5" w:rsidR="001E6D67" w:rsidRPr="00604D97" w:rsidRDefault="001E6D67" w:rsidP="00731FD9">
      <w:pPr>
        <w:spacing w:after="0" w:line="240" w:lineRule="atLeast"/>
        <w:jc w:val="both"/>
        <w:rPr>
          <w:rFonts w:ascii="Arial" w:hAnsi="Arial" w:cs="Arial"/>
          <w:sz w:val="20"/>
          <w:lang w:val="en-US"/>
        </w:rPr>
      </w:pPr>
    </w:p>
    <w:p w14:paraId="647C8375" w14:textId="77777777" w:rsidR="00DA0FEA" w:rsidRPr="00604D97" w:rsidRDefault="00DA0FEA" w:rsidP="00731FD9">
      <w:pPr>
        <w:spacing w:after="0" w:line="240" w:lineRule="atLeast"/>
        <w:jc w:val="both"/>
        <w:rPr>
          <w:rFonts w:ascii="Arial" w:hAnsi="Arial" w:cs="Arial"/>
          <w:i/>
          <w:iCs/>
          <w:sz w:val="20"/>
          <w:lang w:val="en-US"/>
        </w:rPr>
      </w:pPr>
      <w:r w:rsidRPr="00604D97">
        <w:rPr>
          <w:rFonts w:ascii="Arial" w:hAnsi="Arial" w:cs="Arial"/>
          <w:i/>
          <w:iCs/>
          <w:sz w:val="20"/>
          <w:lang w:val="en-US"/>
        </w:rPr>
        <w:t xml:space="preserve">The content of guideline 8 has been amended to outline the approach to be used to assess the sustainability preferences of the client as part of the suitability assessment. The paragraph clarifies that the sustainability preferences of the client </w:t>
      </w:r>
      <w:proofErr w:type="gramStart"/>
      <w:r w:rsidRPr="00604D97">
        <w:rPr>
          <w:rFonts w:ascii="Arial" w:hAnsi="Arial" w:cs="Arial"/>
          <w:i/>
          <w:iCs/>
          <w:sz w:val="20"/>
          <w:lang w:val="en-US"/>
        </w:rPr>
        <w:t>have to</w:t>
      </w:r>
      <w:proofErr w:type="gramEnd"/>
      <w:r w:rsidRPr="00604D97">
        <w:rPr>
          <w:rFonts w:ascii="Arial" w:hAnsi="Arial" w:cs="Arial"/>
          <w:i/>
          <w:iCs/>
          <w:sz w:val="20"/>
          <w:lang w:val="en-US"/>
        </w:rPr>
        <w:t xml:space="preserve"> be assessed as a second step, once the suitability of the product has been first assessed in accordance with the criteria of knowledge and experience, financial situation and other investment objectives.</w:t>
      </w:r>
    </w:p>
    <w:p w14:paraId="17CBF945" w14:textId="77777777" w:rsidR="00DA0FEA" w:rsidRPr="00604D97" w:rsidRDefault="00DA0FEA" w:rsidP="00731FD9">
      <w:pPr>
        <w:spacing w:after="0" w:line="240" w:lineRule="atLeast"/>
        <w:jc w:val="both"/>
        <w:rPr>
          <w:rFonts w:ascii="Arial" w:hAnsi="Arial" w:cs="Arial"/>
          <w:i/>
          <w:iCs/>
          <w:sz w:val="20"/>
          <w:lang w:val="en-US"/>
        </w:rPr>
      </w:pPr>
    </w:p>
    <w:p w14:paraId="072696C6" w14:textId="0A45604F" w:rsidR="00DA0FEA" w:rsidRPr="00604D97" w:rsidRDefault="00DA0FEA" w:rsidP="00731FD9">
      <w:pPr>
        <w:spacing w:after="0" w:line="240" w:lineRule="atLeast"/>
        <w:jc w:val="both"/>
        <w:rPr>
          <w:rFonts w:ascii="Arial" w:hAnsi="Arial" w:cs="Arial"/>
          <w:i/>
          <w:iCs/>
          <w:sz w:val="20"/>
          <w:lang w:val="en-US"/>
        </w:rPr>
      </w:pPr>
      <w:r w:rsidRPr="00604D97">
        <w:rPr>
          <w:rFonts w:ascii="Arial" w:hAnsi="Arial" w:cs="Arial"/>
          <w:i/>
          <w:iCs/>
          <w:sz w:val="20"/>
          <w:lang w:val="en-US"/>
        </w:rPr>
        <w:t>The guideline also addresses the situation where firm makes use of the possibility to recommend a product that does not meet the initial sustainability preferences of the client. ESMA considers that firms can still recommend products that do not meet the sustainability preferences of the client only once the client has adapted such preferences. The firm’s explanation and the client’s decision should be documented in the suitability report. It should be noted that this possibility should only refer to the sustainability preferences and not to the other criteria of the suitability assessment.</w:t>
      </w:r>
    </w:p>
    <w:p w14:paraId="6E72E113" w14:textId="77777777" w:rsidR="00DA0FEA" w:rsidRPr="00604D97" w:rsidRDefault="00DA0FEA" w:rsidP="00731FD9">
      <w:pPr>
        <w:spacing w:after="0" w:line="240" w:lineRule="atLeast"/>
        <w:jc w:val="both"/>
        <w:rPr>
          <w:rFonts w:ascii="Arial" w:hAnsi="Arial" w:cs="Arial"/>
          <w:i/>
          <w:iCs/>
          <w:sz w:val="20"/>
          <w:lang w:val="en-US"/>
        </w:rPr>
      </w:pPr>
    </w:p>
    <w:p w14:paraId="48318A1E" w14:textId="6E17885C" w:rsidR="00DA0FEA" w:rsidRPr="00604D97" w:rsidRDefault="00DA0FEA" w:rsidP="00731FD9">
      <w:pPr>
        <w:spacing w:after="0" w:line="240" w:lineRule="atLeast"/>
        <w:jc w:val="both"/>
        <w:rPr>
          <w:rFonts w:ascii="Arial" w:hAnsi="Arial" w:cs="Arial"/>
          <w:i/>
          <w:iCs/>
          <w:sz w:val="20"/>
          <w:lang w:val="en-US"/>
        </w:rPr>
      </w:pPr>
      <w:r w:rsidRPr="00604D97">
        <w:rPr>
          <w:rFonts w:ascii="Arial" w:hAnsi="Arial" w:cs="Arial"/>
          <w:i/>
          <w:iCs/>
          <w:sz w:val="20"/>
          <w:lang w:val="en-US"/>
        </w:rPr>
        <w:t>An additional paragraph has been also included to further clarify that the adaptation of the client’s “sustainability preferences” where financial products do not meet such preferences should only refer to the suitability assessment in question/to the particular transaction and not to the client’s profile in general.</w:t>
      </w:r>
    </w:p>
    <w:p w14:paraId="2F8C7040" w14:textId="77777777" w:rsidR="00DA0FEA" w:rsidRPr="00604D97" w:rsidRDefault="00DA0FEA" w:rsidP="00731FD9">
      <w:pPr>
        <w:spacing w:after="0" w:line="240" w:lineRule="atLeast"/>
        <w:jc w:val="both"/>
        <w:rPr>
          <w:rFonts w:ascii="Arial" w:hAnsi="Arial" w:cs="Arial"/>
          <w:i/>
          <w:iCs/>
          <w:sz w:val="20"/>
          <w:lang w:val="en-US"/>
        </w:rPr>
      </w:pPr>
    </w:p>
    <w:p w14:paraId="3BDA6CE8" w14:textId="45E31CD2" w:rsidR="00DA0FEA" w:rsidRPr="00604D97" w:rsidRDefault="00DA0FEA" w:rsidP="00731FD9">
      <w:pPr>
        <w:spacing w:after="0" w:line="240" w:lineRule="atLeast"/>
        <w:jc w:val="both"/>
        <w:rPr>
          <w:rFonts w:ascii="Arial" w:hAnsi="Arial" w:cs="Arial"/>
          <w:i/>
          <w:iCs/>
          <w:sz w:val="20"/>
          <w:lang w:val="en-US"/>
        </w:rPr>
      </w:pPr>
      <w:r w:rsidRPr="00604D97">
        <w:rPr>
          <w:rFonts w:ascii="Arial" w:hAnsi="Arial" w:cs="Arial"/>
          <w:i/>
          <w:iCs/>
          <w:sz w:val="20"/>
          <w:lang w:val="en-US"/>
        </w:rPr>
        <w:t xml:space="preserve">ESMA is aware that, at this stage, the availability of financial instruments with sustainability features may be limited and the introduction of these financial instruments in the firm’s product scope might be gradual. </w:t>
      </w:r>
      <w:r w:rsidRPr="00604D97">
        <w:rPr>
          <w:rFonts w:ascii="Arial" w:hAnsi="Arial" w:cs="Arial"/>
          <w:i/>
          <w:iCs/>
          <w:sz w:val="20"/>
          <w:lang w:val="en-US"/>
        </w:rPr>
        <w:lastRenderedPageBreak/>
        <w:t>However, ESMA considers that where, at the time the information is collected from the client, firms do not have any financial instruments included in their product range that would meet the client’s sustainability preferences, firms should nevertheless collect all information concerning sustainability preferences. In this situation, the firm should clearly indicate that there are currently no products available that would meet those preferences and the client should be given the possibility to adapt the sustainability preferences. This should be documented in the suitability report.</w:t>
      </w:r>
    </w:p>
    <w:p w14:paraId="4590C657" w14:textId="77777777" w:rsidR="00DA0FEA" w:rsidRPr="00604D97" w:rsidRDefault="00DA0FEA" w:rsidP="00731FD9">
      <w:pPr>
        <w:spacing w:after="0" w:line="240" w:lineRule="atLeast"/>
        <w:jc w:val="both"/>
        <w:rPr>
          <w:rFonts w:ascii="Arial" w:hAnsi="Arial" w:cs="Arial"/>
          <w:i/>
          <w:iCs/>
          <w:sz w:val="20"/>
          <w:lang w:val="en-US"/>
        </w:rPr>
      </w:pPr>
    </w:p>
    <w:p w14:paraId="5E15CB13" w14:textId="6EE30F55" w:rsidR="00DA0FEA" w:rsidRPr="00604D97" w:rsidRDefault="00DA0FEA" w:rsidP="00731FD9">
      <w:pPr>
        <w:spacing w:after="0" w:line="240" w:lineRule="atLeast"/>
        <w:jc w:val="both"/>
        <w:rPr>
          <w:rFonts w:ascii="Arial" w:hAnsi="Arial" w:cs="Arial"/>
          <w:i/>
          <w:iCs/>
          <w:sz w:val="20"/>
          <w:lang w:val="en-US"/>
        </w:rPr>
      </w:pPr>
      <w:r w:rsidRPr="00604D97">
        <w:rPr>
          <w:rFonts w:ascii="Arial" w:hAnsi="Arial" w:cs="Arial"/>
          <w:i/>
          <w:iCs/>
          <w:sz w:val="20"/>
          <w:lang w:val="en-US"/>
        </w:rPr>
        <w:t>In this context, firms should monitor situations where there is a significant occurrence of clients adapting their sustainability preferences for the specific transaction. Indeed, this would seem especially important in the transitional stages towards a more sustainable financial system, where a wider offer of truly sustainable products will be available.</w:t>
      </w:r>
    </w:p>
    <w:p w14:paraId="051C7F15" w14:textId="77777777" w:rsidR="00DA0FEA" w:rsidRPr="00604D97" w:rsidRDefault="00DA0FEA" w:rsidP="00731FD9">
      <w:pPr>
        <w:spacing w:after="0" w:line="240" w:lineRule="atLeast"/>
        <w:jc w:val="both"/>
        <w:rPr>
          <w:rFonts w:ascii="Arial" w:hAnsi="Arial" w:cs="Arial"/>
          <w:i/>
          <w:iCs/>
          <w:sz w:val="20"/>
          <w:lang w:val="en-US"/>
        </w:rPr>
      </w:pPr>
    </w:p>
    <w:p w14:paraId="251AF182" w14:textId="3EABE4F2" w:rsidR="00DA0FEA" w:rsidRPr="00604D97" w:rsidRDefault="00DA0FEA" w:rsidP="00731FD9">
      <w:pPr>
        <w:spacing w:after="0" w:line="240" w:lineRule="atLeast"/>
        <w:jc w:val="both"/>
        <w:rPr>
          <w:rFonts w:ascii="Arial" w:hAnsi="Arial" w:cs="Arial"/>
          <w:i/>
          <w:iCs/>
          <w:sz w:val="20"/>
          <w:lang w:val="en-US"/>
        </w:rPr>
      </w:pPr>
      <w:r w:rsidRPr="00604D97">
        <w:rPr>
          <w:rFonts w:ascii="Arial" w:hAnsi="Arial" w:cs="Arial"/>
          <w:i/>
          <w:iCs/>
          <w:sz w:val="20"/>
          <w:lang w:val="en-US"/>
        </w:rPr>
        <w:t>Lastly, the guidelines also address the situation in which a client does not express sustainability preferences.</w:t>
      </w:r>
    </w:p>
    <w:p w14:paraId="06F17653" w14:textId="1EA60F5E" w:rsidR="00C64B80" w:rsidRPr="00604D97" w:rsidRDefault="00C64B80" w:rsidP="00731FD9">
      <w:pPr>
        <w:spacing w:after="0" w:line="240" w:lineRule="atLeast"/>
        <w:jc w:val="both"/>
        <w:rPr>
          <w:rFonts w:ascii="Arial" w:hAnsi="Arial" w:cs="Arial"/>
          <w:sz w:val="20"/>
          <w:lang w:val="en-US"/>
        </w:rPr>
      </w:pPr>
    </w:p>
    <w:p w14:paraId="0A929010" w14:textId="000EA480" w:rsidR="00067DA0" w:rsidRPr="00604D97" w:rsidRDefault="00067DA0"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roofErr w:type="gramStart"/>
      <w:r w:rsidRPr="00604D97">
        <w:rPr>
          <w:rFonts w:ascii="Arial" w:eastAsia="Times New Roman" w:hAnsi="Arial" w:cs="Arial"/>
          <w:b/>
          <w:bCs/>
          <w:color w:val="000000"/>
          <w:sz w:val="20"/>
          <w:szCs w:val="20"/>
          <w:lang w:val="en-GB" w:eastAsia="fr-FR"/>
        </w:rPr>
        <w:t>Q10</w:t>
      </w:r>
      <w:proofErr w:type="gramEnd"/>
      <w:r w:rsidRPr="00604D97">
        <w:rPr>
          <w:rFonts w:ascii="Arial" w:eastAsia="Times New Roman" w:hAnsi="Arial" w:cs="Arial"/>
          <w:b/>
          <w:bCs/>
          <w:color w:val="000000"/>
          <w:sz w:val="20"/>
          <w:szCs w:val="20"/>
          <w:lang w:val="en-GB" w:eastAsia="fr-FR"/>
        </w:rPr>
        <w:tab/>
      </w:r>
      <w:r w:rsidR="00176954" w:rsidRPr="00604D97">
        <w:rPr>
          <w:rFonts w:ascii="Arial" w:eastAsia="Times New Roman" w:hAnsi="Arial" w:cs="Arial"/>
          <w:b/>
          <w:bCs/>
          <w:color w:val="000000"/>
          <w:sz w:val="20"/>
          <w:szCs w:val="20"/>
          <w:lang w:val="en-US" w:eastAsia="fr-FR"/>
        </w:rPr>
        <w:t>Do you agree with the additional guidance provided regarding the arrangements necessary to ensure the suitability of an investment concerning the client’s sustainability preferences? Please also state the reasons for your answer.</w:t>
      </w:r>
    </w:p>
    <w:p w14:paraId="5DD84167" w14:textId="77777777" w:rsidR="00840A53" w:rsidRPr="00604D97" w:rsidRDefault="00840A53" w:rsidP="00731FD9">
      <w:pPr>
        <w:autoSpaceDE w:val="0"/>
        <w:autoSpaceDN w:val="0"/>
        <w:adjustRightInd w:val="0"/>
        <w:spacing w:after="0" w:line="240" w:lineRule="atLeast"/>
        <w:jc w:val="both"/>
        <w:rPr>
          <w:rFonts w:ascii="Arial" w:eastAsia="Times New Roman" w:hAnsi="Arial" w:cs="Arial"/>
          <w:bCs/>
          <w:color w:val="000000"/>
          <w:sz w:val="20"/>
          <w:szCs w:val="20"/>
          <w:lang w:val="en-GB" w:eastAsia="fr-FR"/>
        </w:rPr>
      </w:pPr>
    </w:p>
    <w:p w14:paraId="2FDBAD35" w14:textId="1EAFBA98" w:rsidR="00BD68F8" w:rsidRPr="00604D97" w:rsidRDefault="008A77D4" w:rsidP="007E3BBB">
      <w:pPr>
        <w:spacing w:after="0" w:line="240" w:lineRule="atLeast"/>
        <w:jc w:val="both"/>
        <w:rPr>
          <w:rFonts w:ascii="Arial" w:eastAsia="Times New Roman" w:hAnsi="Arial" w:cs="Arial"/>
          <w:color w:val="000000"/>
          <w:sz w:val="20"/>
          <w:szCs w:val="20"/>
          <w:lang w:val="en-GB" w:eastAsia="fr-FR"/>
        </w:rPr>
      </w:pPr>
      <w:bookmarkStart w:id="11" w:name="_Hlk97199717"/>
      <w:r w:rsidRPr="00604D97">
        <w:rPr>
          <w:rFonts w:ascii="Arial" w:eastAsia="Times New Roman" w:hAnsi="Arial" w:cs="Arial"/>
          <w:color w:val="000000"/>
          <w:sz w:val="20"/>
          <w:szCs w:val="20"/>
          <w:lang w:val="en-GB" w:eastAsia="fr-FR"/>
        </w:rPr>
        <w:t xml:space="preserve">Regarding the proposed </w:t>
      </w:r>
      <w:r w:rsidR="00AC2AF5" w:rsidRPr="00604D97">
        <w:rPr>
          <w:rFonts w:ascii="Arial" w:eastAsia="Times New Roman" w:hAnsi="Arial" w:cs="Arial"/>
          <w:color w:val="000000"/>
          <w:sz w:val="20"/>
          <w:szCs w:val="20"/>
          <w:lang w:val="en-GB" w:eastAsia="fr-FR"/>
        </w:rPr>
        <w:t>§ 81</w:t>
      </w:r>
      <w:r w:rsidRPr="00604D97">
        <w:rPr>
          <w:rFonts w:ascii="Arial" w:eastAsia="Times New Roman" w:hAnsi="Arial" w:cs="Arial"/>
          <w:color w:val="000000"/>
          <w:sz w:val="20"/>
          <w:szCs w:val="20"/>
          <w:lang w:val="en-GB" w:eastAsia="fr-FR"/>
        </w:rPr>
        <w:t xml:space="preserve"> of guideline 8</w:t>
      </w:r>
      <w:r w:rsidR="00AC2AF5" w:rsidRPr="00604D97">
        <w:rPr>
          <w:rFonts w:ascii="Arial" w:eastAsia="Times New Roman" w:hAnsi="Arial" w:cs="Arial"/>
          <w:color w:val="000000"/>
          <w:sz w:val="20"/>
          <w:szCs w:val="20"/>
          <w:lang w:val="en-GB" w:eastAsia="fr-FR"/>
        </w:rPr>
        <w:t xml:space="preserve">: </w:t>
      </w:r>
      <w:r w:rsidR="00E67976" w:rsidRPr="00604D97">
        <w:rPr>
          <w:rFonts w:ascii="Arial" w:eastAsia="Times New Roman" w:hAnsi="Arial" w:cs="Arial"/>
          <w:color w:val="000000"/>
          <w:sz w:val="20"/>
          <w:szCs w:val="20"/>
          <w:lang w:val="en-GB" w:eastAsia="fr-FR"/>
        </w:rPr>
        <w:t>FBF</w:t>
      </w:r>
      <w:r w:rsidR="00AC2AF5" w:rsidRPr="00604D97">
        <w:rPr>
          <w:rFonts w:ascii="Arial" w:eastAsia="Times New Roman" w:hAnsi="Arial" w:cs="Arial"/>
          <w:color w:val="000000"/>
          <w:sz w:val="20"/>
          <w:szCs w:val="20"/>
          <w:lang w:val="en-GB" w:eastAsia="fr-FR"/>
        </w:rPr>
        <w:t>’s reading is that the adaptation by the client of his sustainability preferences will not impact the client</w:t>
      </w:r>
      <w:r w:rsidR="00483CE9" w:rsidRPr="00604D97">
        <w:rPr>
          <w:rFonts w:ascii="Arial" w:eastAsia="Times New Roman" w:hAnsi="Arial" w:cs="Arial"/>
          <w:color w:val="000000"/>
          <w:sz w:val="20"/>
          <w:szCs w:val="20"/>
          <w:lang w:val="en-GB" w:eastAsia="fr-FR"/>
        </w:rPr>
        <w:t>’s</w:t>
      </w:r>
      <w:r w:rsidR="00AC2AF5" w:rsidRPr="00604D97">
        <w:rPr>
          <w:rFonts w:ascii="Arial" w:eastAsia="Times New Roman" w:hAnsi="Arial" w:cs="Arial"/>
          <w:color w:val="000000"/>
          <w:sz w:val="20"/>
          <w:szCs w:val="20"/>
          <w:lang w:val="en-GB" w:eastAsia="fr-FR"/>
        </w:rPr>
        <w:t xml:space="preserve"> profile</w:t>
      </w:r>
      <w:r w:rsidR="00811DE7" w:rsidRPr="00604D97">
        <w:rPr>
          <w:rFonts w:ascii="Arial" w:eastAsia="Times New Roman" w:hAnsi="Arial" w:cs="Arial"/>
          <w:color w:val="000000"/>
          <w:sz w:val="20"/>
          <w:szCs w:val="20"/>
          <w:lang w:val="en-GB" w:eastAsia="fr-FR"/>
        </w:rPr>
        <w:t xml:space="preserve"> </w:t>
      </w:r>
      <w:r w:rsidR="00447F2E" w:rsidRPr="00604D97">
        <w:rPr>
          <w:rFonts w:ascii="Arial" w:eastAsia="Times New Roman" w:hAnsi="Arial" w:cs="Arial"/>
          <w:color w:val="000000"/>
          <w:sz w:val="20"/>
          <w:szCs w:val="20"/>
          <w:lang w:val="en-GB" w:eastAsia="fr-FR"/>
        </w:rPr>
        <w:t xml:space="preserve">but will only be valid for a specific </w:t>
      </w:r>
      <w:r w:rsidR="00811DE7" w:rsidRPr="00604D97">
        <w:rPr>
          <w:rFonts w:ascii="Arial" w:eastAsia="Times New Roman" w:hAnsi="Arial" w:cs="Arial"/>
          <w:color w:val="000000"/>
          <w:sz w:val="20"/>
          <w:szCs w:val="20"/>
          <w:lang w:val="en-GB" w:eastAsia="fr-FR"/>
        </w:rPr>
        <w:t>transaction</w:t>
      </w:r>
      <w:r w:rsidR="00AC2AF5" w:rsidRPr="00604D97">
        <w:rPr>
          <w:rFonts w:ascii="Arial" w:eastAsia="Times New Roman" w:hAnsi="Arial" w:cs="Arial"/>
          <w:color w:val="000000"/>
          <w:sz w:val="20"/>
          <w:szCs w:val="20"/>
          <w:lang w:val="en-GB" w:eastAsia="fr-FR"/>
        </w:rPr>
        <w:t>.</w:t>
      </w:r>
    </w:p>
    <w:p w14:paraId="052C8693" w14:textId="56962113" w:rsidR="00176C2D" w:rsidRPr="00604D97" w:rsidRDefault="00E67976" w:rsidP="007E3BBB">
      <w:pPr>
        <w:spacing w:after="0" w:line="240" w:lineRule="atLeast"/>
        <w:jc w:val="both"/>
        <w:rPr>
          <w:rFonts w:ascii="Arial" w:eastAsia="Times New Roman" w:hAnsi="Arial" w:cs="Arial"/>
          <w:color w:val="000000"/>
          <w:sz w:val="20"/>
          <w:szCs w:val="20"/>
          <w:lang w:val="en-GB" w:eastAsia="fr-FR"/>
        </w:rPr>
      </w:pPr>
      <w:bookmarkStart w:id="12" w:name="_Hlk99102374"/>
      <w:r w:rsidRPr="00604D97">
        <w:rPr>
          <w:rFonts w:ascii="Arial" w:eastAsia="Times New Roman" w:hAnsi="Arial" w:cs="Arial"/>
          <w:color w:val="000000"/>
          <w:sz w:val="20"/>
          <w:szCs w:val="20"/>
          <w:lang w:val="en-GB" w:eastAsia="fr-FR"/>
        </w:rPr>
        <w:t>FBF</w:t>
      </w:r>
      <w:r w:rsidR="00B41D6D" w:rsidRPr="00604D97">
        <w:rPr>
          <w:rFonts w:ascii="Arial" w:eastAsia="Times New Roman" w:hAnsi="Arial" w:cs="Arial"/>
          <w:color w:val="000000"/>
          <w:sz w:val="20"/>
          <w:szCs w:val="20"/>
          <w:lang w:val="en-GB" w:eastAsia="fr-FR"/>
        </w:rPr>
        <w:t xml:space="preserve"> is con</w:t>
      </w:r>
      <w:r w:rsidR="00FC1C3E" w:rsidRPr="00604D97">
        <w:rPr>
          <w:rFonts w:ascii="Arial" w:eastAsia="Times New Roman" w:hAnsi="Arial" w:cs="Arial"/>
          <w:color w:val="000000"/>
          <w:sz w:val="20"/>
          <w:szCs w:val="20"/>
          <w:lang w:val="en-GB" w:eastAsia="fr-FR"/>
        </w:rPr>
        <w:t xml:space="preserve">cerned </w:t>
      </w:r>
      <w:r w:rsidR="00BA62FA" w:rsidRPr="00604D97">
        <w:rPr>
          <w:rFonts w:ascii="Arial" w:eastAsia="Times New Roman" w:hAnsi="Arial" w:cs="Arial"/>
          <w:color w:val="000000"/>
          <w:sz w:val="20"/>
          <w:szCs w:val="20"/>
          <w:lang w:val="en-GB" w:eastAsia="fr-FR"/>
        </w:rPr>
        <w:t xml:space="preserve">that </w:t>
      </w:r>
      <w:r w:rsidR="00FC1C3E" w:rsidRPr="00604D97">
        <w:rPr>
          <w:rFonts w:ascii="Arial" w:eastAsia="Times New Roman" w:hAnsi="Arial" w:cs="Arial"/>
          <w:color w:val="000000"/>
          <w:sz w:val="20"/>
          <w:szCs w:val="20"/>
          <w:lang w:val="en-GB" w:eastAsia="fr-FR"/>
        </w:rPr>
        <w:t>such an approach w</w:t>
      </w:r>
      <w:r w:rsidR="00EC4223" w:rsidRPr="00604D97">
        <w:rPr>
          <w:rFonts w:ascii="Arial" w:eastAsia="Times New Roman" w:hAnsi="Arial" w:cs="Arial"/>
          <w:color w:val="000000"/>
          <w:sz w:val="20"/>
          <w:szCs w:val="20"/>
          <w:lang w:val="en-GB" w:eastAsia="fr-FR"/>
        </w:rPr>
        <w:t xml:space="preserve">ould </w:t>
      </w:r>
      <w:r w:rsidR="00FC1C3E" w:rsidRPr="00604D97">
        <w:rPr>
          <w:rFonts w:ascii="Arial" w:eastAsia="Times New Roman" w:hAnsi="Arial" w:cs="Arial"/>
          <w:color w:val="000000"/>
          <w:sz w:val="20"/>
          <w:szCs w:val="20"/>
          <w:lang w:val="en-GB" w:eastAsia="fr-FR"/>
        </w:rPr>
        <w:t xml:space="preserve">not </w:t>
      </w:r>
      <w:r w:rsidR="00EC4223" w:rsidRPr="00604D97">
        <w:rPr>
          <w:rFonts w:ascii="Arial" w:eastAsia="Times New Roman" w:hAnsi="Arial" w:cs="Arial"/>
          <w:color w:val="000000"/>
          <w:sz w:val="20"/>
          <w:szCs w:val="20"/>
          <w:lang w:val="en-GB" w:eastAsia="fr-FR"/>
        </w:rPr>
        <w:t>b</w:t>
      </w:r>
      <w:r w:rsidR="00FC1C3E" w:rsidRPr="00604D97">
        <w:rPr>
          <w:rFonts w:ascii="Arial" w:eastAsia="Times New Roman" w:hAnsi="Arial" w:cs="Arial"/>
          <w:color w:val="000000"/>
          <w:sz w:val="20"/>
          <w:szCs w:val="20"/>
          <w:lang w:val="en-GB" w:eastAsia="fr-FR"/>
        </w:rPr>
        <w:t>e workable in practice</w:t>
      </w:r>
      <w:r w:rsidR="00176C2D" w:rsidRPr="00604D97">
        <w:rPr>
          <w:rFonts w:ascii="Arial" w:eastAsia="Times New Roman" w:hAnsi="Arial" w:cs="Arial"/>
          <w:color w:val="000000"/>
          <w:sz w:val="20"/>
          <w:szCs w:val="20"/>
          <w:lang w:val="en-GB" w:eastAsia="fr-FR"/>
        </w:rPr>
        <w:t>:</w:t>
      </w:r>
    </w:p>
    <w:p w14:paraId="42E594FE" w14:textId="62700C45" w:rsidR="00A56F23" w:rsidRPr="00604D97" w:rsidRDefault="0008176C" w:rsidP="00EC729F">
      <w:pPr>
        <w:pStyle w:val="Paragraphedeliste"/>
        <w:numPr>
          <w:ilvl w:val="0"/>
          <w:numId w:val="16"/>
        </w:numPr>
        <w:spacing w:after="0" w:line="240" w:lineRule="atLeast"/>
        <w:jc w:val="both"/>
        <w:rPr>
          <w:rFonts w:ascii="Arial" w:eastAsia="Times New Roman" w:hAnsi="Arial" w:cs="Arial"/>
          <w:color w:val="000000"/>
          <w:sz w:val="20"/>
          <w:szCs w:val="20"/>
          <w:lang w:val="en-GB" w:eastAsia="fr-FR"/>
        </w:rPr>
      </w:pPr>
      <w:bookmarkStart w:id="13" w:name="_Hlk99112590"/>
      <w:r w:rsidRPr="00604D97">
        <w:rPr>
          <w:rFonts w:ascii="Arial" w:eastAsia="Times New Roman" w:hAnsi="Arial" w:cs="Arial"/>
          <w:color w:val="000000"/>
          <w:sz w:val="20"/>
          <w:szCs w:val="20"/>
          <w:lang w:val="en-GB" w:eastAsia="fr-FR"/>
        </w:rPr>
        <w:t xml:space="preserve"> </w:t>
      </w:r>
      <w:r w:rsidR="00BA62FA" w:rsidRPr="00604D97">
        <w:rPr>
          <w:rFonts w:ascii="Arial" w:eastAsia="Times New Roman" w:hAnsi="Arial" w:cs="Arial"/>
          <w:color w:val="000000"/>
          <w:sz w:val="20"/>
          <w:szCs w:val="20"/>
          <w:lang w:val="en-GB" w:eastAsia="fr-FR"/>
        </w:rPr>
        <w:t>I</w:t>
      </w:r>
      <w:r w:rsidR="00FC1C3E" w:rsidRPr="00604D97">
        <w:rPr>
          <w:rFonts w:ascii="Arial" w:eastAsia="Times New Roman" w:hAnsi="Arial" w:cs="Arial"/>
          <w:color w:val="000000"/>
          <w:sz w:val="20"/>
          <w:szCs w:val="20"/>
          <w:lang w:val="en-GB" w:eastAsia="fr-FR"/>
        </w:rPr>
        <w:t xml:space="preserve">n </w:t>
      </w:r>
      <w:r w:rsidR="00396F3E" w:rsidRPr="00604D97">
        <w:rPr>
          <w:rFonts w:ascii="Arial" w:eastAsia="Times New Roman" w:hAnsi="Arial" w:cs="Arial"/>
          <w:color w:val="000000"/>
          <w:sz w:val="20"/>
          <w:szCs w:val="20"/>
          <w:lang w:val="en-GB" w:eastAsia="fr-FR"/>
        </w:rPr>
        <w:t>case of</w:t>
      </w:r>
      <w:r w:rsidR="005620B9" w:rsidRPr="00604D97">
        <w:rPr>
          <w:rFonts w:ascii="Arial" w:eastAsia="Times New Roman" w:hAnsi="Arial" w:cs="Arial"/>
          <w:color w:val="000000"/>
          <w:sz w:val="20"/>
          <w:szCs w:val="20"/>
          <w:lang w:val="en-GB" w:eastAsia="fr-FR"/>
        </w:rPr>
        <w:t xml:space="preserve"> </w:t>
      </w:r>
      <w:r w:rsidR="00AC2AF5" w:rsidRPr="00604D97">
        <w:rPr>
          <w:rFonts w:ascii="Arial" w:eastAsia="Times New Roman" w:hAnsi="Arial" w:cs="Arial"/>
          <w:color w:val="000000"/>
          <w:sz w:val="20"/>
          <w:szCs w:val="20"/>
          <w:lang w:val="en-GB" w:eastAsia="fr-FR"/>
        </w:rPr>
        <w:t>ongoing advice</w:t>
      </w:r>
      <w:r w:rsidR="00F715EF" w:rsidRPr="00604D97">
        <w:rPr>
          <w:rFonts w:ascii="Arial" w:eastAsia="Times New Roman" w:hAnsi="Arial" w:cs="Arial"/>
          <w:color w:val="000000"/>
          <w:sz w:val="20"/>
          <w:szCs w:val="20"/>
          <w:lang w:val="en-GB" w:eastAsia="fr-FR"/>
        </w:rPr>
        <w:t>:</w:t>
      </w:r>
      <w:r w:rsidR="00AC2AF5" w:rsidRPr="00604D97">
        <w:rPr>
          <w:rFonts w:ascii="Arial" w:eastAsia="Times New Roman" w:hAnsi="Arial" w:cs="Arial"/>
          <w:color w:val="000000"/>
          <w:sz w:val="20"/>
          <w:szCs w:val="20"/>
          <w:lang w:val="en-GB" w:eastAsia="fr-FR"/>
        </w:rPr>
        <w:t xml:space="preserve"> </w:t>
      </w:r>
      <w:r w:rsidR="007C5B0F" w:rsidRPr="00604D97">
        <w:rPr>
          <w:rFonts w:ascii="Arial" w:eastAsia="Times New Roman" w:hAnsi="Arial" w:cs="Arial"/>
          <w:color w:val="000000"/>
          <w:sz w:val="20"/>
          <w:szCs w:val="20"/>
          <w:lang w:val="en-GB" w:eastAsia="fr-FR"/>
        </w:rPr>
        <w:t>i</w:t>
      </w:r>
      <w:r w:rsidR="00776C5D" w:rsidRPr="00604D97">
        <w:rPr>
          <w:rFonts w:ascii="Arial" w:eastAsia="Times New Roman" w:hAnsi="Arial" w:cs="Arial"/>
          <w:color w:val="000000"/>
          <w:sz w:val="20"/>
          <w:szCs w:val="20"/>
          <w:lang w:val="en-GB" w:eastAsia="fr-FR"/>
        </w:rPr>
        <w:t xml:space="preserve">f </w:t>
      </w:r>
      <w:r w:rsidR="00892185" w:rsidRPr="00604D97">
        <w:rPr>
          <w:rFonts w:ascii="Arial" w:eastAsia="Times New Roman" w:hAnsi="Arial" w:cs="Arial"/>
          <w:color w:val="000000"/>
          <w:sz w:val="20"/>
          <w:szCs w:val="20"/>
          <w:lang w:val="en-GB" w:eastAsia="fr-FR"/>
        </w:rPr>
        <w:t xml:space="preserve">a client </w:t>
      </w:r>
      <w:r w:rsidR="000665BC" w:rsidRPr="00604D97">
        <w:rPr>
          <w:rFonts w:ascii="Arial" w:eastAsia="Times New Roman" w:hAnsi="Arial" w:cs="Arial"/>
          <w:color w:val="000000"/>
          <w:sz w:val="20"/>
          <w:szCs w:val="20"/>
          <w:lang w:val="en-GB" w:eastAsia="fr-FR"/>
        </w:rPr>
        <w:t>previously performed t</w:t>
      </w:r>
      <w:r w:rsidR="00892185" w:rsidRPr="00604D97">
        <w:rPr>
          <w:rFonts w:ascii="Arial" w:eastAsia="Times New Roman" w:hAnsi="Arial" w:cs="Arial"/>
          <w:color w:val="000000"/>
          <w:sz w:val="20"/>
          <w:szCs w:val="20"/>
          <w:lang w:val="en-GB" w:eastAsia="fr-FR"/>
        </w:rPr>
        <w:t>ransactions based on adapted preferences</w:t>
      </w:r>
      <w:r w:rsidR="000665BC" w:rsidRPr="00604D97">
        <w:rPr>
          <w:rFonts w:ascii="Arial" w:eastAsia="Times New Roman" w:hAnsi="Arial" w:cs="Arial"/>
          <w:color w:val="000000"/>
          <w:sz w:val="20"/>
          <w:szCs w:val="20"/>
          <w:lang w:val="en-GB" w:eastAsia="fr-FR"/>
        </w:rPr>
        <w:t xml:space="preserve">, </w:t>
      </w:r>
      <w:r w:rsidR="00D43943" w:rsidRPr="00604D97">
        <w:rPr>
          <w:rFonts w:ascii="Arial" w:eastAsia="Times New Roman" w:hAnsi="Arial" w:cs="Arial"/>
          <w:color w:val="000000"/>
          <w:sz w:val="20"/>
          <w:szCs w:val="20"/>
          <w:lang w:val="en-GB" w:eastAsia="fr-FR"/>
        </w:rPr>
        <w:t xml:space="preserve">and an </w:t>
      </w:r>
      <w:r w:rsidR="00840A53" w:rsidRPr="00604D97">
        <w:rPr>
          <w:rFonts w:ascii="Arial" w:eastAsia="Times New Roman" w:hAnsi="Arial" w:cs="Arial"/>
          <w:color w:val="000000"/>
          <w:sz w:val="20"/>
          <w:szCs w:val="20"/>
          <w:lang w:val="en-GB" w:eastAsia="fr-FR"/>
        </w:rPr>
        <w:t xml:space="preserve">ongoing advice </w:t>
      </w:r>
      <w:r w:rsidR="00D43943" w:rsidRPr="00604D97">
        <w:rPr>
          <w:rFonts w:ascii="Arial" w:eastAsia="Times New Roman" w:hAnsi="Arial" w:cs="Arial"/>
          <w:color w:val="000000"/>
          <w:sz w:val="20"/>
          <w:szCs w:val="20"/>
          <w:lang w:val="en-GB" w:eastAsia="fr-FR"/>
        </w:rPr>
        <w:t xml:space="preserve">is </w:t>
      </w:r>
      <w:r w:rsidR="00840A53" w:rsidRPr="00604D97">
        <w:rPr>
          <w:rFonts w:ascii="Arial" w:eastAsia="Times New Roman" w:hAnsi="Arial" w:cs="Arial"/>
          <w:color w:val="000000"/>
          <w:sz w:val="20"/>
          <w:szCs w:val="20"/>
          <w:lang w:val="en-GB" w:eastAsia="fr-FR"/>
        </w:rPr>
        <w:t xml:space="preserve">provided </w:t>
      </w:r>
      <w:r w:rsidR="00D43943" w:rsidRPr="00604D97">
        <w:rPr>
          <w:rFonts w:ascii="Arial" w:eastAsia="Times New Roman" w:hAnsi="Arial" w:cs="Arial"/>
          <w:color w:val="000000"/>
          <w:sz w:val="20"/>
          <w:szCs w:val="20"/>
          <w:lang w:val="en-GB" w:eastAsia="fr-FR"/>
        </w:rPr>
        <w:t xml:space="preserve">afterwards </w:t>
      </w:r>
      <w:r w:rsidR="00840A53" w:rsidRPr="00604D97">
        <w:rPr>
          <w:rFonts w:ascii="Arial" w:eastAsia="Times New Roman" w:hAnsi="Arial" w:cs="Arial"/>
          <w:color w:val="000000"/>
          <w:sz w:val="20"/>
          <w:szCs w:val="20"/>
          <w:lang w:val="en-GB" w:eastAsia="fr-FR"/>
        </w:rPr>
        <w:t>in consideration of the initial client profile</w:t>
      </w:r>
      <w:r w:rsidR="00D43943" w:rsidRPr="00604D97">
        <w:rPr>
          <w:rFonts w:ascii="Arial" w:eastAsia="Times New Roman" w:hAnsi="Arial" w:cs="Arial"/>
          <w:color w:val="000000"/>
          <w:sz w:val="20"/>
          <w:szCs w:val="20"/>
          <w:lang w:val="en-GB" w:eastAsia="fr-FR"/>
        </w:rPr>
        <w:t>, such</w:t>
      </w:r>
      <w:r w:rsidR="008846BD" w:rsidRPr="00604D97">
        <w:rPr>
          <w:rFonts w:ascii="Arial" w:eastAsia="Times New Roman" w:hAnsi="Arial" w:cs="Arial"/>
          <w:color w:val="000000"/>
          <w:sz w:val="20"/>
          <w:szCs w:val="20"/>
          <w:lang w:val="en-GB" w:eastAsia="fr-FR"/>
        </w:rPr>
        <w:t xml:space="preserve"> </w:t>
      </w:r>
      <w:r w:rsidR="00827C3F" w:rsidRPr="00604D97">
        <w:rPr>
          <w:rFonts w:ascii="Arial" w:eastAsia="Times New Roman" w:hAnsi="Arial" w:cs="Arial"/>
          <w:color w:val="000000"/>
          <w:sz w:val="20"/>
          <w:szCs w:val="20"/>
          <w:lang w:val="en-GB" w:eastAsia="fr-FR"/>
        </w:rPr>
        <w:t>transaction</w:t>
      </w:r>
      <w:r w:rsidR="00DE6E80" w:rsidRPr="00604D97">
        <w:rPr>
          <w:rFonts w:ascii="Arial" w:eastAsia="Times New Roman" w:hAnsi="Arial" w:cs="Arial"/>
          <w:color w:val="000000"/>
          <w:sz w:val="20"/>
          <w:szCs w:val="20"/>
          <w:lang w:val="en-GB" w:eastAsia="fr-FR"/>
        </w:rPr>
        <w:t>s</w:t>
      </w:r>
      <w:r w:rsidR="00827C3F" w:rsidRPr="00604D97">
        <w:rPr>
          <w:rFonts w:ascii="Arial" w:eastAsia="Times New Roman" w:hAnsi="Arial" w:cs="Arial"/>
          <w:color w:val="000000"/>
          <w:sz w:val="20"/>
          <w:szCs w:val="20"/>
          <w:lang w:val="en-GB" w:eastAsia="fr-FR"/>
        </w:rPr>
        <w:t xml:space="preserve"> will </w:t>
      </w:r>
      <w:r w:rsidR="008846BD" w:rsidRPr="00604D97">
        <w:rPr>
          <w:rFonts w:ascii="Arial" w:eastAsia="Times New Roman" w:hAnsi="Arial" w:cs="Arial"/>
          <w:color w:val="000000"/>
          <w:sz w:val="20"/>
          <w:szCs w:val="20"/>
          <w:lang w:val="en-GB" w:eastAsia="fr-FR"/>
        </w:rPr>
        <w:t xml:space="preserve">necessarily </w:t>
      </w:r>
      <w:r w:rsidR="00827C3F" w:rsidRPr="00604D97">
        <w:rPr>
          <w:rFonts w:ascii="Arial" w:eastAsia="Times New Roman" w:hAnsi="Arial" w:cs="Arial"/>
          <w:color w:val="000000"/>
          <w:sz w:val="20"/>
          <w:szCs w:val="20"/>
          <w:lang w:val="en-GB" w:eastAsia="fr-FR"/>
        </w:rPr>
        <w:t>appear unsuitable</w:t>
      </w:r>
      <w:r w:rsidR="00D43943" w:rsidRPr="00604D97">
        <w:rPr>
          <w:rFonts w:ascii="Arial" w:eastAsia="Times New Roman" w:hAnsi="Arial" w:cs="Arial"/>
          <w:color w:val="000000"/>
          <w:sz w:val="20"/>
          <w:szCs w:val="20"/>
          <w:lang w:val="en-GB" w:eastAsia="fr-FR"/>
        </w:rPr>
        <w:t xml:space="preserve">. </w:t>
      </w:r>
      <w:r w:rsidR="00E25353" w:rsidRPr="00604D97">
        <w:rPr>
          <w:rFonts w:ascii="Arial" w:eastAsia="Times New Roman" w:hAnsi="Arial" w:cs="Arial"/>
          <w:color w:val="000000"/>
          <w:sz w:val="20"/>
          <w:szCs w:val="20"/>
          <w:lang w:val="en-GB" w:eastAsia="fr-FR"/>
        </w:rPr>
        <w:t>This</w:t>
      </w:r>
      <w:r w:rsidR="00DE2CFE" w:rsidRPr="00604D97">
        <w:rPr>
          <w:rFonts w:ascii="Arial" w:eastAsia="Times New Roman" w:hAnsi="Arial" w:cs="Arial"/>
          <w:color w:val="000000"/>
          <w:sz w:val="20"/>
          <w:szCs w:val="20"/>
          <w:lang w:val="en-GB" w:eastAsia="fr-FR"/>
        </w:rPr>
        <w:t xml:space="preserve"> </w:t>
      </w:r>
      <w:r w:rsidR="005559B6" w:rsidRPr="00604D97">
        <w:rPr>
          <w:rFonts w:ascii="Arial" w:eastAsia="Times New Roman" w:hAnsi="Arial" w:cs="Arial"/>
          <w:color w:val="000000"/>
          <w:sz w:val="20"/>
          <w:szCs w:val="20"/>
          <w:lang w:val="en-GB" w:eastAsia="fr-FR"/>
        </w:rPr>
        <w:t>should then trigger a recommendation by the ISP to unwind such</w:t>
      </w:r>
      <w:r w:rsidR="00D551A7" w:rsidRPr="00604D97">
        <w:rPr>
          <w:rFonts w:ascii="Arial" w:eastAsia="Times New Roman" w:hAnsi="Arial" w:cs="Arial"/>
          <w:color w:val="000000"/>
          <w:sz w:val="20"/>
          <w:szCs w:val="20"/>
          <w:lang w:val="en-GB" w:eastAsia="fr-FR"/>
        </w:rPr>
        <w:t xml:space="preserve"> </w:t>
      </w:r>
      <w:r w:rsidR="00555666" w:rsidRPr="00604D97">
        <w:rPr>
          <w:rFonts w:ascii="Arial" w:eastAsia="Times New Roman" w:hAnsi="Arial" w:cs="Arial"/>
          <w:color w:val="000000"/>
          <w:sz w:val="20"/>
          <w:szCs w:val="20"/>
          <w:lang w:val="en-GB" w:eastAsia="fr-FR"/>
        </w:rPr>
        <w:t>position and</w:t>
      </w:r>
      <w:r w:rsidR="004D1B74" w:rsidRPr="00604D97">
        <w:rPr>
          <w:rFonts w:ascii="Arial" w:eastAsia="Times New Roman" w:hAnsi="Arial" w:cs="Arial"/>
          <w:color w:val="000000"/>
          <w:sz w:val="20"/>
          <w:szCs w:val="20"/>
          <w:lang w:val="en-GB" w:eastAsia="fr-FR"/>
        </w:rPr>
        <w:t xml:space="preserve"> </w:t>
      </w:r>
      <w:r w:rsidR="00120510" w:rsidRPr="00604D97">
        <w:rPr>
          <w:rFonts w:ascii="Arial" w:eastAsia="Times New Roman" w:hAnsi="Arial" w:cs="Arial"/>
          <w:color w:val="000000"/>
          <w:sz w:val="20"/>
          <w:szCs w:val="20"/>
          <w:lang w:val="en-GB" w:eastAsia="fr-FR"/>
        </w:rPr>
        <w:t>another adap</w:t>
      </w:r>
      <w:r w:rsidR="0012377E" w:rsidRPr="00604D97">
        <w:rPr>
          <w:rFonts w:ascii="Arial" w:eastAsia="Times New Roman" w:hAnsi="Arial" w:cs="Arial"/>
          <w:color w:val="000000"/>
          <w:sz w:val="20"/>
          <w:szCs w:val="20"/>
          <w:lang w:val="en-GB" w:eastAsia="fr-FR"/>
        </w:rPr>
        <w:t>ta</w:t>
      </w:r>
      <w:r w:rsidR="00120510" w:rsidRPr="00604D97">
        <w:rPr>
          <w:rFonts w:ascii="Arial" w:eastAsia="Times New Roman" w:hAnsi="Arial" w:cs="Arial"/>
          <w:color w:val="000000"/>
          <w:sz w:val="20"/>
          <w:szCs w:val="20"/>
          <w:lang w:val="en-GB" w:eastAsia="fr-FR"/>
        </w:rPr>
        <w:t xml:space="preserve">tion of </w:t>
      </w:r>
      <w:r w:rsidR="00AE04BE" w:rsidRPr="00604D97">
        <w:rPr>
          <w:rFonts w:ascii="Arial" w:eastAsia="Times New Roman" w:hAnsi="Arial" w:cs="Arial"/>
          <w:color w:val="000000"/>
          <w:sz w:val="20"/>
          <w:szCs w:val="20"/>
          <w:lang w:val="en-GB" w:eastAsia="fr-FR"/>
        </w:rPr>
        <w:t xml:space="preserve">the </w:t>
      </w:r>
      <w:r w:rsidR="00120510" w:rsidRPr="00604D97">
        <w:rPr>
          <w:rFonts w:ascii="Arial" w:eastAsia="Times New Roman" w:hAnsi="Arial" w:cs="Arial"/>
          <w:color w:val="000000"/>
          <w:sz w:val="20"/>
          <w:szCs w:val="20"/>
          <w:lang w:val="en-GB" w:eastAsia="fr-FR"/>
        </w:rPr>
        <w:t>client’s preferences</w:t>
      </w:r>
      <w:r w:rsidR="007549F5" w:rsidRPr="00604D97">
        <w:rPr>
          <w:rFonts w:ascii="Arial" w:eastAsia="Times New Roman" w:hAnsi="Arial" w:cs="Arial"/>
          <w:color w:val="000000"/>
          <w:sz w:val="20"/>
          <w:szCs w:val="20"/>
          <w:lang w:val="en-GB" w:eastAsia="fr-FR"/>
        </w:rPr>
        <w:t xml:space="preserve"> that </w:t>
      </w:r>
      <w:r w:rsidR="006B23B7" w:rsidRPr="00604D97">
        <w:rPr>
          <w:rFonts w:ascii="Arial" w:eastAsia="Times New Roman" w:hAnsi="Arial" w:cs="Arial"/>
          <w:color w:val="000000"/>
          <w:sz w:val="20"/>
          <w:szCs w:val="20"/>
          <w:lang w:val="en-GB" w:eastAsia="fr-FR"/>
        </w:rPr>
        <w:t>is likely to r</w:t>
      </w:r>
      <w:r w:rsidR="00484A8D" w:rsidRPr="00604D97">
        <w:rPr>
          <w:rFonts w:ascii="Arial" w:eastAsia="Times New Roman" w:hAnsi="Arial" w:cs="Arial"/>
          <w:color w:val="000000"/>
          <w:sz w:val="20"/>
          <w:szCs w:val="20"/>
          <w:lang w:val="en-GB" w:eastAsia="fr-FR"/>
        </w:rPr>
        <w:t>esult in the same con</w:t>
      </w:r>
      <w:r w:rsidR="00B94B72" w:rsidRPr="00604D97">
        <w:rPr>
          <w:rFonts w:ascii="Arial" w:eastAsia="Times New Roman" w:hAnsi="Arial" w:cs="Arial"/>
          <w:color w:val="000000"/>
          <w:sz w:val="20"/>
          <w:szCs w:val="20"/>
          <w:lang w:val="en-GB" w:eastAsia="fr-FR"/>
        </w:rPr>
        <w:t xml:space="preserve">clusion as the previous one, </w:t>
      </w:r>
      <w:r w:rsidR="00827047" w:rsidRPr="00604D97">
        <w:rPr>
          <w:rFonts w:ascii="Arial" w:eastAsia="Times New Roman" w:hAnsi="Arial" w:cs="Arial"/>
          <w:color w:val="000000"/>
          <w:sz w:val="20"/>
          <w:szCs w:val="20"/>
          <w:lang w:val="en-GB" w:eastAsia="fr-FR"/>
        </w:rPr>
        <w:t>provid</w:t>
      </w:r>
      <w:r w:rsidR="00B94B72" w:rsidRPr="00604D97">
        <w:rPr>
          <w:rFonts w:ascii="Arial" w:eastAsia="Times New Roman" w:hAnsi="Arial" w:cs="Arial"/>
          <w:color w:val="000000"/>
          <w:sz w:val="20"/>
          <w:szCs w:val="20"/>
          <w:lang w:val="en-GB" w:eastAsia="fr-FR"/>
        </w:rPr>
        <w:t xml:space="preserve">ing </w:t>
      </w:r>
      <w:r w:rsidR="00827047" w:rsidRPr="00604D97">
        <w:rPr>
          <w:rFonts w:ascii="Arial" w:eastAsia="Times New Roman" w:hAnsi="Arial" w:cs="Arial"/>
          <w:color w:val="000000"/>
          <w:sz w:val="20"/>
          <w:szCs w:val="20"/>
          <w:lang w:val="en-GB" w:eastAsia="fr-FR"/>
        </w:rPr>
        <w:t xml:space="preserve">no added value </w:t>
      </w:r>
      <w:r w:rsidR="00AE04BE" w:rsidRPr="00604D97">
        <w:rPr>
          <w:rFonts w:ascii="Arial" w:eastAsia="Times New Roman" w:hAnsi="Arial" w:cs="Arial"/>
          <w:color w:val="000000"/>
          <w:sz w:val="20"/>
          <w:szCs w:val="20"/>
          <w:lang w:val="en-GB" w:eastAsia="fr-FR"/>
        </w:rPr>
        <w:t xml:space="preserve">both </w:t>
      </w:r>
      <w:r w:rsidR="00827047" w:rsidRPr="00604D97">
        <w:rPr>
          <w:rFonts w:ascii="Arial" w:eastAsia="Times New Roman" w:hAnsi="Arial" w:cs="Arial"/>
          <w:color w:val="000000"/>
          <w:sz w:val="20"/>
          <w:szCs w:val="20"/>
          <w:lang w:val="en-GB" w:eastAsia="fr-FR"/>
        </w:rPr>
        <w:t xml:space="preserve">for </w:t>
      </w:r>
      <w:r w:rsidR="00AE04BE" w:rsidRPr="00604D97">
        <w:rPr>
          <w:rFonts w:ascii="Arial" w:eastAsia="Times New Roman" w:hAnsi="Arial" w:cs="Arial"/>
          <w:color w:val="000000"/>
          <w:sz w:val="20"/>
          <w:szCs w:val="20"/>
          <w:lang w:val="en-GB" w:eastAsia="fr-FR"/>
        </w:rPr>
        <w:t xml:space="preserve">the </w:t>
      </w:r>
      <w:r w:rsidR="00827047" w:rsidRPr="00604D97">
        <w:rPr>
          <w:rFonts w:ascii="Arial" w:eastAsia="Times New Roman" w:hAnsi="Arial" w:cs="Arial"/>
          <w:color w:val="000000"/>
          <w:sz w:val="20"/>
          <w:szCs w:val="20"/>
          <w:lang w:val="en-GB" w:eastAsia="fr-FR"/>
        </w:rPr>
        <w:t xml:space="preserve">client </w:t>
      </w:r>
      <w:r w:rsidR="00AE04BE" w:rsidRPr="00604D97">
        <w:rPr>
          <w:rFonts w:ascii="Arial" w:eastAsia="Times New Roman" w:hAnsi="Arial" w:cs="Arial"/>
          <w:color w:val="000000"/>
          <w:sz w:val="20"/>
          <w:szCs w:val="20"/>
          <w:lang w:val="en-GB" w:eastAsia="fr-FR"/>
        </w:rPr>
        <w:t xml:space="preserve">and </w:t>
      </w:r>
      <w:r w:rsidR="00827047" w:rsidRPr="00604D97">
        <w:rPr>
          <w:rFonts w:ascii="Arial" w:eastAsia="Times New Roman" w:hAnsi="Arial" w:cs="Arial"/>
          <w:color w:val="000000"/>
          <w:sz w:val="20"/>
          <w:szCs w:val="20"/>
          <w:lang w:val="en-GB" w:eastAsia="fr-FR"/>
        </w:rPr>
        <w:t xml:space="preserve">for </w:t>
      </w:r>
      <w:r w:rsidR="00AE04BE" w:rsidRPr="00604D97">
        <w:rPr>
          <w:rFonts w:ascii="Arial" w:eastAsia="Times New Roman" w:hAnsi="Arial" w:cs="Arial"/>
          <w:color w:val="000000"/>
          <w:sz w:val="20"/>
          <w:szCs w:val="20"/>
          <w:lang w:val="en-GB" w:eastAsia="fr-FR"/>
        </w:rPr>
        <w:t xml:space="preserve">the </w:t>
      </w:r>
      <w:r w:rsidR="00827047" w:rsidRPr="00604D97">
        <w:rPr>
          <w:rFonts w:ascii="Arial" w:eastAsia="Times New Roman" w:hAnsi="Arial" w:cs="Arial"/>
          <w:color w:val="000000"/>
          <w:sz w:val="20"/>
          <w:szCs w:val="20"/>
          <w:lang w:val="en-GB" w:eastAsia="fr-FR"/>
        </w:rPr>
        <w:t xml:space="preserve">ISP. </w:t>
      </w:r>
    </w:p>
    <w:p w14:paraId="5E2853D3" w14:textId="5F5CDABB" w:rsidR="008E6C57" w:rsidRPr="00604D97" w:rsidRDefault="004C415E" w:rsidP="00C515BD">
      <w:pPr>
        <w:pStyle w:val="Paragraphedeliste"/>
        <w:numPr>
          <w:ilvl w:val="0"/>
          <w:numId w:val="16"/>
        </w:numPr>
        <w:spacing w:after="0" w:line="240" w:lineRule="atLeast"/>
        <w:jc w:val="both"/>
        <w:rPr>
          <w:rFonts w:ascii="Arial" w:eastAsia="Times New Roman" w:hAnsi="Arial" w:cs="Arial"/>
          <w:color w:val="000000"/>
          <w:sz w:val="20"/>
          <w:szCs w:val="20"/>
          <w:lang w:val="en-GB" w:eastAsia="fr-FR"/>
        </w:rPr>
      </w:pPr>
      <w:r w:rsidRPr="00604D97">
        <w:rPr>
          <w:rFonts w:ascii="Arial" w:eastAsia="Times New Roman" w:hAnsi="Arial" w:cs="Arial"/>
          <w:color w:val="000000"/>
          <w:sz w:val="20"/>
          <w:szCs w:val="20"/>
          <w:lang w:val="en-GB" w:eastAsia="fr-FR"/>
        </w:rPr>
        <w:t xml:space="preserve">For </w:t>
      </w:r>
      <w:r w:rsidR="00640B39" w:rsidRPr="00604D97">
        <w:rPr>
          <w:rFonts w:ascii="Arial" w:eastAsia="Times New Roman" w:hAnsi="Arial" w:cs="Arial"/>
          <w:color w:val="000000"/>
          <w:sz w:val="20"/>
          <w:szCs w:val="20"/>
          <w:lang w:val="en-GB" w:eastAsia="fr-FR"/>
        </w:rPr>
        <w:t xml:space="preserve">multiple </w:t>
      </w:r>
      <w:r w:rsidR="005357D0" w:rsidRPr="00604D97">
        <w:rPr>
          <w:rFonts w:ascii="Arial" w:eastAsia="Times New Roman" w:hAnsi="Arial" w:cs="Arial"/>
          <w:color w:val="000000"/>
          <w:sz w:val="20"/>
          <w:szCs w:val="20"/>
          <w:lang w:val="en-GB" w:eastAsia="fr-FR"/>
        </w:rPr>
        <w:t>transaction</w:t>
      </w:r>
      <w:r w:rsidR="00B16A76" w:rsidRPr="00604D97">
        <w:rPr>
          <w:rFonts w:ascii="Arial" w:eastAsia="Times New Roman" w:hAnsi="Arial" w:cs="Arial"/>
          <w:color w:val="000000"/>
          <w:sz w:val="20"/>
          <w:szCs w:val="20"/>
          <w:lang w:val="en-GB" w:eastAsia="fr-FR"/>
        </w:rPr>
        <w:t>s</w:t>
      </w:r>
      <w:r w:rsidR="005357D0" w:rsidRPr="00604D97">
        <w:rPr>
          <w:rFonts w:ascii="Arial" w:eastAsia="Times New Roman" w:hAnsi="Arial" w:cs="Arial"/>
          <w:color w:val="000000"/>
          <w:sz w:val="20"/>
          <w:szCs w:val="20"/>
          <w:lang w:val="en-GB" w:eastAsia="fr-FR"/>
        </w:rPr>
        <w:t>-based</w:t>
      </w:r>
      <w:r w:rsidRPr="00604D97">
        <w:rPr>
          <w:rFonts w:ascii="Arial" w:eastAsia="Times New Roman" w:hAnsi="Arial" w:cs="Arial"/>
          <w:color w:val="000000"/>
          <w:sz w:val="20"/>
          <w:szCs w:val="20"/>
          <w:lang w:val="en-GB" w:eastAsia="fr-FR"/>
        </w:rPr>
        <w:t xml:space="preserve"> advice, such an approach will resu</w:t>
      </w:r>
      <w:r w:rsidR="003431FB" w:rsidRPr="00604D97">
        <w:rPr>
          <w:rFonts w:ascii="Arial" w:eastAsia="Times New Roman" w:hAnsi="Arial" w:cs="Arial"/>
          <w:color w:val="000000"/>
          <w:sz w:val="20"/>
          <w:szCs w:val="20"/>
          <w:lang w:val="en-GB" w:eastAsia="fr-FR"/>
        </w:rPr>
        <w:t>lt in repeated ad</w:t>
      </w:r>
      <w:r w:rsidR="00EB6D88" w:rsidRPr="00604D97">
        <w:rPr>
          <w:rFonts w:ascii="Arial" w:eastAsia="Times New Roman" w:hAnsi="Arial" w:cs="Arial"/>
          <w:color w:val="000000"/>
          <w:sz w:val="20"/>
          <w:szCs w:val="20"/>
          <w:lang w:val="en-GB" w:eastAsia="fr-FR"/>
        </w:rPr>
        <w:t>ap</w:t>
      </w:r>
      <w:r w:rsidR="003431FB" w:rsidRPr="00604D97">
        <w:rPr>
          <w:rFonts w:ascii="Arial" w:eastAsia="Times New Roman" w:hAnsi="Arial" w:cs="Arial"/>
          <w:color w:val="000000"/>
          <w:sz w:val="20"/>
          <w:szCs w:val="20"/>
          <w:lang w:val="en-GB" w:eastAsia="fr-FR"/>
        </w:rPr>
        <w:t>t</w:t>
      </w:r>
      <w:r w:rsidR="00EB6D88" w:rsidRPr="00604D97">
        <w:rPr>
          <w:rFonts w:ascii="Arial" w:eastAsia="Times New Roman" w:hAnsi="Arial" w:cs="Arial"/>
          <w:color w:val="000000"/>
          <w:sz w:val="20"/>
          <w:szCs w:val="20"/>
          <w:lang w:val="en-GB" w:eastAsia="fr-FR"/>
        </w:rPr>
        <w:t>at</w:t>
      </w:r>
      <w:r w:rsidR="003431FB" w:rsidRPr="00604D97">
        <w:rPr>
          <w:rFonts w:ascii="Arial" w:eastAsia="Times New Roman" w:hAnsi="Arial" w:cs="Arial"/>
          <w:color w:val="000000"/>
          <w:sz w:val="20"/>
          <w:szCs w:val="20"/>
          <w:lang w:val="en-GB" w:eastAsia="fr-FR"/>
        </w:rPr>
        <w:t xml:space="preserve">ions by clients of their </w:t>
      </w:r>
      <w:r w:rsidR="00EB6D88" w:rsidRPr="00604D97">
        <w:rPr>
          <w:rFonts w:ascii="Arial" w:eastAsia="Times New Roman" w:hAnsi="Arial" w:cs="Arial"/>
          <w:color w:val="000000"/>
          <w:sz w:val="20"/>
          <w:szCs w:val="20"/>
          <w:lang w:val="en-GB" w:eastAsia="fr-FR"/>
        </w:rPr>
        <w:t>preferences</w:t>
      </w:r>
      <w:r w:rsidR="007F3102" w:rsidRPr="00604D97">
        <w:rPr>
          <w:rFonts w:ascii="Arial" w:eastAsia="Times New Roman" w:hAnsi="Arial" w:cs="Arial"/>
          <w:color w:val="000000"/>
          <w:sz w:val="20"/>
          <w:szCs w:val="20"/>
          <w:lang w:val="en-GB" w:eastAsia="fr-FR"/>
        </w:rPr>
        <w:t>, which is likely to cause</w:t>
      </w:r>
      <w:r w:rsidR="008243F1" w:rsidRPr="00604D97">
        <w:rPr>
          <w:rFonts w:ascii="Arial" w:eastAsia="Times New Roman" w:hAnsi="Arial" w:cs="Arial"/>
          <w:color w:val="000000"/>
          <w:sz w:val="20"/>
          <w:szCs w:val="20"/>
          <w:lang w:val="en-GB" w:eastAsia="fr-FR"/>
        </w:rPr>
        <w:t xml:space="preserve"> them</w:t>
      </w:r>
      <w:r w:rsidR="007F3102" w:rsidRPr="00604D97">
        <w:rPr>
          <w:rFonts w:ascii="Arial" w:eastAsia="Times New Roman" w:hAnsi="Arial" w:cs="Arial"/>
          <w:color w:val="000000"/>
          <w:sz w:val="20"/>
          <w:szCs w:val="20"/>
          <w:lang w:val="en-GB" w:eastAsia="fr-FR"/>
        </w:rPr>
        <w:t xml:space="preserve"> annoyance</w:t>
      </w:r>
      <w:r w:rsidR="0023271A" w:rsidRPr="00604D97">
        <w:rPr>
          <w:rFonts w:ascii="Arial" w:eastAsia="Times New Roman" w:hAnsi="Arial" w:cs="Arial"/>
          <w:color w:val="000000"/>
          <w:sz w:val="20"/>
          <w:szCs w:val="20"/>
          <w:lang w:val="en-GB" w:eastAsia="fr-FR"/>
        </w:rPr>
        <w:t>.</w:t>
      </w:r>
    </w:p>
    <w:p w14:paraId="46B2504C" w14:textId="77777777" w:rsidR="000A171A" w:rsidRPr="009E4F74" w:rsidRDefault="000A171A" w:rsidP="00970615">
      <w:pPr>
        <w:spacing w:after="0" w:line="240" w:lineRule="atLeast"/>
        <w:ind w:left="360"/>
        <w:jc w:val="both"/>
        <w:rPr>
          <w:rFonts w:ascii="Arial" w:eastAsia="Times New Roman" w:hAnsi="Arial" w:cs="Arial"/>
          <w:color w:val="000000"/>
          <w:sz w:val="20"/>
          <w:szCs w:val="20"/>
          <w:lang w:val="en-GB" w:eastAsia="fr-FR"/>
        </w:rPr>
      </w:pPr>
    </w:p>
    <w:p w14:paraId="2235A897" w14:textId="587FB728" w:rsidR="004C415E" w:rsidRPr="009E4F74" w:rsidRDefault="00C41ADA" w:rsidP="008E6C57">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According t</w:t>
      </w:r>
      <w:r w:rsidR="00640B39" w:rsidRPr="009E4F74">
        <w:rPr>
          <w:rFonts w:ascii="Arial" w:eastAsia="Times New Roman" w:hAnsi="Arial" w:cs="Arial"/>
          <w:color w:val="000000"/>
          <w:sz w:val="20"/>
          <w:szCs w:val="20"/>
          <w:lang w:val="en-GB" w:eastAsia="fr-FR"/>
        </w:rPr>
        <w:t xml:space="preserve">o </w:t>
      </w:r>
      <w:r w:rsidR="00E67976" w:rsidRPr="009E4F74">
        <w:rPr>
          <w:rFonts w:ascii="Arial" w:eastAsia="Times New Roman" w:hAnsi="Arial" w:cs="Arial"/>
          <w:color w:val="000000"/>
          <w:sz w:val="20"/>
          <w:szCs w:val="20"/>
          <w:lang w:val="en-GB" w:eastAsia="fr-FR"/>
        </w:rPr>
        <w:t>FBF</w:t>
      </w:r>
      <w:r w:rsidR="00640B39" w:rsidRPr="009E4F74">
        <w:rPr>
          <w:rFonts w:ascii="Arial" w:eastAsia="Times New Roman" w:hAnsi="Arial" w:cs="Arial"/>
          <w:color w:val="000000"/>
          <w:sz w:val="20"/>
          <w:szCs w:val="20"/>
          <w:lang w:val="en-GB" w:eastAsia="fr-FR"/>
        </w:rPr>
        <w:t>, this is not a good outcome in a context where clients already complain about too much information being provided to</w:t>
      </w:r>
      <w:r w:rsidR="001655B2" w:rsidRPr="009E4F74">
        <w:rPr>
          <w:rFonts w:ascii="Arial" w:eastAsia="Times New Roman" w:hAnsi="Arial" w:cs="Arial"/>
          <w:color w:val="000000"/>
          <w:sz w:val="20"/>
          <w:szCs w:val="20"/>
          <w:lang w:val="en-GB" w:eastAsia="fr-FR"/>
        </w:rPr>
        <w:t xml:space="preserve"> and asked from</w:t>
      </w:r>
      <w:r w:rsidR="00640B39" w:rsidRPr="009E4F74">
        <w:rPr>
          <w:rFonts w:ascii="Arial" w:eastAsia="Times New Roman" w:hAnsi="Arial" w:cs="Arial"/>
          <w:color w:val="000000"/>
          <w:sz w:val="20"/>
          <w:szCs w:val="20"/>
          <w:lang w:val="en-GB" w:eastAsia="fr-FR"/>
        </w:rPr>
        <w:t xml:space="preserve"> them</w:t>
      </w:r>
      <w:r w:rsidR="008243F1" w:rsidRPr="009E4F74">
        <w:rPr>
          <w:rFonts w:ascii="Arial" w:eastAsia="Times New Roman" w:hAnsi="Arial" w:cs="Arial"/>
          <w:color w:val="000000"/>
          <w:sz w:val="20"/>
          <w:szCs w:val="20"/>
          <w:lang w:val="en-GB" w:eastAsia="fr-FR"/>
        </w:rPr>
        <w:t xml:space="preserve"> and burdensome processes to</w:t>
      </w:r>
      <w:r w:rsidR="001655B2" w:rsidRPr="009E4F74">
        <w:rPr>
          <w:rFonts w:ascii="Arial" w:eastAsia="Times New Roman" w:hAnsi="Arial" w:cs="Arial"/>
          <w:color w:val="000000"/>
          <w:sz w:val="20"/>
          <w:szCs w:val="20"/>
          <w:lang w:val="en-GB" w:eastAsia="fr-FR"/>
        </w:rPr>
        <w:t xml:space="preserve"> </w:t>
      </w:r>
      <w:r w:rsidR="00FC72AB" w:rsidRPr="009E4F74">
        <w:rPr>
          <w:rFonts w:ascii="Arial" w:eastAsia="Times New Roman" w:hAnsi="Arial" w:cs="Arial"/>
          <w:color w:val="000000"/>
          <w:sz w:val="20"/>
          <w:szCs w:val="20"/>
          <w:lang w:val="en-GB" w:eastAsia="fr-FR"/>
        </w:rPr>
        <w:t xml:space="preserve">invest </w:t>
      </w:r>
      <w:r w:rsidR="00D549E3" w:rsidRPr="009E4F74">
        <w:rPr>
          <w:rFonts w:ascii="Arial" w:eastAsia="Times New Roman" w:hAnsi="Arial" w:cs="Arial"/>
          <w:color w:val="000000"/>
          <w:sz w:val="20"/>
          <w:szCs w:val="20"/>
          <w:lang w:val="en-GB" w:eastAsia="fr-FR"/>
        </w:rPr>
        <w:t>in</w:t>
      </w:r>
      <w:r w:rsidR="00FC72AB" w:rsidRPr="009E4F74">
        <w:rPr>
          <w:rFonts w:ascii="Arial" w:eastAsia="Times New Roman" w:hAnsi="Arial" w:cs="Arial"/>
          <w:color w:val="000000"/>
          <w:sz w:val="20"/>
          <w:szCs w:val="20"/>
          <w:lang w:val="en-GB" w:eastAsia="fr-FR"/>
        </w:rPr>
        <w:t xml:space="preserve"> financial markets.</w:t>
      </w:r>
    </w:p>
    <w:bookmarkEnd w:id="13"/>
    <w:p w14:paraId="772450A5" w14:textId="21869970" w:rsidR="00AE3973" w:rsidRPr="009E4F74" w:rsidRDefault="00AE3973" w:rsidP="007E3BBB">
      <w:pPr>
        <w:spacing w:after="0" w:line="240" w:lineRule="atLeast"/>
        <w:jc w:val="both"/>
        <w:rPr>
          <w:rFonts w:ascii="Arial" w:eastAsia="Times New Roman" w:hAnsi="Arial" w:cs="Arial"/>
          <w:color w:val="000000"/>
          <w:sz w:val="20"/>
          <w:szCs w:val="20"/>
          <w:lang w:val="en-GB" w:eastAsia="fr-FR"/>
        </w:rPr>
      </w:pPr>
    </w:p>
    <w:p w14:paraId="54E17C53" w14:textId="57B7F940" w:rsidR="00827047" w:rsidRPr="009E4F74" w:rsidRDefault="008C5D95" w:rsidP="007E3BBB">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It should also be possible to</w:t>
      </w:r>
      <w:r w:rsidR="007B1B8C" w:rsidRPr="009E4F74">
        <w:rPr>
          <w:rFonts w:ascii="Arial" w:eastAsia="Times New Roman" w:hAnsi="Arial" w:cs="Arial"/>
          <w:b/>
          <w:bCs/>
          <w:color w:val="000000"/>
          <w:sz w:val="20"/>
          <w:szCs w:val="20"/>
          <w:lang w:val="en-GB" w:eastAsia="fr-FR"/>
        </w:rPr>
        <w:t xml:space="preserve"> adapt </w:t>
      </w:r>
      <w:r w:rsidR="008C3624" w:rsidRPr="009E4F74">
        <w:rPr>
          <w:rFonts w:ascii="Arial" w:eastAsia="Times New Roman" w:hAnsi="Arial" w:cs="Arial"/>
          <w:b/>
          <w:bCs/>
          <w:color w:val="000000"/>
          <w:sz w:val="20"/>
          <w:szCs w:val="20"/>
          <w:lang w:val="en-GB" w:eastAsia="fr-FR"/>
        </w:rPr>
        <w:t xml:space="preserve">the </w:t>
      </w:r>
      <w:r w:rsidR="00977389" w:rsidRPr="009E4F74">
        <w:rPr>
          <w:rFonts w:ascii="Arial" w:eastAsia="Times New Roman" w:hAnsi="Arial" w:cs="Arial"/>
          <w:b/>
          <w:bCs/>
          <w:color w:val="000000"/>
          <w:sz w:val="20"/>
          <w:szCs w:val="20"/>
          <w:lang w:val="en-GB" w:eastAsia="fr-FR"/>
        </w:rPr>
        <w:t>client</w:t>
      </w:r>
      <w:r w:rsidR="00096D96" w:rsidRPr="009E4F74">
        <w:rPr>
          <w:rFonts w:ascii="Arial" w:eastAsia="Times New Roman" w:hAnsi="Arial" w:cs="Arial"/>
          <w:b/>
          <w:bCs/>
          <w:color w:val="000000"/>
          <w:sz w:val="20"/>
          <w:szCs w:val="20"/>
          <w:lang w:val="en-GB" w:eastAsia="fr-FR"/>
        </w:rPr>
        <w:t>’</w:t>
      </w:r>
      <w:r w:rsidR="00977389" w:rsidRPr="009E4F74">
        <w:rPr>
          <w:rFonts w:ascii="Arial" w:eastAsia="Times New Roman" w:hAnsi="Arial" w:cs="Arial"/>
          <w:b/>
          <w:bCs/>
          <w:color w:val="000000"/>
          <w:sz w:val="20"/>
          <w:szCs w:val="20"/>
          <w:lang w:val="en-GB" w:eastAsia="fr-FR"/>
        </w:rPr>
        <w:t>s profile</w:t>
      </w:r>
      <w:r w:rsidR="00370F24" w:rsidRPr="009E4F74">
        <w:rPr>
          <w:rFonts w:ascii="Arial" w:eastAsia="Times New Roman" w:hAnsi="Arial" w:cs="Arial"/>
          <w:b/>
          <w:bCs/>
          <w:color w:val="000000"/>
          <w:sz w:val="20"/>
          <w:szCs w:val="20"/>
          <w:lang w:val="en-GB" w:eastAsia="fr-FR"/>
        </w:rPr>
        <w:t xml:space="preserve"> </w:t>
      </w:r>
      <w:proofErr w:type="gramStart"/>
      <w:r w:rsidR="00370F24" w:rsidRPr="009E4F74">
        <w:rPr>
          <w:rFonts w:ascii="Arial" w:eastAsia="Times New Roman" w:hAnsi="Arial" w:cs="Arial"/>
          <w:b/>
          <w:bCs/>
          <w:color w:val="000000"/>
          <w:sz w:val="20"/>
          <w:szCs w:val="20"/>
          <w:lang w:val="en-GB" w:eastAsia="fr-FR"/>
        </w:rPr>
        <w:t>as a consequence of</w:t>
      </w:r>
      <w:proofErr w:type="gramEnd"/>
      <w:r w:rsidR="00370F24" w:rsidRPr="009E4F74">
        <w:rPr>
          <w:rFonts w:ascii="Arial" w:eastAsia="Times New Roman" w:hAnsi="Arial" w:cs="Arial"/>
          <w:b/>
          <w:bCs/>
          <w:color w:val="000000"/>
          <w:sz w:val="20"/>
          <w:szCs w:val="20"/>
          <w:lang w:val="en-GB" w:eastAsia="fr-FR"/>
        </w:rPr>
        <w:t xml:space="preserve"> </w:t>
      </w:r>
      <w:r w:rsidR="00F941C4" w:rsidRPr="009E4F74">
        <w:rPr>
          <w:rFonts w:ascii="Arial" w:eastAsia="Times New Roman" w:hAnsi="Arial" w:cs="Arial"/>
          <w:b/>
          <w:bCs/>
          <w:color w:val="000000"/>
          <w:sz w:val="20"/>
          <w:szCs w:val="20"/>
          <w:lang w:val="en-GB" w:eastAsia="fr-FR"/>
        </w:rPr>
        <w:t>the adaptation</w:t>
      </w:r>
      <w:r w:rsidR="00AE3973" w:rsidRPr="009E4F74">
        <w:rPr>
          <w:rFonts w:ascii="Arial" w:eastAsia="Times New Roman" w:hAnsi="Arial" w:cs="Arial"/>
          <w:b/>
          <w:bCs/>
          <w:color w:val="000000"/>
          <w:sz w:val="20"/>
          <w:szCs w:val="20"/>
          <w:lang w:val="en-GB" w:eastAsia="fr-FR"/>
        </w:rPr>
        <w:t xml:space="preserve"> process</w:t>
      </w:r>
      <w:r w:rsidR="00F941C4" w:rsidRPr="009E4F74">
        <w:rPr>
          <w:rFonts w:ascii="Arial" w:eastAsia="Times New Roman" w:hAnsi="Arial" w:cs="Arial"/>
          <w:color w:val="000000"/>
          <w:sz w:val="20"/>
          <w:szCs w:val="20"/>
          <w:lang w:val="en-GB" w:eastAsia="fr-FR"/>
        </w:rPr>
        <w:t xml:space="preserve"> </w:t>
      </w:r>
      <w:r w:rsidR="00DD19D1" w:rsidRPr="009E4F74">
        <w:rPr>
          <w:rFonts w:ascii="Arial" w:eastAsia="Times New Roman" w:hAnsi="Arial" w:cs="Arial"/>
          <w:color w:val="000000"/>
          <w:sz w:val="20"/>
          <w:szCs w:val="20"/>
          <w:lang w:val="en-GB" w:eastAsia="fr-FR"/>
        </w:rPr>
        <w:t>provided under 3</w:t>
      </w:r>
      <w:r w:rsidR="00DD19D1" w:rsidRPr="009E4F74">
        <w:rPr>
          <w:rFonts w:ascii="Arial" w:eastAsia="Times New Roman" w:hAnsi="Arial" w:cs="Arial"/>
          <w:color w:val="000000"/>
          <w:sz w:val="20"/>
          <w:szCs w:val="20"/>
          <w:vertAlign w:val="superscript"/>
          <w:lang w:val="en-GB" w:eastAsia="fr-FR"/>
        </w:rPr>
        <w:t>rd</w:t>
      </w:r>
      <w:r w:rsidR="00DD19D1" w:rsidRPr="009E4F74">
        <w:rPr>
          <w:rFonts w:ascii="Arial" w:eastAsia="Times New Roman" w:hAnsi="Arial" w:cs="Arial"/>
          <w:color w:val="000000"/>
          <w:sz w:val="20"/>
          <w:szCs w:val="20"/>
          <w:lang w:val="en-GB" w:eastAsia="fr-FR"/>
        </w:rPr>
        <w:t xml:space="preserve"> indent §10 </w:t>
      </w:r>
      <w:r w:rsidR="00ED6D12" w:rsidRPr="009E4F74">
        <w:rPr>
          <w:rFonts w:ascii="Arial" w:eastAsia="Times New Roman" w:hAnsi="Arial" w:cs="Arial"/>
          <w:color w:val="000000"/>
          <w:sz w:val="20"/>
          <w:szCs w:val="20"/>
          <w:lang w:val="en-GB" w:eastAsia="fr-FR"/>
        </w:rPr>
        <w:t>of revised article 54 Delegated Regulation 2017/565.</w:t>
      </w:r>
      <w:r w:rsidR="00682FEE" w:rsidRPr="009E4F74">
        <w:rPr>
          <w:rFonts w:ascii="Arial" w:eastAsia="Times New Roman" w:hAnsi="Arial" w:cs="Arial"/>
          <w:color w:val="000000"/>
          <w:sz w:val="20"/>
          <w:szCs w:val="20"/>
          <w:lang w:val="en-GB" w:eastAsia="fr-FR"/>
        </w:rPr>
        <w:t xml:space="preserve"> This would avoid </w:t>
      </w:r>
      <w:r w:rsidR="00554192" w:rsidRPr="009E4F74">
        <w:rPr>
          <w:rFonts w:ascii="Arial" w:eastAsia="Times New Roman" w:hAnsi="Arial" w:cs="Arial"/>
          <w:color w:val="000000"/>
          <w:sz w:val="20"/>
          <w:szCs w:val="20"/>
          <w:lang w:val="en-GB" w:eastAsia="fr-FR"/>
        </w:rPr>
        <w:t xml:space="preserve">the drawbacks described above without preventing the client’s from benefiting from new ESG products made available, as </w:t>
      </w:r>
      <w:r w:rsidR="006D09E8" w:rsidRPr="009E4F74">
        <w:rPr>
          <w:rFonts w:ascii="Arial" w:eastAsia="Times New Roman" w:hAnsi="Arial" w:cs="Arial"/>
          <w:color w:val="000000"/>
          <w:sz w:val="20"/>
          <w:szCs w:val="20"/>
          <w:lang w:val="en-GB" w:eastAsia="fr-FR"/>
        </w:rPr>
        <w:t xml:space="preserve">the client’s profile </w:t>
      </w:r>
      <w:r w:rsidR="00E10370" w:rsidRPr="009E4F74">
        <w:rPr>
          <w:rFonts w:ascii="Arial" w:eastAsia="Times New Roman" w:hAnsi="Arial" w:cs="Arial"/>
          <w:color w:val="000000"/>
          <w:sz w:val="20"/>
          <w:szCs w:val="20"/>
          <w:lang w:val="en-GB" w:eastAsia="fr-FR"/>
        </w:rPr>
        <w:t xml:space="preserve">would be regularly </w:t>
      </w:r>
      <w:r w:rsidR="00555666" w:rsidRPr="009E4F74">
        <w:rPr>
          <w:rFonts w:ascii="Arial" w:eastAsia="Times New Roman" w:hAnsi="Arial" w:cs="Arial"/>
          <w:color w:val="000000"/>
          <w:sz w:val="20"/>
          <w:szCs w:val="20"/>
          <w:lang w:val="en-GB" w:eastAsia="fr-FR"/>
        </w:rPr>
        <w:t>upgraded.</w:t>
      </w:r>
    </w:p>
    <w:bookmarkEnd w:id="12"/>
    <w:p w14:paraId="33AD7A00" w14:textId="77777777" w:rsidR="00067DA0" w:rsidRPr="009E4F74" w:rsidRDefault="00067DA0" w:rsidP="00EC7D12">
      <w:pPr>
        <w:spacing w:after="0" w:line="240" w:lineRule="atLeast"/>
        <w:jc w:val="both"/>
        <w:rPr>
          <w:rFonts w:ascii="Arial" w:hAnsi="Arial" w:cs="Arial"/>
          <w:sz w:val="20"/>
          <w:szCs w:val="20"/>
          <w:lang w:val="en-GB"/>
        </w:rPr>
      </w:pPr>
    </w:p>
    <w:p w14:paraId="76D353AF" w14:textId="47E1E2CB" w:rsidR="00690B01" w:rsidRPr="009E4F74" w:rsidRDefault="0063051F" w:rsidP="00EC7D12">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A</w:t>
      </w:r>
      <w:r w:rsidR="007D2872" w:rsidRPr="009E4F74">
        <w:rPr>
          <w:rFonts w:ascii="Arial" w:eastAsia="Times New Roman" w:hAnsi="Arial" w:cs="Arial"/>
          <w:color w:val="000000"/>
          <w:sz w:val="20"/>
          <w:szCs w:val="20"/>
          <w:lang w:val="en-GB" w:eastAsia="fr-FR"/>
        </w:rPr>
        <w:t xml:space="preserve">ccordingly, </w:t>
      </w:r>
      <w:r w:rsidR="00E67976" w:rsidRPr="009E4F74">
        <w:rPr>
          <w:rFonts w:ascii="Arial" w:eastAsia="Times New Roman" w:hAnsi="Arial" w:cs="Arial"/>
          <w:color w:val="000000"/>
          <w:sz w:val="20"/>
          <w:szCs w:val="20"/>
          <w:lang w:val="en-GB" w:eastAsia="fr-FR"/>
        </w:rPr>
        <w:t>FBF</w:t>
      </w:r>
      <w:r w:rsidR="00374EAF" w:rsidRPr="009E4F74">
        <w:rPr>
          <w:rFonts w:ascii="Arial" w:eastAsia="Times New Roman" w:hAnsi="Arial" w:cs="Arial"/>
          <w:color w:val="000000"/>
          <w:sz w:val="20"/>
          <w:szCs w:val="20"/>
          <w:lang w:val="en-GB" w:eastAsia="fr-FR"/>
        </w:rPr>
        <w:t xml:space="preserve"> considers</w:t>
      </w:r>
      <w:r w:rsidR="000863E1" w:rsidRPr="009E4F74">
        <w:rPr>
          <w:rFonts w:ascii="Arial" w:eastAsia="Times New Roman" w:hAnsi="Arial" w:cs="Arial"/>
          <w:color w:val="000000"/>
          <w:sz w:val="20"/>
          <w:szCs w:val="20"/>
          <w:lang w:val="en-GB" w:eastAsia="fr-FR"/>
        </w:rPr>
        <w:t xml:space="preserve"> </w:t>
      </w:r>
      <w:r w:rsidR="00AD068E" w:rsidRPr="009E4F74">
        <w:rPr>
          <w:rFonts w:ascii="Arial" w:eastAsia="Times New Roman" w:hAnsi="Arial" w:cs="Arial"/>
          <w:color w:val="000000"/>
          <w:sz w:val="20"/>
          <w:szCs w:val="20"/>
          <w:lang w:val="en-GB" w:eastAsia="fr-FR"/>
        </w:rPr>
        <w:t xml:space="preserve">that </w:t>
      </w:r>
      <w:r w:rsidR="008C1575" w:rsidRPr="009E4F74">
        <w:rPr>
          <w:rFonts w:ascii="Arial" w:eastAsia="Times New Roman" w:hAnsi="Arial" w:cs="Arial"/>
          <w:color w:val="000000"/>
          <w:sz w:val="20"/>
          <w:szCs w:val="20"/>
          <w:lang w:val="en-GB" w:eastAsia="fr-FR"/>
        </w:rPr>
        <w:t>the</w:t>
      </w:r>
      <w:r w:rsidR="008C40A0" w:rsidRPr="009E4F74">
        <w:rPr>
          <w:rFonts w:ascii="Arial" w:eastAsia="Times New Roman" w:hAnsi="Arial" w:cs="Arial"/>
          <w:color w:val="000000"/>
          <w:sz w:val="20"/>
          <w:szCs w:val="20"/>
          <w:lang w:val="en-GB" w:eastAsia="fr-FR"/>
        </w:rPr>
        <w:t xml:space="preserve"> </w:t>
      </w:r>
      <w:r w:rsidR="008C40A0" w:rsidRPr="009E4F74">
        <w:rPr>
          <w:rFonts w:ascii="Arial" w:eastAsia="Times New Roman" w:hAnsi="Arial" w:cs="Arial"/>
          <w:b/>
          <w:bCs/>
          <w:color w:val="000000"/>
          <w:sz w:val="20"/>
          <w:szCs w:val="20"/>
          <w:lang w:val="en-GB" w:eastAsia="fr-FR"/>
        </w:rPr>
        <w:t>clarification</w:t>
      </w:r>
      <w:r w:rsidR="008C1575" w:rsidRPr="009E4F74">
        <w:rPr>
          <w:rFonts w:ascii="Arial" w:eastAsia="Times New Roman" w:hAnsi="Arial" w:cs="Arial"/>
          <w:b/>
          <w:bCs/>
          <w:color w:val="000000"/>
          <w:sz w:val="20"/>
          <w:szCs w:val="20"/>
          <w:lang w:val="en-GB" w:eastAsia="fr-FR"/>
        </w:rPr>
        <w:t xml:space="preserve">s proposed </w:t>
      </w:r>
      <w:r w:rsidR="00AD068E" w:rsidRPr="009E4F74">
        <w:rPr>
          <w:rFonts w:ascii="Arial" w:eastAsia="Times New Roman" w:hAnsi="Arial" w:cs="Arial"/>
          <w:b/>
          <w:bCs/>
          <w:color w:val="000000"/>
          <w:sz w:val="20"/>
          <w:szCs w:val="20"/>
          <w:lang w:val="en-GB" w:eastAsia="fr-FR"/>
        </w:rPr>
        <w:t xml:space="preserve">in </w:t>
      </w:r>
      <w:r w:rsidR="008C1575" w:rsidRPr="009E4F74">
        <w:rPr>
          <w:rFonts w:ascii="Arial" w:eastAsia="Times New Roman" w:hAnsi="Arial" w:cs="Arial"/>
          <w:b/>
          <w:bCs/>
          <w:color w:val="000000"/>
          <w:sz w:val="20"/>
          <w:szCs w:val="20"/>
          <w:lang w:val="en-GB" w:eastAsia="fr-FR"/>
        </w:rPr>
        <w:t>§ 82 of guideline 8</w:t>
      </w:r>
      <w:r w:rsidR="008C1575" w:rsidRPr="009E4F74">
        <w:rPr>
          <w:rFonts w:ascii="Arial" w:eastAsia="Times New Roman" w:hAnsi="Arial" w:cs="Arial"/>
          <w:color w:val="000000"/>
          <w:sz w:val="20"/>
          <w:szCs w:val="20"/>
          <w:lang w:val="en-GB" w:eastAsia="fr-FR"/>
        </w:rPr>
        <w:t xml:space="preserve"> </w:t>
      </w:r>
      <w:r w:rsidR="008C40A0" w:rsidRPr="009E4F74">
        <w:rPr>
          <w:rFonts w:ascii="Arial" w:eastAsia="Times New Roman" w:hAnsi="Arial" w:cs="Arial"/>
          <w:color w:val="000000"/>
          <w:sz w:val="20"/>
          <w:szCs w:val="20"/>
          <w:lang w:val="en-GB" w:eastAsia="fr-FR"/>
        </w:rPr>
        <w:t>on how to match</w:t>
      </w:r>
      <w:r w:rsidR="00C41076" w:rsidRPr="009E4F74">
        <w:rPr>
          <w:rFonts w:ascii="Arial" w:eastAsia="Times New Roman" w:hAnsi="Arial" w:cs="Arial"/>
          <w:color w:val="000000"/>
          <w:sz w:val="20"/>
          <w:szCs w:val="20"/>
          <w:lang w:val="en-GB" w:eastAsia="fr-FR"/>
        </w:rPr>
        <w:t>, in case of portfolio management, i</w:t>
      </w:r>
      <w:r w:rsidR="008C40A0" w:rsidRPr="009E4F74">
        <w:rPr>
          <w:rFonts w:ascii="Arial" w:eastAsia="Times New Roman" w:hAnsi="Arial" w:cs="Arial"/>
          <w:color w:val="000000"/>
          <w:sz w:val="20"/>
          <w:szCs w:val="20"/>
          <w:lang w:val="en-GB" w:eastAsia="fr-FR"/>
        </w:rPr>
        <w:t>nvestment firms’ offer with clients’ preferences through the amendment by clients of the preferences</w:t>
      </w:r>
      <w:r w:rsidR="00F34E4B" w:rsidRPr="009E4F74">
        <w:rPr>
          <w:rFonts w:ascii="Arial" w:eastAsia="Times New Roman" w:hAnsi="Arial" w:cs="Arial"/>
          <w:color w:val="000000"/>
          <w:sz w:val="20"/>
          <w:szCs w:val="20"/>
          <w:lang w:val="en-GB" w:eastAsia="fr-FR"/>
        </w:rPr>
        <w:t xml:space="preserve"> expressed during the initial suitability assessment</w:t>
      </w:r>
      <w:r w:rsidR="00A05A53" w:rsidRPr="009E4F74">
        <w:rPr>
          <w:rFonts w:ascii="Arial" w:eastAsia="Times New Roman" w:hAnsi="Arial" w:cs="Arial"/>
          <w:color w:val="000000"/>
          <w:sz w:val="20"/>
          <w:szCs w:val="20"/>
          <w:lang w:val="en-GB" w:eastAsia="fr-FR"/>
        </w:rPr>
        <w:t xml:space="preserve">, </w:t>
      </w:r>
      <w:r w:rsidR="00430FCB" w:rsidRPr="009E4F74">
        <w:rPr>
          <w:rFonts w:ascii="Arial" w:eastAsia="Times New Roman" w:hAnsi="Arial" w:cs="Arial"/>
          <w:b/>
          <w:bCs/>
          <w:color w:val="000000"/>
          <w:sz w:val="20"/>
          <w:szCs w:val="20"/>
          <w:lang w:val="en-GB" w:eastAsia="fr-FR"/>
        </w:rPr>
        <w:t xml:space="preserve">should be extended to </w:t>
      </w:r>
      <w:r w:rsidR="008C40A0" w:rsidRPr="009E4F74">
        <w:rPr>
          <w:rFonts w:ascii="Arial" w:eastAsia="Times New Roman" w:hAnsi="Arial" w:cs="Arial"/>
          <w:b/>
          <w:bCs/>
          <w:color w:val="000000"/>
          <w:sz w:val="20"/>
          <w:szCs w:val="20"/>
          <w:lang w:val="en-GB" w:eastAsia="fr-FR"/>
        </w:rPr>
        <w:t xml:space="preserve">advice, </w:t>
      </w:r>
      <w:r w:rsidR="001C4E28" w:rsidRPr="009E4F74">
        <w:rPr>
          <w:rFonts w:ascii="Arial" w:eastAsia="Times New Roman" w:hAnsi="Arial" w:cs="Arial"/>
          <w:b/>
          <w:bCs/>
          <w:color w:val="000000"/>
          <w:sz w:val="20"/>
          <w:szCs w:val="20"/>
          <w:lang w:val="en-GB" w:eastAsia="fr-FR"/>
        </w:rPr>
        <w:t xml:space="preserve">whether </w:t>
      </w:r>
      <w:r w:rsidR="008C40A0" w:rsidRPr="009E4F74">
        <w:rPr>
          <w:rFonts w:ascii="Arial" w:eastAsia="Times New Roman" w:hAnsi="Arial" w:cs="Arial"/>
          <w:b/>
          <w:bCs/>
          <w:color w:val="000000"/>
          <w:sz w:val="20"/>
          <w:szCs w:val="20"/>
          <w:lang w:val="en-GB" w:eastAsia="fr-FR"/>
        </w:rPr>
        <w:t xml:space="preserve">provided through a portfolio approach </w:t>
      </w:r>
      <w:r w:rsidR="000C19C2" w:rsidRPr="009E4F74">
        <w:rPr>
          <w:rFonts w:ascii="Arial" w:eastAsia="Times New Roman" w:hAnsi="Arial" w:cs="Arial"/>
          <w:b/>
          <w:bCs/>
          <w:color w:val="000000"/>
          <w:sz w:val="20"/>
          <w:szCs w:val="20"/>
          <w:lang w:val="en-GB" w:eastAsia="fr-FR"/>
        </w:rPr>
        <w:t xml:space="preserve">or </w:t>
      </w:r>
      <w:r w:rsidR="008C40A0" w:rsidRPr="009E4F74">
        <w:rPr>
          <w:rFonts w:ascii="Arial" w:eastAsia="Times New Roman" w:hAnsi="Arial" w:cs="Arial"/>
          <w:b/>
          <w:bCs/>
          <w:color w:val="000000"/>
          <w:sz w:val="20"/>
          <w:szCs w:val="20"/>
          <w:lang w:val="en-GB" w:eastAsia="fr-FR"/>
        </w:rPr>
        <w:t>“</w:t>
      </w:r>
      <w:r w:rsidR="008C40A0" w:rsidRPr="009E4F74">
        <w:rPr>
          <w:rFonts w:ascii="Arial" w:eastAsia="Times New Roman" w:hAnsi="Arial" w:cs="Arial"/>
          <w:b/>
          <w:bCs/>
          <w:i/>
          <w:iCs/>
          <w:color w:val="000000"/>
          <w:sz w:val="20"/>
          <w:szCs w:val="20"/>
          <w:lang w:val="en-GB" w:eastAsia="fr-FR"/>
        </w:rPr>
        <w:t xml:space="preserve">transaction </w:t>
      </w:r>
      <w:r w:rsidR="00142E0B" w:rsidRPr="009E4F74">
        <w:rPr>
          <w:rFonts w:ascii="Arial" w:eastAsia="Times New Roman" w:hAnsi="Arial" w:cs="Arial"/>
          <w:b/>
          <w:bCs/>
          <w:i/>
          <w:iCs/>
          <w:color w:val="000000"/>
          <w:sz w:val="20"/>
          <w:szCs w:val="20"/>
          <w:lang w:val="en-GB" w:eastAsia="fr-FR"/>
        </w:rPr>
        <w:t>based</w:t>
      </w:r>
      <w:r w:rsidR="008C40A0" w:rsidRPr="009E4F74">
        <w:rPr>
          <w:rFonts w:ascii="Arial" w:eastAsia="Times New Roman" w:hAnsi="Arial" w:cs="Arial"/>
          <w:color w:val="000000"/>
          <w:sz w:val="20"/>
          <w:szCs w:val="20"/>
          <w:lang w:val="en-GB" w:eastAsia="fr-FR"/>
        </w:rPr>
        <w:t xml:space="preserve">”. </w:t>
      </w:r>
    </w:p>
    <w:p w14:paraId="5BEDD5F2" w14:textId="77777777" w:rsidR="00731DA2" w:rsidRPr="009E4F74" w:rsidRDefault="00731DA2" w:rsidP="00EC7D12">
      <w:pPr>
        <w:spacing w:after="0" w:line="240" w:lineRule="atLeast"/>
        <w:jc w:val="both"/>
        <w:rPr>
          <w:rFonts w:ascii="Arial" w:eastAsia="Times New Roman" w:hAnsi="Arial" w:cs="Arial"/>
          <w:color w:val="000000"/>
          <w:sz w:val="20"/>
          <w:szCs w:val="20"/>
          <w:lang w:val="en-GB" w:eastAsia="fr-FR"/>
        </w:rPr>
      </w:pPr>
    </w:p>
    <w:p w14:paraId="7529EC3F" w14:textId="060F643E" w:rsidR="00731DA2" w:rsidRPr="009E4F74" w:rsidRDefault="00F634B6" w:rsidP="00731DA2">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b/>
          <w:bCs/>
          <w:color w:val="000000"/>
          <w:sz w:val="20"/>
          <w:szCs w:val="20"/>
          <w:lang w:val="en-GB" w:eastAsia="fr-FR"/>
        </w:rPr>
        <w:t>T</w:t>
      </w:r>
      <w:r w:rsidR="00731DA2" w:rsidRPr="009E4F74">
        <w:rPr>
          <w:rFonts w:ascii="Arial" w:eastAsia="Times New Roman" w:hAnsi="Arial" w:cs="Arial"/>
          <w:b/>
          <w:bCs/>
          <w:color w:val="000000"/>
          <w:sz w:val="20"/>
          <w:szCs w:val="20"/>
          <w:lang w:val="en-GB" w:eastAsia="fr-FR"/>
        </w:rPr>
        <w:t xml:space="preserve">he adaptation of clients’ ESG preferences </w:t>
      </w:r>
      <w:r w:rsidRPr="009E4F74">
        <w:rPr>
          <w:rFonts w:ascii="Arial" w:eastAsia="Times New Roman" w:hAnsi="Arial" w:cs="Arial"/>
          <w:b/>
          <w:bCs/>
          <w:color w:val="000000"/>
          <w:sz w:val="20"/>
          <w:szCs w:val="20"/>
          <w:lang w:val="en-GB" w:eastAsia="fr-FR"/>
        </w:rPr>
        <w:t xml:space="preserve">should not necessarily be in the suitability report </w:t>
      </w:r>
      <w:r w:rsidR="00731DA2" w:rsidRPr="009E4F74">
        <w:rPr>
          <w:rFonts w:ascii="Arial" w:eastAsia="Times New Roman" w:hAnsi="Arial" w:cs="Arial"/>
          <w:b/>
          <w:bCs/>
          <w:color w:val="000000"/>
          <w:sz w:val="20"/>
          <w:szCs w:val="20"/>
          <w:lang w:val="en-GB" w:eastAsia="fr-FR"/>
        </w:rPr>
        <w:t>as provided under</w:t>
      </w:r>
      <w:r w:rsidR="00686CE5" w:rsidRPr="009E4F74">
        <w:rPr>
          <w:rFonts w:ascii="Arial" w:eastAsia="Times New Roman" w:hAnsi="Arial" w:cs="Arial"/>
          <w:b/>
          <w:bCs/>
          <w:color w:val="000000"/>
          <w:sz w:val="20"/>
          <w:szCs w:val="20"/>
          <w:lang w:val="en-GB" w:eastAsia="fr-FR"/>
        </w:rPr>
        <w:t xml:space="preserve"> draft</w:t>
      </w:r>
      <w:r w:rsidR="00731DA2" w:rsidRPr="009E4F74">
        <w:rPr>
          <w:rFonts w:ascii="Arial" w:eastAsia="Times New Roman" w:hAnsi="Arial" w:cs="Arial"/>
          <w:b/>
          <w:bCs/>
          <w:color w:val="000000"/>
          <w:sz w:val="20"/>
          <w:szCs w:val="20"/>
          <w:lang w:val="en-GB" w:eastAsia="fr-FR"/>
        </w:rPr>
        <w:t xml:space="preserve"> paragraph 80, such preferences being attached to the</w:t>
      </w:r>
      <w:r w:rsidR="009147B4" w:rsidRPr="009E4F74">
        <w:rPr>
          <w:rFonts w:ascii="Arial" w:eastAsia="Times New Roman" w:hAnsi="Arial" w:cs="Arial"/>
          <w:b/>
          <w:bCs/>
          <w:color w:val="000000"/>
          <w:sz w:val="20"/>
          <w:szCs w:val="20"/>
          <w:lang w:val="en-GB" w:eastAsia="fr-FR"/>
        </w:rPr>
        <w:t xml:space="preserve"> client’s</w:t>
      </w:r>
      <w:r w:rsidR="00731DA2" w:rsidRPr="009E4F74">
        <w:rPr>
          <w:rFonts w:ascii="Arial" w:eastAsia="Times New Roman" w:hAnsi="Arial" w:cs="Arial"/>
          <w:b/>
          <w:bCs/>
          <w:color w:val="000000"/>
          <w:sz w:val="20"/>
          <w:szCs w:val="20"/>
          <w:lang w:val="en-GB" w:eastAsia="fr-FR"/>
        </w:rPr>
        <w:t xml:space="preserve"> profile </w:t>
      </w:r>
      <w:r w:rsidR="00401605" w:rsidRPr="009E4F74">
        <w:rPr>
          <w:rFonts w:ascii="Arial" w:eastAsia="Times New Roman" w:hAnsi="Arial" w:cs="Arial"/>
          <w:b/>
          <w:bCs/>
          <w:color w:val="000000"/>
          <w:sz w:val="20"/>
          <w:szCs w:val="20"/>
          <w:lang w:val="en-GB" w:eastAsia="fr-FR"/>
        </w:rPr>
        <w:t>rather</w:t>
      </w:r>
      <w:r w:rsidR="00401605" w:rsidRPr="009E4F74">
        <w:rPr>
          <w:rFonts w:ascii="Arial" w:eastAsia="Times New Roman" w:hAnsi="Arial" w:cs="Arial"/>
          <w:color w:val="000000"/>
          <w:sz w:val="20"/>
          <w:szCs w:val="20"/>
          <w:lang w:val="en-GB" w:eastAsia="fr-FR"/>
        </w:rPr>
        <w:t xml:space="preserve"> than </w:t>
      </w:r>
      <w:r w:rsidR="00731DA2" w:rsidRPr="009E4F74">
        <w:rPr>
          <w:rFonts w:ascii="Arial" w:eastAsia="Times New Roman" w:hAnsi="Arial" w:cs="Arial"/>
          <w:color w:val="000000"/>
          <w:sz w:val="20"/>
          <w:szCs w:val="20"/>
          <w:lang w:val="en-GB" w:eastAsia="fr-FR"/>
        </w:rPr>
        <w:t>to a specific transaction</w:t>
      </w:r>
      <w:r w:rsidR="00401605" w:rsidRPr="009E4F74">
        <w:rPr>
          <w:rFonts w:ascii="Arial" w:eastAsia="Times New Roman" w:hAnsi="Arial" w:cs="Arial"/>
          <w:color w:val="000000"/>
          <w:sz w:val="20"/>
          <w:szCs w:val="20"/>
          <w:lang w:val="en-GB" w:eastAsia="fr-FR"/>
        </w:rPr>
        <w:t>.</w:t>
      </w:r>
      <w:r w:rsidR="00731DA2" w:rsidRPr="009E4F74">
        <w:rPr>
          <w:rFonts w:ascii="Arial" w:eastAsia="Times New Roman" w:hAnsi="Arial" w:cs="Arial"/>
          <w:color w:val="000000"/>
          <w:sz w:val="20"/>
          <w:szCs w:val="20"/>
          <w:lang w:val="en-GB" w:eastAsia="fr-FR"/>
        </w:rPr>
        <w:t xml:space="preserve"> Nevertheless, as requested under </w:t>
      </w:r>
      <w:r w:rsidR="00381A94" w:rsidRPr="009E4F74">
        <w:rPr>
          <w:rFonts w:ascii="Arial" w:eastAsia="Times New Roman" w:hAnsi="Arial" w:cs="Arial"/>
          <w:color w:val="000000"/>
          <w:sz w:val="20"/>
          <w:szCs w:val="20"/>
          <w:lang w:val="en-GB" w:eastAsia="fr-FR"/>
        </w:rPr>
        <w:t xml:space="preserve">the </w:t>
      </w:r>
      <w:r w:rsidR="00731DA2" w:rsidRPr="009E4F74">
        <w:rPr>
          <w:rFonts w:ascii="Arial" w:eastAsia="Times New Roman" w:hAnsi="Arial" w:cs="Arial"/>
          <w:color w:val="000000"/>
          <w:sz w:val="20"/>
          <w:szCs w:val="20"/>
          <w:lang w:val="en-GB" w:eastAsia="fr-FR"/>
        </w:rPr>
        <w:t xml:space="preserve">revised article 54.10 </w:t>
      </w:r>
      <w:r w:rsidR="00D02DBF" w:rsidRPr="009E4F74">
        <w:rPr>
          <w:rFonts w:ascii="Arial" w:eastAsia="Times New Roman" w:hAnsi="Arial" w:cs="Arial"/>
          <w:color w:val="000000"/>
          <w:sz w:val="20"/>
          <w:szCs w:val="20"/>
          <w:lang w:val="en-GB" w:eastAsia="fr-FR"/>
        </w:rPr>
        <w:t xml:space="preserve">of </w:t>
      </w:r>
      <w:r w:rsidR="00731DA2" w:rsidRPr="009E4F74">
        <w:rPr>
          <w:rFonts w:ascii="Arial" w:eastAsia="Times New Roman" w:hAnsi="Arial" w:cs="Arial"/>
          <w:color w:val="000000"/>
          <w:sz w:val="20"/>
          <w:szCs w:val="20"/>
          <w:lang w:val="en-GB" w:eastAsia="fr-FR"/>
        </w:rPr>
        <w:t>Delegated Regulation 2017/565, ISPs should “</w:t>
      </w:r>
      <w:r w:rsidR="00731DA2" w:rsidRPr="009E4F74">
        <w:rPr>
          <w:rFonts w:ascii="Arial" w:eastAsia="Times New Roman" w:hAnsi="Arial" w:cs="Arial"/>
          <w:i/>
          <w:iCs/>
          <w:color w:val="000000"/>
          <w:sz w:val="20"/>
          <w:szCs w:val="20"/>
          <w:lang w:val="en-GB" w:eastAsia="fr-FR"/>
        </w:rPr>
        <w:t>keep records of the decision of the client, including the reasons for that decision</w:t>
      </w:r>
      <w:r w:rsidR="00731DA2" w:rsidRPr="009E4F74">
        <w:rPr>
          <w:rFonts w:ascii="Arial" w:eastAsia="Times New Roman" w:hAnsi="Arial" w:cs="Arial"/>
          <w:color w:val="000000"/>
          <w:sz w:val="20"/>
          <w:szCs w:val="20"/>
          <w:lang w:val="en-GB" w:eastAsia="fr-FR"/>
        </w:rPr>
        <w:t>”.</w:t>
      </w:r>
    </w:p>
    <w:p w14:paraId="757F1A1C" w14:textId="41CAD385" w:rsidR="008C5D95" w:rsidRPr="009E4F74" w:rsidRDefault="008C5D95" w:rsidP="008C5D95">
      <w:pPr>
        <w:shd w:val="clear" w:color="auto" w:fill="FDFDFD"/>
        <w:spacing w:after="0" w:line="240" w:lineRule="auto"/>
        <w:rPr>
          <w:rFonts w:ascii="Arial" w:eastAsia="Times New Roman" w:hAnsi="Arial" w:cs="Arial"/>
          <w:sz w:val="20"/>
          <w:szCs w:val="20"/>
          <w:lang w:val="en" w:eastAsia="fr-FR"/>
        </w:rPr>
      </w:pPr>
      <w:r w:rsidRPr="009E4F74">
        <w:rPr>
          <w:rFonts w:ascii="Arial" w:eastAsia="Times New Roman" w:hAnsi="Arial" w:cs="Arial"/>
          <w:sz w:val="20"/>
          <w:szCs w:val="20"/>
          <w:lang w:val="en" w:eastAsia="fr-FR"/>
        </w:rPr>
        <w:t xml:space="preserve">Indeed, the content of the adequacy report is contained in the delegated </w:t>
      </w:r>
      <w:r w:rsidR="0003044D" w:rsidRPr="009E4F74">
        <w:rPr>
          <w:rFonts w:ascii="Arial" w:eastAsia="Times New Roman" w:hAnsi="Arial" w:cs="Arial"/>
          <w:sz w:val="20"/>
          <w:szCs w:val="20"/>
          <w:lang w:val="en" w:eastAsia="fr-FR"/>
        </w:rPr>
        <w:t>report,</w:t>
      </w:r>
      <w:r w:rsidRPr="009E4F74">
        <w:rPr>
          <w:rFonts w:ascii="Arial" w:eastAsia="Times New Roman" w:hAnsi="Arial" w:cs="Arial"/>
          <w:sz w:val="20"/>
          <w:szCs w:val="20"/>
          <w:lang w:val="en" w:eastAsia="fr-FR"/>
        </w:rPr>
        <w:t xml:space="preserve"> and it does not seem appropriate to modify this structuring document in level 3 texts.</w:t>
      </w:r>
    </w:p>
    <w:p w14:paraId="2143B310" w14:textId="77777777" w:rsidR="007E3D5E" w:rsidRPr="009E4F74" w:rsidRDefault="007E3D5E" w:rsidP="00EC7D12">
      <w:pPr>
        <w:spacing w:after="0" w:line="240" w:lineRule="atLeast"/>
        <w:jc w:val="both"/>
        <w:rPr>
          <w:rFonts w:ascii="Arial" w:eastAsia="Times New Roman" w:hAnsi="Arial" w:cs="Arial"/>
          <w:color w:val="000000"/>
          <w:sz w:val="20"/>
          <w:szCs w:val="20"/>
          <w:lang w:val="en-GB" w:eastAsia="fr-FR"/>
        </w:rPr>
      </w:pPr>
    </w:p>
    <w:p w14:paraId="6D8E47C0" w14:textId="17855C6B" w:rsidR="00BC184B" w:rsidRPr="009E4F74" w:rsidRDefault="00B814A6" w:rsidP="007E3D5E">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However</w:t>
      </w:r>
      <w:r w:rsidR="007E3D5E" w:rsidRPr="009E4F74">
        <w:rPr>
          <w:rFonts w:ascii="Arial" w:eastAsia="Times New Roman" w:hAnsi="Arial" w:cs="Arial"/>
          <w:color w:val="000000"/>
          <w:sz w:val="20"/>
          <w:szCs w:val="20"/>
          <w:lang w:val="en-GB" w:eastAsia="fr-FR"/>
        </w:rPr>
        <w:t xml:space="preserve">, </w:t>
      </w:r>
      <w:r w:rsidR="00E67976" w:rsidRPr="009E4F74">
        <w:rPr>
          <w:rFonts w:ascii="Arial" w:eastAsia="Times New Roman" w:hAnsi="Arial" w:cs="Arial"/>
          <w:color w:val="000000"/>
          <w:sz w:val="20"/>
          <w:szCs w:val="20"/>
          <w:lang w:val="en-GB" w:eastAsia="fr-FR"/>
        </w:rPr>
        <w:t>FBF</w:t>
      </w:r>
      <w:r w:rsidR="007E3D5E" w:rsidRPr="009E4F74">
        <w:rPr>
          <w:rFonts w:ascii="Arial" w:eastAsia="Times New Roman" w:hAnsi="Arial" w:cs="Arial"/>
          <w:color w:val="000000"/>
          <w:sz w:val="20"/>
          <w:szCs w:val="20"/>
          <w:lang w:val="en-GB" w:eastAsia="fr-FR"/>
        </w:rPr>
        <w:t xml:space="preserve"> agrees with the underlying principle that clients’ preferences expressed on a theoretical basis should be considered as the final goal to achieve and the</w:t>
      </w:r>
      <w:r w:rsidR="00A42E00" w:rsidRPr="009E4F74">
        <w:rPr>
          <w:rFonts w:ascii="Arial" w:eastAsia="Times New Roman" w:hAnsi="Arial" w:cs="Arial"/>
          <w:color w:val="000000"/>
          <w:sz w:val="20"/>
          <w:szCs w:val="20"/>
          <w:lang w:val="en-GB" w:eastAsia="fr-FR"/>
        </w:rPr>
        <w:t xml:space="preserve"> </w:t>
      </w:r>
      <w:r w:rsidR="00B9161A" w:rsidRPr="009E4F74">
        <w:rPr>
          <w:rFonts w:ascii="Arial" w:eastAsia="Times New Roman" w:hAnsi="Arial" w:cs="Arial"/>
          <w:color w:val="000000"/>
          <w:sz w:val="20"/>
          <w:szCs w:val="20"/>
          <w:lang w:val="en-GB" w:eastAsia="fr-FR"/>
        </w:rPr>
        <w:t xml:space="preserve">investment </w:t>
      </w:r>
      <w:r w:rsidR="00686CE5" w:rsidRPr="009E4F74">
        <w:rPr>
          <w:rFonts w:ascii="Arial" w:eastAsia="Times New Roman" w:hAnsi="Arial" w:cs="Arial"/>
          <w:color w:val="000000"/>
          <w:sz w:val="20"/>
          <w:szCs w:val="20"/>
          <w:lang w:val="en-GB" w:eastAsia="fr-FR"/>
        </w:rPr>
        <w:t>recommendations provided</w:t>
      </w:r>
      <w:r w:rsidR="007E3D5E" w:rsidRPr="009E4F74">
        <w:rPr>
          <w:rFonts w:ascii="Arial" w:eastAsia="Times New Roman" w:hAnsi="Arial" w:cs="Arial"/>
          <w:color w:val="000000"/>
          <w:sz w:val="20"/>
          <w:szCs w:val="20"/>
          <w:lang w:val="en-GB" w:eastAsia="fr-FR"/>
        </w:rPr>
        <w:t xml:space="preserve"> by ISPs should pro</w:t>
      </w:r>
      <w:r w:rsidR="00BC184B" w:rsidRPr="009E4F74">
        <w:rPr>
          <w:rFonts w:ascii="Arial" w:eastAsia="Times New Roman" w:hAnsi="Arial" w:cs="Arial"/>
          <w:color w:val="000000"/>
          <w:sz w:val="20"/>
          <w:szCs w:val="20"/>
          <w:lang w:val="en-GB" w:eastAsia="fr-FR"/>
        </w:rPr>
        <w:t>g</w:t>
      </w:r>
      <w:r w:rsidR="007E3D5E" w:rsidRPr="009E4F74">
        <w:rPr>
          <w:rFonts w:ascii="Arial" w:eastAsia="Times New Roman" w:hAnsi="Arial" w:cs="Arial"/>
          <w:color w:val="000000"/>
          <w:sz w:val="20"/>
          <w:szCs w:val="20"/>
          <w:lang w:val="en-GB" w:eastAsia="fr-FR"/>
        </w:rPr>
        <w:t>ressively adapt to industry’s evolution towards more ESG</w:t>
      </w:r>
      <w:r w:rsidR="00686CE5" w:rsidRPr="009E4F74">
        <w:rPr>
          <w:rFonts w:ascii="Arial" w:eastAsia="Times New Roman" w:hAnsi="Arial" w:cs="Arial"/>
          <w:color w:val="000000"/>
          <w:sz w:val="20"/>
          <w:szCs w:val="20"/>
          <w:lang w:val="en-GB" w:eastAsia="fr-FR"/>
        </w:rPr>
        <w:t>-</w:t>
      </w:r>
      <w:r w:rsidR="007E3D5E" w:rsidRPr="009E4F74">
        <w:rPr>
          <w:rFonts w:ascii="Arial" w:eastAsia="Times New Roman" w:hAnsi="Arial" w:cs="Arial"/>
          <w:color w:val="000000"/>
          <w:sz w:val="20"/>
          <w:szCs w:val="20"/>
          <w:lang w:val="en-GB" w:eastAsia="fr-FR"/>
        </w:rPr>
        <w:t xml:space="preserve">concentrated products. </w:t>
      </w:r>
    </w:p>
    <w:p w14:paraId="704C8FC8" w14:textId="77777777" w:rsidR="008C334D" w:rsidRPr="009E4F74" w:rsidRDefault="008C334D" w:rsidP="00604D97">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Institutions should be given the freedom to:</w:t>
      </w:r>
    </w:p>
    <w:p w14:paraId="4434D515" w14:textId="60FC6D0F" w:rsidR="008C334D" w:rsidRPr="009E4F74" w:rsidRDefault="008C334D" w:rsidP="00604D97">
      <w:pPr>
        <w:pStyle w:val="Paragraphedeliste"/>
        <w:numPr>
          <w:ilvl w:val="0"/>
          <w:numId w:val="25"/>
        </w:num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lastRenderedPageBreak/>
        <w:t>adapt it for a given proposal only (ESMA proposal</w:t>
      </w:r>
      <w:r w:rsidR="0003044D" w:rsidRPr="009E4F74">
        <w:rPr>
          <w:rFonts w:ascii="Arial" w:eastAsia="Times New Roman" w:hAnsi="Arial" w:cs="Arial"/>
          <w:color w:val="000000"/>
          <w:sz w:val="20"/>
          <w:szCs w:val="20"/>
          <w:lang w:val="en-GB" w:eastAsia="fr-FR"/>
        </w:rPr>
        <w:t>), if</w:t>
      </w:r>
      <w:r w:rsidRPr="009E4F74">
        <w:rPr>
          <w:rFonts w:ascii="Arial" w:eastAsia="Times New Roman" w:hAnsi="Arial" w:cs="Arial"/>
          <w:color w:val="000000"/>
          <w:sz w:val="20"/>
          <w:szCs w:val="20"/>
          <w:lang w:val="en-GB" w:eastAsia="fr-FR"/>
        </w:rPr>
        <w:t xml:space="preserve"> </w:t>
      </w:r>
      <w:proofErr w:type="gramStart"/>
      <w:r w:rsidRPr="009E4F74">
        <w:rPr>
          <w:rFonts w:ascii="Arial" w:eastAsia="Times New Roman" w:hAnsi="Arial" w:cs="Arial"/>
          <w:color w:val="000000"/>
          <w:sz w:val="20"/>
          <w:szCs w:val="20"/>
          <w:lang w:val="en-GB" w:eastAsia="fr-FR"/>
        </w:rPr>
        <w:t>necessary</w:t>
      </w:r>
      <w:proofErr w:type="gramEnd"/>
      <w:r w:rsidRPr="009E4F74">
        <w:rPr>
          <w:rFonts w:ascii="Arial" w:eastAsia="Times New Roman" w:hAnsi="Arial" w:cs="Arial"/>
          <w:color w:val="000000"/>
          <w:sz w:val="20"/>
          <w:szCs w:val="20"/>
          <w:lang w:val="en-GB" w:eastAsia="fr-FR"/>
        </w:rPr>
        <w:t xml:space="preserve"> by specifying for a particular operation that it does not have an ESG preference. This option is particularly necessary in the case of products that do not have eligibility for ESG criteria (rate swaps, etc.).</w:t>
      </w:r>
    </w:p>
    <w:p w14:paraId="39DF4FFC" w14:textId="1A96BDA1" w:rsidR="008C334D" w:rsidRPr="009E4F74" w:rsidRDefault="008C334D" w:rsidP="00604D97">
      <w:pPr>
        <w:pStyle w:val="Paragraphedeliste"/>
        <w:numPr>
          <w:ilvl w:val="0"/>
          <w:numId w:val="25"/>
        </w:num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modify the profile initially selected, knowing that the client has the possibility to retake and modify his questionnaire at each operation or on a recurring basis, which also makes it possible to respect the objective of ESMA that the customer can express (if necessary to each advisor) in a "neutral" way his "theoretical" preferences, even if they must subsequently be modified so that the bank can make a proposal to him</w:t>
      </w:r>
    </w:p>
    <w:p w14:paraId="028818D2" w14:textId="77777777" w:rsidR="00BC529F" w:rsidRPr="009E4F74" w:rsidRDefault="00BC529F" w:rsidP="00EC7D12">
      <w:pPr>
        <w:spacing w:after="0" w:line="240" w:lineRule="atLeast"/>
        <w:jc w:val="both"/>
        <w:rPr>
          <w:rFonts w:ascii="Arial" w:eastAsia="Times New Roman" w:hAnsi="Arial" w:cs="Arial"/>
          <w:color w:val="000000"/>
          <w:sz w:val="20"/>
          <w:szCs w:val="20"/>
          <w:lang w:val="en-GB" w:eastAsia="fr-FR"/>
        </w:rPr>
      </w:pPr>
    </w:p>
    <w:p w14:paraId="6D7FA0B0" w14:textId="35B10C10" w:rsidR="0019390C" w:rsidRPr="009E4F74" w:rsidRDefault="00E67976" w:rsidP="0019390C">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FBF</w:t>
      </w:r>
      <w:r w:rsidR="00BC529F" w:rsidRPr="009E4F74">
        <w:rPr>
          <w:rFonts w:ascii="Arial" w:eastAsia="Times New Roman" w:hAnsi="Arial" w:cs="Arial"/>
          <w:color w:val="000000"/>
          <w:sz w:val="20"/>
          <w:szCs w:val="20"/>
          <w:lang w:val="en-GB" w:eastAsia="fr-FR"/>
        </w:rPr>
        <w:t xml:space="preserve"> </w:t>
      </w:r>
      <w:r w:rsidR="00DD1698" w:rsidRPr="009E4F74">
        <w:rPr>
          <w:rFonts w:ascii="Arial" w:eastAsia="Times New Roman" w:hAnsi="Arial" w:cs="Arial"/>
          <w:color w:val="000000"/>
          <w:sz w:val="20"/>
          <w:szCs w:val="20"/>
          <w:lang w:val="en-GB" w:eastAsia="fr-FR"/>
        </w:rPr>
        <w:t>would also like to point that i</w:t>
      </w:r>
      <w:r w:rsidR="004905A4" w:rsidRPr="009E4F74">
        <w:rPr>
          <w:rFonts w:ascii="Arial" w:eastAsia="Times New Roman" w:hAnsi="Arial" w:cs="Arial"/>
          <w:color w:val="000000"/>
          <w:sz w:val="20"/>
          <w:szCs w:val="20"/>
          <w:lang w:val="en-GB" w:eastAsia="fr-FR"/>
        </w:rPr>
        <w:t xml:space="preserve">n case the </w:t>
      </w:r>
      <w:r w:rsidR="005552F0" w:rsidRPr="009E4F74">
        <w:rPr>
          <w:rFonts w:ascii="Arial" w:eastAsia="Times New Roman" w:hAnsi="Arial" w:cs="Arial"/>
          <w:color w:val="000000"/>
          <w:sz w:val="20"/>
          <w:szCs w:val="20"/>
          <w:lang w:val="en-GB" w:eastAsia="fr-FR"/>
        </w:rPr>
        <w:t>proposed approach</w:t>
      </w:r>
      <w:r w:rsidR="004905A4" w:rsidRPr="009E4F74">
        <w:rPr>
          <w:rFonts w:ascii="Arial" w:eastAsia="Times New Roman" w:hAnsi="Arial" w:cs="Arial"/>
          <w:color w:val="000000"/>
          <w:sz w:val="20"/>
          <w:szCs w:val="20"/>
          <w:lang w:val="en-GB" w:eastAsia="fr-FR"/>
        </w:rPr>
        <w:t xml:space="preserve"> described above </w:t>
      </w:r>
      <w:r w:rsidR="00DD1698" w:rsidRPr="009E4F74">
        <w:rPr>
          <w:rFonts w:ascii="Arial" w:eastAsia="Times New Roman" w:hAnsi="Arial" w:cs="Arial"/>
          <w:color w:val="000000"/>
          <w:sz w:val="20"/>
          <w:szCs w:val="20"/>
          <w:lang w:val="en-GB" w:eastAsia="fr-FR"/>
        </w:rPr>
        <w:t>wa</w:t>
      </w:r>
      <w:r w:rsidR="00396745" w:rsidRPr="009E4F74">
        <w:rPr>
          <w:rFonts w:ascii="Arial" w:eastAsia="Times New Roman" w:hAnsi="Arial" w:cs="Arial"/>
          <w:color w:val="000000"/>
          <w:sz w:val="20"/>
          <w:szCs w:val="20"/>
          <w:lang w:val="en-GB" w:eastAsia="fr-FR"/>
        </w:rPr>
        <w:t xml:space="preserve">s </w:t>
      </w:r>
      <w:r w:rsidR="004905A4" w:rsidRPr="009E4F74">
        <w:rPr>
          <w:rFonts w:ascii="Arial" w:eastAsia="Times New Roman" w:hAnsi="Arial" w:cs="Arial"/>
          <w:color w:val="000000"/>
          <w:sz w:val="20"/>
          <w:szCs w:val="20"/>
          <w:lang w:val="en-GB" w:eastAsia="fr-FR"/>
        </w:rPr>
        <w:t xml:space="preserve">not </w:t>
      </w:r>
      <w:r w:rsidR="005552F0" w:rsidRPr="009E4F74">
        <w:rPr>
          <w:rFonts w:ascii="Arial" w:eastAsia="Times New Roman" w:hAnsi="Arial" w:cs="Arial"/>
          <w:color w:val="000000"/>
          <w:sz w:val="20"/>
          <w:szCs w:val="20"/>
          <w:lang w:val="en-GB" w:eastAsia="fr-FR"/>
        </w:rPr>
        <w:t>retained</w:t>
      </w:r>
      <w:r w:rsidR="004905A4" w:rsidRPr="009E4F74">
        <w:rPr>
          <w:rFonts w:ascii="Arial" w:eastAsia="Times New Roman" w:hAnsi="Arial" w:cs="Arial"/>
          <w:color w:val="000000"/>
          <w:sz w:val="20"/>
          <w:szCs w:val="20"/>
          <w:lang w:val="en-GB" w:eastAsia="fr-FR"/>
        </w:rPr>
        <w:t xml:space="preserve"> </w:t>
      </w:r>
      <w:r w:rsidR="005552F0" w:rsidRPr="009E4F74">
        <w:rPr>
          <w:rFonts w:ascii="Arial" w:eastAsia="Times New Roman" w:hAnsi="Arial" w:cs="Arial"/>
          <w:color w:val="000000"/>
          <w:sz w:val="20"/>
          <w:szCs w:val="20"/>
          <w:lang w:val="en-GB" w:eastAsia="fr-FR"/>
        </w:rPr>
        <w:t xml:space="preserve">and </w:t>
      </w:r>
      <w:r w:rsidR="00000EE4" w:rsidRPr="009E4F74">
        <w:rPr>
          <w:rFonts w:ascii="Arial" w:eastAsia="Times New Roman" w:hAnsi="Arial" w:cs="Arial"/>
          <w:color w:val="000000"/>
          <w:sz w:val="20"/>
          <w:szCs w:val="20"/>
          <w:lang w:val="en-GB" w:eastAsia="fr-FR"/>
        </w:rPr>
        <w:t>the</w:t>
      </w:r>
      <w:r w:rsidR="0019390C" w:rsidRPr="009E4F74">
        <w:rPr>
          <w:rFonts w:ascii="Arial" w:eastAsia="Times New Roman" w:hAnsi="Arial" w:cs="Arial"/>
          <w:color w:val="000000"/>
          <w:sz w:val="20"/>
          <w:szCs w:val="20"/>
          <w:lang w:val="en-GB" w:eastAsia="fr-FR"/>
        </w:rPr>
        <w:t xml:space="preserve"> </w:t>
      </w:r>
      <w:r w:rsidR="00000EE4" w:rsidRPr="009E4F74">
        <w:rPr>
          <w:rFonts w:ascii="Arial" w:eastAsia="Times New Roman" w:hAnsi="Arial" w:cs="Arial"/>
          <w:color w:val="000000"/>
          <w:sz w:val="20"/>
          <w:szCs w:val="20"/>
          <w:lang w:val="en-GB" w:eastAsia="fr-FR"/>
        </w:rPr>
        <w:t>transaction-based</w:t>
      </w:r>
      <w:r w:rsidR="0019390C" w:rsidRPr="009E4F74">
        <w:rPr>
          <w:rFonts w:ascii="Arial" w:eastAsia="Times New Roman" w:hAnsi="Arial" w:cs="Arial"/>
          <w:color w:val="000000"/>
          <w:sz w:val="20"/>
          <w:szCs w:val="20"/>
          <w:lang w:val="en-GB" w:eastAsia="fr-FR"/>
        </w:rPr>
        <w:t xml:space="preserve"> approach </w:t>
      </w:r>
      <w:r w:rsidR="00DD1698" w:rsidRPr="009E4F74">
        <w:rPr>
          <w:rFonts w:ascii="Arial" w:eastAsia="Times New Roman" w:hAnsi="Arial" w:cs="Arial"/>
          <w:color w:val="000000"/>
          <w:sz w:val="20"/>
          <w:szCs w:val="20"/>
          <w:lang w:val="en-GB" w:eastAsia="fr-FR"/>
        </w:rPr>
        <w:t>was</w:t>
      </w:r>
      <w:r w:rsidR="0019390C" w:rsidRPr="009E4F74">
        <w:rPr>
          <w:rFonts w:ascii="Arial" w:eastAsia="Times New Roman" w:hAnsi="Arial" w:cs="Arial"/>
          <w:color w:val="000000"/>
          <w:sz w:val="20"/>
          <w:szCs w:val="20"/>
          <w:lang w:val="en-GB" w:eastAsia="fr-FR"/>
        </w:rPr>
        <w:t xml:space="preserve"> </w:t>
      </w:r>
      <w:r w:rsidR="00000EE4" w:rsidRPr="009E4F74">
        <w:rPr>
          <w:rFonts w:ascii="Arial" w:eastAsia="Times New Roman" w:hAnsi="Arial" w:cs="Arial"/>
          <w:color w:val="000000"/>
          <w:sz w:val="20"/>
          <w:szCs w:val="20"/>
          <w:lang w:val="en-GB" w:eastAsia="fr-FR"/>
        </w:rPr>
        <w:t>maintained</w:t>
      </w:r>
      <w:r w:rsidR="0019390C" w:rsidRPr="009E4F74">
        <w:rPr>
          <w:rFonts w:ascii="Arial" w:eastAsia="Times New Roman" w:hAnsi="Arial" w:cs="Arial"/>
          <w:color w:val="000000"/>
          <w:sz w:val="20"/>
          <w:szCs w:val="20"/>
          <w:lang w:val="en-GB" w:eastAsia="fr-FR"/>
        </w:rPr>
        <w:t>, it is most likely</w:t>
      </w:r>
      <w:r w:rsidR="00524B81" w:rsidRPr="009E4F74">
        <w:rPr>
          <w:rFonts w:ascii="Arial" w:eastAsia="Times New Roman" w:hAnsi="Arial" w:cs="Arial"/>
          <w:color w:val="000000"/>
          <w:sz w:val="20"/>
          <w:szCs w:val="20"/>
          <w:lang w:val="en-GB" w:eastAsia="fr-FR"/>
        </w:rPr>
        <w:t xml:space="preserve"> that</w:t>
      </w:r>
      <w:r w:rsidR="0019390C" w:rsidRPr="009E4F74">
        <w:rPr>
          <w:rFonts w:ascii="Arial" w:eastAsia="Times New Roman" w:hAnsi="Arial" w:cs="Arial"/>
          <w:color w:val="000000"/>
          <w:sz w:val="20"/>
          <w:szCs w:val="20"/>
          <w:lang w:val="en-GB" w:eastAsia="fr-FR"/>
        </w:rPr>
        <w:t xml:space="preserve"> clients’ theoretical expectations </w:t>
      </w:r>
      <w:r w:rsidR="00000EE4" w:rsidRPr="009E4F74">
        <w:rPr>
          <w:rFonts w:ascii="Arial" w:eastAsia="Times New Roman" w:hAnsi="Arial" w:cs="Arial"/>
          <w:color w:val="000000"/>
          <w:sz w:val="20"/>
          <w:szCs w:val="20"/>
          <w:lang w:val="en-GB" w:eastAsia="fr-FR"/>
        </w:rPr>
        <w:t>will not</w:t>
      </w:r>
      <w:r w:rsidR="0019390C" w:rsidRPr="009E4F74">
        <w:rPr>
          <w:rFonts w:ascii="Arial" w:eastAsia="Times New Roman" w:hAnsi="Arial" w:cs="Arial"/>
          <w:color w:val="000000"/>
          <w:sz w:val="20"/>
          <w:szCs w:val="20"/>
          <w:lang w:val="en-GB" w:eastAsia="fr-FR"/>
        </w:rPr>
        <w:t xml:space="preserve"> match market offer for a significant period, thus requiring </w:t>
      </w:r>
      <w:r w:rsidR="00000EE4" w:rsidRPr="009E4F74">
        <w:rPr>
          <w:rFonts w:ascii="Arial" w:eastAsia="Times New Roman" w:hAnsi="Arial" w:cs="Arial"/>
          <w:color w:val="000000"/>
          <w:sz w:val="20"/>
          <w:szCs w:val="20"/>
          <w:lang w:val="en-GB" w:eastAsia="fr-FR"/>
        </w:rPr>
        <w:t>adaptations for</w:t>
      </w:r>
      <w:r w:rsidR="0019390C" w:rsidRPr="009E4F74">
        <w:rPr>
          <w:rFonts w:ascii="Arial" w:eastAsia="Times New Roman" w:hAnsi="Arial" w:cs="Arial"/>
          <w:color w:val="000000"/>
          <w:sz w:val="20"/>
          <w:szCs w:val="20"/>
          <w:lang w:val="en-GB" w:eastAsia="fr-FR"/>
        </w:rPr>
        <w:t xml:space="preserve"> each </w:t>
      </w:r>
      <w:r w:rsidR="00524B81" w:rsidRPr="009E4F74">
        <w:rPr>
          <w:rFonts w:ascii="Arial" w:eastAsia="Times New Roman" w:hAnsi="Arial" w:cs="Arial"/>
          <w:color w:val="000000"/>
          <w:sz w:val="20"/>
          <w:szCs w:val="20"/>
          <w:lang w:val="en-GB" w:eastAsia="fr-FR"/>
        </w:rPr>
        <w:t xml:space="preserve">piece of </w:t>
      </w:r>
      <w:r w:rsidR="0019390C" w:rsidRPr="009E4F74">
        <w:rPr>
          <w:rFonts w:ascii="Arial" w:eastAsia="Times New Roman" w:hAnsi="Arial" w:cs="Arial"/>
          <w:color w:val="000000"/>
          <w:sz w:val="20"/>
          <w:szCs w:val="20"/>
          <w:lang w:val="en-GB" w:eastAsia="fr-FR"/>
        </w:rPr>
        <w:t>advi</w:t>
      </w:r>
      <w:r w:rsidR="00524B81" w:rsidRPr="009E4F74">
        <w:rPr>
          <w:rFonts w:ascii="Arial" w:eastAsia="Times New Roman" w:hAnsi="Arial" w:cs="Arial"/>
          <w:color w:val="000000"/>
          <w:sz w:val="20"/>
          <w:szCs w:val="20"/>
          <w:lang w:val="en-GB" w:eastAsia="fr-FR"/>
        </w:rPr>
        <w:t>c</w:t>
      </w:r>
      <w:r w:rsidR="0019390C" w:rsidRPr="009E4F74">
        <w:rPr>
          <w:rFonts w:ascii="Arial" w:eastAsia="Times New Roman" w:hAnsi="Arial" w:cs="Arial"/>
          <w:color w:val="000000"/>
          <w:sz w:val="20"/>
          <w:szCs w:val="20"/>
          <w:lang w:val="en-GB" w:eastAsia="fr-FR"/>
        </w:rPr>
        <w:t xml:space="preserve">e provided in the meantime. Therefore, the </w:t>
      </w:r>
      <w:r w:rsidR="0019390C" w:rsidRPr="009E4F74">
        <w:rPr>
          <w:rFonts w:ascii="Arial" w:eastAsia="Times New Roman" w:hAnsi="Arial" w:cs="Arial"/>
          <w:b/>
          <w:bCs/>
          <w:color w:val="000000"/>
          <w:sz w:val="20"/>
          <w:szCs w:val="20"/>
          <w:lang w:val="en-GB" w:eastAsia="fr-FR"/>
        </w:rPr>
        <w:t>first sentence of § 8</w:t>
      </w:r>
      <w:r w:rsidR="00320347" w:rsidRPr="009E4F74">
        <w:rPr>
          <w:rFonts w:ascii="Arial" w:eastAsia="Times New Roman" w:hAnsi="Arial" w:cs="Arial"/>
          <w:b/>
          <w:bCs/>
          <w:color w:val="000000"/>
          <w:sz w:val="20"/>
          <w:szCs w:val="20"/>
          <w:lang w:val="en-GB" w:eastAsia="fr-FR"/>
        </w:rPr>
        <w:t>1</w:t>
      </w:r>
      <w:r w:rsidR="0019390C" w:rsidRPr="009E4F74">
        <w:rPr>
          <w:rFonts w:ascii="Arial" w:eastAsia="Times New Roman" w:hAnsi="Arial" w:cs="Arial"/>
          <w:b/>
          <w:bCs/>
          <w:color w:val="000000"/>
          <w:sz w:val="20"/>
          <w:szCs w:val="20"/>
          <w:lang w:val="en-GB" w:eastAsia="fr-FR"/>
        </w:rPr>
        <w:t xml:space="preserve"> should be </w:t>
      </w:r>
      <w:r w:rsidR="00000EE4" w:rsidRPr="009E4F74">
        <w:rPr>
          <w:rFonts w:ascii="Arial" w:eastAsia="Times New Roman" w:hAnsi="Arial" w:cs="Arial"/>
          <w:b/>
          <w:bCs/>
          <w:color w:val="000000"/>
          <w:sz w:val="20"/>
          <w:szCs w:val="20"/>
          <w:lang w:val="en-GB" w:eastAsia="fr-FR"/>
        </w:rPr>
        <w:t xml:space="preserve">deleted </w:t>
      </w:r>
      <w:r w:rsidR="0019390C" w:rsidRPr="009E4F74">
        <w:rPr>
          <w:rFonts w:ascii="Arial" w:eastAsia="Times New Roman" w:hAnsi="Arial" w:cs="Arial"/>
          <w:b/>
          <w:bCs/>
          <w:color w:val="000000"/>
          <w:sz w:val="20"/>
          <w:szCs w:val="20"/>
          <w:lang w:val="en-GB" w:eastAsia="fr-FR"/>
        </w:rPr>
        <w:t xml:space="preserve">to </w:t>
      </w:r>
      <w:proofErr w:type="gramStart"/>
      <w:r w:rsidR="0019390C" w:rsidRPr="009E4F74">
        <w:rPr>
          <w:rFonts w:ascii="Arial" w:eastAsia="Times New Roman" w:hAnsi="Arial" w:cs="Arial"/>
          <w:b/>
          <w:bCs/>
          <w:color w:val="000000"/>
          <w:sz w:val="20"/>
          <w:szCs w:val="20"/>
          <w:lang w:val="en-GB" w:eastAsia="fr-FR"/>
        </w:rPr>
        <w:t>take into account</w:t>
      </w:r>
      <w:proofErr w:type="gramEnd"/>
      <w:r w:rsidR="0019390C" w:rsidRPr="009E4F74">
        <w:rPr>
          <w:rFonts w:ascii="Arial" w:eastAsia="Times New Roman" w:hAnsi="Arial" w:cs="Arial"/>
          <w:b/>
          <w:bCs/>
          <w:color w:val="000000"/>
          <w:sz w:val="20"/>
          <w:szCs w:val="20"/>
          <w:lang w:val="en-GB" w:eastAsia="fr-FR"/>
        </w:rPr>
        <w:t xml:space="preserve"> that in such</w:t>
      </w:r>
      <w:r w:rsidR="00694357" w:rsidRPr="009E4F74">
        <w:rPr>
          <w:rFonts w:ascii="Arial" w:eastAsia="Times New Roman" w:hAnsi="Arial" w:cs="Arial"/>
          <w:b/>
          <w:bCs/>
          <w:color w:val="000000"/>
          <w:sz w:val="20"/>
          <w:szCs w:val="20"/>
          <w:lang w:val="en-GB" w:eastAsia="fr-FR"/>
        </w:rPr>
        <w:t xml:space="preserve"> a</w:t>
      </w:r>
      <w:r w:rsidR="0019390C" w:rsidRPr="009E4F74">
        <w:rPr>
          <w:rFonts w:ascii="Arial" w:eastAsia="Times New Roman" w:hAnsi="Arial" w:cs="Arial"/>
          <w:b/>
          <w:bCs/>
          <w:color w:val="000000"/>
          <w:sz w:val="20"/>
          <w:szCs w:val="20"/>
          <w:lang w:val="en-GB" w:eastAsia="fr-FR"/>
        </w:rPr>
        <w:t xml:space="preserve"> case, </w:t>
      </w:r>
      <w:r w:rsidR="00694357" w:rsidRPr="009E4F74">
        <w:rPr>
          <w:rFonts w:ascii="Arial" w:eastAsia="Times New Roman" w:hAnsi="Arial" w:cs="Arial"/>
          <w:b/>
          <w:bCs/>
          <w:color w:val="000000"/>
          <w:sz w:val="20"/>
          <w:szCs w:val="20"/>
          <w:lang w:val="en-GB" w:eastAsia="fr-FR"/>
        </w:rPr>
        <w:t xml:space="preserve">adaptation of </w:t>
      </w:r>
      <w:r w:rsidR="0019390C" w:rsidRPr="009E4F74">
        <w:rPr>
          <w:rFonts w:ascii="Arial" w:eastAsia="Times New Roman" w:hAnsi="Arial" w:cs="Arial"/>
          <w:b/>
          <w:bCs/>
          <w:color w:val="000000"/>
          <w:sz w:val="20"/>
          <w:szCs w:val="20"/>
          <w:lang w:val="en-GB" w:eastAsia="fr-FR"/>
        </w:rPr>
        <w:t>clients</w:t>
      </w:r>
      <w:r w:rsidR="00C634AE" w:rsidRPr="009E4F74">
        <w:rPr>
          <w:rFonts w:ascii="Arial" w:eastAsia="Times New Roman" w:hAnsi="Arial" w:cs="Arial"/>
          <w:b/>
          <w:bCs/>
          <w:color w:val="000000"/>
          <w:sz w:val="20"/>
          <w:szCs w:val="20"/>
          <w:lang w:val="en-GB" w:eastAsia="fr-FR"/>
        </w:rPr>
        <w:t>’</w:t>
      </w:r>
      <w:r w:rsidR="0019390C" w:rsidRPr="009E4F74">
        <w:rPr>
          <w:rFonts w:ascii="Arial" w:eastAsia="Times New Roman" w:hAnsi="Arial" w:cs="Arial"/>
          <w:b/>
          <w:bCs/>
          <w:color w:val="000000"/>
          <w:sz w:val="20"/>
          <w:szCs w:val="20"/>
          <w:lang w:val="en-GB" w:eastAsia="fr-FR"/>
        </w:rPr>
        <w:t xml:space="preserve"> </w:t>
      </w:r>
      <w:r w:rsidR="005A0FB7" w:rsidRPr="009E4F74">
        <w:rPr>
          <w:rFonts w:ascii="Arial" w:eastAsia="Times New Roman" w:hAnsi="Arial" w:cs="Arial"/>
          <w:b/>
          <w:bCs/>
          <w:color w:val="000000"/>
          <w:sz w:val="20"/>
          <w:szCs w:val="20"/>
          <w:lang w:val="en-GB" w:eastAsia="fr-FR"/>
        </w:rPr>
        <w:t xml:space="preserve">preferences </w:t>
      </w:r>
      <w:r w:rsidR="0019390C" w:rsidRPr="009E4F74">
        <w:rPr>
          <w:rFonts w:ascii="Arial" w:eastAsia="Times New Roman" w:hAnsi="Arial" w:cs="Arial"/>
          <w:b/>
          <w:bCs/>
          <w:color w:val="000000"/>
          <w:sz w:val="20"/>
          <w:szCs w:val="20"/>
          <w:lang w:val="en-GB" w:eastAsia="fr-FR"/>
        </w:rPr>
        <w:t>will be</w:t>
      </w:r>
      <w:r w:rsidR="00000EE4" w:rsidRPr="009E4F74">
        <w:rPr>
          <w:rFonts w:ascii="Arial" w:eastAsia="Times New Roman" w:hAnsi="Arial" w:cs="Arial"/>
          <w:b/>
          <w:bCs/>
          <w:color w:val="000000"/>
          <w:sz w:val="20"/>
          <w:szCs w:val="20"/>
          <w:lang w:val="en-GB" w:eastAsia="fr-FR"/>
        </w:rPr>
        <w:t xml:space="preserve"> frequent</w:t>
      </w:r>
      <w:r w:rsidR="00000EE4" w:rsidRPr="009E4F74">
        <w:rPr>
          <w:rFonts w:ascii="Arial" w:eastAsia="Times New Roman" w:hAnsi="Arial" w:cs="Arial"/>
          <w:color w:val="000000"/>
          <w:sz w:val="20"/>
          <w:szCs w:val="20"/>
          <w:lang w:val="en-GB" w:eastAsia="fr-FR"/>
        </w:rPr>
        <w:t>.</w:t>
      </w:r>
    </w:p>
    <w:p w14:paraId="7EE0604B" w14:textId="77777777" w:rsidR="008C40A0" w:rsidRPr="009E4F74" w:rsidRDefault="008C40A0" w:rsidP="00EC7D12">
      <w:pPr>
        <w:spacing w:after="0" w:line="240" w:lineRule="atLeast"/>
        <w:jc w:val="both"/>
        <w:rPr>
          <w:rFonts w:ascii="Arial" w:eastAsia="Times New Roman" w:hAnsi="Arial" w:cs="Arial"/>
          <w:color w:val="000000"/>
          <w:sz w:val="20"/>
          <w:szCs w:val="20"/>
          <w:lang w:val="en-GB" w:eastAsia="fr-FR"/>
        </w:rPr>
      </w:pPr>
    </w:p>
    <w:p w14:paraId="392EC474" w14:textId="691A8A07" w:rsidR="008C40A0" w:rsidRPr="009E4F74" w:rsidRDefault="00593890" w:rsidP="00D35E38">
      <w:pPr>
        <w:spacing w:after="0" w:line="240" w:lineRule="atLeast"/>
        <w:jc w:val="both"/>
        <w:rPr>
          <w:rFonts w:ascii="Arial" w:eastAsia="Times New Roman" w:hAnsi="Arial" w:cs="Arial"/>
          <w:color w:val="000000"/>
          <w:sz w:val="20"/>
          <w:szCs w:val="20"/>
          <w:lang w:val="en-GB" w:eastAsia="fr-FR"/>
        </w:rPr>
      </w:pPr>
      <w:bookmarkStart w:id="14" w:name="_Hlk100335604"/>
      <w:r w:rsidRPr="009E4F74">
        <w:rPr>
          <w:rFonts w:ascii="Arial" w:eastAsia="Times New Roman" w:hAnsi="Arial" w:cs="Arial"/>
          <w:color w:val="000000"/>
          <w:sz w:val="20"/>
          <w:szCs w:val="20"/>
          <w:lang w:val="en-GB" w:eastAsia="fr-FR"/>
        </w:rPr>
        <w:t>Another important</w:t>
      </w:r>
      <w:r w:rsidR="00000EE4" w:rsidRPr="009E4F74">
        <w:rPr>
          <w:rFonts w:ascii="Arial" w:eastAsia="Times New Roman" w:hAnsi="Arial" w:cs="Arial"/>
          <w:color w:val="000000"/>
          <w:sz w:val="20"/>
          <w:szCs w:val="20"/>
          <w:lang w:val="en-GB" w:eastAsia="fr-FR"/>
        </w:rPr>
        <w:t xml:space="preserve"> </w:t>
      </w:r>
      <w:r w:rsidR="00377A17" w:rsidRPr="009E4F74">
        <w:rPr>
          <w:rFonts w:ascii="Arial" w:eastAsia="Times New Roman" w:hAnsi="Arial" w:cs="Arial"/>
          <w:color w:val="000000"/>
          <w:sz w:val="20"/>
          <w:szCs w:val="20"/>
          <w:lang w:val="en-GB" w:eastAsia="fr-FR"/>
        </w:rPr>
        <w:t>point</w:t>
      </w:r>
      <w:r w:rsidR="00000EE4" w:rsidRPr="009E4F74">
        <w:rPr>
          <w:rFonts w:ascii="Arial" w:eastAsia="Times New Roman" w:hAnsi="Arial" w:cs="Arial"/>
          <w:color w:val="000000"/>
          <w:sz w:val="20"/>
          <w:szCs w:val="20"/>
          <w:lang w:val="en-GB" w:eastAsia="fr-FR"/>
        </w:rPr>
        <w:t xml:space="preserve"> </w:t>
      </w:r>
      <w:r w:rsidR="00E67976" w:rsidRPr="009E4F74">
        <w:rPr>
          <w:rFonts w:ascii="Arial" w:eastAsia="Times New Roman" w:hAnsi="Arial" w:cs="Arial"/>
          <w:color w:val="000000"/>
          <w:sz w:val="20"/>
          <w:szCs w:val="20"/>
          <w:lang w:val="en-GB" w:eastAsia="fr-FR"/>
        </w:rPr>
        <w:t>FBF</w:t>
      </w:r>
      <w:r w:rsidR="0051072E" w:rsidRPr="009E4F74">
        <w:rPr>
          <w:rFonts w:ascii="Arial" w:eastAsia="Times New Roman" w:hAnsi="Arial" w:cs="Arial"/>
          <w:color w:val="000000"/>
          <w:sz w:val="20"/>
          <w:szCs w:val="20"/>
          <w:lang w:val="en-GB" w:eastAsia="fr-FR"/>
        </w:rPr>
        <w:t xml:space="preserve"> w</w:t>
      </w:r>
      <w:r w:rsidR="00FC616C" w:rsidRPr="009E4F74">
        <w:rPr>
          <w:rFonts w:ascii="Arial" w:eastAsia="Times New Roman" w:hAnsi="Arial" w:cs="Arial"/>
          <w:color w:val="000000"/>
          <w:sz w:val="20"/>
          <w:szCs w:val="20"/>
          <w:lang w:val="en-GB" w:eastAsia="fr-FR"/>
        </w:rPr>
        <w:t>ould like</w:t>
      </w:r>
      <w:r w:rsidR="0051072E" w:rsidRPr="009E4F74">
        <w:rPr>
          <w:rFonts w:ascii="Arial" w:eastAsia="Times New Roman" w:hAnsi="Arial" w:cs="Arial"/>
          <w:color w:val="000000"/>
          <w:sz w:val="20"/>
          <w:szCs w:val="20"/>
          <w:lang w:val="en-GB" w:eastAsia="fr-FR"/>
        </w:rPr>
        <w:t xml:space="preserve"> to </w:t>
      </w:r>
      <w:r w:rsidR="000761D8" w:rsidRPr="009E4F74">
        <w:rPr>
          <w:rFonts w:ascii="Arial" w:eastAsia="Times New Roman" w:hAnsi="Arial" w:cs="Arial"/>
          <w:color w:val="000000"/>
          <w:sz w:val="20"/>
          <w:szCs w:val="20"/>
          <w:lang w:val="en-GB" w:eastAsia="fr-FR"/>
        </w:rPr>
        <w:t xml:space="preserve">underline </w:t>
      </w:r>
      <w:r w:rsidR="00EC729F" w:rsidRPr="009E4F74">
        <w:rPr>
          <w:rFonts w:ascii="Arial" w:eastAsia="Times New Roman" w:hAnsi="Arial" w:cs="Arial"/>
          <w:color w:val="000000"/>
          <w:sz w:val="20"/>
          <w:szCs w:val="20"/>
          <w:lang w:val="en-GB" w:eastAsia="fr-FR"/>
        </w:rPr>
        <w:t xml:space="preserve">is </w:t>
      </w:r>
      <w:r w:rsidR="000761D8" w:rsidRPr="009E4F74">
        <w:rPr>
          <w:rFonts w:ascii="Arial" w:eastAsia="Times New Roman" w:hAnsi="Arial" w:cs="Arial"/>
          <w:color w:val="000000"/>
          <w:sz w:val="20"/>
          <w:szCs w:val="20"/>
          <w:lang w:val="en-GB" w:eastAsia="fr-FR"/>
        </w:rPr>
        <w:t>t</w:t>
      </w:r>
      <w:r w:rsidR="00327FF4" w:rsidRPr="009E4F74">
        <w:rPr>
          <w:rFonts w:ascii="Arial" w:eastAsia="Times New Roman" w:hAnsi="Arial" w:cs="Arial"/>
          <w:color w:val="000000"/>
          <w:sz w:val="20"/>
          <w:szCs w:val="20"/>
          <w:lang w:val="en-GB" w:eastAsia="fr-FR"/>
        </w:rPr>
        <w:t xml:space="preserve">he necessity </w:t>
      </w:r>
      <w:bookmarkStart w:id="15" w:name="_Hlk100335888"/>
      <w:r w:rsidR="00327FF4" w:rsidRPr="009E4F74">
        <w:rPr>
          <w:rFonts w:ascii="Arial" w:eastAsia="Times New Roman" w:hAnsi="Arial" w:cs="Arial"/>
          <w:b/>
          <w:bCs/>
          <w:color w:val="000000"/>
          <w:sz w:val="20"/>
          <w:szCs w:val="20"/>
          <w:lang w:val="en-GB" w:eastAsia="fr-FR"/>
        </w:rPr>
        <w:t>to add</w:t>
      </w:r>
      <w:r w:rsidRPr="009E4F74">
        <w:rPr>
          <w:rFonts w:ascii="Arial" w:eastAsia="Times New Roman" w:hAnsi="Arial" w:cs="Arial"/>
          <w:b/>
          <w:bCs/>
          <w:color w:val="000000"/>
          <w:sz w:val="20"/>
          <w:szCs w:val="20"/>
          <w:lang w:val="en-GB" w:eastAsia="fr-FR"/>
        </w:rPr>
        <w:t xml:space="preserve"> </w:t>
      </w:r>
      <w:bookmarkStart w:id="16" w:name="_Hlk99103274"/>
      <w:bookmarkStart w:id="17" w:name="_Hlk99112685"/>
      <w:r w:rsidR="00A15F7B" w:rsidRPr="009E4F74">
        <w:rPr>
          <w:rFonts w:ascii="Arial" w:eastAsia="Times New Roman" w:hAnsi="Arial" w:cs="Arial"/>
          <w:b/>
          <w:bCs/>
          <w:color w:val="000000"/>
          <w:sz w:val="20"/>
          <w:szCs w:val="20"/>
          <w:lang w:val="en-GB" w:eastAsia="fr-FR"/>
        </w:rPr>
        <w:t xml:space="preserve">another step before the client </w:t>
      </w:r>
      <w:r w:rsidR="00FC616C" w:rsidRPr="009E4F74">
        <w:rPr>
          <w:rFonts w:ascii="Arial" w:eastAsia="Times New Roman" w:hAnsi="Arial" w:cs="Arial"/>
          <w:b/>
          <w:bCs/>
          <w:color w:val="000000"/>
          <w:sz w:val="20"/>
          <w:szCs w:val="20"/>
          <w:lang w:val="en-GB" w:eastAsia="fr-FR"/>
        </w:rPr>
        <w:t>is</w:t>
      </w:r>
      <w:r w:rsidR="00A15F7B" w:rsidRPr="009E4F74">
        <w:rPr>
          <w:rFonts w:ascii="Arial" w:eastAsia="Times New Roman" w:hAnsi="Arial" w:cs="Arial"/>
          <w:b/>
          <w:bCs/>
          <w:color w:val="000000"/>
          <w:sz w:val="20"/>
          <w:szCs w:val="20"/>
          <w:lang w:val="en-GB" w:eastAsia="fr-FR"/>
        </w:rPr>
        <w:t xml:space="preserve"> required to amend his/her </w:t>
      </w:r>
      <w:r w:rsidR="00327FF4" w:rsidRPr="009E4F74">
        <w:rPr>
          <w:rFonts w:ascii="Arial" w:eastAsia="Times New Roman" w:hAnsi="Arial" w:cs="Arial"/>
          <w:b/>
          <w:bCs/>
          <w:color w:val="000000"/>
          <w:sz w:val="20"/>
          <w:szCs w:val="20"/>
          <w:lang w:val="en-GB" w:eastAsia="fr-FR"/>
        </w:rPr>
        <w:t xml:space="preserve">sustainability </w:t>
      </w:r>
      <w:r w:rsidR="00A15F7B" w:rsidRPr="009E4F74">
        <w:rPr>
          <w:rFonts w:ascii="Arial" w:eastAsia="Times New Roman" w:hAnsi="Arial" w:cs="Arial"/>
          <w:b/>
          <w:bCs/>
          <w:color w:val="000000"/>
          <w:sz w:val="20"/>
          <w:szCs w:val="20"/>
          <w:lang w:val="en-GB" w:eastAsia="fr-FR"/>
        </w:rPr>
        <w:t xml:space="preserve">preferences, </w:t>
      </w:r>
      <w:r w:rsidR="00D35E38" w:rsidRPr="009E4F74">
        <w:rPr>
          <w:rFonts w:ascii="Arial" w:eastAsia="Times New Roman" w:hAnsi="Arial" w:cs="Arial"/>
          <w:b/>
          <w:bCs/>
          <w:color w:val="000000"/>
          <w:sz w:val="20"/>
          <w:szCs w:val="20"/>
          <w:lang w:val="en-GB" w:eastAsia="fr-FR"/>
        </w:rPr>
        <w:t>consisting in</w:t>
      </w:r>
      <w:r w:rsidR="00D35E38" w:rsidRPr="009E4F74">
        <w:rPr>
          <w:rFonts w:ascii="Arial" w:eastAsia="Times New Roman" w:hAnsi="Arial" w:cs="Arial"/>
          <w:color w:val="000000"/>
          <w:sz w:val="20"/>
          <w:szCs w:val="20"/>
          <w:lang w:val="en-GB" w:eastAsia="fr-FR"/>
        </w:rPr>
        <w:t xml:space="preserve"> </w:t>
      </w:r>
      <w:r w:rsidR="00D35E38" w:rsidRPr="009E4F74">
        <w:rPr>
          <w:rFonts w:ascii="Arial" w:eastAsia="Times New Roman" w:hAnsi="Arial" w:cs="Arial"/>
          <w:b/>
          <w:bCs/>
          <w:color w:val="000000"/>
          <w:sz w:val="20"/>
          <w:szCs w:val="20"/>
          <w:lang w:val="en-GB" w:eastAsia="fr-FR"/>
        </w:rPr>
        <w:t xml:space="preserve">the </w:t>
      </w:r>
      <w:r w:rsidR="00377A17" w:rsidRPr="009E4F74">
        <w:rPr>
          <w:rFonts w:ascii="Arial" w:eastAsia="Times New Roman" w:hAnsi="Arial" w:cs="Arial"/>
          <w:b/>
          <w:bCs/>
          <w:color w:val="000000"/>
          <w:sz w:val="20"/>
          <w:szCs w:val="20"/>
          <w:lang w:val="en-GB" w:eastAsia="fr-FR"/>
        </w:rPr>
        <w:t xml:space="preserve">ISP </w:t>
      </w:r>
      <w:r w:rsidR="00D35E38" w:rsidRPr="009E4F74">
        <w:rPr>
          <w:rFonts w:ascii="Arial" w:eastAsia="Times New Roman" w:hAnsi="Arial" w:cs="Arial"/>
          <w:b/>
          <w:bCs/>
          <w:color w:val="000000"/>
          <w:sz w:val="20"/>
          <w:szCs w:val="20"/>
          <w:lang w:val="en-GB" w:eastAsia="fr-FR"/>
        </w:rPr>
        <w:t xml:space="preserve">describing </w:t>
      </w:r>
      <w:r w:rsidR="007C4B28" w:rsidRPr="009E4F74">
        <w:rPr>
          <w:rFonts w:ascii="Arial" w:eastAsia="Times New Roman" w:hAnsi="Arial" w:cs="Arial"/>
          <w:b/>
          <w:bCs/>
          <w:color w:val="000000"/>
          <w:sz w:val="20"/>
          <w:szCs w:val="20"/>
          <w:lang w:val="en-GB" w:eastAsia="fr-FR"/>
        </w:rPr>
        <w:t xml:space="preserve">its </w:t>
      </w:r>
      <w:r w:rsidR="00D35E38" w:rsidRPr="009E4F74">
        <w:rPr>
          <w:rFonts w:ascii="Arial" w:eastAsia="Times New Roman" w:hAnsi="Arial" w:cs="Arial"/>
          <w:b/>
          <w:bCs/>
          <w:color w:val="000000"/>
          <w:sz w:val="20"/>
          <w:szCs w:val="20"/>
          <w:lang w:val="en-GB" w:eastAsia="fr-FR"/>
        </w:rPr>
        <w:t xml:space="preserve">ESG </w:t>
      </w:r>
      <w:proofErr w:type="gramStart"/>
      <w:r w:rsidR="00AD5D8E" w:rsidRPr="009E4F74">
        <w:rPr>
          <w:rFonts w:ascii="Arial" w:eastAsia="Times New Roman" w:hAnsi="Arial" w:cs="Arial"/>
          <w:b/>
          <w:bCs/>
          <w:color w:val="000000"/>
          <w:sz w:val="20"/>
          <w:szCs w:val="20"/>
          <w:lang w:val="en-GB" w:eastAsia="fr-FR"/>
        </w:rPr>
        <w:t>offer:</w:t>
      </w:r>
      <w:proofErr w:type="gramEnd"/>
      <w:r w:rsidR="00AD5D8E" w:rsidRPr="009E4F74">
        <w:rPr>
          <w:rFonts w:ascii="Arial" w:eastAsia="Times New Roman" w:hAnsi="Arial" w:cs="Arial"/>
          <w:b/>
          <w:bCs/>
          <w:color w:val="000000"/>
          <w:sz w:val="20"/>
          <w:szCs w:val="20"/>
          <w:lang w:val="en-GB" w:eastAsia="fr-FR"/>
        </w:rPr>
        <w:t xml:space="preserve"> </w:t>
      </w:r>
      <w:r w:rsidR="00A15257" w:rsidRPr="009E4F74">
        <w:rPr>
          <w:rFonts w:ascii="Arial" w:eastAsia="Times New Roman" w:hAnsi="Arial" w:cs="Arial"/>
          <w:color w:val="000000"/>
          <w:sz w:val="20"/>
          <w:szCs w:val="20"/>
          <w:lang w:val="en-GB" w:eastAsia="fr-FR"/>
        </w:rPr>
        <w:t>with this,</w:t>
      </w:r>
      <w:r w:rsidR="00D35E38" w:rsidRPr="009E4F74">
        <w:rPr>
          <w:rFonts w:ascii="Arial" w:eastAsia="Times New Roman" w:hAnsi="Arial" w:cs="Arial"/>
          <w:color w:val="000000"/>
          <w:sz w:val="20"/>
          <w:szCs w:val="20"/>
          <w:lang w:val="en-GB" w:eastAsia="fr-FR"/>
        </w:rPr>
        <w:t xml:space="preserve"> </w:t>
      </w:r>
      <w:r w:rsidR="008C40A0" w:rsidRPr="009E4F74">
        <w:rPr>
          <w:rFonts w:ascii="Arial" w:eastAsia="Times New Roman" w:hAnsi="Arial" w:cs="Arial"/>
          <w:color w:val="000000"/>
          <w:sz w:val="20"/>
          <w:szCs w:val="20"/>
          <w:lang w:val="en-GB" w:eastAsia="fr-FR"/>
        </w:rPr>
        <w:t xml:space="preserve">the client will be in a capacity, if he/she wishes, to amend his/her </w:t>
      </w:r>
      <w:r w:rsidR="00FD0033" w:rsidRPr="009E4F74">
        <w:rPr>
          <w:rFonts w:ascii="Arial" w:eastAsia="Times New Roman" w:hAnsi="Arial" w:cs="Arial"/>
          <w:color w:val="000000"/>
          <w:sz w:val="20"/>
          <w:szCs w:val="20"/>
          <w:lang w:val="en-GB" w:eastAsia="fr-FR"/>
        </w:rPr>
        <w:t>sust</w:t>
      </w:r>
      <w:r w:rsidR="00CF4FA0" w:rsidRPr="009E4F74">
        <w:rPr>
          <w:rFonts w:ascii="Arial" w:eastAsia="Times New Roman" w:hAnsi="Arial" w:cs="Arial"/>
          <w:color w:val="000000"/>
          <w:sz w:val="20"/>
          <w:szCs w:val="20"/>
          <w:lang w:val="en-GB" w:eastAsia="fr-FR"/>
        </w:rPr>
        <w:t xml:space="preserve">ainability </w:t>
      </w:r>
      <w:r w:rsidR="008C40A0" w:rsidRPr="009E4F74">
        <w:rPr>
          <w:rFonts w:ascii="Arial" w:eastAsia="Times New Roman" w:hAnsi="Arial" w:cs="Arial"/>
          <w:color w:val="000000"/>
          <w:sz w:val="20"/>
          <w:szCs w:val="20"/>
          <w:lang w:val="en-GB" w:eastAsia="fr-FR"/>
        </w:rPr>
        <w:t>preferences in coherence with such offer.</w:t>
      </w:r>
      <w:r w:rsidR="00D35E38" w:rsidRPr="009E4F74">
        <w:rPr>
          <w:rFonts w:ascii="Arial" w:eastAsia="Times New Roman" w:hAnsi="Arial" w:cs="Arial"/>
          <w:color w:val="000000"/>
          <w:sz w:val="20"/>
          <w:szCs w:val="20"/>
          <w:lang w:val="en-GB" w:eastAsia="fr-FR"/>
        </w:rPr>
        <w:t xml:space="preserve"> </w:t>
      </w:r>
      <w:r w:rsidR="008C40A0" w:rsidRPr="009E4F74">
        <w:rPr>
          <w:rFonts w:ascii="Arial" w:eastAsia="Times New Roman" w:hAnsi="Arial" w:cs="Arial"/>
          <w:color w:val="000000"/>
          <w:sz w:val="20"/>
          <w:szCs w:val="20"/>
          <w:lang w:val="en-GB" w:eastAsia="fr-FR"/>
        </w:rPr>
        <w:t xml:space="preserve">In the absence of this </w:t>
      </w:r>
      <w:r w:rsidR="00E04252" w:rsidRPr="009E4F74">
        <w:rPr>
          <w:rFonts w:ascii="Arial" w:eastAsia="Times New Roman" w:hAnsi="Arial" w:cs="Arial"/>
          <w:color w:val="000000"/>
          <w:sz w:val="20"/>
          <w:szCs w:val="20"/>
          <w:lang w:val="en-GB" w:eastAsia="fr-FR"/>
        </w:rPr>
        <w:t xml:space="preserve">new </w:t>
      </w:r>
      <w:r w:rsidR="008C40A0" w:rsidRPr="009E4F74">
        <w:rPr>
          <w:rFonts w:ascii="Arial" w:eastAsia="Times New Roman" w:hAnsi="Arial" w:cs="Arial"/>
          <w:color w:val="000000"/>
          <w:sz w:val="20"/>
          <w:szCs w:val="20"/>
          <w:lang w:val="en-GB" w:eastAsia="fr-FR"/>
        </w:rPr>
        <w:t xml:space="preserve">step, there is very little chance, due to the </w:t>
      </w:r>
      <w:r w:rsidR="00631C05" w:rsidRPr="009E4F74">
        <w:rPr>
          <w:rFonts w:ascii="Arial" w:eastAsia="Times New Roman" w:hAnsi="Arial" w:cs="Arial"/>
          <w:color w:val="000000"/>
          <w:sz w:val="20"/>
          <w:szCs w:val="20"/>
          <w:lang w:val="en-GB" w:eastAsia="fr-FR"/>
        </w:rPr>
        <w:t xml:space="preserve">current </w:t>
      </w:r>
      <w:r w:rsidR="008C40A0" w:rsidRPr="009E4F74">
        <w:rPr>
          <w:rFonts w:ascii="Arial" w:eastAsia="Times New Roman" w:hAnsi="Arial" w:cs="Arial"/>
          <w:color w:val="000000"/>
          <w:sz w:val="20"/>
          <w:szCs w:val="20"/>
          <w:lang w:val="en-GB" w:eastAsia="fr-FR"/>
        </w:rPr>
        <w:t>limited offer for sustainable products</w:t>
      </w:r>
      <w:r w:rsidR="00631C05" w:rsidRPr="009E4F74">
        <w:rPr>
          <w:rFonts w:ascii="Arial" w:eastAsia="Times New Roman" w:hAnsi="Arial" w:cs="Arial"/>
          <w:color w:val="000000"/>
          <w:sz w:val="20"/>
          <w:szCs w:val="20"/>
          <w:lang w:val="en-GB" w:eastAsia="fr-FR"/>
        </w:rPr>
        <w:t>,</w:t>
      </w:r>
      <w:r w:rsidR="003B5EEA" w:rsidRPr="009E4F74">
        <w:rPr>
          <w:rFonts w:ascii="Arial" w:eastAsia="Times New Roman" w:hAnsi="Arial" w:cs="Arial"/>
          <w:color w:val="000000"/>
          <w:sz w:val="20"/>
          <w:szCs w:val="20"/>
          <w:lang w:val="en-GB" w:eastAsia="fr-FR"/>
        </w:rPr>
        <w:t xml:space="preserve"> </w:t>
      </w:r>
      <w:r w:rsidR="00631C05" w:rsidRPr="009E4F74">
        <w:rPr>
          <w:rFonts w:ascii="Arial" w:eastAsia="Times New Roman" w:hAnsi="Arial" w:cs="Arial"/>
          <w:color w:val="000000"/>
          <w:sz w:val="20"/>
          <w:szCs w:val="20"/>
          <w:lang w:val="en-GB" w:eastAsia="fr-FR"/>
        </w:rPr>
        <w:t>that</w:t>
      </w:r>
      <w:r w:rsidR="008C40A0" w:rsidRPr="009E4F74">
        <w:rPr>
          <w:rFonts w:ascii="Arial" w:eastAsia="Times New Roman" w:hAnsi="Arial" w:cs="Arial"/>
          <w:color w:val="000000"/>
          <w:sz w:val="20"/>
          <w:szCs w:val="20"/>
          <w:lang w:val="en-GB" w:eastAsia="fr-FR"/>
        </w:rPr>
        <w:t xml:space="preserve"> clients’ expectations would meet the investment firm’s offer. </w:t>
      </w:r>
    </w:p>
    <w:p w14:paraId="3BA79EDC" w14:textId="3ABE6C52" w:rsidR="00973C28" w:rsidRPr="009E4F74" w:rsidRDefault="008C40A0" w:rsidP="00EC7D12">
      <w:pPr>
        <w:tabs>
          <w:tab w:val="left" w:pos="1380"/>
        </w:tabs>
        <w:spacing w:line="240" w:lineRule="atLeast"/>
        <w:jc w:val="both"/>
        <w:rPr>
          <w:rFonts w:ascii="Arial" w:eastAsia="Times New Roman" w:hAnsi="Arial" w:cs="Arial"/>
          <w:sz w:val="20"/>
          <w:szCs w:val="20"/>
          <w:lang w:val="en-US" w:eastAsia="fr-FR"/>
        </w:rPr>
      </w:pPr>
      <w:r w:rsidRPr="009E4F74">
        <w:rPr>
          <w:rFonts w:ascii="Arial" w:eastAsia="Times New Roman" w:hAnsi="Arial" w:cs="Arial"/>
          <w:color w:val="000000"/>
          <w:sz w:val="20"/>
          <w:szCs w:val="20"/>
          <w:lang w:val="en-GB" w:eastAsia="fr-FR"/>
        </w:rPr>
        <w:t xml:space="preserve">This will result either </w:t>
      </w:r>
      <w:r w:rsidR="00D31D0B" w:rsidRPr="009E4F74">
        <w:rPr>
          <w:rFonts w:ascii="Arial" w:eastAsia="Times New Roman" w:hAnsi="Arial" w:cs="Arial"/>
          <w:color w:val="000000"/>
          <w:sz w:val="20"/>
          <w:szCs w:val="20"/>
          <w:lang w:val="en-GB" w:eastAsia="fr-FR"/>
        </w:rPr>
        <w:t>i</w:t>
      </w:r>
      <w:r w:rsidRPr="009E4F74">
        <w:rPr>
          <w:rFonts w:ascii="Arial" w:eastAsia="Times New Roman" w:hAnsi="Arial" w:cs="Arial"/>
          <w:color w:val="000000"/>
          <w:sz w:val="20"/>
          <w:szCs w:val="20"/>
          <w:lang w:val="en-GB" w:eastAsia="fr-FR"/>
        </w:rPr>
        <w:t xml:space="preserve">n investment firms not being </w:t>
      </w:r>
      <w:proofErr w:type="gramStart"/>
      <w:r w:rsidRPr="009E4F74">
        <w:rPr>
          <w:rFonts w:ascii="Arial" w:eastAsia="Times New Roman" w:hAnsi="Arial" w:cs="Arial"/>
          <w:color w:val="000000"/>
          <w:sz w:val="20"/>
          <w:szCs w:val="20"/>
          <w:lang w:val="en-GB" w:eastAsia="fr-FR"/>
        </w:rPr>
        <w:t>in a position</w:t>
      </w:r>
      <w:proofErr w:type="gramEnd"/>
      <w:r w:rsidRPr="009E4F74">
        <w:rPr>
          <w:rFonts w:ascii="Arial" w:eastAsia="Times New Roman" w:hAnsi="Arial" w:cs="Arial"/>
          <w:color w:val="000000"/>
          <w:sz w:val="20"/>
          <w:szCs w:val="20"/>
          <w:lang w:val="en-GB" w:eastAsia="fr-FR"/>
        </w:rPr>
        <w:t xml:space="preserve"> to sell any ESG products to clients, or having extremely long selling process</w:t>
      </w:r>
      <w:r w:rsidR="00EC729F" w:rsidRPr="009E4F74">
        <w:rPr>
          <w:rFonts w:ascii="Arial" w:eastAsia="Times New Roman" w:hAnsi="Arial" w:cs="Arial"/>
          <w:color w:val="000000"/>
          <w:sz w:val="20"/>
          <w:szCs w:val="20"/>
          <w:lang w:val="en-GB" w:eastAsia="fr-FR"/>
        </w:rPr>
        <w:t>es</w:t>
      </w:r>
      <w:r w:rsidRPr="009E4F74">
        <w:rPr>
          <w:rFonts w:ascii="Arial" w:eastAsia="Times New Roman" w:hAnsi="Arial" w:cs="Arial"/>
          <w:color w:val="000000"/>
          <w:sz w:val="20"/>
          <w:szCs w:val="20"/>
          <w:lang w:val="en-GB" w:eastAsia="fr-FR"/>
        </w:rPr>
        <w:t>, the client having to endlessly amend his/her preferences until they finally match the investment firm’s offer.</w:t>
      </w:r>
      <w:r w:rsidR="00BB4EB4" w:rsidRPr="009E4F74">
        <w:rPr>
          <w:rFonts w:ascii="Arial" w:eastAsia="Times New Roman" w:hAnsi="Arial" w:cs="Arial"/>
          <w:color w:val="000000"/>
          <w:sz w:val="20"/>
          <w:szCs w:val="20"/>
          <w:lang w:val="en-GB" w:eastAsia="fr-FR"/>
        </w:rPr>
        <w:t xml:space="preserve"> Therefore, </w:t>
      </w:r>
      <w:r w:rsidR="002815A0" w:rsidRPr="009E4F74">
        <w:rPr>
          <w:rFonts w:ascii="Arial" w:eastAsia="Times New Roman" w:hAnsi="Arial" w:cs="Arial"/>
          <w:sz w:val="20"/>
          <w:szCs w:val="20"/>
          <w:lang w:val="en-US" w:eastAsia="fr-FR"/>
        </w:rPr>
        <w:t xml:space="preserve">the proposed </w:t>
      </w:r>
      <w:r w:rsidR="00973C28" w:rsidRPr="009E4F74">
        <w:rPr>
          <w:rFonts w:ascii="Arial" w:eastAsia="Times New Roman" w:hAnsi="Arial" w:cs="Arial"/>
          <w:sz w:val="20"/>
          <w:szCs w:val="20"/>
          <w:lang w:val="en-US" w:eastAsia="fr-FR"/>
        </w:rPr>
        <w:t>§ 83</w:t>
      </w:r>
      <w:r w:rsidR="0001071A" w:rsidRPr="009E4F74">
        <w:rPr>
          <w:rFonts w:ascii="Arial" w:eastAsia="Times New Roman" w:hAnsi="Arial" w:cs="Arial"/>
          <w:sz w:val="20"/>
          <w:szCs w:val="20"/>
          <w:lang w:val="en-US" w:eastAsia="fr-FR"/>
        </w:rPr>
        <w:t xml:space="preserve"> stating</w:t>
      </w:r>
      <w:r w:rsidR="00973C28" w:rsidRPr="009E4F74">
        <w:rPr>
          <w:rFonts w:ascii="Arial" w:eastAsia="Times New Roman" w:hAnsi="Arial" w:cs="Arial"/>
          <w:sz w:val="20"/>
          <w:szCs w:val="20"/>
          <w:lang w:val="en-US" w:eastAsia="fr-FR"/>
        </w:rPr>
        <w:t xml:space="preserve"> </w:t>
      </w:r>
      <w:r w:rsidR="00670A6E" w:rsidRPr="009E4F74">
        <w:rPr>
          <w:rFonts w:ascii="Arial" w:eastAsia="Times New Roman" w:hAnsi="Arial" w:cs="Arial"/>
          <w:sz w:val="20"/>
          <w:szCs w:val="20"/>
          <w:lang w:val="en-US" w:eastAsia="fr-FR"/>
        </w:rPr>
        <w:t>“</w:t>
      </w:r>
      <w:r w:rsidR="00F50D2B" w:rsidRPr="009E4F74">
        <w:rPr>
          <w:rFonts w:ascii="Arial" w:eastAsia="Times New Roman" w:hAnsi="Arial" w:cs="Arial"/>
          <w:i/>
          <w:iCs/>
          <w:sz w:val="20"/>
          <w:szCs w:val="20"/>
          <w:lang w:val="en-US" w:eastAsia="fr-FR"/>
        </w:rPr>
        <w:t>T</w:t>
      </w:r>
      <w:r w:rsidR="00670A6E" w:rsidRPr="009E4F74">
        <w:rPr>
          <w:rFonts w:ascii="Arial" w:eastAsia="Times New Roman" w:hAnsi="Arial" w:cs="Arial"/>
          <w:i/>
          <w:iCs/>
          <w:sz w:val="20"/>
          <w:szCs w:val="20"/>
          <w:lang w:val="en-US" w:eastAsia="fr-FR"/>
        </w:rPr>
        <w:t xml:space="preserve">he firm’s product offer should be </w:t>
      </w:r>
      <w:r w:rsidR="00134045" w:rsidRPr="009E4F74">
        <w:rPr>
          <w:rFonts w:ascii="Arial" w:eastAsia="Times New Roman" w:hAnsi="Arial" w:cs="Arial"/>
          <w:i/>
          <w:iCs/>
          <w:sz w:val="20"/>
          <w:szCs w:val="20"/>
          <w:lang w:val="en-US" w:eastAsia="fr-FR"/>
        </w:rPr>
        <w:t>documented</w:t>
      </w:r>
      <w:r w:rsidR="00670A6E" w:rsidRPr="009E4F74">
        <w:rPr>
          <w:rFonts w:ascii="Arial" w:eastAsia="Times New Roman" w:hAnsi="Arial" w:cs="Arial"/>
          <w:i/>
          <w:iCs/>
          <w:sz w:val="20"/>
          <w:szCs w:val="20"/>
          <w:lang w:val="en-US" w:eastAsia="fr-FR"/>
        </w:rPr>
        <w:t xml:space="preserve"> and explained to the client with a mention </w:t>
      </w:r>
      <w:r w:rsidR="00692690" w:rsidRPr="009E4F74">
        <w:rPr>
          <w:rFonts w:ascii="Arial" w:eastAsia="Times New Roman" w:hAnsi="Arial" w:cs="Arial"/>
          <w:i/>
          <w:iCs/>
          <w:sz w:val="20"/>
          <w:szCs w:val="20"/>
          <w:lang w:val="en-US" w:eastAsia="fr-FR"/>
        </w:rPr>
        <w:t>of the products/</w:t>
      </w:r>
      <w:r w:rsidR="00134045" w:rsidRPr="009E4F74">
        <w:rPr>
          <w:rFonts w:ascii="Arial" w:eastAsia="Times New Roman" w:hAnsi="Arial" w:cs="Arial"/>
          <w:i/>
          <w:iCs/>
          <w:sz w:val="20"/>
          <w:szCs w:val="20"/>
          <w:lang w:val="en-US" w:eastAsia="fr-FR"/>
        </w:rPr>
        <w:t>portfolio’s</w:t>
      </w:r>
      <w:r w:rsidR="00692690" w:rsidRPr="009E4F74">
        <w:rPr>
          <w:rFonts w:ascii="Arial" w:eastAsia="Times New Roman" w:hAnsi="Arial" w:cs="Arial"/>
          <w:i/>
          <w:iCs/>
          <w:sz w:val="20"/>
          <w:szCs w:val="20"/>
          <w:lang w:val="en-US" w:eastAsia="fr-FR"/>
        </w:rPr>
        <w:t xml:space="preserve"> </w:t>
      </w:r>
      <w:r w:rsidR="00134045" w:rsidRPr="009E4F74">
        <w:rPr>
          <w:rFonts w:ascii="Arial" w:eastAsia="Times New Roman" w:hAnsi="Arial" w:cs="Arial"/>
          <w:i/>
          <w:iCs/>
          <w:sz w:val="20"/>
          <w:szCs w:val="20"/>
          <w:lang w:val="en-US" w:eastAsia="fr-FR"/>
        </w:rPr>
        <w:t>sustainability</w:t>
      </w:r>
      <w:r w:rsidR="00692690" w:rsidRPr="009E4F74">
        <w:rPr>
          <w:rFonts w:ascii="Arial" w:eastAsia="Times New Roman" w:hAnsi="Arial" w:cs="Arial"/>
          <w:i/>
          <w:iCs/>
          <w:sz w:val="20"/>
          <w:szCs w:val="20"/>
          <w:lang w:val="en-US" w:eastAsia="fr-FR"/>
        </w:rPr>
        <w:t xml:space="preserve"> </w:t>
      </w:r>
      <w:r w:rsidR="00134045" w:rsidRPr="009E4F74">
        <w:rPr>
          <w:rFonts w:ascii="Arial" w:eastAsia="Times New Roman" w:hAnsi="Arial" w:cs="Arial"/>
          <w:i/>
          <w:iCs/>
          <w:sz w:val="20"/>
          <w:szCs w:val="20"/>
          <w:lang w:val="en-US" w:eastAsia="fr-FR"/>
        </w:rPr>
        <w:t>features</w:t>
      </w:r>
      <w:r w:rsidR="00692690" w:rsidRPr="009E4F74">
        <w:rPr>
          <w:rFonts w:ascii="Arial" w:eastAsia="Times New Roman" w:hAnsi="Arial" w:cs="Arial"/>
          <w:sz w:val="20"/>
          <w:szCs w:val="20"/>
          <w:lang w:val="en-US" w:eastAsia="fr-FR"/>
        </w:rPr>
        <w:t xml:space="preserve">”: </w:t>
      </w:r>
      <w:r w:rsidR="00DC1D65" w:rsidRPr="009E4F74">
        <w:rPr>
          <w:rFonts w:ascii="Arial" w:eastAsia="Times New Roman" w:hAnsi="Arial" w:cs="Arial"/>
          <w:sz w:val="20"/>
          <w:szCs w:val="20"/>
          <w:lang w:val="en-US" w:eastAsia="fr-FR"/>
        </w:rPr>
        <w:t>should</w:t>
      </w:r>
      <w:r w:rsidR="000D5B82" w:rsidRPr="009E4F74">
        <w:rPr>
          <w:rFonts w:ascii="Arial" w:eastAsia="Times New Roman" w:hAnsi="Arial" w:cs="Arial"/>
          <w:sz w:val="20"/>
          <w:szCs w:val="20"/>
          <w:lang w:val="en-US" w:eastAsia="fr-FR"/>
        </w:rPr>
        <w:t xml:space="preserve">, in </w:t>
      </w:r>
      <w:r w:rsidR="00E67976" w:rsidRPr="009E4F74">
        <w:rPr>
          <w:rFonts w:ascii="Arial" w:eastAsia="Times New Roman" w:hAnsi="Arial" w:cs="Arial"/>
          <w:sz w:val="20"/>
          <w:szCs w:val="20"/>
          <w:lang w:val="en-US" w:eastAsia="fr-FR"/>
        </w:rPr>
        <w:t>FBF</w:t>
      </w:r>
      <w:r w:rsidR="000D5B82" w:rsidRPr="009E4F74">
        <w:rPr>
          <w:rFonts w:ascii="Arial" w:eastAsia="Times New Roman" w:hAnsi="Arial" w:cs="Arial"/>
          <w:sz w:val="20"/>
          <w:szCs w:val="20"/>
          <w:lang w:val="en-US" w:eastAsia="fr-FR"/>
        </w:rPr>
        <w:t xml:space="preserve">’s view, </w:t>
      </w:r>
      <w:r w:rsidR="00A7181D" w:rsidRPr="009E4F74">
        <w:rPr>
          <w:rFonts w:ascii="Arial" w:eastAsia="Times New Roman" w:hAnsi="Arial" w:cs="Arial"/>
          <w:sz w:val="20"/>
          <w:szCs w:val="20"/>
          <w:lang w:val="en-US" w:eastAsia="fr-FR"/>
        </w:rPr>
        <w:t xml:space="preserve">apply </w:t>
      </w:r>
      <w:r w:rsidR="00DC1D65" w:rsidRPr="009E4F74">
        <w:rPr>
          <w:rFonts w:ascii="Arial" w:eastAsia="Times New Roman" w:hAnsi="Arial" w:cs="Arial"/>
          <w:sz w:val="20"/>
          <w:szCs w:val="20"/>
          <w:lang w:val="en-US" w:eastAsia="fr-FR"/>
        </w:rPr>
        <w:t>to</w:t>
      </w:r>
      <w:r w:rsidR="00E97C88" w:rsidRPr="009E4F74">
        <w:rPr>
          <w:rFonts w:ascii="Arial" w:eastAsia="Times New Roman" w:hAnsi="Arial" w:cs="Arial"/>
          <w:sz w:val="20"/>
          <w:szCs w:val="20"/>
          <w:lang w:val="en-US" w:eastAsia="fr-FR"/>
        </w:rPr>
        <w:t xml:space="preserve"> cases where </w:t>
      </w:r>
      <w:r w:rsidR="00EB725B" w:rsidRPr="009E4F74">
        <w:rPr>
          <w:rFonts w:ascii="Arial" w:eastAsia="Times New Roman" w:hAnsi="Arial" w:cs="Arial"/>
          <w:sz w:val="20"/>
          <w:szCs w:val="20"/>
          <w:lang w:val="en-US" w:eastAsia="fr-FR"/>
        </w:rPr>
        <w:t xml:space="preserve">the client has </w:t>
      </w:r>
      <w:r w:rsidR="000445A2" w:rsidRPr="009E4F74">
        <w:rPr>
          <w:rFonts w:ascii="Arial" w:eastAsia="Times New Roman" w:hAnsi="Arial" w:cs="Arial"/>
          <w:sz w:val="20"/>
          <w:szCs w:val="20"/>
          <w:lang w:val="en-US" w:eastAsia="fr-FR"/>
        </w:rPr>
        <w:t>sustainability</w:t>
      </w:r>
      <w:r w:rsidR="00B0172E" w:rsidRPr="009E4F74">
        <w:rPr>
          <w:rFonts w:ascii="Arial" w:eastAsia="Times New Roman" w:hAnsi="Arial" w:cs="Arial"/>
          <w:sz w:val="20"/>
          <w:szCs w:val="20"/>
          <w:lang w:val="en-US" w:eastAsia="fr-FR"/>
        </w:rPr>
        <w:t xml:space="preserve"> </w:t>
      </w:r>
      <w:r w:rsidR="009F2302" w:rsidRPr="009E4F74">
        <w:rPr>
          <w:rFonts w:ascii="Arial" w:eastAsia="Times New Roman" w:hAnsi="Arial" w:cs="Arial"/>
          <w:sz w:val="20"/>
          <w:szCs w:val="20"/>
          <w:lang w:val="en-US" w:eastAsia="fr-FR"/>
        </w:rPr>
        <w:t>preferences,</w:t>
      </w:r>
      <w:r w:rsidR="00B0172E" w:rsidRPr="009E4F74">
        <w:rPr>
          <w:rFonts w:ascii="Arial" w:eastAsia="Times New Roman" w:hAnsi="Arial" w:cs="Arial"/>
          <w:sz w:val="20"/>
          <w:szCs w:val="20"/>
          <w:lang w:val="en-US" w:eastAsia="fr-FR"/>
        </w:rPr>
        <w:t xml:space="preserve"> but such</w:t>
      </w:r>
      <w:r w:rsidR="00E97C88" w:rsidRPr="009E4F74">
        <w:rPr>
          <w:rFonts w:ascii="Arial" w:eastAsia="Times New Roman" w:hAnsi="Arial" w:cs="Arial"/>
          <w:sz w:val="20"/>
          <w:szCs w:val="20"/>
          <w:lang w:val="en-US" w:eastAsia="fr-FR"/>
        </w:rPr>
        <w:t xml:space="preserve"> preferences do not meet the firm’s offer.</w:t>
      </w:r>
      <w:r w:rsidR="00AA0547" w:rsidRPr="009E4F74">
        <w:rPr>
          <w:rFonts w:ascii="Arial" w:eastAsia="Times New Roman" w:hAnsi="Arial" w:cs="Arial"/>
          <w:sz w:val="20"/>
          <w:szCs w:val="20"/>
          <w:lang w:val="en-US" w:eastAsia="fr-FR"/>
        </w:rPr>
        <w:t xml:space="preserve"> </w:t>
      </w:r>
      <w:r w:rsidR="00021251" w:rsidRPr="009E4F74">
        <w:rPr>
          <w:rFonts w:ascii="Arial" w:eastAsia="Times New Roman" w:hAnsi="Arial" w:cs="Arial"/>
          <w:sz w:val="20"/>
          <w:szCs w:val="20"/>
          <w:lang w:val="en-US" w:eastAsia="fr-FR"/>
        </w:rPr>
        <w:t xml:space="preserve">On the contrary, </w:t>
      </w:r>
      <w:r w:rsidR="00E67976" w:rsidRPr="009E4F74">
        <w:rPr>
          <w:rFonts w:ascii="Arial" w:eastAsia="Times New Roman" w:hAnsi="Arial" w:cs="Arial"/>
          <w:sz w:val="20"/>
          <w:szCs w:val="20"/>
          <w:lang w:val="en-US" w:eastAsia="fr-FR"/>
        </w:rPr>
        <w:t>FBF</w:t>
      </w:r>
      <w:r w:rsidR="00021251" w:rsidRPr="009E4F74">
        <w:rPr>
          <w:rFonts w:ascii="Arial" w:eastAsia="Times New Roman" w:hAnsi="Arial" w:cs="Arial"/>
          <w:sz w:val="20"/>
          <w:szCs w:val="20"/>
          <w:lang w:val="en-US" w:eastAsia="fr-FR"/>
        </w:rPr>
        <w:t xml:space="preserve"> does not see any added value in providing</w:t>
      </w:r>
      <w:r w:rsidR="00EC729F" w:rsidRPr="009E4F74">
        <w:rPr>
          <w:rFonts w:ascii="Arial" w:eastAsia="Times New Roman" w:hAnsi="Arial" w:cs="Arial"/>
          <w:sz w:val="20"/>
          <w:szCs w:val="20"/>
          <w:lang w:val="en-US" w:eastAsia="fr-FR"/>
        </w:rPr>
        <w:t xml:space="preserve"> such information </w:t>
      </w:r>
      <w:r w:rsidR="00C56D24" w:rsidRPr="009E4F74">
        <w:rPr>
          <w:rFonts w:ascii="Arial" w:eastAsia="Times New Roman" w:hAnsi="Arial" w:cs="Arial"/>
          <w:sz w:val="20"/>
          <w:szCs w:val="20"/>
          <w:lang w:val="en-US" w:eastAsia="fr-FR"/>
        </w:rPr>
        <w:t xml:space="preserve">(on </w:t>
      </w:r>
      <w:r w:rsidR="003E656A" w:rsidRPr="009E4F74">
        <w:rPr>
          <w:rFonts w:ascii="Arial" w:eastAsia="Times New Roman" w:hAnsi="Arial" w:cs="Arial"/>
          <w:sz w:val="20"/>
          <w:szCs w:val="20"/>
          <w:lang w:val="en-US" w:eastAsia="fr-FR"/>
        </w:rPr>
        <w:t xml:space="preserve">the </w:t>
      </w:r>
      <w:r w:rsidR="00C56D24" w:rsidRPr="009E4F74">
        <w:rPr>
          <w:rFonts w:ascii="Arial" w:eastAsia="Times New Roman" w:hAnsi="Arial" w:cs="Arial"/>
          <w:sz w:val="20"/>
          <w:szCs w:val="20"/>
          <w:lang w:val="en-US" w:eastAsia="fr-FR"/>
        </w:rPr>
        <w:t xml:space="preserve">ISPs’ product offer) </w:t>
      </w:r>
      <w:r w:rsidR="00EC729F" w:rsidRPr="009E4F74">
        <w:rPr>
          <w:rFonts w:ascii="Arial" w:eastAsia="Times New Roman" w:hAnsi="Arial" w:cs="Arial"/>
          <w:sz w:val="20"/>
          <w:szCs w:val="20"/>
          <w:lang w:val="en-US" w:eastAsia="fr-FR"/>
        </w:rPr>
        <w:t>to</w:t>
      </w:r>
      <w:r w:rsidR="00021251" w:rsidRPr="009E4F74">
        <w:rPr>
          <w:rFonts w:ascii="Arial" w:eastAsia="Times New Roman" w:hAnsi="Arial" w:cs="Arial"/>
          <w:sz w:val="20"/>
          <w:szCs w:val="20"/>
          <w:lang w:val="en-US" w:eastAsia="fr-FR"/>
        </w:rPr>
        <w:t xml:space="preserve"> </w:t>
      </w:r>
      <w:r w:rsidR="00776F04" w:rsidRPr="009E4F74">
        <w:rPr>
          <w:rFonts w:ascii="Arial" w:eastAsia="Times New Roman" w:hAnsi="Arial" w:cs="Arial"/>
          <w:sz w:val="20"/>
          <w:szCs w:val="20"/>
          <w:lang w:val="en-US" w:eastAsia="fr-FR"/>
        </w:rPr>
        <w:t>client</w:t>
      </w:r>
      <w:r w:rsidR="00B916E1" w:rsidRPr="009E4F74">
        <w:rPr>
          <w:rFonts w:ascii="Arial" w:eastAsia="Times New Roman" w:hAnsi="Arial" w:cs="Arial"/>
          <w:sz w:val="20"/>
          <w:szCs w:val="20"/>
          <w:lang w:val="en-US" w:eastAsia="fr-FR"/>
        </w:rPr>
        <w:t>s</w:t>
      </w:r>
      <w:r w:rsidR="00776F04" w:rsidRPr="009E4F74">
        <w:rPr>
          <w:rFonts w:ascii="Arial" w:eastAsia="Times New Roman" w:hAnsi="Arial" w:cs="Arial"/>
          <w:sz w:val="20"/>
          <w:szCs w:val="20"/>
          <w:lang w:val="en-US" w:eastAsia="fr-FR"/>
        </w:rPr>
        <w:t xml:space="preserve"> </w:t>
      </w:r>
      <w:r w:rsidR="00EC729F" w:rsidRPr="009E4F74">
        <w:rPr>
          <w:rFonts w:ascii="Arial" w:eastAsia="Times New Roman" w:hAnsi="Arial" w:cs="Arial"/>
          <w:sz w:val="20"/>
          <w:szCs w:val="20"/>
          <w:lang w:val="en-US" w:eastAsia="fr-FR"/>
        </w:rPr>
        <w:t>who</w:t>
      </w:r>
      <w:r w:rsidR="00776F04" w:rsidRPr="009E4F74">
        <w:rPr>
          <w:rFonts w:ascii="Arial" w:eastAsia="Times New Roman" w:hAnsi="Arial" w:cs="Arial"/>
          <w:sz w:val="20"/>
          <w:szCs w:val="20"/>
          <w:lang w:val="en-US" w:eastAsia="fr-FR"/>
        </w:rPr>
        <w:t xml:space="preserve"> </w:t>
      </w:r>
      <w:r w:rsidR="00B916E1" w:rsidRPr="009E4F74">
        <w:rPr>
          <w:rFonts w:ascii="Arial" w:eastAsia="Times New Roman" w:hAnsi="Arial" w:cs="Arial"/>
          <w:sz w:val="20"/>
          <w:szCs w:val="20"/>
          <w:lang w:val="en-US" w:eastAsia="fr-FR"/>
        </w:rPr>
        <w:t xml:space="preserve">expressed they have </w:t>
      </w:r>
      <w:r w:rsidR="00776F04" w:rsidRPr="009E4F74">
        <w:rPr>
          <w:rFonts w:ascii="Arial" w:eastAsia="Times New Roman" w:hAnsi="Arial" w:cs="Arial"/>
          <w:sz w:val="20"/>
          <w:szCs w:val="20"/>
          <w:lang w:val="en-US" w:eastAsia="fr-FR"/>
        </w:rPr>
        <w:t>no ESG preferences</w:t>
      </w:r>
      <w:r w:rsidR="00C06A92" w:rsidRPr="009E4F74">
        <w:rPr>
          <w:rFonts w:ascii="Arial" w:eastAsia="Times New Roman" w:hAnsi="Arial" w:cs="Arial"/>
          <w:sz w:val="20"/>
          <w:szCs w:val="20"/>
          <w:lang w:val="en-US" w:eastAsia="fr-FR"/>
        </w:rPr>
        <w:t xml:space="preserve">. </w:t>
      </w:r>
      <w:r w:rsidR="004B70B5" w:rsidRPr="009E4F74">
        <w:rPr>
          <w:rFonts w:ascii="Arial" w:eastAsia="Times New Roman" w:hAnsi="Arial" w:cs="Arial"/>
          <w:sz w:val="20"/>
          <w:szCs w:val="20"/>
          <w:lang w:val="en-US" w:eastAsia="fr-FR"/>
        </w:rPr>
        <w:t>According t</w:t>
      </w:r>
      <w:r w:rsidR="00D51886" w:rsidRPr="009E4F74">
        <w:rPr>
          <w:rFonts w:ascii="Arial" w:eastAsia="Times New Roman" w:hAnsi="Arial" w:cs="Arial"/>
          <w:sz w:val="20"/>
          <w:szCs w:val="20"/>
          <w:lang w:val="en-US" w:eastAsia="fr-FR"/>
        </w:rPr>
        <w:t xml:space="preserve">o </w:t>
      </w:r>
      <w:r w:rsidR="00E67976" w:rsidRPr="009E4F74">
        <w:rPr>
          <w:rFonts w:ascii="Arial" w:eastAsia="Times New Roman" w:hAnsi="Arial" w:cs="Arial"/>
          <w:sz w:val="20"/>
          <w:szCs w:val="20"/>
          <w:lang w:val="en-US" w:eastAsia="fr-FR"/>
        </w:rPr>
        <w:t>FBF</w:t>
      </w:r>
      <w:r w:rsidR="00D51886" w:rsidRPr="009E4F74">
        <w:rPr>
          <w:rFonts w:ascii="Arial" w:eastAsia="Times New Roman" w:hAnsi="Arial" w:cs="Arial"/>
          <w:sz w:val="20"/>
          <w:szCs w:val="20"/>
          <w:lang w:val="en-US" w:eastAsia="fr-FR"/>
        </w:rPr>
        <w:t>, this duplicate</w:t>
      </w:r>
      <w:r w:rsidR="006B6FE5" w:rsidRPr="009E4F74">
        <w:rPr>
          <w:rFonts w:ascii="Arial" w:eastAsia="Times New Roman" w:hAnsi="Arial" w:cs="Arial"/>
          <w:sz w:val="20"/>
          <w:szCs w:val="20"/>
          <w:lang w:val="en-US" w:eastAsia="fr-FR"/>
        </w:rPr>
        <w:t>s</w:t>
      </w:r>
      <w:r w:rsidR="00D51886" w:rsidRPr="009E4F74">
        <w:rPr>
          <w:rFonts w:ascii="Arial" w:eastAsia="Times New Roman" w:hAnsi="Arial" w:cs="Arial"/>
          <w:sz w:val="20"/>
          <w:szCs w:val="20"/>
          <w:lang w:val="en-US" w:eastAsia="fr-FR"/>
        </w:rPr>
        <w:t xml:space="preserve"> the information provided </w:t>
      </w:r>
      <w:r w:rsidR="006B6FE5" w:rsidRPr="009E4F74">
        <w:rPr>
          <w:rFonts w:ascii="Arial" w:eastAsia="Times New Roman" w:hAnsi="Arial" w:cs="Arial"/>
          <w:sz w:val="20"/>
          <w:szCs w:val="20"/>
          <w:lang w:val="en-US" w:eastAsia="fr-FR"/>
        </w:rPr>
        <w:t xml:space="preserve">in accordance with proposed § 16 of the </w:t>
      </w:r>
      <w:r w:rsidR="004B70B5" w:rsidRPr="009E4F74">
        <w:rPr>
          <w:rFonts w:ascii="Arial" w:eastAsia="Times New Roman" w:hAnsi="Arial" w:cs="Arial"/>
          <w:sz w:val="20"/>
          <w:szCs w:val="20"/>
          <w:lang w:val="en-US" w:eastAsia="fr-FR"/>
        </w:rPr>
        <w:t>D</w:t>
      </w:r>
      <w:r w:rsidR="006B6FE5" w:rsidRPr="009E4F74">
        <w:rPr>
          <w:rFonts w:ascii="Arial" w:eastAsia="Times New Roman" w:hAnsi="Arial" w:cs="Arial"/>
          <w:sz w:val="20"/>
          <w:szCs w:val="20"/>
          <w:lang w:val="en-US" w:eastAsia="fr-FR"/>
        </w:rPr>
        <w:t xml:space="preserve">raft guidelines. </w:t>
      </w:r>
      <w:r w:rsidR="006D39F6" w:rsidRPr="009E4F74">
        <w:rPr>
          <w:rFonts w:ascii="Arial" w:eastAsia="Times New Roman" w:hAnsi="Arial" w:cs="Arial"/>
          <w:sz w:val="20"/>
          <w:szCs w:val="20"/>
          <w:lang w:val="en-US" w:eastAsia="fr-FR"/>
        </w:rPr>
        <w:t xml:space="preserve">Therefore, in </w:t>
      </w:r>
      <w:r w:rsidR="00E67976" w:rsidRPr="009E4F74">
        <w:rPr>
          <w:rFonts w:ascii="Arial" w:eastAsia="Times New Roman" w:hAnsi="Arial" w:cs="Arial"/>
          <w:sz w:val="20"/>
          <w:szCs w:val="20"/>
          <w:lang w:val="en-US" w:eastAsia="fr-FR"/>
        </w:rPr>
        <w:t>FBF</w:t>
      </w:r>
      <w:r w:rsidR="00504D26" w:rsidRPr="009E4F74">
        <w:rPr>
          <w:rFonts w:ascii="Arial" w:eastAsia="Times New Roman" w:hAnsi="Arial" w:cs="Arial"/>
          <w:sz w:val="20"/>
          <w:szCs w:val="20"/>
          <w:lang w:val="en-US" w:eastAsia="fr-FR"/>
        </w:rPr>
        <w:t>’s view</w:t>
      </w:r>
      <w:r w:rsidR="00504D26" w:rsidRPr="009E4F74">
        <w:rPr>
          <w:rFonts w:ascii="Arial" w:eastAsia="Times New Roman" w:hAnsi="Arial" w:cs="Arial"/>
          <w:b/>
          <w:bCs/>
          <w:sz w:val="20"/>
          <w:szCs w:val="20"/>
          <w:lang w:val="en-US" w:eastAsia="fr-FR"/>
        </w:rPr>
        <w:t xml:space="preserve">, § 83 </w:t>
      </w:r>
      <w:r w:rsidR="00966411" w:rsidRPr="009E4F74">
        <w:rPr>
          <w:rFonts w:ascii="Arial" w:eastAsia="Times New Roman" w:hAnsi="Arial" w:cs="Arial"/>
          <w:b/>
          <w:bCs/>
          <w:sz w:val="20"/>
          <w:szCs w:val="20"/>
          <w:lang w:val="en-US" w:eastAsia="fr-FR"/>
        </w:rPr>
        <w:t>should</w:t>
      </w:r>
      <w:r w:rsidR="00504D26" w:rsidRPr="009E4F74">
        <w:rPr>
          <w:rFonts w:ascii="Arial" w:eastAsia="Times New Roman" w:hAnsi="Arial" w:cs="Arial"/>
          <w:b/>
          <w:bCs/>
          <w:sz w:val="20"/>
          <w:szCs w:val="20"/>
          <w:lang w:val="en-US" w:eastAsia="fr-FR"/>
        </w:rPr>
        <w:t xml:space="preserve"> </w:t>
      </w:r>
      <w:r w:rsidR="00966411" w:rsidRPr="009E4F74">
        <w:rPr>
          <w:rFonts w:ascii="Arial" w:eastAsia="Times New Roman" w:hAnsi="Arial" w:cs="Arial"/>
          <w:b/>
          <w:bCs/>
          <w:sz w:val="20"/>
          <w:szCs w:val="20"/>
          <w:lang w:val="en-US" w:eastAsia="fr-FR"/>
        </w:rPr>
        <w:t xml:space="preserve">be </w:t>
      </w:r>
      <w:r w:rsidR="00504D26" w:rsidRPr="009E4F74">
        <w:rPr>
          <w:rFonts w:ascii="Arial" w:eastAsia="Times New Roman" w:hAnsi="Arial" w:cs="Arial"/>
          <w:b/>
          <w:bCs/>
          <w:sz w:val="20"/>
          <w:szCs w:val="20"/>
          <w:lang w:val="en-US" w:eastAsia="fr-FR"/>
        </w:rPr>
        <w:t xml:space="preserve">redrafted to apply </w:t>
      </w:r>
      <w:r w:rsidR="000D5B82" w:rsidRPr="009E4F74">
        <w:rPr>
          <w:rFonts w:ascii="Arial" w:eastAsia="Times New Roman" w:hAnsi="Arial" w:cs="Arial"/>
          <w:b/>
          <w:bCs/>
          <w:sz w:val="20"/>
          <w:szCs w:val="20"/>
          <w:lang w:val="en-US" w:eastAsia="fr-FR"/>
        </w:rPr>
        <w:t xml:space="preserve">only </w:t>
      </w:r>
      <w:r w:rsidR="00504D26" w:rsidRPr="009E4F74">
        <w:rPr>
          <w:rFonts w:ascii="Arial" w:eastAsia="Times New Roman" w:hAnsi="Arial" w:cs="Arial"/>
          <w:b/>
          <w:bCs/>
          <w:sz w:val="20"/>
          <w:szCs w:val="20"/>
          <w:lang w:val="en-US" w:eastAsia="fr-FR"/>
        </w:rPr>
        <w:t>to cases where clients have expressed ESG pre</w:t>
      </w:r>
      <w:r w:rsidR="001A4DBE" w:rsidRPr="009E4F74">
        <w:rPr>
          <w:rFonts w:ascii="Arial" w:eastAsia="Times New Roman" w:hAnsi="Arial" w:cs="Arial"/>
          <w:b/>
          <w:bCs/>
          <w:sz w:val="20"/>
          <w:szCs w:val="20"/>
          <w:lang w:val="en-US" w:eastAsia="fr-FR"/>
        </w:rPr>
        <w:t>f</w:t>
      </w:r>
      <w:r w:rsidR="00504D26" w:rsidRPr="009E4F74">
        <w:rPr>
          <w:rFonts w:ascii="Arial" w:eastAsia="Times New Roman" w:hAnsi="Arial" w:cs="Arial"/>
          <w:b/>
          <w:bCs/>
          <w:sz w:val="20"/>
          <w:szCs w:val="20"/>
          <w:lang w:val="en-US" w:eastAsia="fr-FR"/>
        </w:rPr>
        <w:t>er</w:t>
      </w:r>
      <w:r w:rsidR="001A4DBE" w:rsidRPr="009E4F74">
        <w:rPr>
          <w:rFonts w:ascii="Arial" w:eastAsia="Times New Roman" w:hAnsi="Arial" w:cs="Arial"/>
          <w:b/>
          <w:bCs/>
          <w:sz w:val="20"/>
          <w:szCs w:val="20"/>
          <w:lang w:val="en-US" w:eastAsia="fr-FR"/>
        </w:rPr>
        <w:t>e</w:t>
      </w:r>
      <w:r w:rsidR="00504D26" w:rsidRPr="009E4F74">
        <w:rPr>
          <w:rFonts w:ascii="Arial" w:eastAsia="Times New Roman" w:hAnsi="Arial" w:cs="Arial"/>
          <w:b/>
          <w:bCs/>
          <w:sz w:val="20"/>
          <w:szCs w:val="20"/>
          <w:lang w:val="en-US" w:eastAsia="fr-FR"/>
        </w:rPr>
        <w:t xml:space="preserve">nces </w:t>
      </w:r>
      <w:r w:rsidR="001A4DBE" w:rsidRPr="009E4F74">
        <w:rPr>
          <w:rFonts w:ascii="Arial" w:eastAsia="Times New Roman" w:hAnsi="Arial" w:cs="Arial"/>
          <w:b/>
          <w:bCs/>
          <w:sz w:val="20"/>
          <w:szCs w:val="20"/>
          <w:lang w:val="en-US" w:eastAsia="fr-FR"/>
        </w:rPr>
        <w:t>th</w:t>
      </w:r>
      <w:r w:rsidR="00966411" w:rsidRPr="009E4F74">
        <w:rPr>
          <w:rFonts w:ascii="Arial" w:eastAsia="Times New Roman" w:hAnsi="Arial" w:cs="Arial"/>
          <w:b/>
          <w:bCs/>
          <w:sz w:val="20"/>
          <w:szCs w:val="20"/>
          <w:lang w:val="en-US" w:eastAsia="fr-FR"/>
        </w:rPr>
        <w:t>a</w:t>
      </w:r>
      <w:r w:rsidR="001A4DBE" w:rsidRPr="009E4F74">
        <w:rPr>
          <w:rFonts w:ascii="Arial" w:eastAsia="Times New Roman" w:hAnsi="Arial" w:cs="Arial"/>
          <w:b/>
          <w:bCs/>
          <w:sz w:val="20"/>
          <w:szCs w:val="20"/>
          <w:lang w:val="en-US" w:eastAsia="fr-FR"/>
        </w:rPr>
        <w:t xml:space="preserve">t do </w:t>
      </w:r>
      <w:r w:rsidR="00966411" w:rsidRPr="009E4F74">
        <w:rPr>
          <w:rFonts w:ascii="Arial" w:eastAsia="Times New Roman" w:hAnsi="Arial" w:cs="Arial"/>
          <w:b/>
          <w:bCs/>
          <w:sz w:val="20"/>
          <w:szCs w:val="20"/>
          <w:lang w:val="en-US" w:eastAsia="fr-FR"/>
        </w:rPr>
        <w:t>not</w:t>
      </w:r>
      <w:r w:rsidR="001A4DBE" w:rsidRPr="009E4F74">
        <w:rPr>
          <w:rFonts w:ascii="Arial" w:eastAsia="Times New Roman" w:hAnsi="Arial" w:cs="Arial"/>
          <w:b/>
          <w:bCs/>
          <w:sz w:val="20"/>
          <w:szCs w:val="20"/>
          <w:lang w:val="en-US" w:eastAsia="fr-FR"/>
        </w:rPr>
        <w:t xml:space="preserve"> meet the ISP’s offer</w:t>
      </w:r>
      <w:r w:rsidR="00966411" w:rsidRPr="009E4F74">
        <w:rPr>
          <w:rFonts w:ascii="Arial" w:eastAsia="Times New Roman" w:hAnsi="Arial" w:cs="Arial"/>
          <w:sz w:val="20"/>
          <w:szCs w:val="20"/>
          <w:lang w:val="en-US" w:eastAsia="fr-FR"/>
        </w:rPr>
        <w:t xml:space="preserve">. </w:t>
      </w:r>
    </w:p>
    <w:bookmarkEnd w:id="15"/>
    <w:bookmarkEnd w:id="16"/>
    <w:bookmarkEnd w:id="17"/>
    <w:p w14:paraId="52548F63" w14:textId="793B83B3" w:rsidR="00EC5F74" w:rsidRPr="009E4F74" w:rsidRDefault="00D63EC8" w:rsidP="00340699">
      <w:pPr>
        <w:spacing w:after="0" w:line="240" w:lineRule="atLeast"/>
        <w:jc w:val="both"/>
        <w:rPr>
          <w:rFonts w:ascii="Arial" w:eastAsia="Times New Roman" w:hAnsi="Arial" w:cs="Arial"/>
          <w:bCs/>
          <w:sz w:val="20"/>
          <w:szCs w:val="20"/>
          <w:lang w:val="en-US" w:eastAsia="fr-FR"/>
        </w:rPr>
      </w:pPr>
      <w:r w:rsidRPr="009E4F74">
        <w:rPr>
          <w:rFonts w:ascii="Arial" w:eastAsia="Times New Roman" w:hAnsi="Arial" w:cs="Arial"/>
          <w:sz w:val="20"/>
          <w:szCs w:val="20"/>
          <w:lang w:val="en-US" w:eastAsia="fr-FR"/>
        </w:rPr>
        <w:t xml:space="preserve">Concerning the proposed </w:t>
      </w:r>
      <w:r w:rsidR="00405E8E" w:rsidRPr="009E4F74">
        <w:rPr>
          <w:rFonts w:ascii="Arial" w:eastAsia="Times New Roman" w:hAnsi="Arial" w:cs="Arial"/>
          <w:b/>
          <w:bCs/>
          <w:sz w:val="20"/>
          <w:szCs w:val="20"/>
          <w:lang w:val="en-US" w:eastAsia="fr-FR"/>
        </w:rPr>
        <w:t>§</w:t>
      </w:r>
      <w:r w:rsidRPr="009E4F74">
        <w:rPr>
          <w:rFonts w:ascii="Arial" w:eastAsia="Times New Roman" w:hAnsi="Arial" w:cs="Arial"/>
          <w:b/>
          <w:bCs/>
          <w:sz w:val="20"/>
          <w:szCs w:val="20"/>
          <w:lang w:val="en-US" w:eastAsia="fr-FR"/>
        </w:rPr>
        <w:t xml:space="preserve"> </w:t>
      </w:r>
      <w:r w:rsidR="00405E8E" w:rsidRPr="009E4F74">
        <w:rPr>
          <w:rFonts w:ascii="Arial" w:eastAsia="Times New Roman" w:hAnsi="Arial" w:cs="Arial"/>
          <w:b/>
          <w:bCs/>
          <w:sz w:val="20"/>
          <w:szCs w:val="20"/>
          <w:lang w:val="en-US" w:eastAsia="fr-FR"/>
        </w:rPr>
        <w:t>84</w:t>
      </w:r>
      <w:r w:rsidR="00DD642A" w:rsidRPr="009E4F74">
        <w:rPr>
          <w:rFonts w:ascii="Arial" w:eastAsia="Times New Roman" w:hAnsi="Arial" w:cs="Arial"/>
          <w:sz w:val="20"/>
          <w:szCs w:val="20"/>
          <w:lang w:val="en-US" w:eastAsia="fr-FR"/>
        </w:rPr>
        <w:t>,</w:t>
      </w:r>
      <w:r w:rsidR="00B6740A" w:rsidRPr="009E4F74">
        <w:rPr>
          <w:rFonts w:ascii="Arial" w:eastAsia="Times New Roman" w:hAnsi="Arial" w:cs="Arial"/>
          <w:sz w:val="20"/>
          <w:szCs w:val="20"/>
          <w:lang w:val="en-US" w:eastAsia="fr-FR"/>
        </w:rPr>
        <w:t xml:space="preserve"> </w:t>
      </w:r>
      <w:r w:rsidR="00E67976" w:rsidRPr="009E4F74">
        <w:rPr>
          <w:rFonts w:ascii="Arial" w:eastAsia="Times New Roman" w:hAnsi="Arial" w:cs="Arial"/>
          <w:sz w:val="20"/>
          <w:szCs w:val="20"/>
          <w:lang w:val="en-US" w:eastAsia="fr-FR"/>
        </w:rPr>
        <w:t>FBF</w:t>
      </w:r>
      <w:r w:rsidR="009D7CDD" w:rsidRPr="009E4F74">
        <w:rPr>
          <w:rFonts w:ascii="Arial" w:eastAsia="Times New Roman" w:hAnsi="Arial" w:cs="Arial"/>
          <w:sz w:val="20"/>
          <w:szCs w:val="20"/>
          <w:lang w:val="en-US" w:eastAsia="fr-FR"/>
        </w:rPr>
        <w:t xml:space="preserve"> understands that if the cl</w:t>
      </w:r>
      <w:r w:rsidR="00CB2DC2" w:rsidRPr="009E4F74">
        <w:rPr>
          <w:rFonts w:ascii="Arial" w:eastAsia="Times New Roman" w:hAnsi="Arial" w:cs="Arial"/>
          <w:sz w:val="20"/>
          <w:szCs w:val="20"/>
          <w:lang w:val="en-US" w:eastAsia="fr-FR"/>
        </w:rPr>
        <w:t>i</w:t>
      </w:r>
      <w:r w:rsidR="009D7CDD" w:rsidRPr="009E4F74">
        <w:rPr>
          <w:rFonts w:ascii="Arial" w:eastAsia="Times New Roman" w:hAnsi="Arial" w:cs="Arial"/>
          <w:sz w:val="20"/>
          <w:szCs w:val="20"/>
          <w:lang w:val="en-US" w:eastAsia="fr-FR"/>
        </w:rPr>
        <w:t>ent has su</w:t>
      </w:r>
      <w:r w:rsidR="00CB2DC2" w:rsidRPr="009E4F74">
        <w:rPr>
          <w:rFonts w:ascii="Arial" w:eastAsia="Times New Roman" w:hAnsi="Arial" w:cs="Arial"/>
          <w:sz w:val="20"/>
          <w:szCs w:val="20"/>
          <w:lang w:val="en-US" w:eastAsia="fr-FR"/>
        </w:rPr>
        <w:t>s</w:t>
      </w:r>
      <w:r w:rsidR="009D7CDD" w:rsidRPr="009E4F74">
        <w:rPr>
          <w:rFonts w:ascii="Arial" w:eastAsia="Times New Roman" w:hAnsi="Arial" w:cs="Arial"/>
          <w:sz w:val="20"/>
          <w:szCs w:val="20"/>
          <w:lang w:val="en-US" w:eastAsia="fr-FR"/>
        </w:rPr>
        <w:t>tainabil</w:t>
      </w:r>
      <w:r w:rsidR="00CB2DC2" w:rsidRPr="009E4F74">
        <w:rPr>
          <w:rFonts w:ascii="Arial" w:eastAsia="Times New Roman" w:hAnsi="Arial" w:cs="Arial"/>
          <w:sz w:val="20"/>
          <w:szCs w:val="20"/>
          <w:lang w:val="en-US" w:eastAsia="fr-FR"/>
        </w:rPr>
        <w:t>i</w:t>
      </w:r>
      <w:r w:rsidR="009D7CDD" w:rsidRPr="009E4F74">
        <w:rPr>
          <w:rFonts w:ascii="Arial" w:eastAsia="Times New Roman" w:hAnsi="Arial" w:cs="Arial"/>
          <w:sz w:val="20"/>
          <w:szCs w:val="20"/>
          <w:lang w:val="en-US" w:eastAsia="fr-FR"/>
        </w:rPr>
        <w:t xml:space="preserve">ty preferences </w:t>
      </w:r>
      <w:r w:rsidR="00D15390" w:rsidRPr="009E4F74">
        <w:rPr>
          <w:rFonts w:ascii="Arial" w:eastAsia="Times New Roman" w:hAnsi="Arial" w:cs="Arial"/>
          <w:sz w:val="20"/>
          <w:szCs w:val="20"/>
          <w:lang w:val="en-US" w:eastAsia="fr-FR"/>
        </w:rPr>
        <w:t xml:space="preserve">and the </w:t>
      </w:r>
      <w:r w:rsidR="00D15390" w:rsidRPr="009E4F74">
        <w:rPr>
          <w:rFonts w:ascii="Arial" w:eastAsia="Times New Roman" w:hAnsi="Arial" w:cs="Arial"/>
          <w:bCs/>
          <w:sz w:val="20"/>
          <w:szCs w:val="20"/>
          <w:lang w:val="en-US" w:eastAsia="fr-FR"/>
        </w:rPr>
        <w:t xml:space="preserve">firm does not have any ESG products, no advice should be possible and hence no </w:t>
      </w:r>
      <w:r w:rsidR="003A66A1" w:rsidRPr="009E4F74">
        <w:rPr>
          <w:rFonts w:ascii="Arial" w:eastAsia="Times New Roman" w:hAnsi="Arial" w:cs="Arial"/>
          <w:bCs/>
          <w:sz w:val="20"/>
          <w:szCs w:val="20"/>
          <w:lang w:val="en-US" w:eastAsia="fr-FR"/>
        </w:rPr>
        <w:t xml:space="preserve">suitability report </w:t>
      </w:r>
      <w:r w:rsidR="00E50F9F" w:rsidRPr="009E4F74">
        <w:rPr>
          <w:rFonts w:ascii="Arial" w:eastAsia="Times New Roman" w:hAnsi="Arial" w:cs="Arial"/>
          <w:bCs/>
          <w:sz w:val="20"/>
          <w:szCs w:val="20"/>
          <w:lang w:val="en-US" w:eastAsia="fr-FR"/>
        </w:rPr>
        <w:t xml:space="preserve">would have to </w:t>
      </w:r>
      <w:r w:rsidR="008D5CF7" w:rsidRPr="009E4F74">
        <w:rPr>
          <w:rFonts w:ascii="Arial" w:eastAsia="Times New Roman" w:hAnsi="Arial" w:cs="Arial"/>
          <w:bCs/>
          <w:sz w:val="20"/>
          <w:szCs w:val="20"/>
          <w:lang w:val="en-US" w:eastAsia="fr-FR"/>
        </w:rPr>
        <w:t>be elaborate</w:t>
      </w:r>
      <w:r w:rsidR="00E00FD7" w:rsidRPr="009E4F74">
        <w:rPr>
          <w:rFonts w:ascii="Arial" w:eastAsia="Times New Roman" w:hAnsi="Arial" w:cs="Arial"/>
          <w:bCs/>
          <w:sz w:val="20"/>
          <w:szCs w:val="20"/>
          <w:lang w:val="en-US" w:eastAsia="fr-FR"/>
        </w:rPr>
        <w:t>d</w:t>
      </w:r>
      <w:r w:rsidR="008D5CF7" w:rsidRPr="009E4F74">
        <w:rPr>
          <w:rFonts w:ascii="Arial" w:eastAsia="Times New Roman" w:hAnsi="Arial" w:cs="Arial"/>
          <w:bCs/>
          <w:sz w:val="20"/>
          <w:szCs w:val="20"/>
          <w:lang w:val="en-US" w:eastAsia="fr-FR"/>
        </w:rPr>
        <w:t xml:space="preserve"> and </w:t>
      </w:r>
      <w:r w:rsidR="003A66A1" w:rsidRPr="009E4F74">
        <w:rPr>
          <w:rFonts w:ascii="Arial" w:eastAsia="Times New Roman" w:hAnsi="Arial" w:cs="Arial"/>
          <w:bCs/>
          <w:sz w:val="20"/>
          <w:szCs w:val="20"/>
          <w:lang w:val="en-US" w:eastAsia="fr-FR"/>
        </w:rPr>
        <w:t xml:space="preserve">sent. </w:t>
      </w:r>
      <w:proofErr w:type="gramStart"/>
      <w:r w:rsidR="00BC278B" w:rsidRPr="009E4F74">
        <w:rPr>
          <w:rFonts w:ascii="Arial" w:eastAsia="Times New Roman" w:hAnsi="Arial" w:cs="Arial"/>
          <w:b/>
          <w:sz w:val="20"/>
          <w:szCs w:val="20"/>
          <w:lang w:val="en-US" w:eastAsia="fr-FR"/>
        </w:rPr>
        <w:t>Therefore</w:t>
      </w:r>
      <w:proofErr w:type="gramEnd"/>
      <w:r w:rsidR="00BC278B" w:rsidRPr="009E4F74">
        <w:rPr>
          <w:rFonts w:ascii="Arial" w:eastAsia="Times New Roman" w:hAnsi="Arial" w:cs="Arial"/>
          <w:b/>
          <w:sz w:val="20"/>
          <w:szCs w:val="20"/>
          <w:lang w:val="en-US" w:eastAsia="fr-FR"/>
        </w:rPr>
        <w:t xml:space="preserve"> </w:t>
      </w:r>
      <w:r w:rsidR="00E67976" w:rsidRPr="009E4F74">
        <w:rPr>
          <w:rFonts w:ascii="Arial" w:eastAsia="Times New Roman" w:hAnsi="Arial" w:cs="Arial"/>
          <w:b/>
          <w:sz w:val="20"/>
          <w:szCs w:val="20"/>
          <w:lang w:val="en-US" w:eastAsia="fr-FR"/>
        </w:rPr>
        <w:t>FBF</w:t>
      </w:r>
      <w:r w:rsidR="00BC278B" w:rsidRPr="009E4F74">
        <w:rPr>
          <w:rFonts w:ascii="Arial" w:eastAsia="Times New Roman" w:hAnsi="Arial" w:cs="Arial"/>
          <w:b/>
          <w:sz w:val="20"/>
          <w:szCs w:val="20"/>
          <w:lang w:val="en-US" w:eastAsia="fr-FR"/>
        </w:rPr>
        <w:t xml:space="preserve"> suggests such </w:t>
      </w:r>
      <w:r w:rsidR="00360F63" w:rsidRPr="009E4F74">
        <w:rPr>
          <w:rFonts w:ascii="Arial" w:eastAsia="Times New Roman" w:hAnsi="Arial" w:cs="Arial"/>
          <w:b/>
          <w:sz w:val="20"/>
          <w:szCs w:val="20"/>
          <w:lang w:val="en-US" w:eastAsia="fr-FR"/>
        </w:rPr>
        <w:t>paragraph should be deleted</w:t>
      </w:r>
      <w:r w:rsidR="00360F63" w:rsidRPr="009E4F74">
        <w:rPr>
          <w:rFonts w:ascii="Arial" w:eastAsia="Times New Roman" w:hAnsi="Arial" w:cs="Arial"/>
          <w:bCs/>
          <w:sz w:val="20"/>
          <w:szCs w:val="20"/>
          <w:lang w:val="en-US" w:eastAsia="fr-FR"/>
        </w:rPr>
        <w:t>.</w:t>
      </w:r>
    </w:p>
    <w:bookmarkEnd w:id="11"/>
    <w:p w14:paraId="13201FD3" w14:textId="77777777" w:rsidR="006167E0" w:rsidRPr="009E4F74" w:rsidRDefault="006167E0" w:rsidP="00EC7D12">
      <w:pPr>
        <w:spacing w:after="0" w:line="240" w:lineRule="atLeast"/>
        <w:jc w:val="both"/>
        <w:rPr>
          <w:rFonts w:ascii="Arial" w:eastAsia="Times New Roman" w:hAnsi="Arial" w:cs="Arial"/>
          <w:bCs/>
          <w:sz w:val="20"/>
          <w:szCs w:val="20"/>
          <w:lang w:val="en-US" w:eastAsia="fr-FR"/>
        </w:rPr>
      </w:pPr>
    </w:p>
    <w:bookmarkEnd w:id="14"/>
    <w:p w14:paraId="3D9039F7" w14:textId="77777777" w:rsidR="00E97C88" w:rsidRPr="009E4F74" w:rsidRDefault="00E97C88" w:rsidP="00EC7D12">
      <w:pPr>
        <w:spacing w:after="0" w:line="240" w:lineRule="atLeast"/>
        <w:jc w:val="both"/>
        <w:rPr>
          <w:rFonts w:ascii="Arial" w:eastAsia="Times New Roman" w:hAnsi="Arial" w:cs="Arial"/>
          <w:bCs/>
          <w:sz w:val="20"/>
          <w:szCs w:val="20"/>
          <w:lang w:val="en-US" w:eastAsia="fr-FR"/>
        </w:rPr>
      </w:pPr>
    </w:p>
    <w:p w14:paraId="71BC2DC8" w14:textId="2612DE03" w:rsidR="00067DA0" w:rsidRPr="009E4F74" w:rsidRDefault="00067DA0"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roofErr w:type="gramStart"/>
      <w:r w:rsidRPr="009E4F74">
        <w:rPr>
          <w:rFonts w:ascii="Arial" w:eastAsia="Times New Roman" w:hAnsi="Arial" w:cs="Arial"/>
          <w:b/>
          <w:bCs/>
          <w:color w:val="000000"/>
          <w:sz w:val="20"/>
          <w:szCs w:val="20"/>
          <w:lang w:val="en-GB" w:eastAsia="fr-FR"/>
        </w:rPr>
        <w:t>Q11</w:t>
      </w:r>
      <w:proofErr w:type="gramEnd"/>
      <w:r w:rsidRPr="009E4F74">
        <w:rPr>
          <w:rFonts w:ascii="Arial" w:eastAsia="Times New Roman" w:hAnsi="Arial" w:cs="Arial"/>
          <w:b/>
          <w:bCs/>
          <w:color w:val="000000"/>
          <w:sz w:val="20"/>
          <w:szCs w:val="20"/>
          <w:lang w:val="en-GB" w:eastAsia="fr-FR"/>
        </w:rPr>
        <w:tab/>
      </w:r>
      <w:r w:rsidR="00A0079C" w:rsidRPr="009E4F74">
        <w:rPr>
          <w:rFonts w:ascii="Arial" w:eastAsia="Times New Roman" w:hAnsi="Arial" w:cs="Arial"/>
          <w:b/>
          <w:bCs/>
          <w:color w:val="000000"/>
          <w:sz w:val="20"/>
          <w:szCs w:val="20"/>
          <w:lang w:val="en-US" w:eastAsia="fr-FR"/>
        </w:rPr>
        <w:t>Do you agree with the approach outlined with regards to the situation where the firm can recommend a product that does not meet the client’s preferences once the client has adapted such preferences? Do you believe that the guideline should be more detailed? Please also state the reasons for your answer.</w:t>
      </w:r>
    </w:p>
    <w:p w14:paraId="30C1EE75" w14:textId="5496CD54" w:rsidR="00204262" w:rsidRPr="009E4F74" w:rsidRDefault="00204262" w:rsidP="00731FD9">
      <w:pPr>
        <w:autoSpaceDE w:val="0"/>
        <w:autoSpaceDN w:val="0"/>
        <w:adjustRightInd w:val="0"/>
        <w:spacing w:after="0" w:line="240" w:lineRule="atLeast"/>
        <w:jc w:val="both"/>
        <w:rPr>
          <w:rFonts w:ascii="Arial" w:eastAsia="Times New Roman" w:hAnsi="Arial" w:cs="Arial"/>
          <w:color w:val="212121"/>
          <w:sz w:val="20"/>
          <w:szCs w:val="20"/>
          <w:shd w:val="clear" w:color="auto" w:fill="FFFFFF"/>
          <w:lang w:val="en-GB" w:eastAsia="fr-FR"/>
        </w:rPr>
      </w:pPr>
    </w:p>
    <w:p w14:paraId="37EE1C2A" w14:textId="5AFBB9DB" w:rsidR="007245E1" w:rsidRPr="009E4F74" w:rsidRDefault="00CB5E90" w:rsidP="007245E1">
      <w:pPr>
        <w:spacing w:after="0" w:line="240" w:lineRule="atLeast"/>
        <w:jc w:val="both"/>
        <w:rPr>
          <w:rFonts w:ascii="Arial" w:eastAsia="Times New Roman" w:hAnsi="Arial" w:cs="Arial"/>
          <w:color w:val="212121"/>
          <w:sz w:val="20"/>
          <w:szCs w:val="20"/>
          <w:shd w:val="clear" w:color="auto" w:fill="FFFFFF"/>
          <w:lang w:val="en-GB" w:eastAsia="fr-FR"/>
        </w:rPr>
      </w:pPr>
      <w:r w:rsidRPr="009E4F74">
        <w:rPr>
          <w:rFonts w:ascii="Arial" w:eastAsia="Times New Roman" w:hAnsi="Arial" w:cs="Arial"/>
          <w:color w:val="212121"/>
          <w:sz w:val="20"/>
          <w:szCs w:val="20"/>
          <w:shd w:val="clear" w:color="auto" w:fill="FFFFFF"/>
          <w:lang w:val="en-GB" w:eastAsia="fr-FR"/>
        </w:rPr>
        <w:t>No</w:t>
      </w:r>
      <w:r w:rsidR="00C365B5" w:rsidRPr="009E4F74">
        <w:rPr>
          <w:rFonts w:ascii="Arial" w:eastAsia="Times New Roman" w:hAnsi="Arial" w:cs="Arial"/>
          <w:color w:val="212121"/>
          <w:sz w:val="20"/>
          <w:szCs w:val="20"/>
          <w:shd w:val="clear" w:color="auto" w:fill="FFFFFF"/>
          <w:lang w:val="en-GB" w:eastAsia="fr-FR"/>
        </w:rPr>
        <w:t>,</w:t>
      </w:r>
      <w:r w:rsidRPr="009E4F74">
        <w:rPr>
          <w:rFonts w:ascii="Arial" w:eastAsia="Times New Roman" w:hAnsi="Arial" w:cs="Arial"/>
          <w:color w:val="212121"/>
          <w:sz w:val="20"/>
          <w:szCs w:val="20"/>
          <w:shd w:val="clear" w:color="auto" w:fill="FFFFFF"/>
          <w:lang w:val="en-GB" w:eastAsia="fr-FR"/>
        </w:rPr>
        <w:t xml:space="preserve"> </w:t>
      </w:r>
      <w:r w:rsidR="00E67976" w:rsidRPr="009E4F74">
        <w:rPr>
          <w:rFonts w:ascii="Arial" w:eastAsia="Times New Roman" w:hAnsi="Arial" w:cs="Arial"/>
          <w:color w:val="212121"/>
          <w:sz w:val="20"/>
          <w:szCs w:val="20"/>
          <w:shd w:val="clear" w:color="auto" w:fill="FFFFFF"/>
          <w:lang w:val="en-GB" w:eastAsia="fr-FR"/>
        </w:rPr>
        <w:t>FBF</w:t>
      </w:r>
      <w:r w:rsidRPr="009E4F74">
        <w:rPr>
          <w:rFonts w:ascii="Arial" w:eastAsia="Times New Roman" w:hAnsi="Arial" w:cs="Arial"/>
          <w:color w:val="212121"/>
          <w:sz w:val="20"/>
          <w:szCs w:val="20"/>
          <w:shd w:val="clear" w:color="auto" w:fill="FFFFFF"/>
          <w:lang w:val="en-GB" w:eastAsia="fr-FR"/>
        </w:rPr>
        <w:t xml:space="preserve"> does not agree </w:t>
      </w:r>
      <w:r w:rsidR="00007835" w:rsidRPr="009E4F74">
        <w:rPr>
          <w:rFonts w:ascii="Arial" w:eastAsia="Times New Roman" w:hAnsi="Arial" w:cs="Arial"/>
          <w:color w:val="212121"/>
          <w:sz w:val="20"/>
          <w:szCs w:val="20"/>
          <w:shd w:val="clear" w:color="auto" w:fill="FFFFFF"/>
          <w:lang w:val="en-GB" w:eastAsia="fr-FR"/>
        </w:rPr>
        <w:t xml:space="preserve">with the fact </w:t>
      </w:r>
      <w:r w:rsidR="00BC33D1" w:rsidRPr="009E4F74">
        <w:rPr>
          <w:rFonts w:ascii="Arial" w:eastAsia="Times New Roman" w:hAnsi="Arial" w:cs="Arial"/>
          <w:color w:val="212121"/>
          <w:sz w:val="20"/>
          <w:szCs w:val="20"/>
          <w:shd w:val="clear" w:color="auto" w:fill="FFFFFF"/>
          <w:lang w:val="en-GB" w:eastAsia="fr-FR"/>
        </w:rPr>
        <w:t xml:space="preserve">that </w:t>
      </w:r>
      <w:r w:rsidR="00B2172B" w:rsidRPr="009E4F74">
        <w:rPr>
          <w:rFonts w:ascii="Arial" w:eastAsia="Times New Roman" w:hAnsi="Arial" w:cs="Arial"/>
          <w:color w:val="212121"/>
          <w:sz w:val="20"/>
          <w:szCs w:val="20"/>
          <w:shd w:val="clear" w:color="auto" w:fill="FFFFFF"/>
          <w:lang w:val="en-GB" w:eastAsia="fr-FR"/>
        </w:rPr>
        <w:t xml:space="preserve">the </w:t>
      </w:r>
      <w:r w:rsidR="007245E1" w:rsidRPr="009E4F74">
        <w:rPr>
          <w:rFonts w:ascii="Arial" w:eastAsia="Times New Roman" w:hAnsi="Arial" w:cs="Arial"/>
          <w:color w:val="212121"/>
          <w:sz w:val="20"/>
          <w:szCs w:val="20"/>
          <w:shd w:val="clear" w:color="auto" w:fill="FFFFFF"/>
          <w:lang w:val="en-GB" w:eastAsia="fr-FR"/>
        </w:rPr>
        <w:t>adaptation</w:t>
      </w:r>
      <w:r w:rsidR="00B2172B" w:rsidRPr="009E4F74">
        <w:rPr>
          <w:rFonts w:ascii="Arial" w:eastAsia="Times New Roman" w:hAnsi="Arial" w:cs="Arial"/>
          <w:color w:val="212121"/>
          <w:sz w:val="20"/>
          <w:szCs w:val="20"/>
          <w:shd w:val="clear" w:color="auto" w:fill="FFFFFF"/>
          <w:lang w:val="en-GB" w:eastAsia="fr-FR"/>
        </w:rPr>
        <w:t xml:space="preserve"> of client</w:t>
      </w:r>
      <w:r w:rsidR="007245E1" w:rsidRPr="009E4F74">
        <w:rPr>
          <w:rFonts w:ascii="Arial" w:eastAsia="Times New Roman" w:hAnsi="Arial" w:cs="Arial"/>
          <w:color w:val="212121"/>
          <w:sz w:val="20"/>
          <w:szCs w:val="20"/>
          <w:shd w:val="clear" w:color="auto" w:fill="FFFFFF"/>
          <w:lang w:val="en-GB" w:eastAsia="fr-FR"/>
        </w:rPr>
        <w:t>’s sustainability preferences “</w:t>
      </w:r>
      <w:r w:rsidR="007245E1" w:rsidRPr="009E4F74">
        <w:rPr>
          <w:rFonts w:ascii="Arial" w:eastAsia="Times New Roman" w:hAnsi="Arial" w:cs="Arial"/>
          <w:i/>
          <w:iCs/>
          <w:color w:val="212121"/>
          <w:sz w:val="20"/>
          <w:szCs w:val="20"/>
          <w:shd w:val="clear" w:color="auto" w:fill="FFFFFF"/>
          <w:lang w:val="en-GB" w:eastAsia="fr-FR"/>
        </w:rPr>
        <w:t>should only refer to the advice in question and not to the client’s profile in general</w:t>
      </w:r>
      <w:r w:rsidR="007245E1" w:rsidRPr="009E4F74">
        <w:rPr>
          <w:rFonts w:ascii="Arial" w:eastAsia="Times New Roman" w:hAnsi="Arial" w:cs="Arial"/>
          <w:color w:val="212121"/>
          <w:sz w:val="20"/>
          <w:szCs w:val="20"/>
          <w:shd w:val="clear" w:color="auto" w:fill="FFFFFF"/>
          <w:lang w:val="en-GB" w:eastAsia="fr-FR"/>
        </w:rPr>
        <w:t xml:space="preserve">”. </w:t>
      </w:r>
      <w:r w:rsidR="0096701B" w:rsidRPr="009E4F74">
        <w:rPr>
          <w:rFonts w:ascii="Arial" w:eastAsia="Times New Roman" w:hAnsi="Arial" w:cs="Arial"/>
          <w:color w:val="212121"/>
          <w:sz w:val="20"/>
          <w:szCs w:val="20"/>
          <w:shd w:val="clear" w:color="auto" w:fill="FFFFFF"/>
          <w:lang w:val="en-GB" w:eastAsia="fr-FR"/>
        </w:rPr>
        <w:t xml:space="preserve">See </w:t>
      </w:r>
      <w:r w:rsidR="00E67976" w:rsidRPr="009E4F74">
        <w:rPr>
          <w:rFonts w:ascii="Arial" w:eastAsia="Times New Roman" w:hAnsi="Arial" w:cs="Arial"/>
          <w:color w:val="212121"/>
          <w:sz w:val="20"/>
          <w:szCs w:val="20"/>
          <w:shd w:val="clear" w:color="auto" w:fill="FFFFFF"/>
          <w:lang w:val="en-GB" w:eastAsia="fr-FR"/>
        </w:rPr>
        <w:t>FBF</w:t>
      </w:r>
      <w:r w:rsidR="003123C6" w:rsidRPr="009E4F74">
        <w:rPr>
          <w:rFonts w:ascii="Arial" w:eastAsia="Times New Roman" w:hAnsi="Arial" w:cs="Arial"/>
          <w:color w:val="212121"/>
          <w:sz w:val="20"/>
          <w:szCs w:val="20"/>
          <w:shd w:val="clear" w:color="auto" w:fill="FFFFFF"/>
          <w:lang w:val="en-GB" w:eastAsia="fr-FR"/>
        </w:rPr>
        <w:t>’s</w:t>
      </w:r>
      <w:r w:rsidR="0096701B" w:rsidRPr="009E4F74">
        <w:rPr>
          <w:rFonts w:ascii="Arial" w:eastAsia="Times New Roman" w:hAnsi="Arial" w:cs="Arial"/>
          <w:color w:val="212121"/>
          <w:sz w:val="20"/>
          <w:szCs w:val="20"/>
          <w:shd w:val="clear" w:color="auto" w:fill="FFFFFF"/>
          <w:lang w:val="en-GB" w:eastAsia="fr-FR"/>
        </w:rPr>
        <w:t xml:space="preserve"> answer to Q10 above. </w:t>
      </w:r>
    </w:p>
    <w:p w14:paraId="08A2A537" w14:textId="3F7EF3FA" w:rsidR="00C6189F" w:rsidRPr="009E4F74" w:rsidRDefault="00756C14" w:rsidP="00756C14">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 xml:space="preserve"> </w:t>
      </w:r>
    </w:p>
    <w:p w14:paraId="7B87262A" w14:textId="06160052" w:rsidR="00756C14" w:rsidRPr="009E4F74" w:rsidRDefault="00E67976" w:rsidP="00756C14">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FBF</w:t>
      </w:r>
      <w:r w:rsidR="00756C14" w:rsidRPr="009E4F74">
        <w:rPr>
          <w:rFonts w:ascii="Arial" w:eastAsia="Times New Roman" w:hAnsi="Arial" w:cs="Arial"/>
          <w:color w:val="000000"/>
          <w:sz w:val="20"/>
          <w:szCs w:val="20"/>
          <w:lang w:val="en-GB" w:eastAsia="fr-FR"/>
        </w:rPr>
        <w:t xml:space="preserve"> is concerned that such an approach would not be workable in practice:</w:t>
      </w:r>
    </w:p>
    <w:p w14:paraId="0AD011D2" w14:textId="77777777" w:rsidR="00756C14" w:rsidRPr="009E4F74" w:rsidRDefault="00756C14" w:rsidP="00756C14">
      <w:pPr>
        <w:pStyle w:val="Paragraphedeliste"/>
        <w:numPr>
          <w:ilvl w:val="0"/>
          <w:numId w:val="16"/>
        </w:num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 xml:space="preserve"> In case of ongoing advice: if a client previously performed transactions based on adapted preferences, and an ongoing advice is provided afterwards in consideration of the initial client profile, such transactions will necessarily appear unsuitable. This will then trigger another adaptation of the client’s preferences that is likely to result in the same conclusion as the previous one, providing no added value both for the client and for the ISP. </w:t>
      </w:r>
    </w:p>
    <w:p w14:paraId="6B4862CE" w14:textId="05FFA87E" w:rsidR="00756C14" w:rsidRPr="009E4F74" w:rsidRDefault="00756C14" w:rsidP="00756C14">
      <w:pPr>
        <w:pStyle w:val="Paragraphedeliste"/>
        <w:numPr>
          <w:ilvl w:val="0"/>
          <w:numId w:val="16"/>
        </w:num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For multiple transactions-based advice, such an approach will result in repeated adaptations by clients of their preferences, which is likely to cause them annoyance</w:t>
      </w:r>
      <w:r w:rsidR="0023271A" w:rsidRPr="009E4F74">
        <w:rPr>
          <w:rFonts w:ascii="Arial" w:eastAsia="Times New Roman" w:hAnsi="Arial" w:cs="Arial"/>
          <w:color w:val="000000"/>
          <w:sz w:val="20"/>
          <w:szCs w:val="20"/>
          <w:lang w:val="en-GB" w:eastAsia="fr-FR"/>
        </w:rPr>
        <w:t>.</w:t>
      </w:r>
    </w:p>
    <w:p w14:paraId="5303578B" w14:textId="151703A3" w:rsidR="00756C14" w:rsidRPr="009E4F74" w:rsidRDefault="00756C14" w:rsidP="00756C14">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 xml:space="preserve">According to </w:t>
      </w:r>
      <w:r w:rsidR="00E67976" w:rsidRPr="009E4F74">
        <w:rPr>
          <w:rFonts w:ascii="Arial" w:eastAsia="Times New Roman" w:hAnsi="Arial" w:cs="Arial"/>
          <w:color w:val="000000"/>
          <w:sz w:val="20"/>
          <w:szCs w:val="20"/>
          <w:lang w:val="en-GB" w:eastAsia="fr-FR"/>
        </w:rPr>
        <w:t>FBF</w:t>
      </w:r>
      <w:r w:rsidRPr="009E4F74">
        <w:rPr>
          <w:rFonts w:ascii="Arial" w:eastAsia="Times New Roman" w:hAnsi="Arial" w:cs="Arial"/>
          <w:color w:val="000000"/>
          <w:sz w:val="20"/>
          <w:szCs w:val="20"/>
          <w:lang w:val="en-GB" w:eastAsia="fr-FR"/>
        </w:rPr>
        <w:t>, this is not a good outcome in a context where clients already complain about too much information being provided to and asked from them and burdensome processes to invest in financial markets.</w:t>
      </w:r>
    </w:p>
    <w:p w14:paraId="4242601D" w14:textId="77777777" w:rsidR="00756C14" w:rsidRPr="009E4F74" w:rsidRDefault="00756C14" w:rsidP="00756C14">
      <w:pPr>
        <w:spacing w:after="0" w:line="240" w:lineRule="atLeast"/>
        <w:jc w:val="both"/>
        <w:rPr>
          <w:rFonts w:ascii="Arial" w:eastAsia="Times New Roman" w:hAnsi="Arial" w:cs="Arial"/>
          <w:color w:val="000000"/>
          <w:sz w:val="20"/>
          <w:szCs w:val="20"/>
          <w:lang w:val="en-GB" w:eastAsia="fr-FR"/>
        </w:rPr>
      </w:pPr>
    </w:p>
    <w:p w14:paraId="076E129A" w14:textId="2EF34062" w:rsidR="00756C14" w:rsidRPr="009E4F74" w:rsidRDefault="00756C14" w:rsidP="00756C14">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lastRenderedPageBreak/>
        <w:t xml:space="preserve">Therefore, in </w:t>
      </w:r>
      <w:r w:rsidR="00E67976" w:rsidRPr="009E4F74">
        <w:rPr>
          <w:rFonts w:ascii="Arial" w:eastAsia="Times New Roman" w:hAnsi="Arial" w:cs="Arial"/>
          <w:color w:val="000000"/>
          <w:sz w:val="20"/>
          <w:szCs w:val="20"/>
          <w:lang w:val="en-GB" w:eastAsia="fr-FR"/>
        </w:rPr>
        <w:t>FBF</w:t>
      </w:r>
      <w:r w:rsidRPr="009E4F74">
        <w:rPr>
          <w:rFonts w:ascii="Arial" w:eastAsia="Times New Roman" w:hAnsi="Arial" w:cs="Arial"/>
          <w:color w:val="000000"/>
          <w:sz w:val="20"/>
          <w:szCs w:val="20"/>
          <w:lang w:val="en-GB" w:eastAsia="fr-FR"/>
        </w:rPr>
        <w:t xml:space="preserve">’s view, the only workable way to proceed </w:t>
      </w:r>
      <w:r w:rsidRPr="009E4F74">
        <w:rPr>
          <w:rFonts w:ascii="Arial" w:eastAsia="Times New Roman" w:hAnsi="Arial" w:cs="Arial"/>
          <w:b/>
          <w:bCs/>
          <w:color w:val="000000"/>
          <w:sz w:val="20"/>
          <w:szCs w:val="20"/>
          <w:lang w:val="en-GB" w:eastAsia="fr-FR"/>
        </w:rPr>
        <w:t xml:space="preserve">is adapting the client’s profile </w:t>
      </w:r>
      <w:proofErr w:type="gramStart"/>
      <w:r w:rsidRPr="009E4F74">
        <w:rPr>
          <w:rFonts w:ascii="Arial" w:eastAsia="Times New Roman" w:hAnsi="Arial" w:cs="Arial"/>
          <w:b/>
          <w:bCs/>
          <w:color w:val="000000"/>
          <w:sz w:val="20"/>
          <w:szCs w:val="20"/>
          <w:lang w:val="en-GB" w:eastAsia="fr-FR"/>
        </w:rPr>
        <w:t>as a consequence of</w:t>
      </w:r>
      <w:proofErr w:type="gramEnd"/>
      <w:r w:rsidRPr="009E4F74">
        <w:rPr>
          <w:rFonts w:ascii="Arial" w:eastAsia="Times New Roman" w:hAnsi="Arial" w:cs="Arial"/>
          <w:b/>
          <w:bCs/>
          <w:color w:val="000000"/>
          <w:sz w:val="20"/>
          <w:szCs w:val="20"/>
          <w:lang w:val="en-GB" w:eastAsia="fr-FR"/>
        </w:rPr>
        <w:t xml:space="preserve"> the adaptation process</w:t>
      </w:r>
      <w:r w:rsidRPr="009E4F74">
        <w:rPr>
          <w:rFonts w:ascii="Arial" w:eastAsia="Times New Roman" w:hAnsi="Arial" w:cs="Arial"/>
          <w:color w:val="000000"/>
          <w:sz w:val="20"/>
          <w:szCs w:val="20"/>
          <w:lang w:val="en-GB" w:eastAsia="fr-FR"/>
        </w:rPr>
        <w:t xml:space="preserve"> provided under 3</w:t>
      </w:r>
      <w:r w:rsidRPr="009E4F74">
        <w:rPr>
          <w:rFonts w:ascii="Arial" w:eastAsia="Times New Roman" w:hAnsi="Arial" w:cs="Arial"/>
          <w:color w:val="000000"/>
          <w:sz w:val="20"/>
          <w:szCs w:val="20"/>
          <w:vertAlign w:val="superscript"/>
          <w:lang w:val="en-GB" w:eastAsia="fr-FR"/>
        </w:rPr>
        <w:t>rd</w:t>
      </w:r>
      <w:r w:rsidRPr="009E4F74">
        <w:rPr>
          <w:rFonts w:ascii="Arial" w:eastAsia="Times New Roman" w:hAnsi="Arial" w:cs="Arial"/>
          <w:color w:val="000000"/>
          <w:sz w:val="20"/>
          <w:szCs w:val="20"/>
          <w:lang w:val="en-GB" w:eastAsia="fr-FR"/>
        </w:rPr>
        <w:t xml:space="preserve"> indent §10 of </w:t>
      </w:r>
      <w:r w:rsidR="001C7DE8" w:rsidRPr="009E4F74">
        <w:rPr>
          <w:rFonts w:ascii="Arial" w:eastAsia="Times New Roman" w:hAnsi="Arial" w:cs="Arial"/>
          <w:color w:val="000000"/>
          <w:sz w:val="20"/>
          <w:szCs w:val="20"/>
          <w:lang w:val="en-GB" w:eastAsia="fr-FR"/>
        </w:rPr>
        <w:t xml:space="preserve">the </w:t>
      </w:r>
      <w:r w:rsidRPr="009E4F74">
        <w:rPr>
          <w:rFonts w:ascii="Arial" w:eastAsia="Times New Roman" w:hAnsi="Arial" w:cs="Arial"/>
          <w:color w:val="000000"/>
          <w:sz w:val="20"/>
          <w:szCs w:val="20"/>
          <w:lang w:val="en-GB" w:eastAsia="fr-FR"/>
        </w:rPr>
        <w:t xml:space="preserve">revised article 54 </w:t>
      </w:r>
      <w:r w:rsidR="00DE4B9C" w:rsidRPr="009E4F74">
        <w:rPr>
          <w:rFonts w:ascii="Arial" w:eastAsia="Times New Roman" w:hAnsi="Arial" w:cs="Arial"/>
          <w:color w:val="000000"/>
          <w:sz w:val="20"/>
          <w:szCs w:val="20"/>
          <w:lang w:val="en-GB" w:eastAsia="fr-FR"/>
        </w:rPr>
        <w:t xml:space="preserve">of </w:t>
      </w:r>
      <w:r w:rsidRPr="009E4F74">
        <w:rPr>
          <w:rFonts w:ascii="Arial" w:eastAsia="Times New Roman" w:hAnsi="Arial" w:cs="Arial"/>
          <w:color w:val="000000"/>
          <w:sz w:val="20"/>
          <w:szCs w:val="20"/>
          <w:lang w:val="en-GB" w:eastAsia="fr-FR"/>
        </w:rPr>
        <w:t>Delegated Regulation 2017/565. This would avoid the drawbacks described above without preventing the client’s from benefiting from new ESG products made available, as the client’s profile would be regularly upgraded</w:t>
      </w:r>
      <w:r w:rsidR="004B3A28" w:rsidRPr="009E4F74">
        <w:rPr>
          <w:rFonts w:ascii="Arial" w:eastAsia="Times New Roman" w:hAnsi="Arial" w:cs="Arial"/>
          <w:color w:val="000000"/>
          <w:sz w:val="20"/>
          <w:szCs w:val="20"/>
          <w:lang w:val="en-GB" w:eastAsia="fr-FR"/>
        </w:rPr>
        <w:t xml:space="preserve"> to follow market evolutions.</w:t>
      </w:r>
    </w:p>
    <w:p w14:paraId="10056EB0" w14:textId="44F9C3F9" w:rsidR="007245E1" w:rsidRPr="009E4F74" w:rsidRDefault="007245E1" w:rsidP="007245E1">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 xml:space="preserve">Therefore, </w:t>
      </w:r>
      <w:r w:rsidR="004C57FB" w:rsidRPr="009E4F74">
        <w:rPr>
          <w:rFonts w:ascii="Arial" w:eastAsia="Times New Roman" w:hAnsi="Arial" w:cs="Arial"/>
          <w:color w:val="000000"/>
          <w:sz w:val="20"/>
          <w:szCs w:val="20"/>
          <w:lang w:val="en-GB" w:eastAsia="fr-FR"/>
        </w:rPr>
        <w:t xml:space="preserve">in </w:t>
      </w:r>
      <w:r w:rsidR="00E67976" w:rsidRPr="009E4F74">
        <w:rPr>
          <w:rFonts w:ascii="Arial" w:eastAsia="Times New Roman" w:hAnsi="Arial" w:cs="Arial"/>
          <w:color w:val="000000"/>
          <w:sz w:val="20"/>
          <w:szCs w:val="20"/>
          <w:lang w:val="en-GB" w:eastAsia="fr-FR"/>
        </w:rPr>
        <w:t>FBF</w:t>
      </w:r>
      <w:r w:rsidRPr="009E4F74">
        <w:rPr>
          <w:rFonts w:ascii="Arial" w:eastAsia="Times New Roman" w:hAnsi="Arial" w:cs="Arial"/>
          <w:color w:val="000000"/>
          <w:sz w:val="20"/>
          <w:szCs w:val="20"/>
          <w:lang w:val="en-GB" w:eastAsia="fr-FR"/>
        </w:rPr>
        <w:t>’s view</w:t>
      </w:r>
      <w:r w:rsidR="004C57FB" w:rsidRPr="009E4F74">
        <w:rPr>
          <w:rFonts w:ascii="Arial" w:eastAsia="Times New Roman" w:hAnsi="Arial" w:cs="Arial"/>
          <w:color w:val="000000"/>
          <w:sz w:val="20"/>
          <w:szCs w:val="20"/>
          <w:lang w:val="en-GB" w:eastAsia="fr-FR"/>
        </w:rPr>
        <w:t>,</w:t>
      </w:r>
      <w:r w:rsidRPr="009E4F74">
        <w:rPr>
          <w:rFonts w:ascii="Arial" w:eastAsia="Times New Roman" w:hAnsi="Arial" w:cs="Arial"/>
          <w:color w:val="000000"/>
          <w:sz w:val="20"/>
          <w:szCs w:val="20"/>
          <w:lang w:val="en-GB" w:eastAsia="fr-FR"/>
        </w:rPr>
        <w:t xml:space="preserve"> the only workable way to proceed </w:t>
      </w:r>
      <w:r w:rsidRPr="009E4F74">
        <w:rPr>
          <w:rFonts w:ascii="Arial" w:eastAsia="Times New Roman" w:hAnsi="Arial" w:cs="Arial"/>
          <w:b/>
          <w:bCs/>
          <w:color w:val="000000"/>
          <w:sz w:val="20"/>
          <w:szCs w:val="20"/>
          <w:lang w:val="en-GB" w:eastAsia="fr-FR"/>
        </w:rPr>
        <w:t>is adapt</w:t>
      </w:r>
      <w:r w:rsidR="004C57FB" w:rsidRPr="009E4F74">
        <w:rPr>
          <w:rFonts w:ascii="Arial" w:eastAsia="Times New Roman" w:hAnsi="Arial" w:cs="Arial"/>
          <w:b/>
          <w:bCs/>
          <w:color w:val="000000"/>
          <w:sz w:val="20"/>
          <w:szCs w:val="20"/>
          <w:lang w:val="en-GB" w:eastAsia="fr-FR"/>
        </w:rPr>
        <w:t>ing</w:t>
      </w:r>
      <w:r w:rsidRPr="009E4F74">
        <w:rPr>
          <w:rFonts w:ascii="Arial" w:eastAsia="Times New Roman" w:hAnsi="Arial" w:cs="Arial"/>
          <w:b/>
          <w:bCs/>
          <w:color w:val="000000"/>
          <w:sz w:val="20"/>
          <w:szCs w:val="20"/>
          <w:lang w:val="en-GB" w:eastAsia="fr-FR"/>
        </w:rPr>
        <w:t xml:space="preserve"> the entirety of clients’ profiles </w:t>
      </w:r>
      <w:proofErr w:type="gramStart"/>
      <w:r w:rsidRPr="009E4F74">
        <w:rPr>
          <w:rFonts w:ascii="Arial" w:eastAsia="Times New Roman" w:hAnsi="Arial" w:cs="Arial"/>
          <w:b/>
          <w:bCs/>
          <w:color w:val="000000"/>
          <w:sz w:val="20"/>
          <w:szCs w:val="20"/>
          <w:lang w:val="en-GB" w:eastAsia="fr-FR"/>
        </w:rPr>
        <w:t>as a consequence of</w:t>
      </w:r>
      <w:proofErr w:type="gramEnd"/>
      <w:r w:rsidRPr="009E4F74">
        <w:rPr>
          <w:rFonts w:ascii="Arial" w:eastAsia="Times New Roman" w:hAnsi="Arial" w:cs="Arial"/>
          <w:b/>
          <w:bCs/>
          <w:color w:val="000000"/>
          <w:sz w:val="20"/>
          <w:szCs w:val="20"/>
          <w:lang w:val="en-GB" w:eastAsia="fr-FR"/>
        </w:rPr>
        <w:t xml:space="preserve"> the adaptation process</w:t>
      </w:r>
      <w:r w:rsidRPr="009E4F74">
        <w:rPr>
          <w:rFonts w:ascii="Arial" w:eastAsia="Times New Roman" w:hAnsi="Arial" w:cs="Arial"/>
          <w:color w:val="000000"/>
          <w:sz w:val="20"/>
          <w:szCs w:val="20"/>
          <w:lang w:val="en-GB" w:eastAsia="fr-FR"/>
        </w:rPr>
        <w:t xml:space="preserve"> provided under 3</w:t>
      </w:r>
      <w:r w:rsidRPr="009E4F74">
        <w:rPr>
          <w:rFonts w:ascii="Arial" w:eastAsia="Times New Roman" w:hAnsi="Arial" w:cs="Arial"/>
          <w:color w:val="000000"/>
          <w:sz w:val="20"/>
          <w:szCs w:val="20"/>
          <w:vertAlign w:val="superscript"/>
          <w:lang w:val="en-GB" w:eastAsia="fr-FR"/>
        </w:rPr>
        <w:t>rd</w:t>
      </w:r>
      <w:r w:rsidRPr="009E4F74">
        <w:rPr>
          <w:rFonts w:ascii="Arial" w:eastAsia="Times New Roman" w:hAnsi="Arial" w:cs="Arial"/>
          <w:color w:val="000000"/>
          <w:sz w:val="20"/>
          <w:szCs w:val="20"/>
          <w:lang w:val="en-GB" w:eastAsia="fr-FR"/>
        </w:rPr>
        <w:t xml:space="preserve"> indent §10 of revised article 54 Delegated Regulation 2017/565.</w:t>
      </w:r>
    </w:p>
    <w:p w14:paraId="0F9E707E" w14:textId="77777777" w:rsidR="00C857BF" w:rsidRPr="009E4F74" w:rsidRDefault="00C857BF" w:rsidP="007245E1">
      <w:pPr>
        <w:spacing w:after="0" w:line="240" w:lineRule="atLeast"/>
        <w:jc w:val="both"/>
        <w:rPr>
          <w:rFonts w:ascii="Arial" w:eastAsia="Times New Roman" w:hAnsi="Arial" w:cs="Arial"/>
          <w:color w:val="000000"/>
          <w:sz w:val="20"/>
          <w:szCs w:val="20"/>
          <w:lang w:val="en-GB" w:eastAsia="fr-FR"/>
        </w:rPr>
      </w:pPr>
    </w:p>
    <w:p w14:paraId="751F0A41" w14:textId="37CE9402" w:rsidR="00C857BF" w:rsidRPr="009E4F74" w:rsidRDefault="004B2E30" w:rsidP="007245E1">
      <w:pPr>
        <w:spacing w:after="0" w:line="240" w:lineRule="atLeast"/>
        <w:jc w:val="both"/>
        <w:rPr>
          <w:rFonts w:ascii="Arial" w:eastAsia="Times New Roman" w:hAnsi="Arial" w:cs="Arial"/>
          <w:color w:val="000000"/>
          <w:sz w:val="20"/>
          <w:szCs w:val="20"/>
          <w:lang w:val="en-GB" w:eastAsia="fr-FR"/>
        </w:rPr>
      </w:pPr>
      <w:bookmarkStart w:id="18" w:name="_Hlk100571950"/>
      <w:r w:rsidRPr="009E4F74">
        <w:rPr>
          <w:rFonts w:ascii="Arial" w:eastAsia="Times New Roman" w:hAnsi="Arial" w:cs="Arial"/>
          <w:color w:val="000000"/>
          <w:sz w:val="20"/>
          <w:szCs w:val="20"/>
          <w:lang w:val="en-GB" w:eastAsia="fr-FR"/>
        </w:rPr>
        <w:t xml:space="preserve">If the solution proposed above </w:t>
      </w:r>
      <w:r w:rsidR="00127149" w:rsidRPr="009E4F74">
        <w:rPr>
          <w:rFonts w:ascii="Arial" w:eastAsia="Times New Roman" w:hAnsi="Arial" w:cs="Arial"/>
          <w:color w:val="000000"/>
          <w:sz w:val="20"/>
          <w:szCs w:val="20"/>
          <w:lang w:val="en-GB" w:eastAsia="fr-FR"/>
        </w:rPr>
        <w:t>was not</w:t>
      </w:r>
      <w:r w:rsidRPr="009E4F74">
        <w:rPr>
          <w:rFonts w:ascii="Arial" w:eastAsia="Times New Roman" w:hAnsi="Arial" w:cs="Arial"/>
          <w:color w:val="000000"/>
          <w:sz w:val="20"/>
          <w:szCs w:val="20"/>
          <w:lang w:val="en-GB" w:eastAsia="fr-FR"/>
        </w:rPr>
        <w:t xml:space="preserve"> retained, another possibility</w:t>
      </w:r>
      <w:r w:rsidR="00127149" w:rsidRPr="009E4F74">
        <w:rPr>
          <w:rFonts w:ascii="Arial" w:eastAsia="Times New Roman" w:hAnsi="Arial" w:cs="Arial"/>
          <w:color w:val="000000"/>
          <w:sz w:val="20"/>
          <w:szCs w:val="20"/>
          <w:lang w:val="en-GB" w:eastAsia="fr-FR"/>
        </w:rPr>
        <w:t xml:space="preserve"> </w:t>
      </w:r>
      <w:r w:rsidR="00E67976" w:rsidRPr="009E4F74">
        <w:rPr>
          <w:rFonts w:ascii="Arial" w:eastAsia="Times New Roman" w:hAnsi="Arial" w:cs="Arial"/>
          <w:color w:val="000000"/>
          <w:sz w:val="20"/>
          <w:szCs w:val="20"/>
          <w:lang w:val="en-GB" w:eastAsia="fr-FR"/>
        </w:rPr>
        <w:t>FBF</w:t>
      </w:r>
      <w:r w:rsidR="00127149" w:rsidRPr="009E4F74">
        <w:rPr>
          <w:rFonts w:ascii="Arial" w:eastAsia="Times New Roman" w:hAnsi="Arial" w:cs="Arial"/>
          <w:color w:val="000000"/>
          <w:sz w:val="20"/>
          <w:szCs w:val="20"/>
          <w:lang w:val="en-GB" w:eastAsia="fr-FR"/>
        </w:rPr>
        <w:t xml:space="preserve"> would see</w:t>
      </w:r>
      <w:r w:rsidRPr="009E4F74">
        <w:rPr>
          <w:rFonts w:ascii="Arial" w:eastAsia="Times New Roman" w:hAnsi="Arial" w:cs="Arial"/>
          <w:color w:val="000000"/>
          <w:sz w:val="20"/>
          <w:szCs w:val="20"/>
          <w:lang w:val="en-GB" w:eastAsia="fr-FR"/>
        </w:rPr>
        <w:t xml:space="preserve">, in case </w:t>
      </w:r>
      <w:r w:rsidR="00B54004" w:rsidRPr="009E4F74">
        <w:rPr>
          <w:rFonts w:ascii="Arial" w:eastAsia="Times New Roman" w:hAnsi="Arial" w:cs="Arial"/>
          <w:color w:val="000000"/>
          <w:sz w:val="20"/>
          <w:szCs w:val="20"/>
          <w:lang w:val="en-GB" w:eastAsia="fr-FR"/>
        </w:rPr>
        <w:t>client’s preferences would not match the ISP’s offer would be to allow the IPS to recommend an ESG product</w:t>
      </w:r>
      <w:r w:rsidR="004D254D" w:rsidRPr="009E4F74">
        <w:rPr>
          <w:rFonts w:ascii="Arial" w:eastAsia="Times New Roman" w:hAnsi="Arial" w:cs="Arial"/>
          <w:color w:val="000000"/>
          <w:sz w:val="20"/>
          <w:szCs w:val="20"/>
          <w:lang w:val="en-GB" w:eastAsia="fr-FR"/>
        </w:rPr>
        <w:t>, the client’s instruction to proceed with the corresponding transaction being then vie</w:t>
      </w:r>
      <w:r w:rsidR="00127149" w:rsidRPr="009E4F74">
        <w:rPr>
          <w:rFonts w:ascii="Arial" w:eastAsia="Times New Roman" w:hAnsi="Arial" w:cs="Arial"/>
          <w:color w:val="000000"/>
          <w:sz w:val="20"/>
          <w:szCs w:val="20"/>
          <w:lang w:val="en-GB" w:eastAsia="fr-FR"/>
        </w:rPr>
        <w:t>wed as an adaptation of his/ her ESG preferences. In such cas</w:t>
      </w:r>
      <w:r w:rsidR="008C4489" w:rsidRPr="009E4F74">
        <w:rPr>
          <w:rFonts w:ascii="Arial" w:eastAsia="Times New Roman" w:hAnsi="Arial" w:cs="Arial"/>
          <w:color w:val="000000"/>
          <w:sz w:val="20"/>
          <w:szCs w:val="20"/>
          <w:lang w:val="en-GB" w:eastAsia="fr-FR"/>
        </w:rPr>
        <w:t>e</w:t>
      </w:r>
      <w:r w:rsidR="00544AB6" w:rsidRPr="009E4F74">
        <w:rPr>
          <w:rFonts w:ascii="Arial" w:eastAsia="Times New Roman" w:hAnsi="Arial" w:cs="Arial"/>
          <w:color w:val="000000"/>
          <w:sz w:val="20"/>
          <w:szCs w:val="20"/>
          <w:lang w:val="en-GB" w:eastAsia="fr-FR"/>
        </w:rPr>
        <w:t xml:space="preserve">, the </w:t>
      </w:r>
      <w:r w:rsidR="00867771" w:rsidRPr="009E4F74">
        <w:rPr>
          <w:rFonts w:ascii="Arial" w:eastAsia="Times New Roman" w:hAnsi="Arial" w:cs="Arial"/>
          <w:color w:val="000000"/>
          <w:sz w:val="20"/>
          <w:szCs w:val="20"/>
          <w:lang w:val="en-GB" w:eastAsia="fr-FR"/>
        </w:rPr>
        <w:t>adaptation</w:t>
      </w:r>
      <w:r w:rsidR="00544AB6" w:rsidRPr="009E4F74">
        <w:rPr>
          <w:rFonts w:ascii="Arial" w:eastAsia="Times New Roman" w:hAnsi="Arial" w:cs="Arial"/>
          <w:color w:val="000000"/>
          <w:sz w:val="20"/>
          <w:szCs w:val="20"/>
          <w:lang w:val="en-GB" w:eastAsia="fr-FR"/>
        </w:rPr>
        <w:t xml:space="preserve"> process would be </w:t>
      </w:r>
      <w:r w:rsidR="00867771" w:rsidRPr="009E4F74">
        <w:rPr>
          <w:rFonts w:ascii="Arial" w:eastAsia="Times New Roman" w:hAnsi="Arial" w:cs="Arial"/>
          <w:color w:val="000000"/>
          <w:sz w:val="20"/>
          <w:szCs w:val="20"/>
          <w:lang w:val="en-GB" w:eastAsia="fr-FR"/>
        </w:rPr>
        <w:t>documented and explained to clients in the suitability report.</w:t>
      </w:r>
    </w:p>
    <w:bookmarkEnd w:id="18"/>
    <w:p w14:paraId="62702E0D" w14:textId="3D267F67" w:rsidR="00B50951" w:rsidRPr="009E4F74" w:rsidRDefault="00B50951" w:rsidP="00731FD9">
      <w:pPr>
        <w:autoSpaceDE w:val="0"/>
        <w:autoSpaceDN w:val="0"/>
        <w:adjustRightInd w:val="0"/>
        <w:spacing w:after="0" w:line="240" w:lineRule="atLeast"/>
        <w:jc w:val="both"/>
        <w:rPr>
          <w:rFonts w:ascii="Arial" w:eastAsia="Times New Roman" w:hAnsi="Arial" w:cs="Arial"/>
          <w:color w:val="212121"/>
          <w:sz w:val="20"/>
          <w:szCs w:val="20"/>
          <w:shd w:val="clear" w:color="auto" w:fill="FFFFFF"/>
          <w:lang w:val="en-GB" w:eastAsia="fr-FR"/>
        </w:rPr>
      </w:pPr>
    </w:p>
    <w:p w14:paraId="08F255C8" w14:textId="77777777" w:rsidR="00FC77D6" w:rsidRPr="009E4F74" w:rsidRDefault="00FC77D6" w:rsidP="00731FD9">
      <w:pPr>
        <w:autoSpaceDE w:val="0"/>
        <w:autoSpaceDN w:val="0"/>
        <w:adjustRightInd w:val="0"/>
        <w:spacing w:after="0" w:line="240" w:lineRule="atLeast"/>
        <w:jc w:val="both"/>
        <w:rPr>
          <w:rFonts w:ascii="Arial" w:eastAsia="Times New Roman" w:hAnsi="Arial" w:cs="Arial"/>
          <w:color w:val="212121"/>
          <w:sz w:val="20"/>
          <w:szCs w:val="20"/>
          <w:shd w:val="clear" w:color="auto" w:fill="FFFFFF"/>
          <w:lang w:val="en-GB" w:eastAsia="fr-FR"/>
        </w:rPr>
      </w:pPr>
    </w:p>
    <w:p w14:paraId="7A1A067D" w14:textId="193F5E8C" w:rsidR="00067DA0" w:rsidRPr="009E4F74" w:rsidRDefault="00067DA0"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roofErr w:type="gramStart"/>
      <w:r w:rsidRPr="009E4F74">
        <w:rPr>
          <w:rFonts w:ascii="Arial" w:eastAsia="Times New Roman" w:hAnsi="Arial" w:cs="Arial"/>
          <w:b/>
          <w:bCs/>
          <w:color w:val="000000"/>
          <w:sz w:val="20"/>
          <w:szCs w:val="20"/>
          <w:lang w:val="en-GB" w:eastAsia="fr-FR"/>
        </w:rPr>
        <w:t>Q12</w:t>
      </w:r>
      <w:proofErr w:type="gramEnd"/>
      <w:r w:rsidRPr="009E4F74">
        <w:rPr>
          <w:rFonts w:ascii="Arial" w:eastAsia="Times New Roman" w:hAnsi="Arial" w:cs="Arial"/>
          <w:b/>
          <w:bCs/>
          <w:color w:val="000000"/>
          <w:sz w:val="20"/>
          <w:szCs w:val="20"/>
          <w:lang w:val="en-GB" w:eastAsia="fr-FR"/>
        </w:rPr>
        <w:tab/>
      </w:r>
      <w:r w:rsidR="00C959D7" w:rsidRPr="009E4F74">
        <w:rPr>
          <w:rFonts w:ascii="Arial" w:eastAsia="Times New Roman" w:hAnsi="Arial" w:cs="Arial"/>
          <w:b/>
          <w:bCs/>
          <w:color w:val="000000"/>
          <w:sz w:val="20"/>
          <w:szCs w:val="20"/>
          <w:lang w:val="en-US" w:eastAsia="fr-FR"/>
        </w:rPr>
        <w:t>Do you agree with the approach outlined with regards to the situation where the client makes use of the possibility to adapt the sustainability preferences? Please also state the reasons for your answer.</w:t>
      </w:r>
    </w:p>
    <w:p w14:paraId="2F1AD2EA" w14:textId="77777777" w:rsidR="00C959D7" w:rsidRPr="009E4F74" w:rsidRDefault="00C959D7" w:rsidP="00731FD9">
      <w:pPr>
        <w:autoSpaceDE w:val="0"/>
        <w:autoSpaceDN w:val="0"/>
        <w:adjustRightInd w:val="0"/>
        <w:spacing w:after="0" w:line="240" w:lineRule="atLeast"/>
        <w:jc w:val="both"/>
        <w:rPr>
          <w:rFonts w:ascii="Arial" w:eastAsia="Times New Roman" w:hAnsi="Arial" w:cs="Arial"/>
          <w:color w:val="212121"/>
          <w:sz w:val="20"/>
          <w:szCs w:val="20"/>
          <w:shd w:val="clear" w:color="auto" w:fill="FFFFFF"/>
          <w:lang w:val="en-GB" w:eastAsia="fr-FR"/>
        </w:rPr>
      </w:pPr>
    </w:p>
    <w:p w14:paraId="6BBC828C" w14:textId="3826CFB7" w:rsidR="006D1150" w:rsidRPr="009E4F74" w:rsidRDefault="00E67976" w:rsidP="00731FD9">
      <w:pPr>
        <w:autoSpaceDE w:val="0"/>
        <w:autoSpaceDN w:val="0"/>
        <w:adjustRightInd w:val="0"/>
        <w:spacing w:after="0" w:line="240" w:lineRule="atLeast"/>
        <w:jc w:val="both"/>
        <w:rPr>
          <w:rFonts w:ascii="Arial" w:hAnsi="Arial" w:cs="Arial"/>
          <w:color w:val="000000"/>
          <w:sz w:val="20"/>
          <w:szCs w:val="20"/>
          <w:lang w:val="en-GB"/>
        </w:rPr>
      </w:pPr>
      <w:r w:rsidRPr="009E4F74">
        <w:rPr>
          <w:rFonts w:ascii="Arial" w:hAnsi="Arial" w:cs="Arial"/>
          <w:color w:val="000000"/>
          <w:sz w:val="20"/>
          <w:szCs w:val="20"/>
          <w:lang w:val="en-GB"/>
        </w:rPr>
        <w:t>FBF</w:t>
      </w:r>
      <w:r w:rsidR="000A3BA1" w:rsidRPr="009E4F74">
        <w:rPr>
          <w:rFonts w:ascii="Arial" w:hAnsi="Arial" w:cs="Arial"/>
          <w:color w:val="000000"/>
          <w:sz w:val="20"/>
          <w:szCs w:val="20"/>
          <w:lang w:val="en-GB"/>
        </w:rPr>
        <w:t xml:space="preserve"> wants to reiterate </w:t>
      </w:r>
      <w:r w:rsidR="00165D48" w:rsidRPr="009E4F74">
        <w:rPr>
          <w:rFonts w:ascii="Arial" w:hAnsi="Arial" w:cs="Arial"/>
          <w:color w:val="000000"/>
          <w:sz w:val="20"/>
          <w:szCs w:val="20"/>
          <w:lang w:val="en-GB"/>
        </w:rPr>
        <w:t xml:space="preserve">the </w:t>
      </w:r>
      <w:r w:rsidR="00F05192" w:rsidRPr="009E4F74">
        <w:rPr>
          <w:rFonts w:ascii="Arial" w:hAnsi="Arial" w:cs="Arial"/>
          <w:color w:val="000000"/>
          <w:sz w:val="20"/>
          <w:szCs w:val="20"/>
          <w:lang w:val="en-GB"/>
        </w:rPr>
        <w:t xml:space="preserve">fact </w:t>
      </w:r>
      <w:r w:rsidR="00165D48" w:rsidRPr="009E4F74">
        <w:rPr>
          <w:rFonts w:ascii="Arial" w:hAnsi="Arial" w:cs="Arial"/>
          <w:color w:val="000000"/>
          <w:sz w:val="20"/>
          <w:szCs w:val="20"/>
          <w:lang w:val="en-GB"/>
        </w:rPr>
        <w:t xml:space="preserve">that, to be </w:t>
      </w:r>
      <w:r w:rsidR="007E745C" w:rsidRPr="009E4F74">
        <w:rPr>
          <w:rFonts w:ascii="Arial" w:hAnsi="Arial" w:cs="Arial"/>
          <w:color w:val="000000"/>
          <w:sz w:val="20"/>
          <w:szCs w:val="20"/>
          <w:lang w:val="en-GB"/>
        </w:rPr>
        <w:t>workable</w:t>
      </w:r>
      <w:r w:rsidR="00165D48" w:rsidRPr="009E4F74">
        <w:rPr>
          <w:rFonts w:ascii="Arial" w:hAnsi="Arial" w:cs="Arial"/>
          <w:color w:val="000000"/>
          <w:sz w:val="20"/>
          <w:szCs w:val="20"/>
          <w:lang w:val="en-GB"/>
        </w:rPr>
        <w:t>, the adjustment by clients of his/her ESG preferences</w:t>
      </w:r>
      <w:r w:rsidR="006D1150" w:rsidRPr="009E4F74">
        <w:rPr>
          <w:rFonts w:ascii="Arial" w:hAnsi="Arial" w:cs="Arial"/>
          <w:color w:val="000000"/>
          <w:sz w:val="20"/>
          <w:szCs w:val="20"/>
          <w:lang w:val="en-GB"/>
        </w:rPr>
        <w:t xml:space="preserve"> should:</w:t>
      </w:r>
    </w:p>
    <w:p w14:paraId="02C8907B" w14:textId="785C8CD8" w:rsidR="006D1150" w:rsidRPr="009E4F74" w:rsidRDefault="006D1150" w:rsidP="006D1150">
      <w:pPr>
        <w:pStyle w:val="Paragraphedeliste"/>
        <w:numPr>
          <w:ilvl w:val="0"/>
          <w:numId w:val="16"/>
        </w:numPr>
        <w:autoSpaceDE w:val="0"/>
        <w:autoSpaceDN w:val="0"/>
        <w:adjustRightInd w:val="0"/>
        <w:spacing w:after="0" w:line="240" w:lineRule="atLeast"/>
        <w:jc w:val="both"/>
        <w:rPr>
          <w:rFonts w:ascii="Arial" w:hAnsi="Arial" w:cs="Arial"/>
          <w:color w:val="000000"/>
          <w:sz w:val="20"/>
          <w:szCs w:val="20"/>
          <w:lang w:val="en-GB"/>
        </w:rPr>
      </w:pPr>
      <w:r w:rsidRPr="009E4F74">
        <w:rPr>
          <w:rFonts w:ascii="Arial" w:hAnsi="Arial" w:cs="Arial"/>
          <w:b/>
          <w:bCs/>
          <w:color w:val="000000"/>
          <w:sz w:val="20"/>
          <w:szCs w:val="20"/>
          <w:lang w:val="en-GB"/>
        </w:rPr>
        <w:t>apply to the client profile</w:t>
      </w:r>
      <w:r w:rsidR="00764C91" w:rsidRPr="009E4F74">
        <w:rPr>
          <w:rFonts w:ascii="Arial" w:hAnsi="Arial" w:cs="Arial"/>
          <w:b/>
          <w:bCs/>
          <w:color w:val="000000"/>
          <w:sz w:val="20"/>
          <w:szCs w:val="20"/>
          <w:lang w:val="en-GB"/>
        </w:rPr>
        <w:t xml:space="preserve"> </w:t>
      </w:r>
      <w:r w:rsidR="005D125B" w:rsidRPr="009E4F74">
        <w:rPr>
          <w:rFonts w:ascii="Arial" w:hAnsi="Arial" w:cs="Arial"/>
          <w:b/>
          <w:bCs/>
          <w:color w:val="000000"/>
          <w:sz w:val="20"/>
          <w:szCs w:val="20"/>
          <w:lang w:val="en-GB"/>
        </w:rPr>
        <w:t>itself</w:t>
      </w:r>
      <w:r w:rsidR="005D125B" w:rsidRPr="009E4F74">
        <w:rPr>
          <w:rFonts w:ascii="Arial" w:hAnsi="Arial" w:cs="Arial"/>
          <w:color w:val="000000"/>
          <w:sz w:val="20"/>
          <w:szCs w:val="20"/>
          <w:lang w:val="en-GB"/>
        </w:rPr>
        <w:t xml:space="preserve"> </w:t>
      </w:r>
      <w:r w:rsidR="00764C91" w:rsidRPr="009E4F74">
        <w:rPr>
          <w:rFonts w:ascii="Arial" w:hAnsi="Arial" w:cs="Arial"/>
          <w:color w:val="000000"/>
          <w:sz w:val="20"/>
          <w:szCs w:val="20"/>
          <w:lang w:val="en-GB"/>
        </w:rPr>
        <w:t xml:space="preserve">(see answer to </w:t>
      </w:r>
      <w:r w:rsidR="00E940E4" w:rsidRPr="009E4F74">
        <w:rPr>
          <w:rFonts w:ascii="Arial" w:hAnsi="Arial" w:cs="Arial"/>
          <w:color w:val="000000"/>
          <w:sz w:val="20"/>
          <w:szCs w:val="20"/>
          <w:lang w:val="en-GB"/>
        </w:rPr>
        <w:t>previous</w:t>
      </w:r>
      <w:r w:rsidR="00764C91" w:rsidRPr="009E4F74">
        <w:rPr>
          <w:rFonts w:ascii="Arial" w:hAnsi="Arial" w:cs="Arial"/>
          <w:color w:val="000000"/>
          <w:sz w:val="20"/>
          <w:szCs w:val="20"/>
          <w:lang w:val="en-GB"/>
        </w:rPr>
        <w:t xml:space="preserve"> </w:t>
      </w:r>
      <w:r w:rsidR="00E940E4" w:rsidRPr="009E4F74">
        <w:rPr>
          <w:rFonts w:ascii="Arial" w:hAnsi="Arial" w:cs="Arial"/>
          <w:color w:val="000000"/>
          <w:sz w:val="20"/>
          <w:szCs w:val="20"/>
          <w:lang w:val="en-GB"/>
        </w:rPr>
        <w:t>question</w:t>
      </w:r>
      <w:r w:rsidR="005D125B" w:rsidRPr="009E4F74">
        <w:rPr>
          <w:rFonts w:ascii="Arial" w:hAnsi="Arial" w:cs="Arial"/>
          <w:color w:val="000000"/>
          <w:sz w:val="20"/>
          <w:szCs w:val="20"/>
          <w:lang w:val="en-GB"/>
        </w:rPr>
        <w:t xml:space="preserve"> and to Q10</w:t>
      </w:r>
      <w:r w:rsidR="00E940E4" w:rsidRPr="009E4F74">
        <w:rPr>
          <w:rFonts w:ascii="Arial" w:hAnsi="Arial" w:cs="Arial"/>
          <w:color w:val="000000"/>
          <w:sz w:val="20"/>
          <w:szCs w:val="20"/>
          <w:lang w:val="en-GB"/>
        </w:rPr>
        <w:t>)</w:t>
      </w:r>
    </w:p>
    <w:p w14:paraId="66ACD40C" w14:textId="119439A0" w:rsidR="008B104E" w:rsidRPr="009E4F74" w:rsidRDefault="00165D48" w:rsidP="00CE1EB1">
      <w:pPr>
        <w:pStyle w:val="Paragraphedeliste"/>
        <w:numPr>
          <w:ilvl w:val="0"/>
          <w:numId w:val="16"/>
        </w:numPr>
        <w:autoSpaceDE w:val="0"/>
        <w:autoSpaceDN w:val="0"/>
        <w:adjustRightInd w:val="0"/>
        <w:spacing w:after="0" w:line="240" w:lineRule="atLeast"/>
        <w:jc w:val="both"/>
        <w:rPr>
          <w:rFonts w:ascii="Arial" w:hAnsi="Arial" w:cs="Arial"/>
          <w:b/>
          <w:bCs/>
          <w:color w:val="000000"/>
          <w:sz w:val="20"/>
          <w:szCs w:val="20"/>
          <w:lang w:val="en-GB"/>
        </w:rPr>
      </w:pPr>
      <w:r w:rsidRPr="009E4F74">
        <w:rPr>
          <w:rFonts w:ascii="Arial" w:hAnsi="Arial" w:cs="Arial"/>
          <w:b/>
          <w:bCs/>
          <w:color w:val="000000"/>
          <w:sz w:val="20"/>
          <w:szCs w:val="20"/>
          <w:lang w:val="en-GB"/>
        </w:rPr>
        <w:t>follow a presentation by the investment firm of its ESG offer.</w:t>
      </w:r>
    </w:p>
    <w:p w14:paraId="7EA4F533" w14:textId="77777777" w:rsidR="000E080B" w:rsidRPr="009E4F74" w:rsidRDefault="000E080B" w:rsidP="00731FD9">
      <w:pPr>
        <w:autoSpaceDE w:val="0"/>
        <w:autoSpaceDN w:val="0"/>
        <w:adjustRightInd w:val="0"/>
        <w:spacing w:after="0" w:line="240" w:lineRule="atLeast"/>
        <w:jc w:val="both"/>
        <w:rPr>
          <w:rFonts w:ascii="Arial" w:hAnsi="Arial" w:cs="Arial"/>
          <w:color w:val="000000"/>
          <w:sz w:val="20"/>
          <w:szCs w:val="20"/>
          <w:lang w:val="en-GB"/>
        </w:rPr>
      </w:pPr>
    </w:p>
    <w:p w14:paraId="5491046B" w14:textId="43FB7007" w:rsidR="00E72B18" w:rsidRPr="009E4F74" w:rsidRDefault="00F849EB" w:rsidP="00E72B18">
      <w:pPr>
        <w:spacing w:after="0" w:line="240" w:lineRule="atLeast"/>
        <w:jc w:val="both"/>
        <w:rPr>
          <w:rFonts w:ascii="Arial" w:eastAsia="Times New Roman" w:hAnsi="Arial" w:cs="Arial"/>
          <w:color w:val="000000"/>
          <w:sz w:val="20"/>
          <w:szCs w:val="20"/>
          <w:lang w:val="en-GB" w:eastAsia="fr-FR"/>
        </w:rPr>
      </w:pPr>
      <w:bookmarkStart w:id="19" w:name="_Hlk99103397"/>
      <w:r w:rsidRPr="009E4F74">
        <w:rPr>
          <w:rFonts w:ascii="Arial" w:eastAsia="Times New Roman" w:hAnsi="Arial" w:cs="Arial"/>
          <w:color w:val="212121"/>
          <w:sz w:val="20"/>
          <w:szCs w:val="20"/>
          <w:shd w:val="clear" w:color="auto" w:fill="FFFFFF"/>
          <w:lang w:val="en-GB" w:eastAsia="fr-FR"/>
        </w:rPr>
        <w:t xml:space="preserve">On this second point, </w:t>
      </w:r>
      <w:r w:rsidRPr="009E4F74">
        <w:rPr>
          <w:rFonts w:ascii="Arial" w:eastAsia="Times New Roman" w:hAnsi="Arial" w:cs="Arial"/>
          <w:color w:val="000000"/>
          <w:sz w:val="20"/>
          <w:szCs w:val="20"/>
          <w:lang w:val="en-GB" w:eastAsia="fr-FR"/>
        </w:rPr>
        <w:t xml:space="preserve">in </w:t>
      </w:r>
      <w:r w:rsidR="00E67976" w:rsidRPr="009E4F74">
        <w:rPr>
          <w:rFonts w:ascii="Arial" w:eastAsia="Times New Roman" w:hAnsi="Arial" w:cs="Arial"/>
          <w:color w:val="000000"/>
          <w:sz w:val="20"/>
          <w:szCs w:val="20"/>
          <w:lang w:val="en-GB" w:eastAsia="fr-FR"/>
        </w:rPr>
        <w:t>FBF</w:t>
      </w:r>
      <w:r w:rsidRPr="009E4F74">
        <w:rPr>
          <w:rFonts w:ascii="Arial" w:eastAsia="Times New Roman" w:hAnsi="Arial" w:cs="Arial"/>
          <w:color w:val="000000"/>
          <w:sz w:val="20"/>
          <w:szCs w:val="20"/>
          <w:lang w:val="en-GB" w:eastAsia="fr-FR"/>
        </w:rPr>
        <w:t>’s opinion</w:t>
      </w:r>
      <w:r w:rsidR="00F919D6" w:rsidRPr="009E4F74">
        <w:rPr>
          <w:rFonts w:ascii="Arial" w:eastAsia="Times New Roman" w:hAnsi="Arial" w:cs="Arial"/>
          <w:color w:val="000000"/>
          <w:sz w:val="20"/>
          <w:szCs w:val="20"/>
          <w:lang w:val="en-GB" w:eastAsia="fr-FR"/>
        </w:rPr>
        <w:t>,</w:t>
      </w:r>
      <w:r w:rsidR="00E72B18" w:rsidRPr="009E4F74">
        <w:rPr>
          <w:rFonts w:ascii="Arial" w:eastAsia="Times New Roman" w:hAnsi="Arial" w:cs="Arial"/>
          <w:color w:val="000000"/>
          <w:sz w:val="20"/>
          <w:szCs w:val="20"/>
          <w:lang w:val="en-GB" w:eastAsia="fr-FR"/>
        </w:rPr>
        <w:t xml:space="preserve"> another step should be added before the client is required to amend his/her sustainability preferences, consisting in the ISP describing its ESG offer: with this, the client will be in a capacity, if he/she wishes, to amend his/her sustainability preferences in coherence with such offer. In the absence of this </w:t>
      </w:r>
      <w:r w:rsidR="00E04252" w:rsidRPr="009E4F74">
        <w:rPr>
          <w:rFonts w:ascii="Arial" w:eastAsia="Times New Roman" w:hAnsi="Arial" w:cs="Arial"/>
          <w:color w:val="000000"/>
          <w:sz w:val="20"/>
          <w:szCs w:val="20"/>
          <w:lang w:val="en-GB" w:eastAsia="fr-FR"/>
        </w:rPr>
        <w:t>ne</w:t>
      </w:r>
      <w:r w:rsidR="00D31D0B" w:rsidRPr="009E4F74">
        <w:rPr>
          <w:rFonts w:ascii="Arial" w:eastAsia="Times New Roman" w:hAnsi="Arial" w:cs="Arial"/>
          <w:color w:val="000000"/>
          <w:sz w:val="20"/>
          <w:szCs w:val="20"/>
          <w:lang w:val="en-GB" w:eastAsia="fr-FR"/>
        </w:rPr>
        <w:t xml:space="preserve">w </w:t>
      </w:r>
      <w:r w:rsidR="00E72B18" w:rsidRPr="009E4F74">
        <w:rPr>
          <w:rFonts w:ascii="Arial" w:eastAsia="Times New Roman" w:hAnsi="Arial" w:cs="Arial"/>
          <w:color w:val="000000"/>
          <w:sz w:val="20"/>
          <w:szCs w:val="20"/>
          <w:lang w:val="en-GB" w:eastAsia="fr-FR"/>
        </w:rPr>
        <w:t xml:space="preserve">step, there is very little chance, due to the current limited offer for sustainable </w:t>
      </w:r>
      <w:r w:rsidR="00D31D0B" w:rsidRPr="009E4F74">
        <w:rPr>
          <w:rFonts w:ascii="Arial" w:eastAsia="Times New Roman" w:hAnsi="Arial" w:cs="Arial"/>
          <w:color w:val="000000"/>
          <w:sz w:val="20"/>
          <w:szCs w:val="20"/>
          <w:lang w:val="en-GB" w:eastAsia="fr-FR"/>
        </w:rPr>
        <w:t>products, that</w:t>
      </w:r>
      <w:r w:rsidR="00E72B18" w:rsidRPr="009E4F74">
        <w:rPr>
          <w:rFonts w:ascii="Arial" w:eastAsia="Times New Roman" w:hAnsi="Arial" w:cs="Arial"/>
          <w:color w:val="000000"/>
          <w:sz w:val="20"/>
          <w:szCs w:val="20"/>
          <w:lang w:val="en-GB" w:eastAsia="fr-FR"/>
        </w:rPr>
        <w:t xml:space="preserve"> clients’ expectations would meet the investment firm’s offer. </w:t>
      </w:r>
    </w:p>
    <w:p w14:paraId="5A634D1E" w14:textId="30771585" w:rsidR="00E72B18" w:rsidRPr="009E4F74" w:rsidRDefault="00E72B18" w:rsidP="00970615">
      <w:pPr>
        <w:autoSpaceDE w:val="0"/>
        <w:autoSpaceDN w:val="0"/>
        <w:adjustRightInd w:val="0"/>
        <w:spacing w:after="0" w:line="240" w:lineRule="atLeast"/>
        <w:jc w:val="both"/>
        <w:rPr>
          <w:rFonts w:ascii="Arial" w:eastAsia="Times New Roman" w:hAnsi="Arial" w:cs="Arial"/>
          <w:color w:val="212121"/>
          <w:sz w:val="20"/>
          <w:szCs w:val="20"/>
          <w:shd w:val="clear" w:color="auto" w:fill="FFFFFF"/>
          <w:lang w:val="en-GB" w:eastAsia="fr-FR"/>
        </w:rPr>
      </w:pPr>
      <w:r w:rsidRPr="009E4F74">
        <w:rPr>
          <w:rFonts w:ascii="Arial" w:eastAsia="Times New Roman" w:hAnsi="Arial" w:cs="Arial"/>
          <w:color w:val="000000"/>
          <w:sz w:val="20"/>
          <w:szCs w:val="20"/>
          <w:lang w:val="en-GB" w:eastAsia="fr-FR"/>
        </w:rPr>
        <w:t xml:space="preserve">This will result either </w:t>
      </w:r>
      <w:r w:rsidR="00D31D0B" w:rsidRPr="009E4F74">
        <w:rPr>
          <w:rFonts w:ascii="Arial" w:eastAsia="Times New Roman" w:hAnsi="Arial" w:cs="Arial"/>
          <w:color w:val="000000"/>
          <w:sz w:val="20"/>
          <w:szCs w:val="20"/>
          <w:lang w:val="en-GB" w:eastAsia="fr-FR"/>
        </w:rPr>
        <w:t>i</w:t>
      </w:r>
      <w:r w:rsidRPr="009E4F74">
        <w:rPr>
          <w:rFonts w:ascii="Arial" w:eastAsia="Times New Roman" w:hAnsi="Arial" w:cs="Arial"/>
          <w:color w:val="000000"/>
          <w:sz w:val="20"/>
          <w:szCs w:val="20"/>
          <w:lang w:val="en-GB" w:eastAsia="fr-FR"/>
        </w:rPr>
        <w:t xml:space="preserve">n investment firms not being </w:t>
      </w:r>
      <w:r w:rsidR="00C365B5" w:rsidRPr="009E4F74">
        <w:rPr>
          <w:rFonts w:ascii="Arial" w:eastAsia="Times New Roman" w:hAnsi="Arial" w:cs="Arial"/>
          <w:color w:val="000000"/>
          <w:sz w:val="20"/>
          <w:szCs w:val="20"/>
          <w:lang w:val="en-GB" w:eastAsia="fr-FR"/>
        </w:rPr>
        <w:t>able</w:t>
      </w:r>
      <w:r w:rsidRPr="009E4F74">
        <w:rPr>
          <w:rFonts w:ascii="Arial" w:eastAsia="Times New Roman" w:hAnsi="Arial" w:cs="Arial"/>
          <w:color w:val="000000"/>
          <w:sz w:val="20"/>
          <w:szCs w:val="20"/>
          <w:lang w:val="en-GB" w:eastAsia="fr-FR"/>
        </w:rPr>
        <w:t xml:space="preserve"> to sell any ESG products to clients, or having extremely long selling processes, the client having to endlessly amend his/her preferences until they finally match the investment firm’s offer. Therefore, </w:t>
      </w:r>
      <w:r w:rsidRPr="009E4F74">
        <w:rPr>
          <w:rFonts w:ascii="Arial" w:eastAsia="Times New Roman" w:hAnsi="Arial" w:cs="Arial"/>
          <w:sz w:val="20"/>
          <w:szCs w:val="20"/>
          <w:lang w:val="en-US" w:eastAsia="fr-FR"/>
        </w:rPr>
        <w:t>the proposed § 83 stating “</w:t>
      </w:r>
      <w:r w:rsidRPr="009E4F74">
        <w:rPr>
          <w:rFonts w:ascii="Arial" w:eastAsia="Times New Roman" w:hAnsi="Arial" w:cs="Arial"/>
          <w:i/>
          <w:iCs/>
          <w:sz w:val="20"/>
          <w:szCs w:val="20"/>
          <w:lang w:val="en-US" w:eastAsia="fr-FR"/>
        </w:rPr>
        <w:t>The firm’s product offer should be documented and explained to the client with a mention of the products/portfolio’s sustainability features</w:t>
      </w:r>
      <w:r w:rsidRPr="009E4F74">
        <w:rPr>
          <w:rFonts w:ascii="Arial" w:eastAsia="Times New Roman" w:hAnsi="Arial" w:cs="Arial"/>
          <w:sz w:val="20"/>
          <w:szCs w:val="20"/>
          <w:lang w:val="en-US" w:eastAsia="fr-FR"/>
        </w:rPr>
        <w:t xml:space="preserve">”: should, in </w:t>
      </w:r>
      <w:r w:rsidR="00E67976" w:rsidRPr="009E4F74">
        <w:rPr>
          <w:rFonts w:ascii="Arial" w:eastAsia="Times New Roman" w:hAnsi="Arial" w:cs="Arial"/>
          <w:sz w:val="20"/>
          <w:szCs w:val="20"/>
          <w:lang w:val="en-US" w:eastAsia="fr-FR"/>
        </w:rPr>
        <w:t>FBF</w:t>
      </w:r>
      <w:r w:rsidRPr="009E4F74">
        <w:rPr>
          <w:rFonts w:ascii="Arial" w:eastAsia="Times New Roman" w:hAnsi="Arial" w:cs="Arial"/>
          <w:sz w:val="20"/>
          <w:szCs w:val="20"/>
          <w:lang w:val="en-US" w:eastAsia="fr-FR"/>
        </w:rPr>
        <w:t xml:space="preserve">’s view, apply to cases where the client has sustainability preferences, but such preferences do not meet the firm’s offer. On the contrary, </w:t>
      </w:r>
      <w:r w:rsidR="00E67976" w:rsidRPr="009E4F74">
        <w:rPr>
          <w:rFonts w:ascii="Arial" w:eastAsia="Times New Roman" w:hAnsi="Arial" w:cs="Arial"/>
          <w:sz w:val="20"/>
          <w:szCs w:val="20"/>
          <w:lang w:val="en-US" w:eastAsia="fr-FR"/>
        </w:rPr>
        <w:t>FBF</w:t>
      </w:r>
      <w:r w:rsidRPr="009E4F74">
        <w:rPr>
          <w:rFonts w:ascii="Arial" w:eastAsia="Times New Roman" w:hAnsi="Arial" w:cs="Arial"/>
          <w:sz w:val="20"/>
          <w:szCs w:val="20"/>
          <w:lang w:val="en-US" w:eastAsia="fr-FR"/>
        </w:rPr>
        <w:t xml:space="preserve"> does not see any added value in providing such information (on the ISPs’ product offer) to clients who expressed they have no ESG preferences. According to </w:t>
      </w:r>
      <w:r w:rsidR="00E67976" w:rsidRPr="009E4F74">
        <w:rPr>
          <w:rFonts w:ascii="Arial" w:eastAsia="Times New Roman" w:hAnsi="Arial" w:cs="Arial"/>
          <w:sz w:val="20"/>
          <w:szCs w:val="20"/>
          <w:lang w:val="en-US" w:eastAsia="fr-FR"/>
        </w:rPr>
        <w:t>FBF</w:t>
      </w:r>
      <w:r w:rsidRPr="009E4F74">
        <w:rPr>
          <w:rFonts w:ascii="Arial" w:eastAsia="Times New Roman" w:hAnsi="Arial" w:cs="Arial"/>
          <w:sz w:val="20"/>
          <w:szCs w:val="20"/>
          <w:lang w:val="en-US" w:eastAsia="fr-FR"/>
        </w:rPr>
        <w:t xml:space="preserve">, this duplicates the information provided in accordance with proposed § 16 of the Draft guidelines. Therefore, in </w:t>
      </w:r>
      <w:r w:rsidR="00E67976" w:rsidRPr="009E4F74">
        <w:rPr>
          <w:rFonts w:ascii="Arial" w:eastAsia="Times New Roman" w:hAnsi="Arial" w:cs="Arial"/>
          <w:sz w:val="20"/>
          <w:szCs w:val="20"/>
          <w:lang w:val="en-US" w:eastAsia="fr-FR"/>
        </w:rPr>
        <w:t>FBF</w:t>
      </w:r>
      <w:r w:rsidRPr="009E4F74">
        <w:rPr>
          <w:rFonts w:ascii="Arial" w:eastAsia="Times New Roman" w:hAnsi="Arial" w:cs="Arial"/>
          <w:sz w:val="20"/>
          <w:szCs w:val="20"/>
          <w:lang w:val="en-US" w:eastAsia="fr-FR"/>
        </w:rPr>
        <w:t>’s view</w:t>
      </w:r>
      <w:r w:rsidRPr="009E4F74">
        <w:rPr>
          <w:rFonts w:ascii="Arial" w:eastAsia="Times New Roman" w:hAnsi="Arial" w:cs="Arial"/>
          <w:b/>
          <w:bCs/>
          <w:sz w:val="20"/>
          <w:szCs w:val="20"/>
          <w:lang w:val="en-US" w:eastAsia="fr-FR"/>
        </w:rPr>
        <w:t xml:space="preserve">, § 83 should be redrafted to apply only to cases where clients </w:t>
      </w:r>
      <w:r w:rsidRPr="009E4F74">
        <w:rPr>
          <w:rFonts w:ascii="Arial" w:eastAsia="Times New Roman" w:hAnsi="Arial" w:cs="Arial"/>
          <w:color w:val="212121"/>
          <w:sz w:val="20"/>
          <w:szCs w:val="20"/>
          <w:shd w:val="clear" w:color="auto" w:fill="FFFFFF"/>
          <w:lang w:val="en-GB" w:eastAsia="fr-FR"/>
        </w:rPr>
        <w:t xml:space="preserve">have expressed ESG preferences that do not meet the ISP’s offer. </w:t>
      </w:r>
    </w:p>
    <w:p w14:paraId="7621B4FF" w14:textId="77777777" w:rsidR="00F4548F" w:rsidRPr="009E4F74" w:rsidRDefault="00F4548F" w:rsidP="00970615">
      <w:pPr>
        <w:autoSpaceDE w:val="0"/>
        <w:autoSpaceDN w:val="0"/>
        <w:adjustRightInd w:val="0"/>
        <w:spacing w:after="0" w:line="240" w:lineRule="atLeast"/>
        <w:jc w:val="both"/>
        <w:rPr>
          <w:rFonts w:ascii="Arial" w:eastAsia="Times New Roman" w:hAnsi="Arial" w:cs="Arial"/>
          <w:color w:val="212121"/>
          <w:sz w:val="20"/>
          <w:szCs w:val="20"/>
          <w:shd w:val="clear" w:color="auto" w:fill="FFFFFF"/>
          <w:lang w:val="en-GB" w:eastAsia="fr-FR"/>
        </w:rPr>
      </w:pPr>
    </w:p>
    <w:p w14:paraId="7445754C" w14:textId="63816E19" w:rsidR="00D45AE5" w:rsidRPr="009E4F74" w:rsidRDefault="00D45AE5" w:rsidP="00D45AE5">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 xml:space="preserve">If the solution proposed above was not retained, another possibility </w:t>
      </w:r>
      <w:r w:rsidR="00E67976" w:rsidRPr="009E4F74">
        <w:rPr>
          <w:rFonts w:ascii="Arial" w:eastAsia="Times New Roman" w:hAnsi="Arial" w:cs="Arial"/>
          <w:color w:val="000000"/>
          <w:sz w:val="20"/>
          <w:szCs w:val="20"/>
          <w:lang w:val="en-GB" w:eastAsia="fr-FR"/>
        </w:rPr>
        <w:t>FBF</w:t>
      </w:r>
      <w:r w:rsidRPr="009E4F74">
        <w:rPr>
          <w:rFonts w:ascii="Arial" w:eastAsia="Times New Roman" w:hAnsi="Arial" w:cs="Arial"/>
          <w:color w:val="000000"/>
          <w:sz w:val="20"/>
          <w:szCs w:val="20"/>
          <w:lang w:val="en-GB" w:eastAsia="fr-FR"/>
        </w:rPr>
        <w:t xml:space="preserve"> would see, in case client’s preferences would not match the ISP’s offer would be to allow the IS</w:t>
      </w:r>
      <w:r w:rsidR="00043F81" w:rsidRPr="009E4F74">
        <w:rPr>
          <w:rFonts w:ascii="Arial" w:eastAsia="Times New Roman" w:hAnsi="Arial" w:cs="Arial"/>
          <w:color w:val="000000"/>
          <w:sz w:val="20"/>
          <w:szCs w:val="20"/>
          <w:lang w:val="en-GB" w:eastAsia="fr-FR"/>
        </w:rPr>
        <w:t>Ps</w:t>
      </w:r>
      <w:r w:rsidRPr="009E4F74">
        <w:rPr>
          <w:rFonts w:ascii="Arial" w:eastAsia="Times New Roman" w:hAnsi="Arial" w:cs="Arial"/>
          <w:color w:val="000000"/>
          <w:sz w:val="20"/>
          <w:szCs w:val="20"/>
          <w:lang w:val="en-GB" w:eastAsia="fr-FR"/>
        </w:rPr>
        <w:t xml:space="preserve"> to recommend an ESG product, the client’s instruction to proceed with the corresponding transaction being then viewed as an adaptation of his/ her ESG preferences. In such case, the adaptation process would be documented and explained to clients in the suitability report.</w:t>
      </w:r>
    </w:p>
    <w:bookmarkEnd w:id="19"/>
    <w:p w14:paraId="715822AF" w14:textId="37714756" w:rsidR="00FC77D6" w:rsidRPr="009E4F74" w:rsidRDefault="00FC77D6" w:rsidP="00731FD9">
      <w:pPr>
        <w:autoSpaceDE w:val="0"/>
        <w:autoSpaceDN w:val="0"/>
        <w:adjustRightInd w:val="0"/>
        <w:spacing w:after="0" w:line="240" w:lineRule="atLeast"/>
        <w:jc w:val="both"/>
        <w:rPr>
          <w:rFonts w:ascii="Arial" w:eastAsia="Times New Roman" w:hAnsi="Arial" w:cs="Arial"/>
          <w:color w:val="212121"/>
          <w:sz w:val="20"/>
          <w:szCs w:val="20"/>
          <w:shd w:val="clear" w:color="auto" w:fill="FFFFFF"/>
          <w:lang w:val="en-GB" w:eastAsia="fr-FR"/>
        </w:rPr>
      </w:pPr>
    </w:p>
    <w:p w14:paraId="0FCA6FF5" w14:textId="77777777" w:rsidR="00F67965" w:rsidRPr="009E4F74" w:rsidRDefault="00F67965" w:rsidP="00731FD9">
      <w:pPr>
        <w:autoSpaceDE w:val="0"/>
        <w:autoSpaceDN w:val="0"/>
        <w:adjustRightInd w:val="0"/>
        <w:spacing w:after="0" w:line="240" w:lineRule="atLeast"/>
        <w:jc w:val="both"/>
        <w:rPr>
          <w:rFonts w:ascii="Arial" w:eastAsia="Times New Roman" w:hAnsi="Arial" w:cs="Arial"/>
          <w:color w:val="212121"/>
          <w:sz w:val="20"/>
          <w:szCs w:val="20"/>
          <w:shd w:val="clear" w:color="auto" w:fill="FFFFFF"/>
          <w:lang w:val="en-GB" w:eastAsia="fr-FR"/>
        </w:rPr>
      </w:pPr>
    </w:p>
    <w:p w14:paraId="0F876A1C" w14:textId="77777777" w:rsidR="003B6ECE" w:rsidRPr="009E4F74" w:rsidRDefault="00067DA0" w:rsidP="00862A68">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r w:rsidRPr="009E4F74">
        <w:rPr>
          <w:rFonts w:ascii="Arial" w:eastAsia="Times New Roman" w:hAnsi="Arial" w:cs="Arial"/>
          <w:b/>
          <w:bCs/>
          <w:color w:val="000000"/>
          <w:sz w:val="20"/>
          <w:szCs w:val="20"/>
          <w:lang w:val="en-US" w:eastAsia="fr-FR"/>
        </w:rPr>
        <w:t>Q13</w:t>
      </w:r>
      <w:r w:rsidR="002B22BA" w:rsidRPr="009E4F74">
        <w:rPr>
          <w:rFonts w:ascii="Arial" w:eastAsia="Times New Roman" w:hAnsi="Arial" w:cs="Arial"/>
          <w:b/>
          <w:bCs/>
          <w:color w:val="000000"/>
          <w:sz w:val="20"/>
          <w:szCs w:val="20"/>
          <w:lang w:val="en-US" w:eastAsia="fr-FR"/>
        </w:rPr>
        <w:tab/>
      </w:r>
      <w:r w:rsidR="00593790" w:rsidRPr="009E4F74">
        <w:rPr>
          <w:rFonts w:ascii="Arial" w:eastAsia="Times New Roman" w:hAnsi="Arial" w:cs="Arial"/>
          <w:b/>
          <w:bCs/>
          <w:color w:val="000000"/>
          <w:sz w:val="20"/>
          <w:szCs w:val="20"/>
          <w:lang w:val="en-US" w:eastAsia="fr-FR"/>
        </w:rPr>
        <w:t xml:space="preserve">Could you share views on operational approaches a firm could use when it </w:t>
      </w:r>
      <w:bookmarkStart w:id="20" w:name="_Hlk99107648"/>
      <w:r w:rsidR="00593790" w:rsidRPr="009E4F74">
        <w:rPr>
          <w:rFonts w:ascii="Arial" w:eastAsia="Times New Roman" w:hAnsi="Arial" w:cs="Arial"/>
          <w:b/>
          <w:bCs/>
          <w:color w:val="000000"/>
          <w:sz w:val="20"/>
          <w:szCs w:val="20"/>
          <w:lang w:val="en-US" w:eastAsia="fr-FR"/>
        </w:rPr>
        <w:t xml:space="preserve">does not have any financial instruments included in its product range that would meet the client’s sustainability preferences </w:t>
      </w:r>
      <w:bookmarkEnd w:id="20"/>
      <w:r w:rsidR="00593790" w:rsidRPr="009E4F74">
        <w:rPr>
          <w:rFonts w:ascii="Arial" w:eastAsia="Times New Roman" w:hAnsi="Arial" w:cs="Arial"/>
          <w:b/>
          <w:bCs/>
          <w:color w:val="000000"/>
          <w:sz w:val="20"/>
          <w:szCs w:val="20"/>
          <w:lang w:val="en-US" w:eastAsia="fr-FR"/>
        </w:rPr>
        <w:t>(i.e. for the adaptation of client’s preferences with respect to the suitability assessment in question/to the particular transaction and to inform the client of such situation in the suitability report)?</w:t>
      </w:r>
    </w:p>
    <w:p w14:paraId="7E6AB591" w14:textId="77777777" w:rsidR="00F67965" w:rsidRPr="009E4F74" w:rsidRDefault="00F67965" w:rsidP="00862A68">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
    <w:p w14:paraId="16C425EA" w14:textId="46CF2A82" w:rsidR="003E5888" w:rsidRPr="009E4F74" w:rsidRDefault="003E5888" w:rsidP="00862A68">
      <w:pPr>
        <w:autoSpaceDE w:val="0"/>
        <w:autoSpaceDN w:val="0"/>
        <w:adjustRightInd w:val="0"/>
        <w:spacing w:after="0" w:line="240" w:lineRule="atLeast"/>
        <w:jc w:val="both"/>
        <w:rPr>
          <w:rFonts w:ascii="Arial" w:eastAsia="Times New Roman" w:hAnsi="Arial" w:cs="Arial"/>
          <w:color w:val="000000"/>
          <w:sz w:val="20"/>
          <w:szCs w:val="20"/>
          <w:lang w:val="en-US" w:eastAsia="fr-FR"/>
        </w:rPr>
      </w:pPr>
      <w:r w:rsidRPr="009E4F74">
        <w:rPr>
          <w:rFonts w:ascii="Arial" w:eastAsia="Times New Roman" w:hAnsi="Arial" w:cs="Arial"/>
          <w:color w:val="000000"/>
          <w:sz w:val="20"/>
          <w:szCs w:val="20"/>
          <w:lang w:val="en-US" w:eastAsia="fr-FR"/>
        </w:rPr>
        <w:lastRenderedPageBreak/>
        <w:t xml:space="preserve">In </w:t>
      </w:r>
      <w:r w:rsidR="00E67976" w:rsidRPr="009E4F74">
        <w:rPr>
          <w:rFonts w:ascii="Arial" w:eastAsia="Times New Roman" w:hAnsi="Arial" w:cs="Arial"/>
          <w:color w:val="000000"/>
          <w:sz w:val="20"/>
          <w:szCs w:val="20"/>
          <w:lang w:val="en-US" w:eastAsia="fr-FR"/>
        </w:rPr>
        <w:t>FBF</w:t>
      </w:r>
      <w:r w:rsidRPr="009E4F74">
        <w:rPr>
          <w:rFonts w:ascii="Arial" w:eastAsia="Times New Roman" w:hAnsi="Arial" w:cs="Arial"/>
          <w:color w:val="000000"/>
          <w:sz w:val="20"/>
          <w:szCs w:val="20"/>
          <w:lang w:val="en-US" w:eastAsia="fr-FR"/>
        </w:rPr>
        <w:t xml:space="preserve">’s view, the first step </w:t>
      </w:r>
      <w:r w:rsidR="00363C4B" w:rsidRPr="009E4F74">
        <w:rPr>
          <w:rFonts w:ascii="Arial" w:eastAsia="Times New Roman" w:hAnsi="Arial" w:cs="Arial"/>
          <w:color w:val="000000"/>
          <w:sz w:val="20"/>
          <w:szCs w:val="20"/>
          <w:lang w:val="en-US" w:eastAsia="fr-FR"/>
        </w:rPr>
        <w:t xml:space="preserve">after the initial </w:t>
      </w:r>
      <w:r w:rsidR="00E53D4F" w:rsidRPr="009E4F74">
        <w:rPr>
          <w:rFonts w:ascii="Arial" w:eastAsia="Times New Roman" w:hAnsi="Arial" w:cs="Arial"/>
          <w:color w:val="000000"/>
          <w:sz w:val="20"/>
          <w:szCs w:val="20"/>
          <w:lang w:val="en-US" w:eastAsia="fr-FR"/>
        </w:rPr>
        <w:t xml:space="preserve">assessment </w:t>
      </w:r>
      <w:r w:rsidR="00381A72" w:rsidRPr="009E4F74">
        <w:rPr>
          <w:rFonts w:ascii="Arial" w:eastAsia="Times New Roman" w:hAnsi="Arial" w:cs="Arial"/>
          <w:color w:val="000000"/>
          <w:sz w:val="20"/>
          <w:szCs w:val="20"/>
          <w:lang w:val="en-US" w:eastAsia="fr-FR"/>
        </w:rPr>
        <w:t xml:space="preserve">which </w:t>
      </w:r>
      <w:r w:rsidR="00960B2C" w:rsidRPr="009E4F74">
        <w:rPr>
          <w:rFonts w:ascii="Arial" w:eastAsia="Times New Roman" w:hAnsi="Arial" w:cs="Arial"/>
          <w:color w:val="000000"/>
          <w:sz w:val="20"/>
          <w:szCs w:val="20"/>
          <w:lang w:val="en-US" w:eastAsia="fr-FR"/>
        </w:rPr>
        <w:t xml:space="preserve">led </w:t>
      </w:r>
      <w:r w:rsidR="00363C4B" w:rsidRPr="009E4F74">
        <w:rPr>
          <w:rFonts w:ascii="Arial" w:eastAsia="Times New Roman" w:hAnsi="Arial" w:cs="Arial"/>
          <w:color w:val="000000"/>
          <w:sz w:val="20"/>
          <w:szCs w:val="20"/>
          <w:lang w:val="en-US" w:eastAsia="fr-FR"/>
        </w:rPr>
        <w:t>to the conclusion that the ISP does not have any financial instruments in its product range meet</w:t>
      </w:r>
      <w:r w:rsidR="00710D60" w:rsidRPr="009E4F74">
        <w:rPr>
          <w:rFonts w:ascii="Arial" w:eastAsia="Times New Roman" w:hAnsi="Arial" w:cs="Arial"/>
          <w:color w:val="000000"/>
          <w:sz w:val="20"/>
          <w:szCs w:val="20"/>
          <w:lang w:val="en-US" w:eastAsia="fr-FR"/>
        </w:rPr>
        <w:t>ing</w:t>
      </w:r>
      <w:r w:rsidR="00363C4B" w:rsidRPr="009E4F74">
        <w:rPr>
          <w:rFonts w:ascii="Arial" w:eastAsia="Times New Roman" w:hAnsi="Arial" w:cs="Arial"/>
          <w:color w:val="000000"/>
          <w:sz w:val="20"/>
          <w:szCs w:val="20"/>
          <w:lang w:val="en-US" w:eastAsia="fr-FR"/>
        </w:rPr>
        <w:t xml:space="preserve"> the client’s sustainability preferences</w:t>
      </w:r>
      <w:r w:rsidR="00960B2C" w:rsidRPr="009E4F74">
        <w:rPr>
          <w:rFonts w:ascii="Arial" w:eastAsia="Times New Roman" w:hAnsi="Arial" w:cs="Arial"/>
          <w:color w:val="000000"/>
          <w:sz w:val="20"/>
          <w:szCs w:val="20"/>
          <w:lang w:val="en-US" w:eastAsia="fr-FR"/>
        </w:rPr>
        <w:t>,</w:t>
      </w:r>
      <w:r w:rsidR="00363C4B" w:rsidRPr="009E4F74">
        <w:rPr>
          <w:rFonts w:ascii="Arial" w:eastAsia="Times New Roman" w:hAnsi="Arial" w:cs="Arial"/>
          <w:color w:val="000000"/>
          <w:sz w:val="20"/>
          <w:szCs w:val="20"/>
          <w:lang w:val="en-US" w:eastAsia="fr-FR"/>
        </w:rPr>
        <w:t xml:space="preserve"> should be for the ISP to present its ESG products’</w:t>
      </w:r>
      <w:r w:rsidR="00E53D4F" w:rsidRPr="009E4F74">
        <w:rPr>
          <w:rFonts w:ascii="Arial" w:eastAsia="Times New Roman" w:hAnsi="Arial" w:cs="Arial"/>
          <w:color w:val="000000"/>
          <w:sz w:val="20"/>
          <w:szCs w:val="20"/>
          <w:lang w:val="en-US" w:eastAsia="fr-FR"/>
        </w:rPr>
        <w:t xml:space="preserve"> offer.</w:t>
      </w:r>
    </w:p>
    <w:p w14:paraId="390597B6" w14:textId="2A076880" w:rsidR="00E53D4F" w:rsidRPr="009E4F74" w:rsidRDefault="00E53D4F" w:rsidP="00862A68">
      <w:pPr>
        <w:autoSpaceDE w:val="0"/>
        <w:autoSpaceDN w:val="0"/>
        <w:adjustRightInd w:val="0"/>
        <w:spacing w:after="0" w:line="240" w:lineRule="atLeast"/>
        <w:jc w:val="both"/>
        <w:rPr>
          <w:rFonts w:ascii="Arial" w:eastAsia="Times New Roman" w:hAnsi="Arial" w:cs="Arial"/>
          <w:color w:val="000000"/>
          <w:sz w:val="20"/>
          <w:szCs w:val="20"/>
          <w:lang w:val="en-US" w:eastAsia="fr-FR"/>
        </w:rPr>
      </w:pPr>
      <w:r w:rsidRPr="009E4F74">
        <w:rPr>
          <w:rFonts w:ascii="Arial" w:eastAsia="Times New Roman" w:hAnsi="Arial" w:cs="Arial"/>
          <w:color w:val="000000"/>
          <w:sz w:val="20"/>
          <w:szCs w:val="20"/>
          <w:lang w:val="en-US" w:eastAsia="fr-FR"/>
        </w:rPr>
        <w:t xml:space="preserve">Then the client should be left the opportunity to amend his/her initial preferences. </w:t>
      </w:r>
    </w:p>
    <w:p w14:paraId="484B03D8" w14:textId="149EA588" w:rsidR="000F5E21" w:rsidRPr="009E4F74" w:rsidRDefault="00C44164" w:rsidP="00862A68">
      <w:pPr>
        <w:autoSpaceDE w:val="0"/>
        <w:autoSpaceDN w:val="0"/>
        <w:adjustRightInd w:val="0"/>
        <w:spacing w:after="0" w:line="240" w:lineRule="atLeast"/>
        <w:jc w:val="both"/>
        <w:rPr>
          <w:rFonts w:ascii="Arial" w:eastAsia="Times New Roman" w:hAnsi="Arial" w:cs="Arial"/>
          <w:color w:val="000000"/>
          <w:sz w:val="20"/>
          <w:szCs w:val="20"/>
          <w:lang w:val="en-US" w:eastAsia="fr-FR"/>
        </w:rPr>
      </w:pPr>
      <w:r w:rsidRPr="009E4F74">
        <w:rPr>
          <w:rFonts w:ascii="Arial" w:eastAsia="Times New Roman" w:hAnsi="Arial" w:cs="Arial"/>
          <w:color w:val="000000"/>
          <w:sz w:val="20"/>
          <w:szCs w:val="20"/>
          <w:lang w:val="en-US" w:eastAsia="fr-FR"/>
        </w:rPr>
        <w:t xml:space="preserve">According to </w:t>
      </w:r>
      <w:r w:rsidR="00E67976" w:rsidRPr="009E4F74">
        <w:rPr>
          <w:rFonts w:ascii="Arial" w:eastAsia="Times New Roman" w:hAnsi="Arial" w:cs="Arial"/>
          <w:color w:val="000000"/>
          <w:sz w:val="20"/>
          <w:szCs w:val="20"/>
          <w:lang w:val="en-US" w:eastAsia="fr-FR"/>
        </w:rPr>
        <w:t>FBF</w:t>
      </w:r>
      <w:r w:rsidRPr="009E4F74">
        <w:rPr>
          <w:rFonts w:ascii="Arial" w:eastAsia="Times New Roman" w:hAnsi="Arial" w:cs="Arial"/>
          <w:color w:val="000000"/>
          <w:sz w:val="20"/>
          <w:szCs w:val="20"/>
          <w:lang w:val="en-US" w:eastAsia="fr-FR"/>
        </w:rPr>
        <w:t>, t</w:t>
      </w:r>
      <w:r w:rsidR="000F5E21" w:rsidRPr="009E4F74">
        <w:rPr>
          <w:rFonts w:ascii="Arial" w:eastAsia="Times New Roman" w:hAnsi="Arial" w:cs="Arial"/>
          <w:color w:val="000000"/>
          <w:sz w:val="20"/>
          <w:szCs w:val="20"/>
          <w:lang w:val="en-US" w:eastAsia="fr-FR"/>
        </w:rPr>
        <w:t xml:space="preserve">his is the only way to avoid very </w:t>
      </w:r>
      <w:r w:rsidR="003F29A7" w:rsidRPr="009E4F74">
        <w:rPr>
          <w:rFonts w:ascii="Arial" w:eastAsia="Times New Roman" w:hAnsi="Arial" w:cs="Arial"/>
          <w:color w:val="000000"/>
          <w:sz w:val="20"/>
          <w:szCs w:val="20"/>
          <w:lang w:val="en-US" w:eastAsia="fr-FR"/>
        </w:rPr>
        <w:t>lengthy</w:t>
      </w:r>
      <w:r w:rsidR="000F5E21" w:rsidRPr="009E4F74">
        <w:rPr>
          <w:rFonts w:ascii="Arial" w:eastAsia="Times New Roman" w:hAnsi="Arial" w:cs="Arial"/>
          <w:color w:val="000000"/>
          <w:sz w:val="20"/>
          <w:szCs w:val="20"/>
          <w:lang w:val="en-US" w:eastAsia="fr-FR"/>
        </w:rPr>
        <w:t xml:space="preserve"> process</w:t>
      </w:r>
      <w:r w:rsidR="003F29A7" w:rsidRPr="009E4F74">
        <w:rPr>
          <w:rFonts w:ascii="Arial" w:eastAsia="Times New Roman" w:hAnsi="Arial" w:cs="Arial"/>
          <w:color w:val="000000"/>
          <w:sz w:val="20"/>
          <w:szCs w:val="20"/>
          <w:lang w:val="en-US" w:eastAsia="fr-FR"/>
        </w:rPr>
        <w:t>es</w:t>
      </w:r>
      <w:r w:rsidR="000F5E21" w:rsidRPr="009E4F74">
        <w:rPr>
          <w:rFonts w:ascii="Arial" w:eastAsia="Times New Roman" w:hAnsi="Arial" w:cs="Arial"/>
          <w:color w:val="000000"/>
          <w:sz w:val="20"/>
          <w:szCs w:val="20"/>
          <w:lang w:val="en-US" w:eastAsia="fr-FR"/>
        </w:rPr>
        <w:t xml:space="preserve"> that will </w:t>
      </w:r>
      <w:r w:rsidR="003F29A7" w:rsidRPr="009E4F74">
        <w:rPr>
          <w:rFonts w:ascii="Arial" w:eastAsia="Times New Roman" w:hAnsi="Arial" w:cs="Arial"/>
          <w:color w:val="000000"/>
          <w:sz w:val="20"/>
          <w:szCs w:val="20"/>
          <w:lang w:val="en-US" w:eastAsia="fr-FR"/>
        </w:rPr>
        <w:t>last</w:t>
      </w:r>
      <w:r w:rsidR="000F5E21" w:rsidRPr="009E4F74">
        <w:rPr>
          <w:rFonts w:ascii="Arial" w:eastAsia="Times New Roman" w:hAnsi="Arial" w:cs="Arial"/>
          <w:color w:val="000000"/>
          <w:sz w:val="20"/>
          <w:szCs w:val="20"/>
          <w:lang w:val="en-US" w:eastAsia="fr-FR"/>
        </w:rPr>
        <w:t xml:space="preserve"> until </w:t>
      </w:r>
      <w:r w:rsidR="003F29A7" w:rsidRPr="009E4F74">
        <w:rPr>
          <w:rFonts w:ascii="Arial" w:eastAsia="Times New Roman" w:hAnsi="Arial" w:cs="Arial"/>
          <w:color w:val="000000"/>
          <w:sz w:val="20"/>
          <w:szCs w:val="20"/>
          <w:lang w:val="en-US" w:eastAsia="fr-FR"/>
        </w:rPr>
        <w:t xml:space="preserve">clients finally express </w:t>
      </w:r>
      <w:r w:rsidR="006874ED" w:rsidRPr="009E4F74">
        <w:rPr>
          <w:rFonts w:ascii="Arial" w:eastAsia="Times New Roman" w:hAnsi="Arial" w:cs="Arial"/>
          <w:color w:val="000000"/>
          <w:sz w:val="20"/>
          <w:szCs w:val="20"/>
          <w:lang w:val="en-US" w:eastAsia="fr-FR"/>
        </w:rPr>
        <w:t xml:space="preserve">their </w:t>
      </w:r>
      <w:r w:rsidR="003F29A7" w:rsidRPr="009E4F74">
        <w:rPr>
          <w:rFonts w:ascii="Arial" w:eastAsia="Times New Roman" w:hAnsi="Arial" w:cs="Arial"/>
          <w:color w:val="000000"/>
          <w:sz w:val="20"/>
          <w:szCs w:val="20"/>
          <w:lang w:val="en-US" w:eastAsia="fr-FR"/>
        </w:rPr>
        <w:t xml:space="preserve">preferences compatible with available products. </w:t>
      </w:r>
    </w:p>
    <w:p w14:paraId="2EC6C035" w14:textId="77777777" w:rsidR="003F29A7" w:rsidRPr="009E4F74" w:rsidRDefault="003F29A7" w:rsidP="00862A68">
      <w:pPr>
        <w:autoSpaceDE w:val="0"/>
        <w:autoSpaceDN w:val="0"/>
        <w:adjustRightInd w:val="0"/>
        <w:spacing w:after="0" w:line="240" w:lineRule="atLeast"/>
        <w:jc w:val="both"/>
        <w:rPr>
          <w:rFonts w:ascii="Arial" w:eastAsia="Times New Roman" w:hAnsi="Arial" w:cs="Arial"/>
          <w:color w:val="000000"/>
          <w:sz w:val="20"/>
          <w:szCs w:val="20"/>
          <w:lang w:val="en-US" w:eastAsia="fr-FR"/>
        </w:rPr>
      </w:pPr>
    </w:p>
    <w:p w14:paraId="718E841B" w14:textId="700AD3A9" w:rsidR="00E53D4F" w:rsidRPr="009E4F74" w:rsidRDefault="00E53D4F" w:rsidP="00970615">
      <w:pPr>
        <w:spacing w:after="0" w:line="240" w:lineRule="atLeast"/>
        <w:jc w:val="both"/>
        <w:rPr>
          <w:rFonts w:ascii="Arial" w:eastAsia="Times New Roman" w:hAnsi="Arial" w:cs="Arial"/>
          <w:color w:val="000000"/>
          <w:sz w:val="20"/>
          <w:szCs w:val="20"/>
          <w:lang w:val="en-GB" w:eastAsia="fr-FR"/>
        </w:rPr>
      </w:pPr>
      <w:r w:rsidRPr="009E4F74">
        <w:rPr>
          <w:rFonts w:ascii="Arial" w:eastAsia="Times New Roman" w:hAnsi="Arial" w:cs="Arial"/>
          <w:color w:val="000000"/>
          <w:sz w:val="20"/>
          <w:szCs w:val="20"/>
          <w:lang w:val="en-GB" w:eastAsia="fr-FR"/>
        </w:rPr>
        <w:t>As requested under revised article 54.10 Delegated Regulation 2017/565</w:t>
      </w:r>
      <w:r w:rsidR="00EE5FC0" w:rsidRPr="009E4F74">
        <w:rPr>
          <w:rFonts w:ascii="Arial" w:eastAsia="Times New Roman" w:hAnsi="Arial" w:cs="Arial"/>
          <w:color w:val="000000"/>
          <w:sz w:val="20"/>
          <w:szCs w:val="20"/>
          <w:lang w:val="en-GB" w:eastAsia="fr-FR"/>
        </w:rPr>
        <w:t>,</w:t>
      </w:r>
      <w:r w:rsidR="00614015" w:rsidRPr="009E4F74">
        <w:rPr>
          <w:rFonts w:ascii="Arial" w:eastAsia="Times New Roman" w:hAnsi="Arial" w:cs="Arial"/>
          <w:color w:val="000000"/>
          <w:sz w:val="20"/>
          <w:szCs w:val="20"/>
          <w:lang w:val="en-GB" w:eastAsia="fr-FR"/>
        </w:rPr>
        <w:t xml:space="preserve"> </w:t>
      </w:r>
      <w:r w:rsidR="00EE5FC0" w:rsidRPr="009E4F74">
        <w:rPr>
          <w:rFonts w:ascii="Arial" w:eastAsia="Times New Roman" w:hAnsi="Arial" w:cs="Arial"/>
          <w:color w:val="000000"/>
          <w:sz w:val="20"/>
          <w:szCs w:val="20"/>
          <w:lang w:val="en-GB" w:eastAsia="fr-FR"/>
        </w:rPr>
        <w:t>ISP</w:t>
      </w:r>
      <w:r w:rsidR="00605C07" w:rsidRPr="009E4F74">
        <w:rPr>
          <w:rFonts w:ascii="Arial" w:eastAsia="Times New Roman" w:hAnsi="Arial" w:cs="Arial"/>
          <w:color w:val="000000"/>
          <w:sz w:val="20"/>
          <w:szCs w:val="20"/>
          <w:lang w:val="en-GB" w:eastAsia="fr-FR"/>
        </w:rPr>
        <w:t>s</w:t>
      </w:r>
      <w:r w:rsidRPr="009E4F74">
        <w:rPr>
          <w:rFonts w:ascii="Arial" w:eastAsia="Times New Roman" w:hAnsi="Arial" w:cs="Arial"/>
          <w:color w:val="000000"/>
          <w:sz w:val="20"/>
          <w:szCs w:val="20"/>
          <w:lang w:val="en-GB" w:eastAsia="fr-FR"/>
        </w:rPr>
        <w:t xml:space="preserve"> should “</w:t>
      </w:r>
      <w:r w:rsidRPr="009E4F74">
        <w:rPr>
          <w:rFonts w:ascii="Arial" w:eastAsia="Times New Roman" w:hAnsi="Arial" w:cs="Arial"/>
          <w:i/>
          <w:iCs/>
          <w:color w:val="000000"/>
          <w:sz w:val="20"/>
          <w:szCs w:val="20"/>
          <w:lang w:val="en-GB" w:eastAsia="fr-FR"/>
        </w:rPr>
        <w:t>keep records of the decision of the client, including the reasons for that decision</w:t>
      </w:r>
      <w:r w:rsidR="00EE5FC0" w:rsidRPr="009E4F74">
        <w:rPr>
          <w:rFonts w:ascii="Arial" w:eastAsia="Times New Roman" w:hAnsi="Arial" w:cs="Arial"/>
          <w:color w:val="000000"/>
          <w:sz w:val="20"/>
          <w:szCs w:val="20"/>
          <w:lang w:val="en-GB" w:eastAsia="fr-FR"/>
        </w:rPr>
        <w:t>”</w:t>
      </w:r>
      <w:r w:rsidRPr="009E4F74">
        <w:rPr>
          <w:rFonts w:ascii="Arial" w:eastAsia="Times New Roman" w:hAnsi="Arial" w:cs="Arial"/>
          <w:color w:val="000000"/>
          <w:sz w:val="20"/>
          <w:szCs w:val="20"/>
          <w:lang w:val="en-GB" w:eastAsia="fr-FR"/>
        </w:rPr>
        <w:t>.</w:t>
      </w:r>
      <w:r w:rsidR="00B13799" w:rsidRPr="009E4F74">
        <w:rPr>
          <w:rFonts w:ascii="Arial" w:eastAsia="Times New Roman" w:hAnsi="Arial" w:cs="Arial"/>
          <w:color w:val="000000"/>
          <w:sz w:val="20"/>
          <w:szCs w:val="20"/>
          <w:lang w:val="en-GB" w:eastAsia="fr-FR"/>
        </w:rPr>
        <w:t xml:space="preserve"> </w:t>
      </w:r>
      <w:r w:rsidR="000251B4" w:rsidRPr="009E4F74">
        <w:rPr>
          <w:rFonts w:ascii="Arial" w:eastAsia="Times New Roman" w:hAnsi="Arial" w:cs="Arial"/>
          <w:color w:val="000000"/>
          <w:sz w:val="20"/>
          <w:szCs w:val="20"/>
          <w:lang w:val="en-GB" w:eastAsia="fr-FR"/>
        </w:rPr>
        <w:t>This will provide a protection, both for clients an</w:t>
      </w:r>
      <w:r w:rsidR="00F67965" w:rsidRPr="009E4F74">
        <w:rPr>
          <w:rFonts w:ascii="Arial" w:eastAsia="Times New Roman" w:hAnsi="Arial" w:cs="Arial"/>
          <w:color w:val="000000"/>
          <w:sz w:val="20"/>
          <w:szCs w:val="20"/>
          <w:lang w:val="en-GB" w:eastAsia="fr-FR"/>
        </w:rPr>
        <w:t>d</w:t>
      </w:r>
      <w:r w:rsidR="000251B4" w:rsidRPr="009E4F74">
        <w:rPr>
          <w:rFonts w:ascii="Arial" w:eastAsia="Times New Roman" w:hAnsi="Arial" w:cs="Arial"/>
          <w:color w:val="000000"/>
          <w:sz w:val="20"/>
          <w:szCs w:val="20"/>
          <w:lang w:val="en-GB" w:eastAsia="fr-FR"/>
        </w:rPr>
        <w:t xml:space="preserve"> ISPs in case of </w:t>
      </w:r>
      <w:r w:rsidR="00B13799" w:rsidRPr="009E4F74">
        <w:rPr>
          <w:rFonts w:ascii="Arial" w:eastAsia="Times New Roman" w:hAnsi="Arial" w:cs="Arial"/>
          <w:color w:val="000000"/>
          <w:sz w:val="20"/>
          <w:szCs w:val="20"/>
          <w:lang w:val="en-GB" w:eastAsia="fr-FR"/>
        </w:rPr>
        <w:t xml:space="preserve">complaints from </w:t>
      </w:r>
      <w:r w:rsidR="000251B4" w:rsidRPr="009E4F74">
        <w:rPr>
          <w:rFonts w:ascii="Arial" w:eastAsia="Times New Roman" w:hAnsi="Arial" w:cs="Arial"/>
          <w:color w:val="000000"/>
          <w:sz w:val="20"/>
          <w:szCs w:val="20"/>
          <w:lang w:val="en-GB" w:eastAsia="fr-FR"/>
        </w:rPr>
        <w:t xml:space="preserve">clients. </w:t>
      </w:r>
    </w:p>
    <w:p w14:paraId="37DCB982" w14:textId="29A3407B" w:rsidR="005928DA" w:rsidRPr="009E4F74" w:rsidRDefault="005928DA"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76ED8812" w14:textId="77777777" w:rsidR="00F4548F" w:rsidRPr="009E4F74" w:rsidRDefault="00F4548F"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5093496E" w14:textId="6A4430ED" w:rsidR="00067DA0" w:rsidRPr="009E4F74" w:rsidRDefault="00067DA0" w:rsidP="00731FD9">
      <w:pPr>
        <w:autoSpaceDE w:val="0"/>
        <w:autoSpaceDN w:val="0"/>
        <w:adjustRightInd w:val="0"/>
        <w:spacing w:after="0" w:line="240" w:lineRule="atLeast"/>
        <w:jc w:val="both"/>
        <w:rPr>
          <w:rFonts w:ascii="Arial" w:eastAsia="Times New Roman" w:hAnsi="Arial" w:cs="Arial"/>
          <w:color w:val="000000"/>
          <w:sz w:val="20"/>
          <w:szCs w:val="20"/>
          <w:lang w:val="en-US" w:eastAsia="fr-FR"/>
        </w:rPr>
      </w:pPr>
      <w:proofErr w:type="gramStart"/>
      <w:r w:rsidRPr="009E4F74">
        <w:rPr>
          <w:rFonts w:ascii="Arial" w:eastAsia="Times New Roman" w:hAnsi="Arial" w:cs="Arial"/>
          <w:b/>
          <w:bCs/>
          <w:color w:val="000000"/>
          <w:sz w:val="20"/>
          <w:szCs w:val="20"/>
          <w:lang w:val="en-US" w:eastAsia="fr-FR"/>
        </w:rPr>
        <w:t>Q14</w:t>
      </w:r>
      <w:proofErr w:type="gramEnd"/>
      <w:r w:rsidR="002B22BA" w:rsidRPr="009E4F74">
        <w:rPr>
          <w:rFonts w:ascii="Arial" w:eastAsia="Times New Roman" w:hAnsi="Arial" w:cs="Arial"/>
          <w:b/>
          <w:bCs/>
          <w:color w:val="000000"/>
          <w:sz w:val="20"/>
          <w:szCs w:val="20"/>
          <w:lang w:val="en-US" w:eastAsia="fr-FR"/>
        </w:rPr>
        <w:tab/>
      </w:r>
      <w:r w:rsidR="00767EC3" w:rsidRPr="009E4F74">
        <w:rPr>
          <w:rFonts w:ascii="Arial" w:eastAsia="Times New Roman" w:hAnsi="Arial" w:cs="Arial"/>
          <w:b/>
          <w:bCs/>
          <w:color w:val="000000"/>
          <w:sz w:val="20"/>
          <w:szCs w:val="20"/>
          <w:lang w:val="en-US" w:eastAsia="fr-FR"/>
        </w:rPr>
        <w:t>Do you agree with the proposed approach for firms to be adopted in the case where a client does not express sustainability preferences, or do you believe that the supporting guideline should be more prescriptive? Please also state the reasons for your answer.</w:t>
      </w:r>
    </w:p>
    <w:p w14:paraId="76DA6992" w14:textId="77777777" w:rsidR="00767EC3" w:rsidRPr="009E4F74" w:rsidRDefault="00767EC3" w:rsidP="00731FD9">
      <w:pPr>
        <w:autoSpaceDE w:val="0"/>
        <w:autoSpaceDN w:val="0"/>
        <w:adjustRightInd w:val="0"/>
        <w:spacing w:after="0" w:line="240" w:lineRule="atLeast"/>
        <w:jc w:val="both"/>
        <w:rPr>
          <w:rFonts w:ascii="Arial" w:hAnsi="Arial" w:cs="Arial"/>
          <w:sz w:val="20"/>
          <w:szCs w:val="20"/>
          <w:lang w:val="en-US"/>
        </w:rPr>
      </w:pPr>
    </w:p>
    <w:p w14:paraId="1AFAF817" w14:textId="6ED6EE10" w:rsidR="005928DA" w:rsidRPr="00604D97" w:rsidRDefault="00226548"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r w:rsidRPr="009E4F74">
        <w:rPr>
          <w:rFonts w:ascii="Arial" w:hAnsi="Arial" w:cs="Arial"/>
          <w:color w:val="000000"/>
          <w:sz w:val="20"/>
          <w:szCs w:val="20"/>
          <w:lang w:val="en-GB"/>
        </w:rPr>
        <w:t xml:space="preserve">No. </w:t>
      </w:r>
      <w:r w:rsidR="00DE6648" w:rsidRPr="009E4F74">
        <w:rPr>
          <w:rFonts w:ascii="Arial" w:hAnsi="Arial" w:cs="Arial"/>
          <w:color w:val="000000"/>
          <w:sz w:val="20"/>
          <w:szCs w:val="20"/>
          <w:lang w:val="en-GB"/>
        </w:rPr>
        <w:t xml:space="preserve">As previously pointed out (see </w:t>
      </w:r>
      <w:r w:rsidR="0063659D" w:rsidRPr="009E4F74">
        <w:rPr>
          <w:rFonts w:ascii="Arial" w:hAnsi="Arial" w:cs="Arial"/>
          <w:color w:val="000000"/>
          <w:sz w:val="20"/>
          <w:szCs w:val="20"/>
          <w:lang w:val="en-GB"/>
        </w:rPr>
        <w:t xml:space="preserve">our </w:t>
      </w:r>
      <w:r w:rsidR="00B82F7E" w:rsidRPr="009E4F74">
        <w:rPr>
          <w:rFonts w:ascii="Arial" w:hAnsi="Arial" w:cs="Arial"/>
          <w:color w:val="000000"/>
          <w:sz w:val="20"/>
          <w:szCs w:val="20"/>
          <w:lang w:val="en-GB"/>
        </w:rPr>
        <w:t>answer</w:t>
      </w:r>
      <w:r w:rsidR="00B70AC0" w:rsidRPr="009E4F74">
        <w:rPr>
          <w:rFonts w:ascii="Arial" w:hAnsi="Arial" w:cs="Arial"/>
          <w:color w:val="000000"/>
          <w:sz w:val="20"/>
          <w:szCs w:val="20"/>
          <w:lang w:val="en-GB"/>
        </w:rPr>
        <w:t>s</w:t>
      </w:r>
      <w:r w:rsidR="00B82F7E" w:rsidRPr="009E4F74">
        <w:rPr>
          <w:rFonts w:ascii="Arial" w:hAnsi="Arial" w:cs="Arial"/>
          <w:color w:val="000000"/>
          <w:sz w:val="20"/>
          <w:szCs w:val="20"/>
          <w:lang w:val="en-GB"/>
        </w:rPr>
        <w:t xml:space="preserve"> </w:t>
      </w:r>
      <w:r w:rsidR="00DE6648" w:rsidRPr="009E4F74">
        <w:rPr>
          <w:rFonts w:ascii="Arial" w:hAnsi="Arial" w:cs="Arial"/>
          <w:color w:val="000000"/>
          <w:sz w:val="20"/>
          <w:szCs w:val="20"/>
          <w:lang w:val="en-GB"/>
        </w:rPr>
        <w:t>to Q10 an</w:t>
      </w:r>
      <w:r w:rsidR="0063659D" w:rsidRPr="009E4F74">
        <w:rPr>
          <w:rFonts w:ascii="Arial" w:hAnsi="Arial" w:cs="Arial"/>
          <w:color w:val="000000"/>
          <w:sz w:val="20"/>
          <w:szCs w:val="20"/>
          <w:lang w:val="en-GB"/>
        </w:rPr>
        <w:t>d</w:t>
      </w:r>
      <w:r w:rsidR="00DE6648" w:rsidRPr="009E4F74">
        <w:rPr>
          <w:rFonts w:ascii="Arial" w:hAnsi="Arial" w:cs="Arial"/>
          <w:color w:val="000000"/>
          <w:sz w:val="20"/>
          <w:szCs w:val="20"/>
          <w:lang w:val="en-GB"/>
        </w:rPr>
        <w:t xml:space="preserve"> Q12</w:t>
      </w:r>
      <w:r w:rsidR="00B70AC0" w:rsidRPr="009E4F74">
        <w:rPr>
          <w:rFonts w:ascii="Arial" w:hAnsi="Arial" w:cs="Arial"/>
          <w:color w:val="000000"/>
          <w:sz w:val="20"/>
          <w:szCs w:val="20"/>
          <w:lang w:val="en-GB"/>
        </w:rPr>
        <w:t xml:space="preserve"> above</w:t>
      </w:r>
      <w:r w:rsidR="00B82F7E" w:rsidRPr="009E4F74">
        <w:rPr>
          <w:rFonts w:ascii="Arial" w:hAnsi="Arial" w:cs="Arial"/>
          <w:color w:val="000000"/>
          <w:sz w:val="20"/>
          <w:szCs w:val="20"/>
          <w:lang w:val="en-GB"/>
        </w:rPr>
        <w:t xml:space="preserve">), </w:t>
      </w:r>
      <w:r w:rsidR="00E67976" w:rsidRPr="009E4F74">
        <w:rPr>
          <w:rFonts w:ascii="Arial" w:eastAsia="Times New Roman" w:hAnsi="Arial" w:cs="Arial"/>
          <w:sz w:val="20"/>
          <w:szCs w:val="20"/>
          <w:lang w:val="en-US" w:eastAsia="fr-FR"/>
        </w:rPr>
        <w:t>FBF</w:t>
      </w:r>
      <w:r w:rsidRPr="009E4F74">
        <w:rPr>
          <w:rFonts w:ascii="Arial" w:eastAsia="Times New Roman" w:hAnsi="Arial" w:cs="Arial"/>
          <w:sz w:val="20"/>
          <w:szCs w:val="20"/>
          <w:lang w:val="en-US" w:eastAsia="fr-FR"/>
        </w:rPr>
        <w:t xml:space="preserve"> does not see any added</w:t>
      </w:r>
      <w:r w:rsidRPr="00604D97">
        <w:rPr>
          <w:rFonts w:ascii="Arial" w:eastAsia="Times New Roman" w:hAnsi="Arial" w:cs="Arial"/>
          <w:sz w:val="20"/>
          <w:szCs w:val="20"/>
          <w:lang w:val="en-US" w:eastAsia="fr-FR"/>
        </w:rPr>
        <w:t xml:space="preserve"> value in providing clients </w:t>
      </w:r>
      <w:r w:rsidR="00580215" w:rsidRPr="00604D97">
        <w:rPr>
          <w:rFonts w:ascii="Arial" w:eastAsia="Times New Roman" w:hAnsi="Arial" w:cs="Arial"/>
          <w:sz w:val="20"/>
          <w:szCs w:val="20"/>
          <w:lang w:val="en-US" w:eastAsia="fr-FR"/>
        </w:rPr>
        <w:t xml:space="preserve">who </w:t>
      </w:r>
      <w:r w:rsidRPr="00604D97">
        <w:rPr>
          <w:rFonts w:ascii="Arial" w:eastAsia="Times New Roman" w:hAnsi="Arial" w:cs="Arial"/>
          <w:sz w:val="20"/>
          <w:szCs w:val="20"/>
          <w:lang w:val="en-US" w:eastAsia="fr-FR"/>
        </w:rPr>
        <w:t>expressed they have no ESG preferences</w:t>
      </w:r>
      <w:r w:rsidR="00781B3D" w:rsidRPr="00604D97">
        <w:rPr>
          <w:rFonts w:ascii="Arial" w:eastAsia="Times New Roman" w:hAnsi="Arial" w:cs="Arial"/>
          <w:sz w:val="20"/>
          <w:szCs w:val="20"/>
          <w:lang w:val="en-US" w:eastAsia="fr-FR"/>
        </w:rPr>
        <w:t>,</w:t>
      </w:r>
      <w:r w:rsidRPr="00604D97">
        <w:rPr>
          <w:rFonts w:ascii="Arial" w:eastAsia="Times New Roman" w:hAnsi="Arial" w:cs="Arial"/>
          <w:sz w:val="20"/>
          <w:szCs w:val="20"/>
          <w:lang w:val="en-US" w:eastAsia="fr-FR"/>
        </w:rPr>
        <w:t xml:space="preserve"> with information on the I</w:t>
      </w:r>
      <w:r w:rsidR="00352049" w:rsidRPr="00604D97">
        <w:rPr>
          <w:rFonts w:ascii="Arial" w:eastAsia="Times New Roman" w:hAnsi="Arial" w:cs="Arial"/>
          <w:sz w:val="20"/>
          <w:szCs w:val="20"/>
          <w:lang w:val="en-US" w:eastAsia="fr-FR"/>
        </w:rPr>
        <w:t>S</w:t>
      </w:r>
      <w:r w:rsidRPr="00604D97">
        <w:rPr>
          <w:rFonts w:ascii="Arial" w:eastAsia="Times New Roman" w:hAnsi="Arial" w:cs="Arial"/>
          <w:sz w:val="20"/>
          <w:szCs w:val="20"/>
          <w:lang w:val="en-US" w:eastAsia="fr-FR"/>
        </w:rPr>
        <w:t xml:space="preserve">P’s product offer as provided under draft § 83. To </w:t>
      </w:r>
      <w:r w:rsidR="00E67976" w:rsidRPr="00604D97">
        <w:rPr>
          <w:rFonts w:ascii="Arial" w:eastAsia="Times New Roman" w:hAnsi="Arial" w:cs="Arial"/>
          <w:sz w:val="20"/>
          <w:szCs w:val="20"/>
          <w:lang w:val="en-US" w:eastAsia="fr-FR"/>
        </w:rPr>
        <w:t>FBF</w:t>
      </w:r>
      <w:r w:rsidRPr="00604D97">
        <w:rPr>
          <w:rFonts w:ascii="Arial" w:eastAsia="Times New Roman" w:hAnsi="Arial" w:cs="Arial"/>
          <w:sz w:val="20"/>
          <w:szCs w:val="20"/>
          <w:lang w:val="en-US" w:eastAsia="fr-FR"/>
        </w:rPr>
        <w:t xml:space="preserve">, this duplicates the information provided in accordance with proposed § 16 of the draft guidelines. Therefore, in </w:t>
      </w:r>
      <w:r w:rsidR="00E67976" w:rsidRPr="00604D97">
        <w:rPr>
          <w:rFonts w:ascii="Arial" w:eastAsia="Times New Roman" w:hAnsi="Arial" w:cs="Arial"/>
          <w:sz w:val="20"/>
          <w:szCs w:val="20"/>
          <w:lang w:val="en-US" w:eastAsia="fr-FR"/>
        </w:rPr>
        <w:t>FBF</w:t>
      </w:r>
      <w:r w:rsidRPr="00604D97">
        <w:rPr>
          <w:rFonts w:ascii="Arial" w:eastAsia="Times New Roman" w:hAnsi="Arial" w:cs="Arial"/>
          <w:sz w:val="20"/>
          <w:szCs w:val="20"/>
          <w:lang w:val="en-US" w:eastAsia="fr-FR"/>
        </w:rPr>
        <w:t>’s view</w:t>
      </w:r>
      <w:r w:rsidRPr="00604D97">
        <w:rPr>
          <w:rFonts w:ascii="Arial" w:eastAsia="Times New Roman" w:hAnsi="Arial" w:cs="Arial"/>
          <w:b/>
          <w:bCs/>
          <w:sz w:val="20"/>
          <w:szCs w:val="20"/>
          <w:lang w:val="en-US" w:eastAsia="fr-FR"/>
        </w:rPr>
        <w:t xml:space="preserve">, § 83 should be redrafted to apply </w:t>
      </w:r>
      <w:r w:rsidR="004E543E" w:rsidRPr="00604D97">
        <w:rPr>
          <w:rFonts w:ascii="Arial" w:eastAsia="Times New Roman" w:hAnsi="Arial" w:cs="Arial"/>
          <w:b/>
          <w:bCs/>
          <w:sz w:val="20"/>
          <w:szCs w:val="20"/>
          <w:lang w:val="en-US" w:eastAsia="fr-FR"/>
        </w:rPr>
        <w:t xml:space="preserve">only </w:t>
      </w:r>
      <w:r w:rsidRPr="00604D97">
        <w:rPr>
          <w:rFonts w:ascii="Arial" w:eastAsia="Times New Roman" w:hAnsi="Arial" w:cs="Arial"/>
          <w:b/>
          <w:bCs/>
          <w:sz w:val="20"/>
          <w:szCs w:val="20"/>
          <w:lang w:val="en-US" w:eastAsia="fr-FR"/>
        </w:rPr>
        <w:t>to cases where clients have expressed ESG preferences that do not meet the ISP’s offer</w:t>
      </w:r>
      <w:r w:rsidRPr="00604D97">
        <w:rPr>
          <w:rFonts w:ascii="Arial" w:eastAsia="Times New Roman" w:hAnsi="Arial" w:cs="Arial"/>
          <w:sz w:val="20"/>
          <w:szCs w:val="20"/>
          <w:lang w:val="en-US" w:eastAsia="fr-FR"/>
        </w:rPr>
        <w:t xml:space="preserve">. </w:t>
      </w:r>
    </w:p>
    <w:p w14:paraId="5AECE78F" w14:textId="77777777" w:rsidR="00605C07" w:rsidRPr="00604D97" w:rsidRDefault="00605C07" w:rsidP="00731FD9">
      <w:pPr>
        <w:autoSpaceDE w:val="0"/>
        <w:autoSpaceDN w:val="0"/>
        <w:adjustRightInd w:val="0"/>
        <w:spacing w:after="0" w:line="240" w:lineRule="atLeast"/>
        <w:jc w:val="both"/>
        <w:rPr>
          <w:rFonts w:ascii="Arial" w:eastAsia="Times New Roman" w:hAnsi="Arial" w:cs="Arial"/>
          <w:color w:val="000000"/>
          <w:sz w:val="20"/>
          <w:szCs w:val="20"/>
          <w:lang w:val="en-GB" w:eastAsia="fr-FR"/>
        </w:rPr>
      </w:pPr>
    </w:p>
    <w:p w14:paraId="475DA785" w14:textId="0DDFF6B1" w:rsidR="00067DA0" w:rsidRPr="00604D97" w:rsidRDefault="00067DA0" w:rsidP="00731FD9">
      <w:pPr>
        <w:autoSpaceDE w:val="0"/>
        <w:autoSpaceDN w:val="0"/>
        <w:adjustRightInd w:val="0"/>
        <w:spacing w:after="0" w:line="240" w:lineRule="atLeast"/>
        <w:jc w:val="both"/>
        <w:rPr>
          <w:rFonts w:ascii="Arial" w:eastAsia="Times New Roman" w:hAnsi="Arial" w:cs="Arial"/>
          <w:b/>
          <w:bCs/>
          <w:sz w:val="20"/>
          <w:szCs w:val="20"/>
          <w:lang w:val="en-US" w:eastAsia="fr-FR"/>
        </w:rPr>
      </w:pPr>
      <w:proofErr w:type="gramStart"/>
      <w:r w:rsidRPr="00604D97">
        <w:rPr>
          <w:rFonts w:ascii="Arial" w:eastAsia="Times New Roman" w:hAnsi="Arial" w:cs="Arial"/>
          <w:b/>
          <w:bCs/>
          <w:color w:val="000000"/>
          <w:sz w:val="20"/>
          <w:szCs w:val="20"/>
          <w:lang w:val="en-US" w:eastAsia="fr-FR"/>
        </w:rPr>
        <w:t>Q15</w:t>
      </w:r>
      <w:proofErr w:type="gramEnd"/>
      <w:r w:rsidR="002B22BA" w:rsidRPr="00604D97">
        <w:rPr>
          <w:rFonts w:ascii="Arial" w:eastAsia="Times New Roman" w:hAnsi="Arial" w:cs="Arial"/>
          <w:b/>
          <w:bCs/>
          <w:color w:val="000000"/>
          <w:sz w:val="20"/>
          <w:szCs w:val="20"/>
          <w:lang w:val="en-US" w:eastAsia="fr-FR"/>
        </w:rPr>
        <w:tab/>
      </w:r>
      <w:r w:rsidR="003D34A2" w:rsidRPr="00604D97">
        <w:rPr>
          <w:rFonts w:ascii="Arial" w:eastAsia="Times New Roman" w:hAnsi="Arial" w:cs="Arial"/>
          <w:b/>
          <w:bCs/>
          <w:color w:val="000000"/>
          <w:sz w:val="20"/>
          <w:szCs w:val="20"/>
          <w:lang w:val="en-US" w:eastAsia="fr-FR"/>
        </w:rPr>
        <w:t>Do you agree with the proposed approach with regard to the possibility for clients to adapt their sustainability preferences in the case of portfolio approach? Do you envisage any other feasible alternative approaches? Please provide some possible examples.</w:t>
      </w:r>
    </w:p>
    <w:p w14:paraId="016E3365" w14:textId="1B132F79" w:rsidR="003D34A2" w:rsidRPr="00604D97" w:rsidRDefault="003D34A2" w:rsidP="00731FD9">
      <w:pPr>
        <w:spacing w:after="0" w:line="240" w:lineRule="atLeast"/>
        <w:contextualSpacing/>
        <w:jc w:val="both"/>
        <w:rPr>
          <w:rFonts w:ascii="Arial" w:eastAsia="Times New Roman" w:hAnsi="Arial" w:cs="Arial"/>
          <w:sz w:val="20"/>
          <w:szCs w:val="20"/>
          <w:lang w:val="en-GB" w:eastAsia="fr-FR"/>
        </w:rPr>
      </w:pPr>
    </w:p>
    <w:p w14:paraId="6DEB3717" w14:textId="4677D8CB" w:rsidR="002261EF" w:rsidRPr="00604D97" w:rsidRDefault="00E54B62" w:rsidP="00731FD9">
      <w:pPr>
        <w:spacing w:after="0" w:line="240" w:lineRule="atLeast"/>
        <w:contextualSpacing/>
        <w:jc w:val="both"/>
        <w:rPr>
          <w:rFonts w:ascii="Arial" w:eastAsia="Times New Roman" w:hAnsi="Arial" w:cs="Arial"/>
          <w:sz w:val="20"/>
          <w:szCs w:val="20"/>
          <w:lang w:val="en-GB" w:eastAsia="fr-FR"/>
        </w:rPr>
      </w:pPr>
      <w:proofErr w:type="gramStart"/>
      <w:r w:rsidRPr="00604D97">
        <w:rPr>
          <w:rFonts w:ascii="Arial" w:eastAsia="Times New Roman" w:hAnsi="Arial" w:cs="Arial"/>
          <w:sz w:val="20"/>
          <w:szCs w:val="20"/>
          <w:lang w:val="en-GB" w:eastAsia="fr-FR"/>
        </w:rPr>
        <w:t>Firs</w:t>
      </w:r>
      <w:r w:rsidR="002261EF" w:rsidRPr="00604D97">
        <w:rPr>
          <w:rFonts w:ascii="Arial" w:eastAsia="Times New Roman" w:hAnsi="Arial" w:cs="Arial"/>
          <w:sz w:val="20"/>
          <w:szCs w:val="20"/>
          <w:lang w:val="en-GB" w:eastAsia="fr-FR"/>
        </w:rPr>
        <w:t>t</w:t>
      </w:r>
      <w:proofErr w:type="gramEnd"/>
      <w:r w:rsidR="003305BE" w:rsidRPr="00604D97">
        <w:rPr>
          <w:rFonts w:ascii="Arial" w:eastAsia="Times New Roman" w:hAnsi="Arial" w:cs="Arial"/>
          <w:sz w:val="20"/>
          <w:szCs w:val="20"/>
          <w:lang w:val="en-GB" w:eastAsia="fr-FR"/>
        </w:rPr>
        <w:t xml:space="preserve"> we don’t understand why the question is restricted to the portfolio approach</w:t>
      </w:r>
      <w:r w:rsidRPr="00604D97">
        <w:rPr>
          <w:rFonts w:ascii="Arial" w:eastAsia="Times New Roman" w:hAnsi="Arial" w:cs="Arial"/>
          <w:sz w:val="20"/>
          <w:szCs w:val="20"/>
          <w:lang w:val="en-GB" w:eastAsia="fr-FR"/>
        </w:rPr>
        <w:t>,</w:t>
      </w:r>
      <w:r w:rsidR="003305BE" w:rsidRPr="00604D97">
        <w:rPr>
          <w:rFonts w:ascii="Arial" w:eastAsia="Times New Roman" w:hAnsi="Arial" w:cs="Arial"/>
          <w:sz w:val="20"/>
          <w:szCs w:val="20"/>
          <w:lang w:val="en-GB" w:eastAsia="fr-FR"/>
        </w:rPr>
        <w:t xml:space="preserve"> and</w:t>
      </w:r>
      <w:r w:rsidRPr="00604D97">
        <w:rPr>
          <w:rFonts w:ascii="Arial" w:eastAsia="Times New Roman" w:hAnsi="Arial" w:cs="Arial"/>
          <w:sz w:val="20"/>
          <w:szCs w:val="20"/>
          <w:lang w:val="en-GB" w:eastAsia="fr-FR"/>
        </w:rPr>
        <w:t xml:space="preserve"> </w:t>
      </w:r>
      <w:r w:rsidR="00210AC9" w:rsidRPr="00604D97">
        <w:rPr>
          <w:rFonts w:ascii="Arial" w:eastAsia="Times New Roman" w:hAnsi="Arial" w:cs="Arial"/>
          <w:sz w:val="20"/>
          <w:szCs w:val="20"/>
          <w:lang w:val="en-GB" w:eastAsia="fr-FR"/>
        </w:rPr>
        <w:t xml:space="preserve">as stated under </w:t>
      </w:r>
      <w:r w:rsidR="00B07E76" w:rsidRPr="00604D97">
        <w:rPr>
          <w:rFonts w:ascii="Arial" w:eastAsia="Times New Roman" w:hAnsi="Arial" w:cs="Arial"/>
          <w:sz w:val="20"/>
          <w:szCs w:val="20"/>
          <w:lang w:val="en-GB" w:eastAsia="fr-FR"/>
        </w:rPr>
        <w:t xml:space="preserve">its </w:t>
      </w:r>
      <w:r w:rsidR="00210AC9" w:rsidRPr="00604D97">
        <w:rPr>
          <w:rFonts w:ascii="Arial" w:eastAsia="Times New Roman" w:hAnsi="Arial" w:cs="Arial"/>
          <w:sz w:val="20"/>
          <w:szCs w:val="20"/>
          <w:lang w:val="en-GB" w:eastAsia="fr-FR"/>
        </w:rPr>
        <w:t xml:space="preserve">answer to Q10, </w:t>
      </w:r>
      <w:r w:rsidR="00E67976" w:rsidRPr="00604D97">
        <w:rPr>
          <w:rFonts w:ascii="Arial" w:eastAsia="Times New Roman" w:hAnsi="Arial" w:cs="Arial"/>
          <w:sz w:val="20"/>
          <w:szCs w:val="20"/>
          <w:lang w:val="en-GB" w:eastAsia="fr-FR"/>
        </w:rPr>
        <w:t>FBF</w:t>
      </w:r>
      <w:r w:rsidRPr="00604D97">
        <w:rPr>
          <w:rFonts w:ascii="Arial" w:eastAsia="Times New Roman" w:hAnsi="Arial" w:cs="Arial"/>
          <w:sz w:val="20"/>
          <w:szCs w:val="20"/>
          <w:lang w:val="en-GB" w:eastAsia="fr-FR"/>
        </w:rPr>
        <w:t xml:space="preserve"> </w:t>
      </w:r>
      <w:r w:rsidR="002261EF" w:rsidRPr="00604D97">
        <w:rPr>
          <w:rFonts w:ascii="Arial" w:eastAsia="Times New Roman" w:hAnsi="Arial" w:cs="Arial"/>
          <w:sz w:val="20"/>
          <w:szCs w:val="20"/>
          <w:lang w:val="en-GB" w:eastAsia="fr-FR"/>
        </w:rPr>
        <w:t xml:space="preserve">does not understand why </w:t>
      </w:r>
      <w:r w:rsidR="003C5392" w:rsidRPr="00604D97">
        <w:rPr>
          <w:rFonts w:ascii="Arial" w:eastAsia="Times New Roman" w:hAnsi="Arial" w:cs="Arial"/>
          <w:sz w:val="20"/>
          <w:szCs w:val="20"/>
          <w:lang w:val="en-GB" w:eastAsia="fr-FR"/>
        </w:rPr>
        <w:t>such</w:t>
      </w:r>
      <w:r w:rsidR="002261EF" w:rsidRPr="00604D97">
        <w:rPr>
          <w:rFonts w:ascii="Arial" w:eastAsia="Times New Roman" w:hAnsi="Arial" w:cs="Arial"/>
          <w:sz w:val="20"/>
          <w:szCs w:val="20"/>
          <w:lang w:val="en-GB" w:eastAsia="fr-FR"/>
        </w:rPr>
        <w:t xml:space="preserve"> possibility should be restricted to cases where the service provided by the investment firm requires </w:t>
      </w:r>
      <w:r w:rsidR="00312AB3" w:rsidRPr="00604D97">
        <w:rPr>
          <w:rFonts w:ascii="Arial" w:eastAsia="Times New Roman" w:hAnsi="Arial" w:cs="Arial"/>
          <w:sz w:val="20"/>
          <w:szCs w:val="20"/>
          <w:lang w:val="en-GB" w:eastAsia="fr-FR"/>
        </w:rPr>
        <w:t>a portfolio</w:t>
      </w:r>
      <w:r w:rsidR="002261EF" w:rsidRPr="00604D97">
        <w:rPr>
          <w:rFonts w:ascii="Arial" w:eastAsia="Times New Roman" w:hAnsi="Arial" w:cs="Arial"/>
          <w:sz w:val="20"/>
          <w:szCs w:val="20"/>
          <w:lang w:val="en-GB" w:eastAsia="fr-FR"/>
        </w:rPr>
        <w:t xml:space="preserve"> appro</w:t>
      </w:r>
      <w:r w:rsidR="00312AB3" w:rsidRPr="00604D97">
        <w:rPr>
          <w:rFonts w:ascii="Arial" w:eastAsia="Times New Roman" w:hAnsi="Arial" w:cs="Arial"/>
          <w:sz w:val="20"/>
          <w:szCs w:val="20"/>
          <w:lang w:val="en-GB" w:eastAsia="fr-FR"/>
        </w:rPr>
        <w:t>ach</w:t>
      </w:r>
      <w:r w:rsidR="006D0089" w:rsidRPr="00604D97">
        <w:rPr>
          <w:rFonts w:ascii="Arial" w:eastAsia="Times New Roman" w:hAnsi="Arial" w:cs="Arial"/>
          <w:sz w:val="20"/>
          <w:szCs w:val="20"/>
          <w:lang w:val="en-GB" w:eastAsia="fr-FR"/>
        </w:rPr>
        <w:t>.</w:t>
      </w:r>
    </w:p>
    <w:p w14:paraId="6B90E431" w14:textId="77777777" w:rsidR="00BD4FDD" w:rsidRPr="00604D97" w:rsidRDefault="00BD4FDD" w:rsidP="00731FD9">
      <w:pPr>
        <w:spacing w:after="0" w:line="240" w:lineRule="atLeast"/>
        <w:contextualSpacing/>
        <w:jc w:val="both"/>
        <w:rPr>
          <w:rFonts w:ascii="Arial" w:eastAsia="Times New Roman" w:hAnsi="Arial" w:cs="Arial"/>
          <w:sz w:val="20"/>
          <w:szCs w:val="20"/>
          <w:lang w:val="en-GB" w:eastAsia="fr-FR"/>
        </w:rPr>
      </w:pPr>
    </w:p>
    <w:p w14:paraId="05AACA54" w14:textId="53E22F1C" w:rsidR="00FC77D6" w:rsidRPr="00604D97" w:rsidRDefault="00BD4FDD" w:rsidP="00742884">
      <w:pPr>
        <w:spacing w:after="0" w:line="240" w:lineRule="atLeast"/>
        <w:contextualSpacing/>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Then</w:t>
      </w:r>
      <w:r w:rsidR="008E247E" w:rsidRPr="00604D97">
        <w:rPr>
          <w:rFonts w:ascii="Arial" w:eastAsia="Times New Roman" w:hAnsi="Arial" w:cs="Arial"/>
          <w:sz w:val="20"/>
          <w:szCs w:val="20"/>
          <w:lang w:val="en-GB" w:eastAsia="fr-FR"/>
        </w:rPr>
        <w:t>,</w:t>
      </w:r>
      <w:r w:rsidRPr="00604D97">
        <w:rPr>
          <w:rFonts w:ascii="Arial" w:eastAsia="Times New Roman" w:hAnsi="Arial" w:cs="Arial"/>
          <w:sz w:val="20"/>
          <w:szCs w:val="20"/>
          <w:lang w:val="en-GB" w:eastAsia="fr-FR"/>
        </w:rPr>
        <w:t xml:space="preserve"> </w:t>
      </w:r>
      <w:r w:rsidR="00E67976" w:rsidRPr="00604D97">
        <w:rPr>
          <w:rFonts w:ascii="Arial" w:eastAsia="Times New Roman" w:hAnsi="Arial" w:cs="Arial"/>
          <w:sz w:val="20"/>
          <w:szCs w:val="20"/>
          <w:lang w:val="en-GB" w:eastAsia="fr-FR"/>
        </w:rPr>
        <w:t>FBF</w:t>
      </w:r>
      <w:r w:rsidR="00014B5B" w:rsidRPr="00604D97">
        <w:rPr>
          <w:rFonts w:ascii="Arial" w:eastAsia="Times New Roman" w:hAnsi="Arial" w:cs="Arial"/>
          <w:sz w:val="20"/>
          <w:szCs w:val="20"/>
          <w:lang w:val="en-GB" w:eastAsia="fr-FR"/>
        </w:rPr>
        <w:t xml:space="preserve"> is not sur</w:t>
      </w:r>
      <w:r w:rsidR="00655A08" w:rsidRPr="00604D97">
        <w:rPr>
          <w:rFonts w:ascii="Arial" w:eastAsia="Times New Roman" w:hAnsi="Arial" w:cs="Arial"/>
          <w:sz w:val="20"/>
          <w:szCs w:val="20"/>
          <w:lang w:val="en-GB" w:eastAsia="fr-FR"/>
        </w:rPr>
        <w:t>e</w:t>
      </w:r>
      <w:r w:rsidR="00014B5B" w:rsidRPr="00604D97">
        <w:rPr>
          <w:rFonts w:ascii="Arial" w:eastAsia="Times New Roman" w:hAnsi="Arial" w:cs="Arial"/>
          <w:sz w:val="20"/>
          <w:szCs w:val="20"/>
          <w:lang w:val="en-GB" w:eastAsia="fr-FR"/>
        </w:rPr>
        <w:t xml:space="preserve"> to understand what is expected from firms </w:t>
      </w:r>
      <w:r w:rsidR="00BC198C" w:rsidRPr="00604D97">
        <w:rPr>
          <w:rFonts w:ascii="Arial" w:eastAsia="Times New Roman" w:hAnsi="Arial" w:cs="Arial"/>
          <w:sz w:val="20"/>
          <w:szCs w:val="20"/>
          <w:lang w:val="en-GB" w:eastAsia="fr-FR"/>
        </w:rPr>
        <w:t>a</w:t>
      </w:r>
      <w:r w:rsidRPr="00604D97">
        <w:rPr>
          <w:rFonts w:ascii="Arial" w:eastAsia="Times New Roman" w:hAnsi="Arial" w:cs="Arial"/>
          <w:sz w:val="20"/>
          <w:szCs w:val="20"/>
          <w:lang w:val="en-GB" w:eastAsia="fr-FR"/>
        </w:rPr>
        <w:t xml:space="preserve">nd has doubts on </w:t>
      </w:r>
      <w:r w:rsidR="00BC198C" w:rsidRPr="00604D97">
        <w:rPr>
          <w:rFonts w:ascii="Arial" w:eastAsia="Times New Roman" w:hAnsi="Arial" w:cs="Arial"/>
          <w:sz w:val="20"/>
          <w:szCs w:val="20"/>
          <w:lang w:val="en-GB" w:eastAsia="fr-FR"/>
        </w:rPr>
        <w:t xml:space="preserve">the operationality of the proposals </w:t>
      </w:r>
      <w:r w:rsidR="002D688D" w:rsidRPr="00604D97">
        <w:rPr>
          <w:rFonts w:ascii="Arial" w:eastAsia="Times New Roman" w:hAnsi="Arial" w:cs="Arial"/>
          <w:sz w:val="20"/>
          <w:szCs w:val="20"/>
          <w:lang w:val="en-GB" w:eastAsia="fr-FR"/>
        </w:rPr>
        <w:t>made:</w:t>
      </w:r>
    </w:p>
    <w:p w14:paraId="1C9EF282" w14:textId="61FD2B83" w:rsidR="00BC73CA" w:rsidRPr="00604D97" w:rsidRDefault="00E67976" w:rsidP="00BC73CA">
      <w:pPr>
        <w:pStyle w:val="Paragraphedeliste"/>
        <w:numPr>
          <w:ilvl w:val="0"/>
          <w:numId w:val="16"/>
        </w:numPr>
        <w:tabs>
          <w:tab w:val="left" w:pos="7698"/>
        </w:tabs>
        <w:spacing w:after="0" w:line="240" w:lineRule="atLeast"/>
        <w:contextualSpacing/>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FBF</w:t>
      </w:r>
      <w:r w:rsidR="00BC73CA" w:rsidRPr="00604D97">
        <w:rPr>
          <w:rFonts w:ascii="Arial" w:eastAsia="Times New Roman" w:hAnsi="Arial" w:cs="Arial"/>
          <w:sz w:val="20"/>
          <w:szCs w:val="20"/>
          <w:lang w:val="en-GB" w:eastAsia="fr-FR"/>
        </w:rPr>
        <w:t xml:space="preserve">’s reading </w:t>
      </w:r>
      <w:r w:rsidR="00BC198C" w:rsidRPr="00604D97">
        <w:rPr>
          <w:rFonts w:ascii="Arial" w:eastAsia="Times New Roman" w:hAnsi="Arial" w:cs="Arial"/>
          <w:sz w:val="20"/>
          <w:szCs w:val="20"/>
          <w:lang w:val="en-GB" w:eastAsia="fr-FR"/>
        </w:rPr>
        <w:t xml:space="preserve">of </w:t>
      </w:r>
      <w:r w:rsidR="003E468A" w:rsidRPr="00604D97">
        <w:rPr>
          <w:rFonts w:ascii="Arial" w:eastAsia="Times New Roman" w:hAnsi="Arial" w:cs="Arial"/>
          <w:sz w:val="20"/>
          <w:szCs w:val="20"/>
          <w:lang w:val="en-GB" w:eastAsia="fr-FR"/>
        </w:rPr>
        <w:t xml:space="preserve">the </w:t>
      </w:r>
      <w:r w:rsidR="00BC198C" w:rsidRPr="00604D97">
        <w:rPr>
          <w:rFonts w:ascii="Arial" w:eastAsia="Times New Roman" w:hAnsi="Arial" w:cs="Arial"/>
          <w:sz w:val="20"/>
          <w:szCs w:val="20"/>
          <w:lang w:val="en-GB" w:eastAsia="fr-FR"/>
        </w:rPr>
        <w:t xml:space="preserve">proposed § 81 of guideline 8 </w:t>
      </w:r>
      <w:r w:rsidR="00BC73CA" w:rsidRPr="00604D97">
        <w:rPr>
          <w:rFonts w:ascii="Arial" w:eastAsia="Times New Roman" w:hAnsi="Arial" w:cs="Arial"/>
          <w:sz w:val="20"/>
          <w:szCs w:val="20"/>
          <w:lang w:val="en-GB" w:eastAsia="fr-FR"/>
        </w:rPr>
        <w:t xml:space="preserve">is that the adaptation by the client of his sustainability preferences will not impact </w:t>
      </w:r>
      <w:r w:rsidR="00BC198C" w:rsidRPr="00604D97">
        <w:rPr>
          <w:rFonts w:ascii="Arial" w:eastAsia="Times New Roman" w:hAnsi="Arial" w:cs="Arial"/>
          <w:sz w:val="20"/>
          <w:szCs w:val="20"/>
          <w:lang w:val="en-GB" w:eastAsia="fr-FR"/>
        </w:rPr>
        <w:t xml:space="preserve">his initial </w:t>
      </w:r>
      <w:r w:rsidR="00BC73CA" w:rsidRPr="00604D97">
        <w:rPr>
          <w:rFonts w:ascii="Arial" w:eastAsia="Times New Roman" w:hAnsi="Arial" w:cs="Arial"/>
          <w:sz w:val="20"/>
          <w:szCs w:val="20"/>
          <w:lang w:val="en-GB" w:eastAsia="fr-FR"/>
        </w:rPr>
        <w:t xml:space="preserve">profile. </w:t>
      </w:r>
      <w:r w:rsidRPr="00604D97">
        <w:rPr>
          <w:rFonts w:ascii="Arial" w:eastAsia="Times New Roman" w:hAnsi="Arial" w:cs="Arial"/>
          <w:sz w:val="20"/>
          <w:szCs w:val="20"/>
          <w:lang w:val="en-GB" w:eastAsia="fr-FR"/>
        </w:rPr>
        <w:t>FBF</w:t>
      </w:r>
      <w:r w:rsidR="00BC198C" w:rsidRPr="00604D97">
        <w:rPr>
          <w:rFonts w:ascii="Arial" w:eastAsia="Times New Roman" w:hAnsi="Arial" w:cs="Arial"/>
          <w:sz w:val="20"/>
          <w:szCs w:val="20"/>
          <w:lang w:val="en-GB" w:eastAsia="fr-FR"/>
        </w:rPr>
        <w:t xml:space="preserve"> has strong reservations on how this would work in </w:t>
      </w:r>
      <w:r w:rsidR="00BE4A1E" w:rsidRPr="00604D97">
        <w:rPr>
          <w:rFonts w:ascii="Arial" w:eastAsia="Times New Roman" w:hAnsi="Arial" w:cs="Arial"/>
          <w:sz w:val="20"/>
          <w:szCs w:val="20"/>
          <w:lang w:val="en-GB" w:eastAsia="fr-FR"/>
        </w:rPr>
        <w:t>practice.</w:t>
      </w:r>
    </w:p>
    <w:p w14:paraId="18CA322E" w14:textId="487B1E66" w:rsidR="00BC73CA" w:rsidRPr="00604D97" w:rsidRDefault="008E247E" w:rsidP="00EC7D12">
      <w:pPr>
        <w:pStyle w:val="Paragraphedeliste"/>
        <w:numPr>
          <w:ilvl w:val="0"/>
          <w:numId w:val="16"/>
        </w:numPr>
        <w:tabs>
          <w:tab w:val="left" w:pos="7698"/>
        </w:tabs>
        <w:spacing w:after="0" w:line="240" w:lineRule="atLeast"/>
        <w:contextualSpacing/>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Then</w:t>
      </w:r>
      <w:r w:rsidR="008B7461" w:rsidRPr="00604D97">
        <w:rPr>
          <w:rFonts w:ascii="Arial" w:eastAsia="Times New Roman" w:hAnsi="Arial" w:cs="Arial"/>
          <w:sz w:val="20"/>
          <w:szCs w:val="20"/>
          <w:lang w:val="en-GB" w:eastAsia="fr-FR"/>
        </w:rPr>
        <w:t>,</w:t>
      </w:r>
      <w:r w:rsidR="00F27734" w:rsidRPr="00604D97">
        <w:rPr>
          <w:rFonts w:ascii="Arial" w:eastAsia="Times New Roman" w:hAnsi="Arial" w:cs="Arial"/>
          <w:sz w:val="20"/>
          <w:szCs w:val="20"/>
          <w:lang w:val="en-GB" w:eastAsia="fr-FR"/>
        </w:rPr>
        <w:t xml:space="preserve"> </w:t>
      </w:r>
      <w:r w:rsidR="0068658B" w:rsidRPr="00604D97">
        <w:rPr>
          <w:rFonts w:ascii="Arial" w:eastAsia="Times New Roman" w:hAnsi="Arial" w:cs="Arial"/>
          <w:sz w:val="20"/>
          <w:szCs w:val="20"/>
          <w:lang w:val="en-GB" w:eastAsia="fr-FR"/>
        </w:rPr>
        <w:t xml:space="preserve">according to </w:t>
      </w:r>
      <w:r w:rsidR="00E67976" w:rsidRPr="00604D97">
        <w:rPr>
          <w:rFonts w:ascii="Arial" w:eastAsia="Times New Roman" w:hAnsi="Arial" w:cs="Arial"/>
          <w:sz w:val="20"/>
          <w:szCs w:val="20"/>
          <w:lang w:val="en-GB" w:eastAsia="fr-FR"/>
        </w:rPr>
        <w:t>FBF</w:t>
      </w:r>
      <w:r w:rsidR="00BC73CA" w:rsidRPr="00604D97">
        <w:rPr>
          <w:rFonts w:ascii="Arial" w:eastAsia="Times New Roman" w:hAnsi="Arial" w:cs="Arial"/>
          <w:sz w:val="20"/>
          <w:szCs w:val="20"/>
          <w:lang w:val="en-GB" w:eastAsia="fr-FR"/>
        </w:rPr>
        <w:t>, to be efficient, the “matching process</w:t>
      </w:r>
      <w:r w:rsidR="0068658B" w:rsidRPr="00604D97">
        <w:rPr>
          <w:rFonts w:ascii="Arial" w:eastAsia="Times New Roman" w:hAnsi="Arial" w:cs="Arial"/>
          <w:sz w:val="20"/>
          <w:szCs w:val="20"/>
          <w:lang w:val="en-GB" w:eastAsia="fr-FR"/>
        </w:rPr>
        <w:t>”</w:t>
      </w:r>
      <w:r w:rsidR="00BC73CA" w:rsidRPr="00604D97">
        <w:rPr>
          <w:rFonts w:ascii="Arial" w:eastAsia="Times New Roman" w:hAnsi="Arial" w:cs="Arial"/>
          <w:sz w:val="20"/>
          <w:szCs w:val="20"/>
          <w:lang w:val="en-GB" w:eastAsia="fr-FR"/>
        </w:rPr>
        <w:t xml:space="preserve"> must incorporate another step </w:t>
      </w:r>
      <w:r w:rsidR="00361A1C" w:rsidRPr="00604D97">
        <w:rPr>
          <w:rFonts w:ascii="Arial" w:eastAsia="Times New Roman" w:hAnsi="Arial" w:cs="Arial"/>
          <w:sz w:val="20"/>
          <w:szCs w:val="20"/>
          <w:lang w:val="en-GB" w:eastAsia="fr-FR"/>
        </w:rPr>
        <w:t xml:space="preserve">in </w:t>
      </w:r>
      <w:r w:rsidR="003B7E38" w:rsidRPr="00604D97">
        <w:rPr>
          <w:rFonts w:ascii="Arial" w:eastAsia="Times New Roman" w:hAnsi="Arial" w:cs="Arial"/>
          <w:sz w:val="20"/>
          <w:szCs w:val="20"/>
          <w:lang w:val="en-GB" w:eastAsia="fr-FR"/>
        </w:rPr>
        <w:t xml:space="preserve">the </w:t>
      </w:r>
      <w:r w:rsidR="00361A1C" w:rsidRPr="00604D97">
        <w:rPr>
          <w:rFonts w:ascii="Arial" w:eastAsia="Times New Roman" w:hAnsi="Arial" w:cs="Arial"/>
          <w:sz w:val="20"/>
          <w:szCs w:val="20"/>
          <w:lang w:val="en-GB" w:eastAsia="fr-FR"/>
        </w:rPr>
        <w:t xml:space="preserve">case where </w:t>
      </w:r>
      <w:proofErr w:type="gramStart"/>
      <w:r w:rsidR="00361A1C" w:rsidRPr="00604D97">
        <w:rPr>
          <w:rFonts w:ascii="Arial" w:eastAsia="Times New Roman" w:hAnsi="Arial" w:cs="Arial"/>
          <w:sz w:val="20"/>
          <w:szCs w:val="20"/>
          <w:lang w:val="en-GB" w:eastAsia="fr-FR"/>
        </w:rPr>
        <w:t>clients</w:t>
      </w:r>
      <w:proofErr w:type="gramEnd"/>
      <w:r w:rsidR="00361A1C" w:rsidRPr="00604D97">
        <w:rPr>
          <w:rFonts w:ascii="Arial" w:eastAsia="Times New Roman" w:hAnsi="Arial" w:cs="Arial"/>
          <w:sz w:val="20"/>
          <w:szCs w:val="20"/>
          <w:lang w:val="en-GB" w:eastAsia="fr-FR"/>
        </w:rPr>
        <w:t xml:space="preserve"> preferences </w:t>
      </w:r>
      <w:r w:rsidR="00620E70" w:rsidRPr="00604D97">
        <w:rPr>
          <w:rFonts w:ascii="Arial" w:eastAsia="Times New Roman" w:hAnsi="Arial" w:cs="Arial"/>
          <w:sz w:val="20"/>
          <w:szCs w:val="20"/>
          <w:lang w:val="en-GB" w:eastAsia="fr-FR"/>
        </w:rPr>
        <w:t xml:space="preserve">are </w:t>
      </w:r>
      <w:r w:rsidR="00361A1C" w:rsidRPr="00604D97">
        <w:rPr>
          <w:rFonts w:ascii="Arial" w:eastAsia="Times New Roman" w:hAnsi="Arial" w:cs="Arial"/>
          <w:sz w:val="20"/>
          <w:szCs w:val="20"/>
          <w:lang w:val="en-GB" w:eastAsia="fr-FR"/>
        </w:rPr>
        <w:t>prove</w:t>
      </w:r>
      <w:r w:rsidR="0004007B" w:rsidRPr="00604D97">
        <w:rPr>
          <w:rFonts w:ascii="Arial" w:eastAsia="Times New Roman" w:hAnsi="Arial" w:cs="Arial"/>
          <w:sz w:val="20"/>
          <w:szCs w:val="20"/>
          <w:lang w:val="en-GB" w:eastAsia="fr-FR"/>
        </w:rPr>
        <w:t>n</w:t>
      </w:r>
      <w:r w:rsidR="00361A1C" w:rsidRPr="00604D97">
        <w:rPr>
          <w:rFonts w:ascii="Arial" w:eastAsia="Times New Roman" w:hAnsi="Arial" w:cs="Arial"/>
          <w:sz w:val="20"/>
          <w:szCs w:val="20"/>
          <w:lang w:val="en-GB" w:eastAsia="fr-FR"/>
        </w:rPr>
        <w:t xml:space="preserve"> to be incompatible with the firm’s offer</w:t>
      </w:r>
      <w:r w:rsidR="001B3724" w:rsidRPr="00604D97">
        <w:rPr>
          <w:rFonts w:ascii="Arial" w:eastAsia="Times New Roman" w:hAnsi="Arial" w:cs="Arial"/>
          <w:sz w:val="20"/>
          <w:szCs w:val="20"/>
          <w:lang w:val="en-GB" w:eastAsia="fr-FR"/>
        </w:rPr>
        <w:t xml:space="preserve">. </w:t>
      </w:r>
      <w:r w:rsidR="00C52D15" w:rsidRPr="00604D97">
        <w:rPr>
          <w:rFonts w:ascii="Arial" w:eastAsia="Times New Roman" w:hAnsi="Arial" w:cs="Arial"/>
          <w:sz w:val="20"/>
          <w:szCs w:val="20"/>
          <w:lang w:val="en-GB" w:eastAsia="fr-FR"/>
        </w:rPr>
        <w:t>T</w:t>
      </w:r>
      <w:r w:rsidR="00BC73CA" w:rsidRPr="00604D97">
        <w:rPr>
          <w:rFonts w:ascii="Arial" w:eastAsia="Times New Roman" w:hAnsi="Arial" w:cs="Arial"/>
          <w:sz w:val="20"/>
          <w:szCs w:val="20"/>
          <w:lang w:val="en-GB" w:eastAsia="fr-FR"/>
        </w:rPr>
        <w:t xml:space="preserve">he </w:t>
      </w:r>
      <w:r w:rsidR="00181D38" w:rsidRPr="00604D97">
        <w:rPr>
          <w:rFonts w:ascii="Arial" w:eastAsia="Times New Roman" w:hAnsi="Arial" w:cs="Arial"/>
          <w:sz w:val="20"/>
          <w:szCs w:val="20"/>
          <w:lang w:val="en-GB" w:eastAsia="fr-FR"/>
        </w:rPr>
        <w:t>ISP</w:t>
      </w:r>
      <w:r w:rsidR="00E46153" w:rsidRPr="00604D97">
        <w:rPr>
          <w:rFonts w:ascii="Arial" w:eastAsia="Times New Roman" w:hAnsi="Arial" w:cs="Arial"/>
          <w:sz w:val="20"/>
          <w:szCs w:val="20"/>
          <w:lang w:val="en-GB" w:eastAsia="fr-FR"/>
        </w:rPr>
        <w:t xml:space="preserve"> </w:t>
      </w:r>
      <w:r w:rsidR="00361A1C" w:rsidRPr="00604D97">
        <w:rPr>
          <w:rFonts w:ascii="Arial" w:eastAsia="Times New Roman" w:hAnsi="Arial" w:cs="Arial"/>
          <w:sz w:val="20"/>
          <w:szCs w:val="20"/>
          <w:lang w:val="en-GB" w:eastAsia="fr-FR"/>
        </w:rPr>
        <w:t>w</w:t>
      </w:r>
      <w:r w:rsidR="00810249" w:rsidRPr="00604D97">
        <w:rPr>
          <w:rFonts w:ascii="Arial" w:eastAsia="Times New Roman" w:hAnsi="Arial" w:cs="Arial"/>
          <w:sz w:val="20"/>
          <w:szCs w:val="20"/>
          <w:lang w:val="en-GB" w:eastAsia="fr-FR"/>
        </w:rPr>
        <w:t xml:space="preserve">ould </w:t>
      </w:r>
      <w:r w:rsidR="001B3724" w:rsidRPr="00604D97">
        <w:rPr>
          <w:rFonts w:ascii="Arial" w:eastAsia="Times New Roman" w:hAnsi="Arial" w:cs="Arial"/>
          <w:sz w:val="20"/>
          <w:szCs w:val="20"/>
          <w:lang w:val="en-GB" w:eastAsia="fr-FR"/>
        </w:rPr>
        <w:t>then present it</w:t>
      </w:r>
      <w:r w:rsidR="006620A8" w:rsidRPr="00604D97">
        <w:rPr>
          <w:rFonts w:ascii="Arial" w:eastAsia="Times New Roman" w:hAnsi="Arial" w:cs="Arial"/>
          <w:sz w:val="20"/>
          <w:szCs w:val="20"/>
          <w:lang w:val="en-GB" w:eastAsia="fr-FR"/>
        </w:rPr>
        <w:t>s</w:t>
      </w:r>
      <w:r w:rsidR="001B3724" w:rsidRPr="00604D97">
        <w:rPr>
          <w:rFonts w:ascii="Arial" w:eastAsia="Times New Roman" w:hAnsi="Arial" w:cs="Arial"/>
          <w:sz w:val="20"/>
          <w:szCs w:val="20"/>
          <w:lang w:val="en-GB" w:eastAsia="fr-FR"/>
        </w:rPr>
        <w:t xml:space="preserve"> offer as well as </w:t>
      </w:r>
      <w:r w:rsidR="00013CED" w:rsidRPr="00604D97">
        <w:rPr>
          <w:rFonts w:ascii="Arial" w:eastAsia="Times New Roman" w:hAnsi="Arial" w:cs="Arial"/>
          <w:sz w:val="20"/>
          <w:szCs w:val="20"/>
          <w:lang w:val="en-GB" w:eastAsia="fr-FR"/>
        </w:rPr>
        <w:t xml:space="preserve">the possibility for </w:t>
      </w:r>
      <w:r w:rsidR="00BC73CA" w:rsidRPr="00604D97">
        <w:rPr>
          <w:rFonts w:ascii="Arial" w:eastAsia="Times New Roman" w:hAnsi="Arial" w:cs="Arial"/>
          <w:sz w:val="20"/>
          <w:szCs w:val="20"/>
          <w:lang w:val="en-GB" w:eastAsia="fr-FR"/>
        </w:rPr>
        <w:t>the client, if he/she wishes, to amend his/ her sustainability preferences.</w:t>
      </w:r>
    </w:p>
    <w:p w14:paraId="10F17488" w14:textId="6A43C027" w:rsidR="00696134" w:rsidRPr="00604D97" w:rsidRDefault="00BC73CA" w:rsidP="00EC7D12">
      <w:pPr>
        <w:tabs>
          <w:tab w:val="left" w:pos="7698"/>
        </w:tabs>
        <w:spacing w:after="0" w:line="240" w:lineRule="atLeast"/>
        <w:ind w:left="709"/>
        <w:contextualSpacing/>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In the absence of this second step, there is very little chance, due to the</w:t>
      </w:r>
      <w:r w:rsidR="00C52D15" w:rsidRPr="00604D97">
        <w:rPr>
          <w:rFonts w:ascii="Arial" w:eastAsia="Times New Roman" w:hAnsi="Arial" w:cs="Arial"/>
          <w:sz w:val="20"/>
          <w:szCs w:val="20"/>
          <w:lang w:val="en-GB" w:eastAsia="fr-FR"/>
        </w:rPr>
        <w:t xml:space="preserve"> currently</w:t>
      </w:r>
      <w:r w:rsidRPr="00604D97">
        <w:rPr>
          <w:rFonts w:ascii="Arial" w:eastAsia="Times New Roman" w:hAnsi="Arial" w:cs="Arial"/>
          <w:sz w:val="20"/>
          <w:szCs w:val="20"/>
          <w:lang w:val="en-GB" w:eastAsia="fr-FR"/>
        </w:rPr>
        <w:t xml:space="preserve"> limited offer for sustainable products</w:t>
      </w:r>
      <w:r w:rsidR="00372BEA">
        <w:rPr>
          <w:rFonts w:ascii="Arial" w:eastAsia="Times New Roman" w:hAnsi="Arial" w:cs="Arial"/>
          <w:sz w:val="20"/>
          <w:szCs w:val="20"/>
          <w:lang w:val="en-GB" w:eastAsia="fr-FR"/>
        </w:rPr>
        <w:t xml:space="preserve"> </w:t>
      </w:r>
      <w:r w:rsidR="00C52D15" w:rsidRPr="00604D97">
        <w:rPr>
          <w:rFonts w:ascii="Arial" w:eastAsia="Times New Roman" w:hAnsi="Arial" w:cs="Arial"/>
          <w:sz w:val="20"/>
          <w:szCs w:val="20"/>
          <w:lang w:val="en-GB" w:eastAsia="fr-FR"/>
        </w:rPr>
        <w:t>that</w:t>
      </w:r>
      <w:r w:rsidR="00C910FD" w:rsidRPr="00604D97">
        <w:rPr>
          <w:rFonts w:ascii="Arial" w:eastAsia="Times New Roman" w:hAnsi="Arial" w:cs="Arial"/>
          <w:sz w:val="20"/>
          <w:szCs w:val="20"/>
          <w:lang w:val="en-GB" w:eastAsia="fr-FR"/>
        </w:rPr>
        <w:t xml:space="preserve"> </w:t>
      </w:r>
      <w:r w:rsidRPr="00604D97">
        <w:rPr>
          <w:rFonts w:ascii="Arial" w:eastAsia="Times New Roman" w:hAnsi="Arial" w:cs="Arial"/>
          <w:sz w:val="20"/>
          <w:szCs w:val="20"/>
          <w:lang w:val="en-GB" w:eastAsia="fr-FR"/>
        </w:rPr>
        <w:t xml:space="preserve">clients’ expectations would meet the investment firm’s offer. </w:t>
      </w:r>
    </w:p>
    <w:p w14:paraId="6322DC0E" w14:textId="215F6D3B" w:rsidR="00BC73CA" w:rsidRPr="00604D97" w:rsidRDefault="00BC73CA" w:rsidP="00EC7D12">
      <w:pPr>
        <w:tabs>
          <w:tab w:val="left" w:pos="7698"/>
        </w:tabs>
        <w:spacing w:after="0" w:line="240" w:lineRule="atLeast"/>
        <w:ind w:left="709"/>
        <w:contextualSpacing/>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 xml:space="preserve">This will result either on investments firms not being </w:t>
      </w:r>
      <w:proofErr w:type="gramStart"/>
      <w:r w:rsidRPr="00604D97">
        <w:rPr>
          <w:rFonts w:ascii="Arial" w:eastAsia="Times New Roman" w:hAnsi="Arial" w:cs="Arial"/>
          <w:sz w:val="20"/>
          <w:szCs w:val="20"/>
          <w:lang w:val="en-GB" w:eastAsia="fr-FR"/>
        </w:rPr>
        <w:t>in a position</w:t>
      </w:r>
      <w:proofErr w:type="gramEnd"/>
      <w:r w:rsidRPr="00604D97">
        <w:rPr>
          <w:rFonts w:ascii="Arial" w:eastAsia="Times New Roman" w:hAnsi="Arial" w:cs="Arial"/>
          <w:sz w:val="20"/>
          <w:szCs w:val="20"/>
          <w:lang w:val="en-GB" w:eastAsia="fr-FR"/>
        </w:rPr>
        <w:t xml:space="preserve"> to sell any ESG products to clients, or having extremely long selling process, the client having to endlessly amend his/her preferences until they finally match the investment firm’s offer.</w:t>
      </w:r>
    </w:p>
    <w:p w14:paraId="5BE546E2" w14:textId="793AC616" w:rsidR="00FC77D6" w:rsidRPr="00604D97" w:rsidRDefault="00FC77D6" w:rsidP="00731FD9">
      <w:pPr>
        <w:spacing w:after="0" w:line="240" w:lineRule="atLeast"/>
        <w:contextualSpacing/>
        <w:jc w:val="both"/>
        <w:rPr>
          <w:rFonts w:ascii="Arial" w:eastAsia="Times New Roman" w:hAnsi="Arial" w:cs="Arial"/>
          <w:sz w:val="20"/>
          <w:szCs w:val="20"/>
          <w:lang w:val="en-GB" w:eastAsia="fr-FR"/>
        </w:rPr>
      </w:pPr>
    </w:p>
    <w:p w14:paraId="5ECE28F6" w14:textId="77777777" w:rsidR="006D0089" w:rsidRPr="00604D97" w:rsidRDefault="006D0089" w:rsidP="00731FD9">
      <w:pPr>
        <w:spacing w:after="0" w:line="240" w:lineRule="atLeast"/>
        <w:contextualSpacing/>
        <w:jc w:val="both"/>
        <w:rPr>
          <w:rFonts w:ascii="Arial" w:eastAsia="Times New Roman" w:hAnsi="Arial" w:cs="Arial"/>
          <w:sz w:val="20"/>
          <w:szCs w:val="20"/>
          <w:lang w:val="en-GB" w:eastAsia="fr-FR"/>
        </w:rPr>
      </w:pPr>
    </w:p>
    <w:p w14:paraId="5F791F84" w14:textId="41A0FF53" w:rsidR="003D34A2" w:rsidRPr="00604D97" w:rsidRDefault="003D34A2"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r w:rsidRPr="00604D97">
        <w:rPr>
          <w:rFonts w:ascii="Arial" w:eastAsia="Times New Roman" w:hAnsi="Arial" w:cs="Arial"/>
          <w:b/>
          <w:bCs/>
          <w:color w:val="000000"/>
          <w:sz w:val="20"/>
          <w:szCs w:val="20"/>
          <w:lang w:val="en-US" w:eastAsia="fr-FR"/>
        </w:rPr>
        <w:t>Q16</w:t>
      </w:r>
      <w:r w:rsidRPr="00604D97">
        <w:rPr>
          <w:rFonts w:ascii="Arial" w:eastAsia="Times New Roman" w:hAnsi="Arial" w:cs="Arial"/>
          <w:b/>
          <w:bCs/>
          <w:color w:val="000000"/>
          <w:sz w:val="20"/>
          <w:szCs w:val="20"/>
          <w:lang w:val="en-US" w:eastAsia="fr-FR"/>
        </w:rPr>
        <w:tab/>
      </w:r>
      <w:r w:rsidR="00D320FE" w:rsidRPr="00604D97">
        <w:rPr>
          <w:rFonts w:ascii="Arial" w:eastAsia="Times New Roman" w:hAnsi="Arial" w:cs="Arial"/>
          <w:b/>
          <w:bCs/>
          <w:color w:val="000000"/>
          <w:sz w:val="20"/>
          <w:szCs w:val="20"/>
          <w:lang w:val="en-US" w:eastAsia="fr-FR"/>
        </w:rPr>
        <w:t xml:space="preserve">What measures do you believe that firms should implement to monitor situations where there is a significant occurrence of clients adapting their sustainability preferences? What type of initiatives do you envisage could be undertaken to address any issues detected </w:t>
      </w:r>
      <w:proofErr w:type="gramStart"/>
      <w:r w:rsidR="00D320FE" w:rsidRPr="00604D97">
        <w:rPr>
          <w:rFonts w:ascii="Arial" w:eastAsia="Times New Roman" w:hAnsi="Arial" w:cs="Arial"/>
          <w:b/>
          <w:bCs/>
          <w:color w:val="000000"/>
          <w:sz w:val="20"/>
          <w:szCs w:val="20"/>
          <w:lang w:val="en-US" w:eastAsia="fr-FR"/>
        </w:rPr>
        <w:t>as a result of</w:t>
      </w:r>
      <w:proofErr w:type="gramEnd"/>
      <w:r w:rsidR="00D320FE" w:rsidRPr="00604D97">
        <w:rPr>
          <w:rFonts w:ascii="Arial" w:eastAsia="Times New Roman" w:hAnsi="Arial" w:cs="Arial"/>
          <w:b/>
          <w:bCs/>
          <w:color w:val="000000"/>
          <w:sz w:val="20"/>
          <w:szCs w:val="20"/>
          <w:lang w:val="en-US" w:eastAsia="fr-FR"/>
        </w:rPr>
        <w:t xml:space="preserve"> this monitoring activity?</w:t>
      </w:r>
    </w:p>
    <w:p w14:paraId="0E098A9A" w14:textId="5BA4DFB8" w:rsidR="003D34A2" w:rsidRPr="00604D97" w:rsidRDefault="003D34A2" w:rsidP="00731FD9">
      <w:pPr>
        <w:autoSpaceDE w:val="0"/>
        <w:autoSpaceDN w:val="0"/>
        <w:adjustRightInd w:val="0"/>
        <w:spacing w:after="0" w:line="240" w:lineRule="atLeast"/>
        <w:jc w:val="both"/>
        <w:rPr>
          <w:rFonts w:ascii="Arial" w:eastAsia="Times New Roman" w:hAnsi="Arial" w:cs="Arial"/>
          <w:sz w:val="20"/>
          <w:szCs w:val="20"/>
          <w:lang w:val="en-US" w:eastAsia="fr-FR"/>
        </w:rPr>
      </w:pPr>
    </w:p>
    <w:p w14:paraId="3FC8433B" w14:textId="032677FF" w:rsidR="00C800B4" w:rsidRPr="00604D97" w:rsidRDefault="003B1251" w:rsidP="00731FD9">
      <w:pPr>
        <w:spacing w:after="0" w:line="240" w:lineRule="atLeast"/>
        <w:contextualSpacing/>
        <w:jc w:val="both"/>
        <w:rPr>
          <w:rFonts w:ascii="Arial" w:eastAsia="Times New Roman" w:hAnsi="Arial" w:cs="Arial"/>
          <w:sz w:val="20"/>
          <w:szCs w:val="20"/>
          <w:lang w:val="en-US" w:eastAsia="fr-FR"/>
        </w:rPr>
      </w:pPr>
      <w:r w:rsidRPr="00604D97">
        <w:rPr>
          <w:rFonts w:ascii="Arial" w:eastAsia="Times New Roman" w:hAnsi="Arial" w:cs="Arial"/>
          <w:sz w:val="20"/>
          <w:szCs w:val="20"/>
          <w:lang w:val="en-US" w:eastAsia="fr-FR"/>
        </w:rPr>
        <w:t xml:space="preserve">Since it is very likely </w:t>
      </w:r>
      <w:r w:rsidR="00E06A9D" w:rsidRPr="00604D97">
        <w:rPr>
          <w:rFonts w:ascii="Arial" w:eastAsia="Times New Roman" w:hAnsi="Arial" w:cs="Arial"/>
          <w:sz w:val="20"/>
          <w:szCs w:val="20"/>
          <w:lang w:val="en-US" w:eastAsia="fr-FR"/>
        </w:rPr>
        <w:t>that</w:t>
      </w:r>
      <w:r w:rsidR="007E1FE4" w:rsidRPr="00604D97">
        <w:rPr>
          <w:rFonts w:ascii="Arial" w:eastAsia="Times New Roman" w:hAnsi="Arial" w:cs="Arial"/>
          <w:sz w:val="20"/>
          <w:szCs w:val="20"/>
          <w:lang w:val="en-US" w:eastAsia="fr-FR"/>
        </w:rPr>
        <w:t>,</w:t>
      </w:r>
      <w:r w:rsidR="00E06A9D" w:rsidRPr="00604D97">
        <w:rPr>
          <w:rFonts w:ascii="Arial" w:eastAsia="Times New Roman" w:hAnsi="Arial" w:cs="Arial"/>
          <w:sz w:val="20"/>
          <w:szCs w:val="20"/>
          <w:lang w:val="en-US" w:eastAsia="fr-FR"/>
        </w:rPr>
        <w:t xml:space="preserve"> a</w:t>
      </w:r>
      <w:r w:rsidR="00EC670A" w:rsidRPr="00604D97">
        <w:rPr>
          <w:rFonts w:ascii="Arial" w:eastAsia="Times New Roman" w:hAnsi="Arial" w:cs="Arial"/>
          <w:sz w:val="20"/>
          <w:szCs w:val="20"/>
          <w:lang w:val="en-US" w:eastAsia="fr-FR"/>
        </w:rPr>
        <w:t xml:space="preserve">s a </w:t>
      </w:r>
      <w:r w:rsidR="00E06A9D" w:rsidRPr="00604D97">
        <w:rPr>
          <w:rFonts w:ascii="Arial" w:eastAsia="Times New Roman" w:hAnsi="Arial" w:cs="Arial"/>
          <w:sz w:val="20"/>
          <w:szCs w:val="20"/>
          <w:lang w:val="en-US" w:eastAsia="fr-FR"/>
        </w:rPr>
        <w:t>first</w:t>
      </w:r>
      <w:r w:rsidR="00EC670A" w:rsidRPr="00604D97">
        <w:rPr>
          <w:rFonts w:ascii="Arial" w:eastAsia="Times New Roman" w:hAnsi="Arial" w:cs="Arial"/>
          <w:sz w:val="20"/>
          <w:szCs w:val="20"/>
          <w:lang w:val="en-US" w:eastAsia="fr-FR"/>
        </w:rPr>
        <w:t xml:space="preserve"> step</w:t>
      </w:r>
      <w:r w:rsidR="00607016" w:rsidRPr="00604D97">
        <w:rPr>
          <w:rFonts w:ascii="Arial" w:eastAsia="Times New Roman" w:hAnsi="Arial" w:cs="Arial"/>
          <w:sz w:val="20"/>
          <w:szCs w:val="20"/>
          <w:lang w:val="en-US" w:eastAsia="fr-FR"/>
        </w:rPr>
        <w:t xml:space="preserve"> during a period of transition and adaptation to these new guidelines</w:t>
      </w:r>
      <w:r w:rsidR="007E1FE4" w:rsidRPr="00604D97">
        <w:rPr>
          <w:rFonts w:ascii="Arial" w:eastAsia="Times New Roman" w:hAnsi="Arial" w:cs="Arial"/>
          <w:sz w:val="20"/>
          <w:szCs w:val="20"/>
          <w:lang w:val="en-US" w:eastAsia="fr-FR"/>
        </w:rPr>
        <w:t>,</w:t>
      </w:r>
      <w:r w:rsidR="00E06A9D" w:rsidRPr="00604D97">
        <w:rPr>
          <w:rFonts w:ascii="Arial" w:eastAsia="Times New Roman" w:hAnsi="Arial" w:cs="Arial"/>
          <w:sz w:val="20"/>
          <w:szCs w:val="20"/>
          <w:lang w:val="en-US" w:eastAsia="fr-FR"/>
        </w:rPr>
        <w:t xml:space="preserve"> </w:t>
      </w:r>
      <w:r w:rsidR="00C24A10" w:rsidRPr="00604D97">
        <w:rPr>
          <w:rFonts w:ascii="Arial" w:eastAsia="Times New Roman" w:hAnsi="Arial" w:cs="Arial"/>
          <w:sz w:val="20"/>
          <w:szCs w:val="20"/>
          <w:lang w:val="en-US" w:eastAsia="fr-FR"/>
        </w:rPr>
        <w:t>investment</w:t>
      </w:r>
      <w:r w:rsidR="00E06A9D" w:rsidRPr="00604D97">
        <w:rPr>
          <w:rFonts w:ascii="Arial" w:eastAsia="Times New Roman" w:hAnsi="Arial" w:cs="Arial"/>
          <w:sz w:val="20"/>
          <w:szCs w:val="20"/>
          <w:lang w:val="en-US" w:eastAsia="fr-FR"/>
        </w:rPr>
        <w:t xml:space="preserve"> firms’ offer</w:t>
      </w:r>
      <w:r w:rsidR="009F21AA" w:rsidRPr="00604D97">
        <w:rPr>
          <w:rFonts w:ascii="Arial" w:eastAsia="Times New Roman" w:hAnsi="Arial" w:cs="Arial"/>
          <w:sz w:val="20"/>
          <w:szCs w:val="20"/>
          <w:lang w:val="en-US" w:eastAsia="fr-FR"/>
        </w:rPr>
        <w:t>s</w:t>
      </w:r>
      <w:r w:rsidR="00E06A9D" w:rsidRPr="00604D97">
        <w:rPr>
          <w:rFonts w:ascii="Arial" w:eastAsia="Times New Roman" w:hAnsi="Arial" w:cs="Arial"/>
          <w:sz w:val="20"/>
          <w:szCs w:val="20"/>
          <w:lang w:val="en-US" w:eastAsia="fr-FR"/>
        </w:rPr>
        <w:t xml:space="preserve"> will be less </w:t>
      </w:r>
      <w:r w:rsidR="001A1994" w:rsidRPr="00604D97">
        <w:rPr>
          <w:rFonts w:ascii="Arial" w:eastAsia="Times New Roman" w:hAnsi="Arial" w:cs="Arial"/>
          <w:sz w:val="20"/>
          <w:szCs w:val="20"/>
          <w:lang w:val="en-US" w:eastAsia="fr-FR"/>
        </w:rPr>
        <w:t xml:space="preserve">extended </w:t>
      </w:r>
      <w:r w:rsidR="00E06A9D" w:rsidRPr="00604D97">
        <w:rPr>
          <w:rFonts w:ascii="Arial" w:eastAsia="Times New Roman" w:hAnsi="Arial" w:cs="Arial"/>
          <w:sz w:val="20"/>
          <w:szCs w:val="20"/>
          <w:lang w:val="en-US" w:eastAsia="fr-FR"/>
        </w:rPr>
        <w:t>than client</w:t>
      </w:r>
      <w:r w:rsidR="00DC2232" w:rsidRPr="00604D97">
        <w:rPr>
          <w:rFonts w:ascii="Arial" w:eastAsia="Times New Roman" w:hAnsi="Arial" w:cs="Arial"/>
          <w:sz w:val="20"/>
          <w:szCs w:val="20"/>
          <w:lang w:val="en-US" w:eastAsia="fr-FR"/>
        </w:rPr>
        <w:t>’s</w:t>
      </w:r>
      <w:r w:rsidR="00E06A9D" w:rsidRPr="00604D97">
        <w:rPr>
          <w:rFonts w:ascii="Arial" w:eastAsia="Times New Roman" w:hAnsi="Arial" w:cs="Arial"/>
          <w:sz w:val="20"/>
          <w:szCs w:val="20"/>
          <w:lang w:val="en-US" w:eastAsia="fr-FR"/>
        </w:rPr>
        <w:t xml:space="preserve"> expectations</w:t>
      </w:r>
      <w:r w:rsidR="003A3302" w:rsidRPr="00604D97">
        <w:rPr>
          <w:rFonts w:ascii="Arial" w:eastAsia="Times New Roman" w:hAnsi="Arial" w:cs="Arial"/>
          <w:sz w:val="20"/>
          <w:szCs w:val="20"/>
          <w:lang w:val="en-US" w:eastAsia="fr-FR"/>
        </w:rPr>
        <w:t>,</w:t>
      </w:r>
      <w:r w:rsidR="00DF4CC4" w:rsidRPr="00604D97">
        <w:rPr>
          <w:rFonts w:ascii="Arial" w:eastAsia="Times New Roman" w:hAnsi="Arial" w:cs="Arial"/>
          <w:sz w:val="20"/>
          <w:szCs w:val="20"/>
          <w:lang w:val="en-US" w:eastAsia="fr-FR"/>
        </w:rPr>
        <w:t xml:space="preserve"> the use of the possibility for clien</w:t>
      </w:r>
      <w:r w:rsidR="00C24A10" w:rsidRPr="00604D97">
        <w:rPr>
          <w:rFonts w:ascii="Arial" w:eastAsia="Times New Roman" w:hAnsi="Arial" w:cs="Arial"/>
          <w:sz w:val="20"/>
          <w:szCs w:val="20"/>
          <w:lang w:val="en-US" w:eastAsia="fr-FR"/>
        </w:rPr>
        <w:t>t</w:t>
      </w:r>
      <w:r w:rsidR="00FF49CB" w:rsidRPr="00604D97">
        <w:rPr>
          <w:rFonts w:ascii="Arial" w:eastAsia="Times New Roman" w:hAnsi="Arial" w:cs="Arial"/>
          <w:sz w:val="20"/>
          <w:szCs w:val="20"/>
          <w:lang w:val="en-US" w:eastAsia="fr-FR"/>
        </w:rPr>
        <w:t>s</w:t>
      </w:r>
      <w:r w:rsidR="00DF4CC4" w:rsidRPr="00604D97">
        <w:rPr>
          <w:rFonts w:ascii="Arial" w:eastAsia="Times New Roman" w:hAnsi="Arial" w:cs="Arial"/>
          <w:sz w:val="20"/>
          <w:szCs w:val="20"/>
          <w:lang w:val="en-US" w:eastAsia="fr-FR"/>
        </w:rPr>
        <w:t xml:space="preserve"> to adapt </w:t>
      </w:r>
      <w:r w:rsidR="00FF49CB" w:rsidRPr="00604D97">
        <w:rPr>
          <w:rFonts w:ascii="Arial" w:eastAsia="Times New Roman" w:hAnsi="Arial" w:cs="Arial"/>
          <w:sz w:val="20"/>
          <w:szCs w:val="20"/>
          <w:lang w:val="en-US" w:eastAsia="fr-FR"/>
        </w:rPr>
        <w:t xml:space="preserve">their </w:t>
      </w:r>
      <w:r w:rsidR="007C32D4" w:rsidRPr="00604D97">
        <w:rPr>
          <w:rFonts w:ascii="Arial" w:eastAsia="Times New Roman" w:hAnsi="Arial" w:cs="Arial"/>
          <w:sz w:val="20"/>
          <w:szCs w:val="20"/>
          <w:lang w:val="en-US" w:eastAsia="fr-FR"/>
        </w:rPr>
        <w:t xml:space="preserve">sustainability </w:t>
      </w:r>
      <w:r w:rsidR="00C24A10" w:rsidRPr="00604D97">
        <w:rPr>
          <w:rFonts w:ascii="Arial" w:eastAsia="Times New Roman" w:hAnsi="Arial" w:cs="Arial"/>
          <w:sz w:val="20"/>
          <w:szCs w:val="20"/>
          <w:lang w:val="en-US" w:eastAsia="fr-FR"/>
        </w:rPr>
        <w:t>preferences</w:t>
      </w:r>
      <w:r w:rsidR="00DF4CC4" w:rsidRPr="00604D97">
        <w:rPr>
          <w:rFonts w:ascii="Arial" w:eastAsia="Times New Roman" w:hAnsi="Arial" w:cs="Arial"/>
          <w:sz w:val="20"/>
          <w:szCs w:val="20"/>
          <w:lang w:val="en-US" w:eastAsia="fr-FR"/>
        </w:rPr>
        <w:t xml:space="preserve"> will be </w:t>
      </w:r>
      <w:r w:rsidR="00C24A10" w:rsidRPr="00604D97">
        <w:rPr>
          <w:rFonts w:ascii="Arial" w:eastAsia="Times New Roman" w:hAnsi="Arial" w:cs="Arial"/>
          <w:sz w:val="20"/>
          <w:szCs w:val="20"/>
          <w:lang w:val="en-US" w:eastAsia="fr-FR"/>
        </w:rPr>
        <w:t>frequent.</w:t>
      </w:r>
      <w:r w:rsidR="003A3302" w:rsidRPr="00604D97">
        <w:rPr>
          <w:rFonts w:ascii="Arial" w:eastAsia="Times New Roman" w:hAnsi="Arial" w:cs="Arial"/>
          <w:sz w:val="20"/>
          <w:szCs w:val="20"/>
          <w:lang w:val="en-US" w:eastAsia="fr-FR"/>
        </w:rPr>
        <w:t xml:space="preserve"> </w:t>
      </w:r>
      <w:r w:rsidR="00D954A2" w:rsidRPr="00604D97">
        <w:rPr>
          <w:rFonts w:ascii="Arial" w:eastAsia="Times New Roman" w:hAnsi="Arial" w:cs="Arial"/>
          <w:sz w:val="20"/>
          <w:szCs w:val="20"/>
          <w:lang w:val="en-US" w:eastAsia="fr-FR"/>
        </w:rPr>
        <w:t>Therefore,</w:t>
      </w:r>
      <w:r w:rsidR="00553337" w:rsidRPr="00604D97">
        <w:rPr>
          <w:rFonts w:ascii="Arial" w:eastAsia="Times New Roman" w:hAnsi="Arial" w:cs="Arial"/>
          <w:sz w:val="20"/>
          <w:szCs w:val="20"/>
          <w:lang w:val="en-US" w:eastAsia="fr-FR"/>
        </w:rPr>
        <w:t xml:space="preserve"> </w:t>
      </w:r>
      <w:r w:rsidR="003A3302" w:rsidRPr="00604D97">
        <w:rPr>
          <w:rFonts w:ascii="Arial" w:eastAsia="Times New Roman" w:hAnsi="Arial" w:cs="Arial"/>
          <w:sz w:val="20"/>
          <w:szCs w:val="20"/>
          <w:lang w:val="en-US" w:eastAsia="fr-FR"/>
        </w:rPr>
        <w:t>it</w:t>
      </w:r>
      <w:r w:rsidR="00553337" w:rsidRPr="00604D97">
        <w:rPr>
          <w:rFonts w:ascii="Arial" w:eastAsia="Times New Roman" w:hAnsi="Arial" w:cs="Arial"/>
          <w:sz w:val="20"/>
          <w:szCs w:val="20"/>
          <w:lang w:val="en-US" w:eastAsia="fr-FR"/>
        </w:rPr>
        <w:t xml:space="preserve"> should not be viewed as an </w:t>
      </w:r>
      <w:r w:rsidR="001E7F21" w:rsidRPr="00604D97">
        <w:rPr>
          <w:rFonts w:ascii="Arial" w:eastAsia="Times New Roman" w:hAnsi="Arial" w:cs="Arial"/>
          <w:sz w:val="20"/>
          <w:szCs w:val="20"/>
          <w:lang w:val="en-US" w:eastAsia="fr-FR"/>
        </w:rPr>
        <w:t>anomaly</w:t>
      </w:r>
      <w:r w:rsidR="005C27DD" w:rsidRPr="00604D97">
        <w:rPr>
          <w:rFonts w:ascii="Arial" w:eastAsia="Times New Roman" w:hAnsi="Arial" w:cs="Arial"/>
          <w:sz w:val="20"/>
          <w:szCs w:val="20"/>
          <w:lang w:val="en-US" w:eastAsia="fr-FR"/>
        </w:rPr>
        <w:t xml:space="preserve"> </w:t>
      </w:r>
      <w:r w:rsidR="0068786C" w:rsidRPr="00604D97">
        <w:rPr>
          <w:rFonts w:ascii="Arial" w:eastAsia="Times New Roman" w:hAnsi="Arial" w:cs="Arial"/>
          <w:sz w:val="20"/>
          <w:szCs w:val="20"/>
          <w:lang w:val="en-US" w:eastAsia="fr-FR"/>
        </w:rPr>
        <w:t xml:space="preserve">and </w:t>
      </w:r>
      <w:r w:rsidR="00E67976" w:rsidRPr="00604D97">
        <w:rPr>
          <w:rFonts w:ascii="Arial" w:eastAsia="Times New Roman" w:hAnsi="Arial" w:cs="Arial"/>
          <w:sz w:val="20"/>
          <w:szCs w:val="20"/>
          <w:lang w:val="en-US" w:eastAsia="fr-FR"/>
        </w:rPr>
        <w:t>FBF</w:t>
      </w:r>
      <w:r w:rsidR="00723336" w:rsidRPr="00604D97">
        <w:rPr>
          <w:rFonts w:ascii="Arial" w:eastAsia="Times New Roman" w:hAnsi="Arial" w:cs="Arial"/>
          <w:sz w:val="20"/>
          <w:szCs w:val="20"/>
          <w:lang w:val="en-US" w:eastAsia="fr-FR"/>
        </w:rPr>
        <w:t xml:space="preserve"> considers it is</w:t>
      </w:r>
      <w:r w:rsidR="00C24A10" w:rsidRPr="00604D97">
        <w:rPr>
          <w:rFonts w:ascii="Arial" w:eastAsia="Times New Roman" w:hAnsi="Arial" w:cs="Arial"/>
          <w:sz w:val="20"/>
          <w:szCs w:val="20"/>
          <w:lang w:val="en-US" w:eastAsia="fr-FR"/>
        </w:rPr>
        <w:t xml:space="preserve"> </w:t>
      </w:r>
      <w:r w:rsidR="0050152C" w:rsidRPr="00604D97">
        <w:rPr>
          <w:rFonts w:ascii="Arial" w:eastAsia="Times New Roman" w:hAnsi="Arial" w:cs="Arial"/>
          <w:sz w:val="20"/>
          <w:szCs w:val="20"/>
          <w:lang w:val="en-US" w:eastAsia="fr-FR"/>
        </w:rPr>
        <w:t>un</w:t>
      </w:r>
      <w:r w:rsidR="00CE29CA" w:rsidRPr="00604D97">
        <w:rPr>
          <w:rFonts w:ascii="Arial" w:eastAsia="Times New Roman" w:hAnsi="Arial" w:cs="Arial"/>
          <w:sz w:val="20"/>
          <w:szCs w:val="20"/>
          <w:lang w:val="en-US" w:eastAsia="fr-FR"/>
        </w:rPr>
        <w:t>necessary</w:t>
      </w:r>
      <w:r w:rsidR="0050152C" w:rsidRPr="00604D97">
        <w:rPr>
          <w:rFonts w:ascii="Arial" w:eastAsia="Times New Roman" w:hAnsi="Arial" w:cs="Arial"/>
          <w:sz w:val="20"/>
          <w:szCs w:val="20"/>
          <w:lang w:val="en-US" w:eastAsia="fr-FR"/>
        </w:rPr>
        <w:t xml:space="preserve"> </w:t>
      </w:r>
      <w:r w:rsidR="00C24A10" w:rsidRPr="00604D97">
        <w:rPr>
          <w:rFonts w:ascii="Arial" w:eastAsia="Times New Roman" w:hAnsi="Arial" w:cs="Arial"/>
          <w:sz w:val="20"/>
          <w:szCs w:val="20"/>
          <w:lang w:val="en-US" w:eastAsia="fr-FR"/>
        </w:rPr>
        <w:t>and overly burdensome to impose</w:t>
      </w:r>
      <w:r w:rsidR="00C800B4" w:rsidRPr="00604D97">
        <w:rPr>
          <w:rFonts w:ascii="Arial" w:eastAsia="Times New Roman" w:hAnsi="Arial" w:cs="Arial"/>
          <w:sz w:val="20"/>
          <w:szCs w:val="20"/>
          <w:lang w:val="en-US" w:eastAsia="fr-FR"/>
        </w:rPr>
        <w:t xml:space="preserve"> right away</w:t>
      </w:r>
      <w:r w:rsidR="00C24A10" w:rsidRPr="00604D97">
        <w:rPr>
          <w:rFonts w:ascii="Arial" w:eastAsia="Times New Roman" w:hAnsi="Arial" w:cs="Arial"/>
          <w:sz w:val="20"/>
          <w:szCs w:val="20"/>
          <w:lang w:val="en-US" w:eastAsia="fr-FR"/>
        </w:rPr>
        <w:t xml:space="preserve"> a close monitoring </w:t>
      </w:r>
      <w:r w:rsidR="00C800B4" w:rsidRPr="00604D97">
        <w:rPr>
          <w:rFonts w:ascii="Arial" w:eastAsia="Times New Roman" w:hAnsi="Arial" w:cs="Arial"/>
          <w:sz w:val="20"/>
          <w:szCs w:val="20"/>
          <w:lang w:val="en-US" w:eastAsia="fr-FR"/>
        </w:rPr>
        <w:t>o</w:t>
      </w:r>
      <w:r w:rsidR="0012021F" w:rsidRPr="00604D97">
        <w:rPr>
          <w:rFonts w:ascii="Arial" w:eastAsia="Times New Roman" w:hAnsi="Arial" w:cs="Arial"/>
          <w:sz w:val="20"/>
          <w:szCs w:val="20"/>
          <w:lang w:val="en-US" w:eastAsia="fr-FR"/>
        </w:rPr>
        <w:t>f</w:t>
      </w:r>
      <w:r w:rsidR="00C800B4" w:rsidRPr="00604D97">
        <w:rPr>
          <w:rFonts w:ascii="Arial" w:eastAsia="Times New Roman" w:hAnsi="Arial" w:cs="Arial"/>
          <w:sz w:val="20"/>
          <w:szCs w:val="20"/>
          <w:lang w:val="en-US" w:eastAsia="fr-FR"/>
        </w:rPr>
        <w:t xml:space="preserve"> these cases.</w:t>
      </w:r>
    </w:p>
    <w:p w14:paraId="40026FB9" w14:textId="75D616E0" w:rsidR="00C800B4" w:rsidRPr="00604D97" w:rsidRDefault="00E67976" w:rsidP="00731FD9">
      <w:pPr>
        <w:spacing w:after="0" w:line="240" w:lineRule="atLeast"/>
        <w:contextualSpacing/>
        <w:jc w:val="both"/>
        <w:rPr>
          <w:rFonts w:ascii="Arial" w:eastAsia="Times New Roman" w:hAnsi="Arial" w:cs="Arial"/>
          <w:sz w:val="20"/>
          <w:szCs w:val="20"/>
          <w:lang w:val="en-US" w:eastAsia="fr-FR"/>
        </w:rPr>
      </w:pPr>
      <w:r w:rsidRPr="00604D97">
        <w:rPr>
          <w:rFonts w:ascii="Arial" w:eastAsia="Times New Roman" w:hAnsi="Arial" w:cs="Arial"/>
          <w:sz w:val="20"/>
          <w:szCs w:val="20"/>
          <w:lang w:val="en-US" w:eastAsia="fr-FR"/>
        </w:rPr>
        <w:lastRenderedPageBreak/>
        <w:t>FBF</w:t>
      </w:r>
      <w:r w:rsidR="00C800B4" w:rsidRPr="00604D97">
        <w:rPr>
          <w:rFonts w:ascii="Arial" w:eastAsia="Times New Roman" w:hAnsi="Arial" w:cs="Arial"/>
          <w:sz w:val="20"/>
          <w:szCs w:val="20"/>
          <w:lang w:val="en-US" w:eastAsia="fr-FR"/>
        </w:rPr>
        <w:t xml:space="preserve"> considers this should be ke</w:t>
      </w:r>
      <w:r w:rsidR="00142DCA" w:rsidRPr="00604D97">
        <w:rPr>
          <w:rFonts w:ascii="Arial" w:eastAsia="Times New Roman" w:hAnsi="Arial" w:cs="Arial"/>
          <w:sz w:val="20"/>
          <w:szCs w:val="20"/>
          <w:lang w:val="en-US" w:eastAsia="fr-FR"/>
        </w:rPr>
        <w:t xml:space="preserve">pt for a future update of </w:t>
      </w:r>
      <w:r w:rsidR="00781689" w:rsidRPr="00604D97">
        <w:rPr>
          <w:rFonts w:ascii="Arial" w:eastAsia="Times New Roman" w:hAnsi="Arial" w:cs="Arial"/>
          <w:sz w:val="20"/>
          <w:szCs w:val="20"/>
          <w:lang w:val="en-US" w:eastAsia="fr-FR"/>
        </w:rPr>
        <w:t>ESMA</w:t>
      </w:r>
      <w:r w:rsidR="00142DCA" w:rsidRPr="00604D97">
        <w:rPr>
          <w:rFonts w:ascii="Arial" w:eastAsia="Times New Roman" w:hAnsi="Arial" w:cs="Arial"/>
          <w:sz w:val="20"/>
          <w:szCs w:val="20"/>
          <w:lang w:val="en-US" w:eastAsia="fr-FR"/>
        </w:rPr>
        <w:t xml:space="preserve"> guidelines to be conducted when the market </w:t>
      </w:r>
      <w:r w:rsidR="00136293" w:rsidRPr="00604D97">
        <w:rPr>
          <w:rFonts w:ascii="Arial" w:eastAsia="Times New Roman" w:hAnsi="Arial" w:cs="Arial"/>
          <w:sz w:val="20"/>
          <w:szCs w:val="20"/>
          <w:lang w:val="en-US" w:eastAsia="fr-FR"/>
        </w:rPr>
        <w:t xml:space="preserve">is </w:t>
      </w:r>
      <w:r w:rsidR="00244B6C" w:rsidRPr="00604D97">
        <w:rPr>
          <w:rFonts w:ascii="Arial" w:eastAsia="Times New Roman" w:hAnsi="Arial" w:cs="Arial"/>
          <w:sz w:val="20"/>
          <w:szCs w:val="20"/>
          <w:lang w:val="en-US" w:eastAsia="fr-FR"/>
        </w:rPr>
        <w:t>ma</w:t>
      </w:r>
      <w:r w:rsidR="0013293D" w:rsidRPr="00604D97">
        <w:rPr>
          <w:rFonts w:ascii="Arial" w:eastAsia="Times New Roman" w:hAnsi="Arial" w:cs="Arial"/>
          <w:sz w:val="20"/>
          <w:szCs w:val="20"/>
          <w:lang w:val="en-US" w:eastAsia="fr-FR"/>
        </w:rPr>
        <w:t>ture enough.</w:t>
      </w:r>
    </w:p>
    <w:p w14:paraId="196C4AC8" w14:textId="1EFFBD1A" w:rsidR="00D320FE" w:rsidRPr="00604D97" w:rsidRDefault="001A1994" w:rsidP="00731FD9">
      <w:pPr>
        <w:spacing w:after="0" w:line="240" w:lineRule="atLeast"/>
        <w:contextualSpacing/>
        <w:jc w:val="both"/>
        <w:rPr>
          <w:rFonts w:ascii="Arial" w:eastAsia="Times New Roman" w:hAnsi="Arial" w:cs="Arial"/>
          <w:sz w:val="20"/>
          <w:szCs w:val="20"/>
          <w:lang w:val="en-GB" w:eastAsia="fr-FR"/>
        </w:rPr>
      </w:pPr>
      <w:r w:rsidRPr="00604D97">
        <w:rPr>
          <w:rFonts w:ascii="Arial" w:eastAsia="Times New Roman" w:hAnsi="Arial" w:cs="Arial"/>
          <w:sz w:val="20"/>
          <w:szCs w:val="20"/>
          <w:lang w:val="en-GB" w:eastAsia="fr-FR"/>
        </w:rPr>
        <w:t xml:space="preserve">The range of products distributed by distributors </w:t>
      </w:r>
      <w:r w:rsidR="003444F7" w:rsidRPr="00604D97">
        <w:rPr>
          <w:rFonts w:ascii="Arial" w:eastAsia="Times New Roman" w:hAnsi="Arial" w:cs="Arial"/>
          <w:sz w:val="20"/>
          <w:szCs w:val="20"/>
          <w:lang w:val="en-GB" w:eastAsia="fr-FR"/>
        </w:rPr>
        <w:t>will</w:t>
      </w:r>
      <w:r w:rsidRPr="00604D97">
        <w:rPr>
          <w:rFonts w:ascii="Arial" w:eastAsia="Times New Roman" w:hAnsi="Arial" w:cs="Arial"/>
          <w:sz w:val="20"/>
          <w:szCs w:val="20"/>
          <w:lang w:val="en-GB" w:eastAsia="fr-FR"/>
        </w:rPr>
        <w:t xml:space="preserve"> evolve </w:t>
      </w:r>
      <w:r w:rsidR="003444F7" w:rsidRPr="00604D97">
        <w:rPr>
          <w:rFonts w:ascii="Arial" w:eastAsia="Times New Roman" w:hAnsi="Arial" w:cs="Arial"/>
          <w:sz w:val="20"/>
          <w:szCs w:val="20"/>
          <w:lang w:val="en-GB" w:eastAsia="fr-FR"/>
        </w:rPr>
        <w:t>in accordance with</w:t>
      </w:r>
      <w:r w:rsidRPr="00604D97">
        <w:rPr>
          <w:rFonts w:ascii="Arial" w:eastAsia="Times New Roman" w:hAnsi="Arial" w:cs="Arial"/>
          <w:sz w:val="20"/>
          <w:szCs w:val="20"/>
          <w:lang w:val="en-GB" w:eastAsia="fr-FR"/>
        </w:rPr>
        <w:t xml:space="preserve"> the </w:t>
      </w:r>
      <w:r w:rsidR="003444F7" w:rsidRPr="00604D97">
        <w:rPr>
          <w:rFonts w:ascii="Arial" w:eastAsia="Times New Roman" w:hAnsi="Arial" w:cs="Arial"/>
          <w:sz w:val="20"/>
          <w:szCs w:val="20"/>
          <w:lang w:val="en-GB" w:eastAsia="fr-FR"/>
        </w:rPr>
        <w:t>evolution of economy and consequently sustainable products.</w:t>
      </w:r>
    </w:p>
    <w:p w14:paraId="156318E7" w14:textId="16D738BB" w:rsidR="00FC77D6" w:rsidRPr="00604D97" w:rsidRDefault="00FC77D6" w:rsidP="00731FD9">
      <w:pPr>
        <w:spacing w:after="0" w:line="240" w:lineRule="atLeast"/>
        <w:contextualSpacing/>
        <w:jc w:val="both"/>
        <w:rPr>
          <w:rFonts w:ascii="Arial" w:eastAsia="Times New Roman" w:hAnsi="Arial" w:cs="Arial"/>
          <w:sz w:val="20"/>
          <w:szCs w:val="20"/>
          <w:lang w:val="en-GB" w:eastAsia="fr-FR"/>
        </w:rPr>
      </w:pPr>
    </w:p>
    <w:p w14:paraId="59A8178D" w14:textId="77777777" w:rsidR="00FC77D6" w:rsidRPr="00604D97" w:rsidRDefault="00FC77D6" w:rsidP="00731FD9">
      <w:pPr>
        <w:spacing w:after="0" w:line="240" w:lineRule="atLeast"/>
        <w:contextualSpacing/>
        <w:jc w:val="both"/>
        <w:rPr>
          <w:rFonts w:ascii="Arial" w:eastAsia="Times New Roman" w:hAnsi="Arial" w:cs="Arial"/>
          <w:sz w:val="20"/>
          <w:szCs w:val="20"/>
          <w:lang w:val="en-GB" w:eastAsia="fr-FR"/>
        </w:rPr>
      </w:pPr>
    </w:p>
    <w:p w14:paraId="03499A78" w14:textId="736E6ADC" w:rsidR="00D320FE" w:rsidRPr="00604D97" w:rsidRDefault="00D320FE"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604D97">
        <w:rPr>
          <w:rFonts w:ascii="Arial" w:eastAsia="Times New Roman" w:hAnsi="Arial" w:cs="Arial"/>
          <w:b/>
          <w:color w:val="365F91" w:themeColor="accent1" w:themeShade="BF"/>
          <w:sz w:val="20"/>
          <w:szCs w:val="20"/>
          <w:u w:val="single"/>
          <w:lang w:val="en-GB" w:eastAsia="fr-FR"/>
        </w:rPr>
        <w:t xml:space="preserve">Guideline 9 – </w:t>
      </w:r>
      <w:r w:rsidR="00F85D82" w:rsidRPr="00604D97">
        <w:rPr>
          <w:rFonts w:ascii="Arial" w:eastAsia="Times New Roman" w:hAnsi="Arial" w:cs="Arial"/>
          <w:b/>
          <w:color w:val="365F91" w:themeColor="accent1" w:themeShade="BF"/>
          <w:sz w:val="20"/>
          <w:szCs w:val="20"/>
          <w:u w:val="single"/>
          <w:lang w:val="en-GB" w:eastAsia="fr-FR"/>
        </w:rPr>
        <w:t>Costs and complexity of equivalent products</w:t>
      </w:r>
    </w:p>
    <w:p w14:paraId="39B7B11B" w14:textId="77777777" w:rsidR="00D320FE" w:rsidRPr="00604D97" w:rsidRDefault="00D320FE" w:rsidP="00731FD9">
      <w:pPr>
        <w:spacing w:after="0" w:line="240" w:lineRule="atLeast"/>
        <w:jc w:val="both"/>
        <w:rPr>
          <w:rFonts w:ascii="Arial" w:hAnsi="Arial" w:cs="Arial"/>
          <w:sz w:val="20"/>
          <w:lang w:val="en-US"/>
        </w:rPr>
      </w:pPr>
    </w:p>
    <w:p w14:paraId="6E36E99C" w14:textId="657CBA09" w:rsidR="00D320FE" w:rsidRPr="00604D97" w:rsidRDefault="009C51DF" w:rsidP="00731FD9">
      <w:pPr>
        <w:spacing w:after="0" w:line="240" w:lineRule="atLeast"/>
        <w:jc w:val="both"/>
        <w:rPr>
          <w:rFonts w:ascii="Arial" w:hAnsi="Arial" w:cs="Arial"/>
          <w:i/>
          <w:iCs/>
          <w:sz w:val="20"/>
          <w:lang w:val="en-US"/>
        </w:rPr>
      </w:pPr>
      <w:r w:rsidRPr="00604D97">
        <w:rPr>
          <w:rFonts w:ascii="Arial" w:hAnsi="Arial" w:cs="Arial"/>
          <w:i/>
          <w:iCs/>
          <w:sz w:val="20"/>
          <w:lang w:val="en-US"/>
        </w:rPr>
        <w:t>The content of guideline 9 has been confirmed and no change has been introduced.</w:t>
      </w:r>
    </w:p>
    <w:p w14:paraId="1686EEC4" w14:textId="2ED210B8" w:rsidR="00D320FE" w:rsidRPr="00604D97" w:rsidRDefault="00D320FE" w:rsidP="00731FD9">
      <w:pPr>
        <w:spacing w:after="0" w:line="240" w:lineRule="atLeast"/>
        <w:contextualSpacing/>
        <w:jc w:val="both"/>
        <w:rPr>
          <w:rFonts w:ascii="Arial" w:eastAsia="Times New Roman" w:hAnsi="Arial" w:cs="Arial"/>
          <w:sz w:val="20"/>
          <w:szCs w:val="20"/>
          <w:lang w:val="en-US" w:eastAsia="fr-FR"/>
        </w:rPr>
      </w:pPr>
    </w:p>
    <w:p w14:paraId="4BD81DBD" w14:textId="3CF9ACA8" w:rsidR="009C51DF" w:rsidRPr="00604D97" w:rsidRDefault="009C51DF" w:rsidP="00731FD9">
      <w:pPr>
        <w:spacing w:after="0" w:line="240" w:lineRule="atLeast"/>
        <w:contextualSpacing/>
        <w:jc w:val="both"/>
        <w:rPr>
          <w:rFonts w:ascii="Arial" w:eastAsia="Times New Roman" w:hAnsi="Arial" w:cs="Arial"/>
          <w:sz w:val="20"/>
          <w:szCs w:val="20"/>
          <w:lang w:val="en-US" w:eastAsia="fr-FR"/>
        </w:rPr>
      </w:pPr>
    </w:p>
    <w:p w14:paraId="5161906E" w14:textId="77777777" w:rsidR="009C51DF" w:rsidRPr="00604D97" w:rsidRDefault="009C51DF" w:rsidP="00731FD9">
      <w:pPr>
        <w:spacing w:after="0" w:line="240" w:lineRule="atLeast"/>
        <w:contextualSpacing/>
        <w:jc w:val="both"/>
        <w:rPr>
          <w:rFonts w:ascii="Arial" w:eastAsia="Times New Roman" w:hAnsi="Arial" w:cs="Arial"/>
          <w:sz w:val="20"/>
          <w:szCs w:val="20"/>
          <w:lang w:val="en-US" w:eastAsia="fr-FR"/>
        </w:rPr>
      </w:pPr>
    </w:p>
    <w:p w14:paraId="56E7FDC8" w14:textId="59C51A40" w:rsidR="009C51DF" w:rsidRPr="00604D97" w:rsidRDefault="009C51DF"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604D97">
        <w:rPr>
          <w:rFonts w:ascii="Arial" w:eastAsia="Times New Roman" w:hAnsi="Arial" w:cs="Arial"/>
          <w:b/>
          <w:color w:val="365F91" w:themeColor="accent1" w:themeShade="BF"/>
          <w:sz w:val="20"/>
          <w:szCs w:val="20"/>
          <w:u w:val="single"/>
          <w:lang w:val="en-GB" w:eastAsia="fr-FR"/>
        </w:rPr>
        <w:t>Guideline 10 – Costs and benefits of switching investments</w:t>
      </w:r>
    </w:p>
    <w:p w14:paraId="1CFFB414" w14:textId="77777777" w:rsidR="009C51DF" w:rsidRPr="00604D97" w:rsidRDefault="009C51DF" w:rsidP="00731FD9">
      <w:pPr>
        <w:spacing w:after="0" w:line="240" w:lineRule="atLeast"/>
        <w:jc w:val="both"/>
        <w:rPr>
          <w:rFonts w:ascii="Arial" w:hAnsi="Arial" w:cs="Arial"/>
          <w:sz w:val="20"/>
          <w:lang w:val="en-US"/>
        </w:rPr>
      </w:pPr>
    </w:p>
    <w:p w14:paraId="2E95649E" w14:textId="77777777" w:rsidR="005A5077" w:rsidRPr="00604D97" w:rsidRDefault="005A5077" w:rsidP="00731FD9">
      <w:pPr>
        <w:spacing w:after="0" w:line="240" w:lineRule="atLeast"/>
        <w:contextualSpacing/>
        <w:jc w:val="both"/>
        <w:rPr>
          <w:rFonts w:ascii="Arial" w:hAnsi="Arial" w:cs="Arial"/>
          <w:i/>
          <w:iCs/>
          <w:sz w:val="20"/>
          <w:lang w:val="en-US"/>
        </w:rPr>
      </w:pPr>
      <w:r w:rsidRPr="00604D97">
        <w:rPr>
          <w:rFonts w:ascii="Arial" w:hAnsi="Arial" w:cs="Arial"/>
          <w:i/>
          <w:iCs/>
          <w:sz w:val="20"/>
          <w:lang w:val="en-US"/>
        </w:rPr>
        <w:t>Under the Capital Markets Recovery Package, the following new subparagraph has been added to Article 25(2) of MiFID II:</w:t>
      </w:r>
    </w:p>
    <w:p w14:paraId="3441C8E2" w14:textId="77777777" w:rsidR="005A5077" w:rsidRPr="00604D97" w:rsidRDefault="005A5077" w:rsidP="00731FD9">
      <w:pPr>
        <w:spacing w:after="0" w:line="240" w:lineRule="atLeast"/>
        <w:contextualSpacing/>
        <w:jc w:val="both"/>
        <w:rPr>
          <w:rFonts w:ascii="Arial" w:hAnsi="Arial" w:cs="Arial"/>
          <w:i/>
          <w:iCs/>
          <w:sz w:val="20"/>
          <w:lang w:val="en-US"/>
        </w:rPr>
      </w:pPr>
    </w:p>
    <w:p w14:paraId="5AC44484" w14:textId="037E7E41" w:rsidR="005A5077" w:rsidRPr="00604D97" w:rsidRDefault="005A5077" w:rsidP="00731FD9">
      <w:pPr>
        <w:spacing w:after="0" w:line="240" w:lineRule="atLeast"/>
        <w:contextualSpacing/>
        <w:jc w:val="both"/>
        <w:rPr>
          <w:rFonts w:ascii="Arial" w:hAnsi="Arial" w:cs="Arial"/>
          <w:i/>
          <w:iCs/>
          <w:sz w:val="20"/>
          <w:lang w:val="en-US"/>
        </w:rPr>
      </w:pPr>
      <w:r w:rsidRPr="00604D97">
        <w:rPr>
          <w:rFonts w:ascii="Arial" w:hAnsi="Arial" w:cs="Arial"/>
          <w:i/>
          <w:iCs/>
          <w:sz w:val="20"/>
          <w:lang w:val="en-US"/>
        </w:rPr>
        <w:t xml:space="preserve">“When providing either investment advice or portfolio management that involves the switching of financial instruments, investment firms shall obtain the necessary information on the client’s investment and shall </w:t>
      </w:r>
      <w:proofErr w:type="spellStart"/>
      <w:r w:rsidRPr="00604D97">
        <w:rPr>
          <w:rFonts w:ascii="Arial" w:hAnsi="Arial" w:cs="Arial"/>
          <w:i/>
          <w:iCs/>
          <w:sz w:val="20"/>
          <w:lang w:val="en-US"/>
        </w:rPr>
        <w:t>analyse</w:t>
      </w:r>
      <w:proofErr w:type="spellEnd"/>
      <w:r w:rsidRPr="00604D97">
        <w:rPr>
          <w:rFonts w:ascii="Arial" w:hAnsi="Arial" w:cs="Arial"/>
          <w:i/>
          <w:iCs/>
          <w:sz w:val="20"/>
          <w:lang w:val="en-US"/>
        </w:rPr>
        <w:t xml:space="preserve"> the costs and benefits of the switching of financial instruments. When providing investment advice, investment firms shall inform the client </w:t>
      </w:r>
      <w:proofErr w:type="gramStart"/>
      <w:r w:rsidRPr="00604D97">
        <w:rPr>
          <w:rFonts w:ascii="Arial" w:hAnsi="Arial" w:cs="Arial"/>
          <w:i/>
          <w:iCs/>
          <w:sz w:val="20"/>
          <w:lang w:val="en-US"/>
        </w:rPr>
        <w:t>whether or not</w:t>
      </w:r>
      <w:proofErr w:type="gramEnd"/>
      <w:r w:rsidRPr="00604D97">
        <w:rPr>
          <w:rFonts w:ascii="Arial" w:hAnsi="Arial" w:cs="Arial"/>
          <w:i/>
          <w:iCs/>
          <w:sz w:val="20"/>
          <w:lang w:val="en-US"/>
        </w:rPr>
        <w:t xml:space="preserve"> the benefits of the switching of financial instruments are greater than the costs involved in such switching”.</w:t>
      </w:r>
    </w:p>
    <w:p w14:paraId="3685618F" w14:textId="77777777" w:rsidR="005A5077" w:rsidRPr="00604D97" w:rsidRDefault="005A5077" w:rsidP="00731FD9">
      <w:pPr>
        <w:spacing w:after="0" w:line="240" w:lineRule="atLeast"/>
        <w:contextualSpacing/>
        <w:jc w:val="both"/>
        <w:rPr>
          <w:rFonts w:ascii="Arial" w:hAnsi="Arial" w:cs="Arial"/>
          <w:i/>
          <w:iCs/>
          <w:sz w:val="20"/>
          <w:lang w:val="en-US"/>
        </w:rPr>
      </w:pPr>
    </w:p>
    <w:p w14:paraId="2191936A" w14:textId="26BE3153" w:rsidR="009C51DF" w:rsidRPr="00604D97" w:rsidRDefault="005A5077" w:rsidP="00731FD9">
      <w:pPr>
        <w:spacing w:after="0" w:line="240" w:lineRule="atLeast"/>
        <w:contextualSpacing/>
        <w:jc w:val="both"/>
        <w:rPr>
          <w:rFonts w:ascii="Arial" w:eastAsia="Times New Roman" w:hAnsi="Arial" w:cs="Arial"/>
          <w:sz w:val="20"/>
          <w:szCs w:val="20"/>
          <w:lang w:val="en-US" w:eastAsia="fr-FR"/>
        </w:rPr>
      </w:pPr>
      <w:r w:rsidRPr="00604D97">
        <w:rPr>
          <w:rFonts w:ascii="Arial" w:hAnsi="Arial" w:cs="Arial"/>
          <w:i/>
          <w:iCs/>
          <w:sz w:val="20"/>
          <w:lang w:val="en-US"/>
        </w:rPr>
        <w:t>A slight wording amendment has been introduced in the text of guideline 10 to align the guideline with Article 25(2) of MiFID II.</w:t>
      </w:r>
    </w:p>
    <w:p w14:paraId="68D11901" w14:textId="77777777" w:rsidR="009C51DF" w:rsidRPr="00604D97" w:rsidRDefault="009C51DF" w:rsidP="00731FD9">
      <w:pPr>
        <w:spacing w:after="0" w:line="240" w:lineRule="atLeast"/>
        <w:contextualSpacing/>
        <w:jc w:val="both"/>
        <w:rPr>
          <w:rFonts w:ascii="Arial" w:eastAsia="Times New Roman" w:hAnsi="Arial" w:cs="Arial"/>
          <w:sz w:val="20"/>
          <w:szCs w:val="20"/>
          <w:lang w:val="en-US" w:eastAsia="fr-FR"/>
        </w:rPr>
      </w:pPr>
    </w:p>
    <w:p w14:paraId="24621BA1" w14:textId="64C652AC" w:rsidR="005A5077" w:rsidRPr="00604D97" w:rsidRDefault="005A5077"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roofErr w:type="gramStart"/>
      <w:r w:rsidRPr="00604D97">
        <w:rPr>
          <w:rFonts w:ascii="Arial" w:eastAsia="Times New Roman" w:hAnsi="Arial" w:cs="Arial"/>
          <w:b/>
          <w:bCs/>
          <w:color w:val="000000"/>
          <w:sz w:val="20"/>
          <w:szCs w:val="20"/>
          <w:lang w:val="en-US" w:eastAsia="fr-FR"/>
        </w:rPr>
        <w:t>Q17</w:t>
      </w:r>
      <w:proofErr w:type="gramEnd"/>
      <w:r w:rsidRPr="00604D97">
        <w:rPr>
          <w:rFonts w:ascii="Arial" w:eastAsia="Times New Roman" w:hAnsi="Arial" w:cs="Arial"/>
          <w:b/>
          <w:bCs/>
          <w:color w:val="000000"/>
          <w:sz w:val="20"/>
          <w:szCs w:val="20"/>
          <w:lang w:val="en-US" w:eastAsia="fr-FR"/>
        </w:rPr>
        <w:tab/>
      </w:r>
      <w:r w:rsidR="00755C6A" w:rsidRPr="00604D97">
        <w:rPr>
          <w:rFonts w:ascii="Arial" w:eastAsia="Times New Roman" w:hAnsi="Arial" w:cs="Arial"/>
          <w:b/>
          <w:bCs/>
          <w:color w:val="000000"/>
          <w:sz w:val="20"/>
          <w:szCs w:val="20"/>
          <w:lang w:val="en-US" w:eastAsia="fr-FR"/>
        </w:rPr>
        <w:t>Do you agree with the proposed amendment to supporting guideline 10? Please also state the reasons for your answer.</w:t>
      </w:r>
    </w:p>
    <w:p w14:paraId="14F43739" w14:textId="6CCE3C10" w:rsidR="005A5077" w:rsidRPr="00604D97" w:rsidRDefault="005A5077" w:rsidP="00731FD9">
      <w:pPr>
        <w:spacing w:after="0" w:line="240" w:lineRule="atLeast"/>
        <w:contextualSpacing/>
        <w:jc w:val="both"/>
        <w:rPr>
          <w:rFonts w:ascii="Arial" w:eastAsia="Times New Roman" w:hAnsi="Arial" w:cs="Arial"/>
          <w:sz w:val="20"/>
          <w:szCs w:val="20"/>
          <w:lang w:val="en-US" w:eastAsia="fr-FR"/>
        </w:rPr>
      </w:pPr>
    </w:p>
    <w:p w14:paraId="3EE3207B" w14:textId="313873C8" w:rsidR="00755C6A" w:rsidRPr="00604D97" w:rsidRDefault="00E67976" w:rsidP="00731FD9">
      <w:pPr>
        <w:spacing w:after="0" w:line="240" w:lineRule="atLeast"/>
        <w:contextualSpacing/>
        <w:jc w:val="both"/>
        <w:rPr>
          <w:rFonts w:ascii="Arial" w:eastAsia="Times New Roman" w:hAnsi="Arial" w:cs="Arial"/>
          <w:sz w:val="20"/>
          <w:szCs w:val="20"/>
          <w:lang w:val="en-US" w:eastAsia="fr-FR"/>
        </w:rPr>
      </w:pPr>
      <w:r w:rsidRPr="00604D97">
        <w:rPr>
          <w:rFonts w:ascii="Arial" w:eastAsia="Times New Roman" w:hAnsi="Arial" w:cs="Arial"/>
          <w:sz w:val="20"/>
          <w:szCs w:val="20"/>
          <w:lang w:val="en-US" w:eastAsia="fr-FR"/>
        </w:rPr>
        <w:t>FBF</w:t>
      </w:r>
      <w:r w:rsidR="0013293D" w:rsidRPr="00604D97">
        <w:rPr>
          <w:rFonts w:ascii="Arial" w:eastAsia="Times New Roman" w:hAnsi="Arial" w:cs="Arial"/>
          <w:sz w:val="20"/>
          <w:szCs w:val="20"/>
          <w:lang w:val="en-US" w:eastAsia="fr-FR"/>
        </w:rPr>
        <w:t xml:space="preserve">’s view is that </w:t>
      </w:r>
      <w:r w:rsidR="008A3472" w:rsidRPr="00604D97">
        <w:rPr>
          <w:rFonts w:ascii="Arial" w:eastAsia="Times New Roman" w:hAnsi="Arial" w:cs="Arial"/>
          <w:sz w:val="20"/>
          <w:szCs w:val="20"/>
          <w:lang w:val="en-US" w:eastAsia="fr-FR"/>
        </w:rPr>
        <w:t>a better alignment with client</w:t>
      </w:r>
      <w:r w:rsidR="0007258D" w:rsidRPr="00604D97">
        <w:rPr>
          <w:rFonts w:ascii="Arial" w:eastAsia="Times New Roman" w:hAnsi="Arial" w:cs="Arial"/>
          <w:sz w:val="20"/>
          <w:szCs w:val="20"/>
          <w:lang w:val="en-US" w:eastAsia="fr-FR"/>
        </w:rPr>
        <w:t xml:space="preserve">’s initial </w:t>
      </w:r>
      <w:r w:rsidR="008053C8" w:rsidRPr="00604D97">
        <w:rPr>
          <w:rFonts w:ascii="Arial" w:eastAsia="Times New Roman" w:hAnsi="Arial" w:cs="Arial"/>
          <w:sz w:val="20"/>
          <w:szCs w:val="20"/>
          <w:lang w:val="en-US" w:eastAsia="fr-FR"/>
        </w:rPr>
        <w:t xml:space="preserve">sustainability </w:t>
      </w:r>
      <w:r w:rsidR="00380E0E" w:rsidRPr="00604D97">
        <w:rPr>
          <w:rFonts w:ascii="Arial" w:eastAsia="Times New Roman" w:hAnsi="Arial" w:cs="Arial"/>
          <w:sz w:val="20"/>
          <w:szCs w:val="20"/>
          <w:lang w:val="en-US" w:eastAsia="fr-FR"/>
        </w:rPr>
        <w:t>characteristics</w:t>
      </w:r>
      <w:r w:rsidR="008053C8" w:rsidRPr="00604D97">
        <w:rPr>
          <w:rFonts w:ascii="Arial" w:eastAsia="Times New Roman" w:hAnsi="Arial" w:cs="Arial"/>
          <w:sz w:val="20"/>
          <w:szCs w:val="20"/>
          <w:lang w:val="en-US" w:eastAsia="fr-FR"/>
        </w:rPr>
        <w:t xml:space="preserve"> </w:t>
      </w:r>
      <w:r w:rsidR="0007258D" w:rsidRPr="00604D97">
        <w:rPr>
          <w:rFonts w:ascii="Arial" w:eastAsia="Times New Roman" w:hAnsi="Arial" w:cs="Arial"/>
          <w:sz w:val="20"/>
          <w:szCs w:val="20"/>
          <w:lang w:val="en-US" w:eastAsia="fr-FR"/>
        </w:rPr>
        <w:t>should also</w:t>
      </w:r>
      <w:r w:rsidR="002E6CFD" w:rsidRPr="00604D97">
        <w:rPr>
          <w:rFonts w:ascii="Arial" w:eastAsia="Times New Roman" w:hAnsi="Arial" w:cs="Arial"/>
          <w:sz w:val="20"/>
          <w:szCs w:val="20"/>
          <w:lang w:val="en-US" w:eastAsia="fr-FR"/>
        </w:rPr>
        <w:t>,</w:t>
      </w:r>
      <w:r w:rsidR="0007258D" w:rsidRPr="00604D97">
        <w:rPr>
          <w:rFonts w:ascii="Arial" w:eastAsia="Times New Roman" w:hAnsi="Arial" w:cs="Arial"/>
          <w:sz w:val="20"/>
          <w:szCs w:val="20"/>
          <w:lang w:val="en-US" w:eastAsia="fr-FR"/>
        </w:rPr>
        <w:t xml:space="preserve"> under 4</w:t>
      </w:r>
      <w:r w:rsidR="0007258D" w:rsidRPr="00604D97">
        <w:rPr>
          <w:rFonts w:ascii="Arial" w:eastAsia="Times New Roman" w:hAnsi="Arial" w:cs="Arial"/>
          <w:sz w:val="20"/>
          <w:szCs w:val="20"/>
          <w:vertAlign w:val="superscript"/>
          <w:lang w:val="en-US" w:eastAsia="fr-FR"/>
        </w:rPr>
        <w:t>th</w:t>
      </w:r>
      <w:r w:rsidR="0007258D" w:rsidRPr="00604D97">
        <w:rPr>
          <w:rFonts w:ascii="Arial" w:eastAsia="Times New Roman" w:hAnsi="Arial" w:cs="Arial"/>
          <w:sz w:val="20"/>
          <w:szCs w:val="20"/>
          <w:lang w:val="en-US" w:eastAsia="fr-FR"/>
        </w:rPr>
        <w:t xml:space="preserve"> bullet point </w:t>
      </w:r>
      <w:r w:rsidR="0097165D" w:rsidRPr="00604D97">
        <w:rPr>
          <w:rFonts w:ascii="Arial" w:eastAsia="Times New Roman" w:hAnsi="Arial" w:cs="Arial"/>
          <w:sz w:val="20"/>
          <w:szCs w:val="20"/>
          <w:lang w:val="en-US" w:eastAsia="fr-FR"/>
        </w:rPr>
        <w:t xml:space="preserve">of </w:t>
      </w:r>
      <w:r w:rsidR="0007258D" w:rsidRPr="00604D97">
        <w:rPr>
          <w:rFonts w:ascii="Arial" w:eastAsia="Times New Roman" w:hAnsi="Arial" w:cs="Arial"/>
          <w:sz w:val="20"/>
          <w:szCs w:val="20"/>
          <w:lang w:val="en-US" w:eastAsia="fr-FR"/>
        </w:rPr>
        <w:t>§ 96</w:t>
      </w:r>
      <w:r w:rsidR="002E6CFD" w:rsidRPr="00604D97">
        <w:rPr>
          <w:rFonts w:ascii="Arial" w:eastAsia="Times New Roman" w:hAnsi="Arial" w:cs="Arial"/>
          <w:sz w:val="20"/>
          <w:szCs w:val="20"/>
          <w:lang w:val="en-US" w:eastAsia="fr-FR"/>
        </w:rPr>
        <w:t>,</w:t>
      </w:r>
      <w:r w:rsidR="0007258D" w:rsidRPr="00604D97">
        <w:rPr>
          <w:rFonts w:ascii="Arial" w:eastAsia="Times New Roman" w:hAnsi="Arial" w:cs="Arial"/>
          <w:sz w:val="20"/>
          <w:szCs w:val="20"/>
          <w:lang w:val="en-US" w:eastAsia="fr-FR"/>
        </w:rPr>
        <w:t xml:space="preserve"> </w:t>
      </w:r>
      <w:r w:rsidR="008053C8" w:rsidRPr="00604D97">
        <w:rPr>
          <w:rFonts w:ascii="Arial" w:eastAsia="Times New Roman" w:hAnsi="Arial" w:cs="Arial"/>
          <w:sz w:val="20"/>
          <w:szCs w:val="20"/>
          <w:lang w:val="en-US" w:eastAsia="fr-FR"/>
        </w:rPr>
        <w:t xml:space="preserve">be viewed as a </w:t>
      </w:r>
      <w:r w:rsidR="00380E0E" w:rsidRPr="00604D97">
        <w:rPr>
          <w:rFonts w:ascii="Arial" w:eastAsia="Times New Roman" w:hAnsi="Arial" w:cs="Arial"/>
          <w:sz w:val="20"/>
          <w:szCs w:val="20"/>
          <w:lang w:val="en-US" w:eastAsia="fr-FR"/>
        </w:rPr>
        <w:t>potential</w:t>
      </w:r>
      <w:r w:rsidR="008053C8" w:rsidRPr="00604D97">
        <w:rPr>
          <w:rFonts w:ascii="Arial" w:eastAsia="Times New Roman" w:hAnsi="Arial" w:cs="Arial"/>
          <w:sz w:val="20"/>
          <w:szCs w:val="20"/>
          <w:lang w:val="en-US" w:eastAsia="fr-FR"/>
        </w:rPr>
        <w:t xml:space="preserve"> </w:t>
      </w:r>
      <w:r w:rsidR="00380E0E" w:rsidRPr="00604D97">
        <w:rPr>
          <w:rFonts w:ascii="Arial" w:eastAsia="Times New Roman" w:hAnsi="Arial" w:cs="Arial"/>
          <w:sz w:val="20"/>
          <w:szCs w:val="20"/>
          <w:lang w:val="en-US" w:eastAsia="fr-FR"/>
        </w:rPr>
        <w:t>benefit</w:t>
      </w:r>
      <w:r w:rsidR="008053C8" w:rsidRPr="00604D97">
        <w:rPr>
          <w:rFonts w:ascii="Arial" w:eastAsia="Times New Roman" w:hAnsi="Arial" w:cs="Arial"/>
          <w:sz w:val="20"/>
          <w:szCs w:val="20"/>
          <w:lang w:val="en-US" w:eastAsia="fr-FR"/>
        </w:rPr>
        <w:t xml:space="preserve"> for a </w:t>
      </w:r>
      <w:r w:rsidR="009F2302" w:rsidRPr="00604D97">
        <w:rPr>
          <w:rFonts w:ascii="Arial" w:eastAsia="Times New Roman" w:hAnsi="Arial" w:cs="Arial"/>
          <w:sz w:val="20"/>
          <w:szCs w:val="20"/>
          <w:lang w:val="en-US" w:eastAsia="fr-FR"/>
        </w:rPr>
        <w:t>switch</w:t>
      </w:r>
      <w:r w:rsidR="0097165D" w:rsidRPr="00604D97">
        <w:rPr>
          <w:rFonts w:ascii="Arial" w:eastAsia="Times New Roman" w:hAnsi="Arial" w:cs="Arial"/>
          <w:sz w:val="20"/>
          <w:szCs w:val="20"/>
          <w:lang w:val="en-US" w:eastAsia="fr-FR"/>
        </w:rPr>
        <w:t xml:space="preserve"> of financial instruments</w:t>
      </w:r>
      <w:r w:rsidR="009F2302" w:rsidRPr="00604D97">
        <w:rPr>
          <w:rFonts w:ascii="Arial" w:eastAsia="Times New Roman" w:hAnsi="Arial" w:cs="Arial"/>
          <w:sz w:val="20"/>
          <w:szCs w:val="20"/>
          <w:lang w:val="en-US" w:eastAsia="fr-FR"/>
        </w:rPr>
        <w:t>.</w:t>
      </w:r>
    </w:p>
    <w:p w14:paraId="172D1BDD" w14:textId="77777777" w:rsidR="00283434" w:rsidRPr="00604D97" w:rsidRDefault="00283434" w:rsidP="00731FD9">
      <w:pPr>
        <w:spacing w:after="0" w:line="240" w:lineRule="atLeast"/>
        <w:contextualSpacing/>
        <w:jc w:val="both"/>
        <w:rPr>
          <w:rFonts w:ascii="Arial" w:eastAsia="Times New Roman" w:hAnsi="Arial" w:cs="Arial"/>
          <w:sz w:val="20"/>
          <w:szCs w:val="20"/>
          <w:lang w:val="en-US" w:eastAsia="fr-FR"/>
        </w:rPr>
      </w:pPr>
    </w:p>
    <w:p w14:paraId="0AC5DB79" w14:textId="6396A9BB" w:rsidR="00755C6A" w:rsidRPr="00604D97" w:rsidRDefault="00755C6A" w:rsidP="00731FD9">
      <w:pPr>
        <w:spacing w:after="0" w:line="240" w:lineRule="atLeast"/>
        <w:contextualSpacing/>
        <w:jc w:val="both"/>
        <w:rPr>
          <w:rFonts w:ascii="Arial" w:eastAsia="Times New Roman" w:hAnsi="Arial" w:cs="Arial"/>
          <w:sz w:val="20"/>
          <w:szCs w:val="20"/>
          <w:lang w:val="en-US" w:eastAsia="fr-FR"/>
        </w:rPr>
      </w:pPr>
    </w:p>
    <w:p w14:paraId="25FA68E4" w14:textId="5204789C" w:rsidR="00FC77D6" w:rsidRPr="00604D97" w:rsidRDefault="00FC77D6" w:rsidP="00731FD9">
      <w:pPr>
        <w:spacing w:after="0" w:line="240" w:lineRule="atLeast"/>
        <w:contextualSpacing/>
        <w:jc w:val="both"/>
        <w:rPr>
          <w:rFonts w:ascii="Arial" w:eastAsia="Times New Roman" w:hAnsi="Arial" w:cs="Arial"/>
          <w:sz w:val="20"/>
          <w:szCs w:val="20"/>
          <w:lang w:val="en-US" w:eastAsia="fr-FR"/>
        </w:rPr>
      </w:pPr>
    </w:p>
    <w:p w14:paraId="1093E565" w14:textId="77777777" w:rsidR="00FC77D6" w:rsidRPr="00604D97" w:rsidRDefault="00FC77D6" w:rsidP="00731FD9">
      <w:pPr>
        <w:spacing w:after="0" w:line="240" w:lineRule="atLeast"/>
        <w:contextualSpacing/>
        <w:jc w:val="both"/>
        <w:rPr>
          <w:rFonts w:ascii="Arial" w:eastAsia="Times New Roman" w:hAnsi="Arial" w:cs="Arial"/>
          <w:sz w:val="20"/>
          <w:szCs w:val="20"/>
          <w:lang w:val="en-US" w:eastAsia="fr-FR"/>
        </w:rPr>
      </w:pPr>
    </w:p>
    <w:p w14:paraId="11C548AC" w14:textId="30AE9E90" w:rsidR="00755C6A" w:rsidRPr="00604D97" w:rsidRDefault="00755C6A"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604D97">
        <w:rPr>
          <w:rFonts w:ascii="Arial" w:eastAsia="Times New Roman" w:hAnsi="Arial" w:cs="Arial"/>
          <w:b/>
          <w:color w:val="365F91" w:themeColor="accent1" w:themeShade="BF"/>
          <w:sz w:val="20"/>
          <w:szCs w:val="20"/>
          <w:u w:val="single"/>
          <w:lang w:val="en-GB" w:eastAsia="fr-FR"/>
        </w:rPr>
        <w:t>Guideline 11 – Qualifications of firm staff</w:t>
      </w:r>
    </w:p>
    <w:p w14:paraId="5881B61D" w14:textId="77777777" w:rsidR="00755C6A" w:rsidRPr="009E4F74" w:rsidRDefault="00755C6A" w:rsidP="00731FD9">
      <w:pPr>
        <w:spacing w:after="0" w:line="240" w:lineRule="atLeast"/>
        <w:jc w:val="both"/>
        <w:rPr>
          <w:rFonts w:ascii="Arial" w:hAnsi="Arial" w:cs="Arial"/>
          <w:sz w:val="20"/>
          <w:szCs w:val="20"/>
          <w:lang w:val="en-US"/>
        </w:rPr>
      </w:pPr>
    </w:p>
    <w:p w14:paraId="5656BE10" w14:textId="27A576AD" w:rsidR="00755C6A" w:rsidRPr="009E4F74" w:rsidRDefault="000864C7" w:rsidP="00731FD9">
      <w:pPr>
        <w:spacing w:after="0" w:line="240" w:lineRule="atLeast"/>
        <w:contextualSpacing/>
        <w:jc w:val="both"/>
        <w:rPr>
          <w:rFonts w:ascii="Arial" w:hAnsi="Arial" w:cs="Arial"/>
          <w:i/>
          <w:iCs/>
          <w:sz w:val="20"/>
          <w:szCs w:val="20"/>
          <w:lang w:val="en-US"/>
        </w:rPr>
      </w:pPr>
      <w:r w:rsidRPr="009E4F74">
        <w:rPr>
          <w:rFonts w:ascii="Arial" w:hAnsi="Arial" w:cs="Arial"/>
          <w:i/>
          <w:iCs/>
          <w:sz w:val="20"/>
          <w:szCs w:val="20"/>
          <w:lang w:val="en-US"/>
        </w:rPr>
        <w:t xml:space="preserve">ESMA has clarified in this guideline that staff giving investment advice or information about financial instruments should have the necessary knowledge and competence </w:t>
      </w:r>
      <w:proofErr w:type="gramStart"/>
      <w:r w:rsidRPr="009E4F74">
        <w:rPr>
          <w:rFonts w:ascii="Arial" w:hAnsi="Arial" w:cs="Arial"/>
          <w:i/>
          <w:iCs/>
          <w:sz w:val="20"/>
          <w:szCs w:val="20"/>
          <w:lang w:val="en-US"/>
        </w:rPr>
        <w:t>with regard to</w:t>
      </w:r>
      <w:proofErr w:type="gramEnd"/>
      <w:r w:rsidRPr="009E4F74">
        <w:rPr>
          <w:rFonts w:ascii="Arial" w:hAnsi="Arial" w:cs="Arial"/>
          <w:i/>
          <w:iCs/>
          <w:sz w:val="20"/>
          <w:szCs w:val="20"/>
          <w:lang w:val="en-US"/>
        </w:rPr>
        <w:t xml:space="preserve"> the criteria of the sustainability preferences and should be able to explain to clients the different aspects in non-technical terms. To that effect, firms should give staff appropriate trainings.</w:t>
      </w:r>
    </w:p>
    <w:p w14:paraId="11C6867E" w14:textId="77777777" w:rsidR="000864C7" w:rsidRPr="009E4F74" w:rsidRDefault="000864C7" w:rsidP="00731FD9">
      <w:pPr>
        <w:spacing w:after="0" w:line="240" w:lineRule="atLeast"/>
        <w:contextualSpacing/>
        <w:jc w:val="both"/>
        <w:rPr>
          <w:rFonts w:ascii="Arial" w:eastAsia="Times New Roman" w:hAnsi="Arial" w:cs="Arial"/>
          <w:sz w:val="20"/>
          <w:szCs w:val="20"/>
          <w:lang w:val="en-US" w:eastAsia="fr-FR"/>
        </w:rPr>
      </w:pPr>
    </w:p>
    <w:p w14:paraId="4B2E3509" w14:textId="6B9F40EC" w:rsidR="00755C6A" w:rsidRPr="009E4F74" w:rsidRDefault="00755C6A"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roofErr w:type="gramStart"/>
      <w:r w:rsidRPr="009E4F74">
        <w:rPr>
          <w:rFonts w:ascii="Arial" w:eastAsia="Times New Roman" w:hAnsi="Arial" w:cs="Arial"/>
          <w:b/>
          <w:bCs/>
          <w:color w:val="000000"/>
          <w:sz w:val="20"/>
          <w:szCs w:val="20"/>
          <w:lang w:val="en-US" w:eastAsia="fr-FR"/>
        </w:rPr>
        <w:t>Q1</w:t>
      </w:r>
      <w:r w:rsidR="008B2CF6" w:rsidRPr="009E4F74">
        <w:rPr>
          <w:rFonts w:ascii="Arial" w:eastAsia="Times New Roman" w:hAnsi="Arial" w:cs="Arial"/>
          <w:b/>
          <w:bCs/>
          <w:color w:val="000000"/>
          <w:sz w:val="20"/>
          <w:szCs w:val="20"/>
          <w:lang w:val="en-US" w:eastAsia="fr-FR"/>
        </w:rPr>
        <w:t>8</w:t>
      </w:r>
      <w:proofErr w:type="gramEnd"/>
      <w:r w:rsidRPr="009E4F74">
        <w:rPr>
          <w:rFonts w:ascii="Arial" w:eastAsia="Times New Roman" w:hAnsi="Arial" w:cs="Arial"/>
          <w:b/>
          <w:bCs/>
          <w:color w:val="000000"/>
          <w:sz w:val="20"/>
          <w:szCs w:val="20"/>
          <w:lang w:val="en-US" w:eastAsia="fr-FR"/>
        </w:rPr>
        <w:tab/>
      </w:r>
      <w:r w:rsidR="00FE2D94" w:rsidRPr="009E4F74">
        <w:rPr>
          <w:rFonts w:ascii="Arial" w:eastAsia="Times New Roman" w:hAnsi="Arial" w:cs="Arial"/>
          <w:b/>
          <w:bCs/>
          <w:color w:val="000000"/>
          <w:sz w:val="20"/>
          <w:szCs w:val="20"/>
          <w:lang w:val="en-US" w:eastAsia="fr-FR"/>
        </w:rPr>
        <w:t>Do you agree with the additional guidance regarding to the qualification of firms’ staff or do you believe that further guidance on this aspect should be needed? Please also state the reasons for your answer.</w:t>
      </w:r>
    </w:p>
    <w:p w14:paraId="578A8F2D" w14:textId="77777777" w:rsidR="00FE2D94" w:rsidRPr="009E4F74" w:rsidRDefault="00FE2D94" w:rsidP="00731FD9">
      <w:pPr>
        <w:autoSpaceDE w:val="0"/>
        <w:autoSpaceDN w:val="0"/>
        <w:adjustRightInd w:val="0"/>
        <w:spacing w:after="0" w:line="240" w:lineRule="atLeast"/>
        <w:jc w:val="both"/>
        <w:rPr>
          <w:rFonts w:ascii="Arial" w:eastAsia="Times New Roman" w:hAnsi="Arial" w:cs="Arial"/>
          <w:sz w:val="20"/>
          <w:szCs w:val="20"/>
          <w:lang w:val="en-US" w:eastAsia="fr-FR"/>
        </w:rPr>
      </w:pPr>
    </w:p>
    <w:p w14:paraId="3AE93FB2" w14:textId="6D0C0A6F" w:rsidR="00755C6A" w:rsidRPr="009E4F74" w:rsidRDefault="00C54FCA" w:rsidP="00731FD9">
      <w:pPr>
        <w:spacing w:after="0" w:line="240" w:lineRule="atLeast"/>
        <w:contextualSpacing/>
        <w:jc w:val="both"/>
        <w:rPr>
          <w:rFonts w:ascii="Arial" w:eastAsia="Times New Roman" w:hAnsi="Arial" w:cs="Arial"/>
          <w:sz w:val="20"/>
          <w:szCs w:val="20"/>
          <w:lang w:val="en-GB" w:eastAsia="fr-FR"/>
        </w:rPr>
      </w:pPr>
      <w:bookmarkStart w:id="21" w:name="_Hlk101513954"/>
      <w:r w:rsidRPr="009E4F74">
        <w:rPr>
          <w:rFonts w:ascii="Arial" w:eastAsia="Times New Roman" w:hAnsi="Arial" w:cs="Arial"/>
          <w:sz w:val="20"/>
          <w:szCs w:val="20"/>
          <w:lang w:val="en-GB" w:eastAsia="fr-FR"/>
        </w:rPr>
        <w:t>Additional guidance is not required nevertheless an update of the guideline for knowledge and competence … will be needed to be completed. Some NCAs have already set-up trainings and certifications.</w:t>
      </w:r>
      <w:bookmarkEnd w:id="21"/>
    </w:p>
    <w:p w14:paraId="15DB635F" w14:textId="1C7FDDEC" w:rsidR="00FE2D94" w:rsidRPr="009E4F74" w:rsidRDefault="00FE2D94" w:rsidP="00731FD9">
      <w:pPr>
        <w:spacing w:after="0" w:line="240" w:lineRule="atLeast"/>
        <w:contextualSpacing/>
        <w:jc w:val="both"/>
        <w:rPr>
          <w:rFonts w:ascii="Arial" w:eastAsia="Times New Roman" w:hAnsi="Arial" w:cs="Arial"/>
          <w:sz w:val="20"/>
          <w:szCs w:val="20"/>
          <w:lang w:val="en-GB" w:eastAsia="fr-FR"/>
        </w:rPr>
      </w:pPr>
    </w:p>
    <w:p w14:paraId="7071793A" w14:textId="4C44A5BF" w:rsidR="00FE2D94" w:rsidRPr="009E4F74" w:rsidRDefault="00FE2D94" w:rsidP="00731FD9">
      <w:pPr>
        <w:spacing w:after="0" w:line="240" w:lineRule="atLeast"/>
        <w:contextualSpacing/>
        <w:jc w:val="both"/>
        <w:rPr>
          <w:rFonts w:ascii="Arial" w:eastAsia="Times New Roman" w:hAnsi="Arial" w:cs="Arial"/>
          <w:sz w:val="20"/>
          <w:szCs w:val="20"/>
          <w:lang w:val="en-GB" w:eastAsia="fr-FR"/>
        </w:rPr>
      </w:pPr>
    </w:p>
    <w:p w14:paraId="4EC9E299" w14:textId="22175DB9" w:rsidR="00FE2D94" w:rsidRPr="00604D97" w:rsidRDefault="00FE2D94" w:rsidP="00731FD9">
      <w:pPr>
        <w:spacing w:after="0" w:line="240" w:lineRule="atLeast"/>
        <w:jc w:val="both"/>
        <w:rPr>
          <w:rFonts w:ascii="Arial" w:eastAsia="Times New Roman" w:hAnsi="Arial" w:cs="Arial"/>
          <w:b/>
          <w:color w:val="365F91" w:themeColor="accent1" w:themeShade="BF"/>
          <w:sz w:val="20"/>
          <w:szCs w:val="20"/>
          <w:u w:val="single"/>
          <w:lang w:val="en-GB" w:eastAsia="fr-FR"/>
        </w:rPr>
      </w:pPr>
      <w:r w:rsidRPr="00604D97">
        <w:rPr>
          <w:rFonts w:ascii="Arial" w:eastAsia="Times New Roman" w:hAnsi="Arial" w:cs="Arial"/>
          <w:b/>
          <w:color w:val="365F91" w:themeColor="accent1" w:themeShade="BF"/>
          <w:sz w:val="20"/>
          <w:szCs w:val="20"/>
          <w:u w:val="single"/>
          <w:lang w:val="en-GB" w:eastAsia="fr-FR"/>
        </w:rPr>
        <w:t>Guideline 12 – Record-keeping</w:t>
      </w:r>
    </w:p>
    <w:p w14:paraId="3206F98D" w14:textId="77777777" w:rsidR="00FE2D94" w:rsidRPr="009E4F74" w:rsidRDefault="00FE2D94" w:rsidP="00731FD9">
      <w:pPr>
        <w:spacing w:after="0" w:line="240" w:lineRule="atLeast"/>
        <w:jc w:val="both"/>
        <w:rPr>
          <w:rFonts w:ascii="Arial" w:hAnsi="Arial" w:cs="Arial"/>
          <w:sz w:val="20"/>
          <w:szCs w:val="20"/>
          <w:lang w:val="en-US"/>
        </w:rPr>
      </w:pPr>
    </w:p>
    <w:p w14:paraId="338543AE" w14:textId="0A766D0A" w:rsidR="00FE2D94" w:rsidRPr="009E4F74" w:rsidRDefault="008706F1" w:rsidP="00731FD9">
      <w:pPr>
        <w:spacing w:after="0" w:line="240" w:lineRule="atLeast"/>
        <w:contextualSpacing/>
        <w:jc w:val="both"/>
        <w:rPr>
          <w:rFonts w:ascii="Arial" w:hAnsi="Arial" w:cs="Arial"/>
          <w:i/>
          <w:iCs/>
          <w:sz w:val="20"/>
          <w:szCs w:val="20"/>
          <w:lang w:val="en-US"/>
        </w:rPr>
      </w:pPr>
      <w:r w:rsidRPr="009E4F74">
        <w:rPr>
          <w:rFonts w:ascii="Arial" w:hAnsi="Arial" w:cs="Arial"/>
          <w:i/>
          <w:iCs/>
          <w:sz w:val="20"/>
          <w:szCs w:val="20"/>
          <w:lang w:val="en-US"/>
        </w:rPr>
        <w:t>ESMA has confirmed the content of the 2018 guidelines on the topic of ‘record keeping’, since the rationale behind them has not changed, but has clarified that the firms should keep records of the sustainability preferences of the client (if any) and any updates of these preferences.</w:t>
      </w:r>
    </w:p>
    <w:p w14:paraId="7C41E13C" w14:textId="77777777" w:rsidR="008706F1" w:rsidRPr="009E4F74" w:rsidRDefault="008706F1" w:rsidP="00731FD9">
      <w:pPr>
        <w:spacing w:after="0" w:line="240" w:lineRule="atLeast"/>
        <w:contextualSpacing/>
        <w:jc w:val="both"/>
        <w:rPr>
          <w:rFonts w:ascii="Arial" w:eastAsia="Times New Roman" w:hAnsi="Arial" w:cs="Arial"/>
          <w:sz w:val="20"/>
          <w:szCs w:val="20"/>
          <w:lang w:val="en-US" w:eastAsia="fr-FR"/>
        </w:rPr>
      </w:pPr>
    </w:p>
    <w:p w14:paraId="70DF204B" w14:textId="77777777" w:rsidR="00ED71BC" w:rsidRPr="009E4F74" w:rsidRDefault="00FE2D94"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roofErr w:type="gramStart"/>
      <w:r w:rsidRPr="009E4F74">
        <w:rPr>
          <w:rFonts w:ascii="Arial" w:eastAsia="Times New Roman" w:hAnsi="Arial" w:cs="Arial"/>
          <w:b/>
          <w:bCs/>
          <w:color w:val="000000"/>
          <w:sz w:val="20"/>
          <w:szCs w:val="20"/>
          <w:lang w:val="en-US" w:eastAsia="fr-FR"/>
        </w:rPr>
        <w:lastRenderedPageBreak/>
        <w:t>Q1</w:t>
      </w:r>
      <w:r w:rsidR="003C2325" w:rsidRPr="009E4F74">
        <w:rPr>
          <w:rFonts w:ascii="Arial" w:eastAsia="Times New Roman" w:hAnsi="Arial" w:cs="Arial"/>
          <w:b/>
          <w:bCs/>
          <w:color w:val="000000"/>
          <w:sz w:val="20"/>
          <w:szCs w:val="20"/>
          <w:lang w:val="en-US" w:eastAsia="fr-FR"/>
        </w:rPr>
        <w:t>9</w:t>
      </w:r>
      <w:proofErr w:type="gramEnd"/>
      <w:r w:rsidRPr="009E4F74">
        <w:rPr>
          <w:rFonts w:ascii="Arial" w:eastAsia="Times New Roman" w:hAnsi="Arial" w:cs="Arial"/>
          <w:b/>
          <w:bCs/>
          <w:color w:val="000000"/>
          <w:sz w:val="20"/>
          <w:szCs w:val="20"/>
          <w:lang w:val="en-US" w:eastAsia="fr-FR"/>
        </w:rPr>
        <w:tab/>
      </w:r>
      <w:r w:rsidR="00ED71BC" w:rsidRPr="009E4F74">
        <w:rPr>
          <w:rFonts w:ascii="Arial" w:eastAsia="Times New Roman" w:hAnsi="Arial" w:cs="Arial"/>
          <w:b/>
          <w:bCs/>
          <w:color w:val="000000"/>
          <w:sz w:val="20"/>
          <w:szCs w:val="20"/>
          <w:lang w:val="en-US" w:eastAsia="fr-FR"/>
        </w:rPr>
        <w:t>Do you agree on the guidance provided on record keeping? Please also state the reasons for your answer.</w:t>
      </w:r>
    </w:p>
    <w:p w14:paraId="3AE6DD60" w14:textId="5ABA93BB" w:rsidR="00ED71BC" w:rsidRPr="009E4F74" w:rsidRDefault="00ED71BC"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
    <w:p w14:paraId="42C244F9" w14:textId="03D24ABD" w:rsidR="00E34024" w:rsidRPr="009E4F74" w:rsidRDefault="00C54FCA" w:rsidP="00731FD9">
      <w:pPr>
        <w:autoSpaceDE w:val="0"/>
        <w:autoSpaceDN w:val="0"/>
        <w:adjustRightInd w:val="0"/>
        <w:spacing w:after="0" w:line="240" w:lineRule="atLeast"/>
        <w:jc w:val="both"/>
        <w:rPr>
          <w:rFonts w:ascii="Arial" w:eastAsia="Times New Roman" w:hAnsi="Arial" w:cs="Arial"/>
          <w:b/>
          <w:bCs/>
          <w:color w:val="000000"/>
          <w:sz w:val="20"/>
          <w:szCs w:val="20"/>
          <w:lang w:eastAsia="fr-FR"/>
        </w:rPr>
      </w:pPr>
      <w:bookmarkStart w:id="22" w:name="_Hlk101514141"/>
      <w:r w:rsidRPr="009E4F74">
        <w:rPr>
          <w:rFonts w:ascii="Arial" w:eastAsia="Times New Roman" w:hAnsi="Arial" w:cs="Arial"/>
          <w:sz w:val="20"/>
          <w:szCs w:val="20"/>
          <w:lang w:val="en-GB" w:eastAsia="fr-FR"/>
        </w:rPr>
        <w:t>Yes, we agree. Record keeping is mandatory on any investment service provided to allow investment firms to have efficient internal control framework and to be able to demonstrate that they comply with their regulatory obligations.</w:t>
      </w:r>
      <w:bookmarkEnd w:id="22"/>
    </w:p>
    <w:p w14:paraId="03BE5EF6" w14:textId="2B9C5E3F" w:rsidR="00E34024" w:rsidRPr="009E4F74" w:rsidRDefault="00E34024" w:rsidP="00731FD9">
      <w:pPr>
        <w:autoSpaceDE w:val="0"/>
        <w:autoSpaceDN w:val="0"/>
        <w:adjustRightInd w:val="0"/>
        <w:spacing w:after="0" w:line="240" w:lineRule="atLeast"/>
        <w:jc w:val="both"/>
        <w:rPr>
          <w:rFonts w:ascii="Arial" w:eastAsia="Times New Roman" w:hAnsi="Arial" w:cs="Arial"/>
          <w:b/>
          <w:bCs/>
          <w:color w:val="000000"/>
          <w:sz w:val="20"/>
          <w:szCs w:val="20"/>
          <w:lang w:eastAsia="fr-FR"/>
        </w:rPr>
      </w:pPr>
    </w:p>
    <w:p w14:paraId="28D85F6B" w14:textId="77777777" w:rsidR="00FC77D6" w:rsidRPr="009E4F74" w:rsidRDefault="00FC77D6" w:rsidP="00731FD9">
      <w:pPr>
        <w:autoSpaceDE w:val="0"/>
        <w:autoSpaceDN w:val="0"/>
        <w:adjustRightInd w:val="0"/>
        <w:spacing w:after="0" w:line="240" w:lineRule="atLeast"/>
        <w:jc w:val="both"/>
        <w:rPr>
          <w:rFonts w:ascii="Arial" w:eastAsia="Times New Roman" w:hAnsi="Arial" w:cs="Arial"/>
          <w:b/>
          <w:bCs/>
          <w:color w:val="000000"/>
          <w:sz w:val="20"/>
          <w:szCs w:val="20"/>
          <w:lang w:eastAsia="fr-FR"/>
        </w:rPr>
      </w:pPr>
    </w:p>
    <w:p w14:paraId="45C776BA" w14:textId="6B25CA6E" w:rsidR="00ED71BC" w:rsidRPr="009E4F74" w:rsidRDefault="00ED71BC" w:rsidP="00E72D4C">
      <w:pPr>
        <w:spacing w:after="0" w:line="240" w:lineRule="atLeast"/>
        <w:jc w:val="both"/>
        <w:rPr>
          <w:rFonts w:ascii="Arial" w:eastAsia="Times New Roman" w:hAnsi="Arial" w:cs="Arial"/>
          <w:b/>
          <w:color w:val="365F91" w:themeColor="accent1" w:themeShade="BF"/>
          <w:sz w:val="20"/>
          <w:szCs w:val="20"/>
          <w:u w:val="single"/>
          <w:lang w:val="en-GB" w:eastAsia="fr-FR"/>
        </w:rPr>
      </w:pPr>
      <w:r w:rsidRPr="009E4F74">
        <w:rPr>
          <w:rFonts w:ascii="Arial" w:eastAsia="Times New Roman" w:hAnsi="Arial" w:cs="Arial"/>
          <w:b/>
          <w:color w:val="365F91" w:themeColor="accent1" w:themeShade="BF"/>
          <w:sz w:val="20"/>
          <w:szCs w:val="20"/>
          <w:u w:val="single"/>
          <w:lang w:val="en-GB" w:eastAsia="fr-FR"/>
        </w:rPr>
        <w:t>Other changes to the guidelines</w:t>
      </w:r>
      <w:r w:rsidR="00E34024" w:rsidRPr="009E4F74">
        <w:rPr>
          <w:rFonts w:ascii="Arial" w:eastAsia="Times New Roman" w:hAnsi="Arial" w:cs="Arial"/>
          <w:b/>
          <w:color w:val="365F91" w:themeColor="accent1" w:themeShade="BF"/>
          <w:sz w:val="20"/>
          <w:szCs w:val="20"/>
          <w:u w:val="single"/>
          <w:lang w:val="en-GB" w:eastAsia="fr-FR"/>
        </w:rPr>
        <w:t>:</w:t>
      </w:r>
    </w:p>
    <w:p w14:paraId="1022A905" w14:textId="77777777" w:rsidR="00ED71BC" w:rsidRPr="009E4F74" w:rsidRDefault="00ED71BC"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
    <w:p w14:paraId="1A822D46" w14:textId="1CBAEA6D" w:rsidR="00FE2D94" w:rsidRPr="009E4F74" w:rsidRDefault="00ED71BC" w:rsidP="00731FD9">
      <w:pPr>
        <w:pStyle w:val="Paragraphedeliste"/>
        <w:numPr>
          <w:ilvl w:val="0"/>
          <w:numId w:val="17"/>
        </w:num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r w:rsidRPr="009E4F74">
        <w:rPr>
          <w:rFonts w:ascii="Arial" w:eastAsia="Times New Roman" w:hAnsi="Arial" w:cs="Arial"/>
          <w:b/>
          <w:bCs/>
          <w:color w:val="000000"/>
          <w:sz w:val="20"/>
          <w:szCs w:val="20"/>
          <w:lang w:val="en-US" w:eastAsia="fr-FR"/>
        </w:rPr>
        <w:t>Planned alignment with ESMA guidelines on appropriateness and execution only</w:t>
      </w:r>
    </w:p>
    <w:p w14:paraId="0F0F9FB6" w14:textId="7F5B2EBE" w:rsidR="00FE2D94" w:rsidRPr="009E4F74" w:rsidRDefault="00FE2D94" w:rsidP="00731FD9">
      <w:pPr>
        <w:autoSpaceDE w:val="0"/>
        <w:autoSpaceDN w:val="0"/>
        <w:adjustRightInd w:val="0"/>
        <w:spacing w:after="0" w:line="240" w:lineRule="atLeast"/>
        <w:jc w:val="both"/>
        <w:rPr>
          <w:rFonts w:ascii="Arial" w:eastAsia="Times New Roman" w:hAnsi="Arial" w:cs="Arial"/>
          <w:sz w:val="20"/>
          <w:szCs w:val="20"/>
          <w:lang w:val="en-US" w:eastAsia="fr-FR"/>
        </w:rPr>
      </w:pPr>
    </w:p>
    <w:p w14:paraId="681D2A21" w14:textId="7902F9BD" w:rsidR="00254D90" w:rsidRPr="009E4F74" w:rsidRDefault="00254D90"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r w:rsidRPr="009E4F74">
        <w:rPr>
          <w:rFonts w:ascii="Arial" w:eastAsia="Times New Roman" w:hAnsi="Arial" w:cs="Arial"/>
          <w:i/>
          <w:iCs/>
          <w:sz w:val="20"/>
          <w:szCs w:val="20"/>
          <w:lang w:val="en-US" w:eastAsia="fr-FR"/>
        </w:rPr>
        <w:t xml:space="preserve">When </w:t>
      </w:r>
      <w:r w:rsidR="009E4F74" w:rsidRPr="009E4F74">
        <w:rPr>
          <w:rFonts w:ascii="Arial" w:eastAsia="Times New Roman" w:hAnsi="Arial" w:cs="Arial"/>
          <w:i/>
          <w:iCs/>
          <w:sz w:val="20"/>
          <w:szCs w:val="20"/>
          <w:lang w:val="en-US" w:eastAsia="fr-FR"/>
        </w:rPr>
        <w:t>finalizing</w:t>
      </w:r>
      <w:r w:rsidRPr="009E4F74">
        <w:rPr>
          <w:rFonts w:ascii="Arial" w:eastAsia="Times New Roman" w:hAnsi="Arial" w:cs="Arial"/>
          <w:i/>
          <w:iCs/>
          <w:sz w:val="20"/>
          <w:szCs w:val="20"/>
          <w:lang w:val="en-US" w:eastAsia="fr-FR"/>
        </w:rPr>
        <w:t xml:space="preserve"> these guidelines on suitability, ESMA plans to align them with the text of its MIFID II guidelines on appropriateness and execution only</w:t>
      </w:r>
      <w:r w:rsidR="00881E4E" w:rsidRPr="009E4F74">
        <w:rPr>
          <w:rStyle w:val="Appelnotedebasdep"/>
          <w:rFonts w:eastAsia="Times New Roman" w:cs="Arial"/>
          <w:sz w:val="20"/>
          <w:szCs w:val="20"/>
          <w:lang w:val="en-US" w:eastAsia="fr-FR"/>
        </w:rPr>
        <w:footnoteReference w:id="7"/>
      </w:r>
      <w:r w:rsidRPr="009E4F74">
        <w:rPr>
          <w:rFonts w:ascii="Arial" w:eastAsia="Times New Roman" w:hAnsi="Arial" w:cs="Arial"/>
          <w:i/>
          <w:iCs/>
          <w:sz w:val="20"/>
          <w:szCs w:val="20"/>
          <w:lang w:val="en-US" w:eastAsia="fr-FR"/>
        </w:rPr>
        <w:t xml:space="preserve"> (currently being </w:t>
      </w:r>
      <w:r w:rsidR="009E4F74" w:rsidRPr="009E4F74">
        <w:rPr>
          <w:rFonts w:ascii="Arial" w:eastAsia="Times New Roman" w:hAnsi="Arial" w:cs="Arial"/>
          <w:i/>
          <w:iCs/>
          <w:sz w:val="20"/>
          <w:szCs w:val="20"/>
          <w:lang w:val="en-US" w:eastAsia="fr-FR"/>
        </w:rPr>
        <w:t>finalized</w:t>
      </w:r>
      <w:r w:rsidRPr="009E4F74">
        <w:rPr>
          <w:rFonts w:ascii="Arial" w:eastAsia="Times New Roman" w:hAnsi="Arial" w:cs="Arial"/>
          <w:i/>
          <w:iCs/>
          <w:sz w:val="20"/>
          <w:szCs w:val="20"/>
          <w:lang w:val="en-US" w:eastAsia="fr-FR"/>
        </w:rPr>
        <w:t xml:space="preserve"> by ESMA) where MiFID has common provisions for both the assessment of suitability and appropriateness</w:t>
      </w:r>
      <w:r w:rsidR="008A6499" w:rsidRPr="009E4F74">
        <w:rPr>
          <w:rStyle w:val="Appelnotedebasdep"/>
          <w:rFonts w:eastAsia="Times New Roman" w:cs="Arial"/>
          <w:i/>
          <w:iCs/>
          <w:sz w:val="20"/>
          <w:szCs w:val="20"/>
          <w:lang w:val="en-US" w:eastAsia="fr-FR"/>
        </w:rPr>
        <w:footnoteReference w:id="8"/>
      </w:r>
      <w:r w:rsidRPr="009E4F74">
        <w:rPr>
          <w:rFonts w:ascii="Arial" w:eastAsia="Times New Roman" w:hAnsi="Arial" w:cs="Arial"/>
          <w:i/>
          <w:iCs/>
          <w:sz w:val="20"/>
          <w:szCs w:val="20"/>
          <w:lang w:val="en-US" w:eastAsia="fr-FR"/>
        </w:rPr>
        <w:t>.</w:t>
      </w:r>
    </w:p>
    <w:p w14:paraId="4C43527D" w14:textId="77777777" w:rsidR="002E2B07" w:rsidRPr="009E4F74" w:rsidRDefault="002E2B07"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p>
    <w:p w14:paraId="3A719F3A" w14:textId="2BE9931B" w:rsidR="006D1027" w:rsidRPr="009E4F74" w:rsidRDefault="006D1027"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roofErr w:type="gramStart"/>
      <w:r w:rsidRPr="009E4F74">
        <w:rPr>
          <w:rFonts w:ascii="Arial" w:eastAsia="Times New Roman" w:hAnsi="Arial" w:cs="Arial"/>
          <w:b/>
          <w:bCs/>
          <w:color w:val="000000"/>
          <w:sz w:val="20"/>
          <w:szCs w:val="20"/>
          <w:lang w:val="en-US" w:eastAsia="fr-FR"/>
        </w:rPr>
        <w:t>Q20</w:t>
      </w:r>
      <w:proofErr w:type="gramEnd"/>
      <w:r w:rsidRPr="009E4F74">
        <w:rPr>
          <w:rFonts w:ascii="Arial" w:eastAsia="Times New Roman" w:hAnsi="Arial" w:cs="Arial"/>
          <w:b/>
          <w:bCs/>
          <w:color w:val="000000"/>
          <w:sz w:val="20"/>
          <w:szCs w:val="20"/>
          <w:lang w:val="en-US" w:eastAsia="fr-FR"/>
        </w:rPr>
        <w:tab/>
      </w:r>
      <w:r w:rsidR="00724DFB" w:rsidRPr="009E4F74">
        <w:rPr>
          <w:rFonts w:ascii="Arial" w:eastAsia="Times New Roman" w:hAnsi="Arial" w:cs="Arial"/>
          <w:b/>
          <w:bCs/>
          <w:color w:val="000000"/>
          <w:sz w:val="20"/>
          <w:szCs w:val="20"/>
          <w:lang w:val="en-US" w:eastAsia="fr-FR"/>
        </w:rPr>
        <w:t>Do you agree on the alignment of the two sets of guidelines (where common provisions exist for the assessment of suitability and appropriateness)? Please also state the reasons for your answer.</w:t>
      </w:r>
    </w:p>
    <w:p w14:paraId="3ABD4C33" w14:textId="77777777" w:rsidR="00724DFB" w:rsidRPr="009E4F74" w:rsidRDefault="00724DFB"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
    <w:p w14:paraId="79DFCA03" w14:textId="6BDC4C5C" w:rsidR="006D1027" w:rsidRPr="009E4F74" w:rsidRDefault="00C54FCA" w:rsidP="00731FD9">
      <w:pPr>
        <w:autoSpaceDE w:val="0"/>
        <w:autoSpaceDN w:val="0"/>
        <w:adjustRightInd w:val="0"/>
        <w:spacing w:after="0" w:line="240" w:lineRule="atLeast"/>
        <w:jc w:val="both"/>
        <w:rPr>
          <w:rFonts w:ascii="Arial" w:eastAsia="Times New Roman" w:hAnsi="Arial" w:cs="Arial"/>
          <w:sz w:val="20"/>
          <w:szCs w:val="20"/>
          <w:lang w:val="en-GB" w:eastAsia="fr-FR"/>
        </w:rPr>
      </w:pPr>
      <w:bookmarkStart w:id="23" w:name="_Hlk97200729"/>
      <w:r w:rsidRPr="009E4F74">
        <w:rPr>
          <w:rFonts w:ascii="Arial" w:eastAsia="Times New Roman" w:hAnsi="Arial" w:cs="Arial"/>
          <w:sz w:val="20"/>
          <w:szCs w:val="20"/>
          <w:lang w:val="en-GB" w:eastAsia="fr-FR"/>
        </w:rPr>
        <w:t xml:space="preserve">Yes, we agree. Assessment of knowledge and experience of client is a component of the suitability checks as of the appropriateness ones. While clients may require, and staff may provide, both types of services, it would be burdensome and difficult to understand for everybody that </w:t>
      </w:r>
      <w:proofErr w:type="spellStart"/>
      <w:r w:rsidRPr="009E4F74">
        <w:rPr>
          <w:rFonts w:ascii="Arial" w:eastAsia="Times New Roman" w:hAnsi="Arial" w:cs="Arial"/>
          <w:sz w:val="20"/>
          <w:szCs w:val="20"/>
          <w:lang w:val="en-GB" w:eastAsia="fr-FR"/>
        </w:rPr>
        <w:t>i</w:t>
      </w:r>
      <w:proofErr w:type="spellEnd"/>
      <w:r w:rsidRPr="009E4F74">
        <w:rPr>
          <w:rFonts w:ascii="Arial" w:eastAsia="Times New Roman" w:hAnsi="Arial" w:cs="Arial"/>
          <w:sz w:val="20"/>
          <w:szCs w:val="20"/>
          <w:lang w:val="en-GB" w:eastAsia="fr-FR"/>
        </w:rPr>
        <w:t>) the collection of information and/or ii) the assessment of the consistency of the products bought/sold with the level of knowledge and experience of the client is different from one situation to the other one.</w:t>
      </w:r>
      <w:r w:rsidR="00372BEA" w:rsidRPr="009E4F74">
        <w:rPr>
          <w:rFonts w:ascii="Arial" w:eastAsia="Times New Roman" w:hAnsi="Arial" w:cs="Arial"/>
          <w:sz w:val="20"/>
          <w:szCs w:val="20"/>
          <w:lang w:val="en-GB" w:eastAsia="fr-FR"/>
        </w:rPr>
        <w:t xml:space="preserve"> </w:t>
      </w:r>
      <w:bookmarkEnd w:id="23"/>
    </w:p>
    <w:p w14:paraId="0A4C6DCC" w14:textId="0B210EC2" w:rsidR="006D1027" w:rsidRPr="009E4F74" w:rsidRDefault="006D1027" w:rsidP="00731FD9">
      <w:pPr>
        <w:autoSpaceDE w:val="0"/>
        <w:autoSpaceDN w:val="0"/>
        <w:adjustRightInd w:val="0"/>
        <w:spacing w:after="0" w:line="240" w:lineRule="atLeast"/>
        <w:jc w:val="both"/>
        <w:rPr>
          <w:rFonts w:ascii="Arial" w:eastAsia="Times New Roman" w:hAnsi="Arial" w:cs="Arial"/>
          <w:sz w:val="20"/>
          <w:szCs w:val="20"/>
          <w:lang w:val="en-GB" w:eastAsia="fr-FR"/>
        </w:rPr>
      </w:pPr>
    </w:p>
    <w:p w14:paraId="0EB1A003" w14:textId="193EBE1D" w:rsidR="00724DFB" w:rsidRPr="009E4F74" w:rsidRDefault="00724DFB"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roofErr w:type="gramStart"/>
      <w:r w:rsidRPr="009E4F74">
        <w:rPr>
          <w:rFonts w:ascii="Arial" w:eastAsia="Times New Roman" w:hAnsi="Arial" w:cs="Arial"/>
          <w:b/>
          <w:bCs/>
          <w:color w:val="000000"/>
          <w:sz w:val="20"/>
          <w:szCs w:val="20"/>
          <w:lang w:val="en-US" w:eastAsia="fr-FR"/>
        </w:rPr>
        <w:t>Q21</w:t>
      </w:r>
      <w:proofErr w:type="gramEnd"/>
      <w:r w:rsidRPr="009E4F74">
        <w:rPr>
          <w:rFonts w:ascii="Arial" w:eastAsia="Times New Roman" w:hAnsi="Arial" w:cs="Arial"/>
          <w:b/>
          <w:bCs/>
          <w:color w:val="000000"/>
          <w:sz w:val="20"/>
          <w:szCs w:val="20"/>
          <w:lang w:val="en-US" w:eastAsia="fr-FR"/>
        </w:rPr>
        <w:tab/>
      </w:r>
      <w:r w:rsidR="003940B7" w:rsidRPr="009E4F74">
        <w:rPr>
          <w:rFonts w:ascii="Arial" w:eastAsia="Times New Roman" w:hAnsi="Arial" w:cs="Arial"/>
          <w:b/>
          <w:bCs/>
          <w:color w:val="000000"/>
          <w:sz w:val="20"/>
          <w:szCs w:val="20"/>
          <w:lang w:val="en-US" w:eastAsia="fr-FR"/>
        </w:rPr>
        <w:t>Do you have any further comment or input on the draft guidelines?</w:t>
      </w:r>
    </w:p>
    <w:p w14:paraId="17100DD1" w14:textId="77777777" w:rsidR="003940B7" w:rsidRPr="009E4F74" w:rsidRDefault="003940B7" w:rsidP="00731FD9">
      <w:pPr>
        <w:autoSpaceDE w:val="0"/>
        <w:autoSpaceDN w:val="0"/>
        <w:adjustRightInd w:val="0"/>
        <w:spacing w:after="0" w:line="240" w:lineRule="atLeast"/>
        <w:jc w:val="both"/>
        <w:rPr>
          <w:rFonts w:ascii="Arial" w:eastAsia="Times New Roman" w:hAnsi="Arial" w:cs="Arial"/>
          <w:sz w:val="20"/>
          <w:szCs w:val="20"/>
          <w:lang w:val="en-US" w:eastAsia="fr-FR"/>
        </w:rPr>
      </w:pPr>
    </w:p>
    <w:p w14:paraId="656ED551" w14:textId="25DFA75D" w:rsidR="00FE2D94" w:rsidRPr="009E4F74" w:rsidRDefault="00E67976" w:rsidP="00731FD9">
      <w:pPr>
        <w:autoSpaceDE w:val="0"/>
        <w:autoSpaceDN w:val="0"/>
        <w:adjustRightInd w:val="0"/>
        <w:spacing w:after="0" w:line="240" w:lineRule="atLeast"/>
        <w:jc w:val="both"/>
        <w:rPr>
          <w:rFonts w:ascii="Arial" w:hAnsi="Arial" w:cs="Arial"/>
          <w:color w:val="000000"/>
          <w:sz w:val="20"/>
          <w:szCs w:val="20"/>
          <w:lang w:val="en-GB"/>
        </w:rPr>
      </w:pPr>
      <w:r w:rsidRPr="009E4F74">
        <w:rPr>
          <w:rFonts w:ascii="Arial" w:hAnsi="Arial" w:cs="Arial"/>
          <w:color w:val="000000"/>
          <w:sz w:val="20"/>
          <w:szCs w:val="20"/>
          <w:lang w:val="en-GB"/>
        </w:rPr>
        <w:t>FBF</w:t>
      </w:r>
      <w:r w:rsidR="00C818E9" w:rsidRPr="009E4F74">
        <w:rPr>
          <w:rFonts w:ascii="Arial" w:hAnsi="Arial" w:cs="Arial"/>
          <w:color w:val="000000"/>
          <w:sz w:val="20"/>
          <w:szCs w:val="20"/>
          <w:lang w:val="en-GB"/>
        </w:rPr>
        <w:t xml:space="preserve"> regrets the deletion of § 7 and 8 </w:t>
      </w:r>
      <w:r w:rsidR="00E94FCB" w:rsidRPr="009E4F74">
        <w:rPr>
          <w:rFonts w:ascii="Arial" w:hAnsi="Arial" w:cs="Arial"/>
          <w:color w:val="000000"/>
          <w:sz w:val="20"/>
          <w:szCs w:val="20"/>
          <w:lang w:val="en-GB"/>
        </w:rPr>
        <w:t xml:space="preserve">in the Introduction </w:t>
      </w:r>
      <w:r w:rsidR="00C818E9" w:rsidRPr="009E4F74">
        <w:rPr>
          <w:rFonts w:ascii="Arial" w:hAnsi="Arial" w:cs="Arial"/>
          <w:color w:val="000000"/>
          <w:sz w:val="20"/>
          <w:szCs w:val="20"/>
          <w:lang w:val="en-GB"/>
        </w:rPr>
        <w:t xml:space="preserve">of the </w:t>
      </w:r>
      <w:r w:rsidR="00967AD1" w:rsidRPr="009E4F74">
        <w:rPr>
          <w:rFonts w:ascii="Arial" w:eastAsia="Times New Roman" w:hAnsi="Arial" w:cs="Arial"/>
          <w:sz w:val="20"/>
          <w:szCs w:val="20"/>
          <w:lang w:val="en-GB" w:eastAsia="fr-FR"/>
        </w:rPr>
        <w:t xml:space="preserve">2018 </w:t>
      </w:r>
      <w:r w:rsidR="002D688D" w:rsidRPr="009E4F74">
        <w:rPr>
          <w:rFonts w:ascii="Arial" w:eastAsia="Times New Roman" w:hAnsi="Arial" w:cs="Arial"/>
          <w:sz w:val="20"/>
          <w:szCs w:val="20"/>
          <w:lang w:val="en-GB" w:eastAsia="fr-FR"/>
        </w:rPr>
        <w:t xml:space="preserve">ESMA </w:t>
      </w:r>
      <w:r w:rsidR="002D688D" w:rsidRPr="009E4F74">
        <w:rPr>
          <w:rFonts w:ascii="Arial" w:hAnsi="Arial" w:cs="Arial"/>
          <w:color w:val="000000"/>
          <w:sz w:val="20"/>
          <w:szCs w:val="20"/>
          <w:lang w:val="en-GB"/>
        </w:rPr>
        <w:t>guidelines</w:t>
      </w:r>
      <w:r w:rsidR="00C818E9" w:rsidRPr="009E4F74">
        <w:rPr>
          <w:rFonts w:ascii="Arial" w:hAnsi="Arial" w:cs="Arial"/>
          <w:color w:val="000000"/>
          <w:sz w:val="20"/>
          <w:szCs w:val="20"/>
          <w:lang w:val="en-GB"/>
        </w:rPr>
        <w:t xml:space="preserve"> and </w:t>
      </w:r>
      <w:r w:rsidR="0016501A" w:rsidRPr="009E4F74">
        <w:rPr>
          <w:rFonts w:ascii="Arial" w:hAnsi="Arial" w:cs="Arial"/>
          <w:color w:val="000000"/>
          <w:sz w:val="20"/>
          <w:szCs w:val="20"/>
          <w:lang w:val="en-GB"/>
        </w:rPr>
        <w:t xml:space="preserve">wishes to </w:t>
      </w:r>
      <w:r w:rsidR="00C818E9" w:rsidRPr="009E4F74">
        <w:rPr>
          <w:rFonts w:ascii="Arial" w:hAnsi="Arial" w:cs="Arial"/>
          <w:color w:val="000000"/>
          <w:sz w:val="20"/>
          <w:szCs w:val="20"/>
          <w:lang w:val="en-GB"/>
        </w:rPr>
        <w:t>suggest</w:t>
      </w:r>
      <w:r w:rsidR="0016501A" w:rsidRPr="009E4F74">
        <w:rPr>
          <w:rFonts w:ascii="Arial" w:hAnsi="Arial" w:cs="Arial"/>
          <w:color w:val="000000"/>
          <w:sz w:val="20"/>
          <w:szCs w:val="20"/>
          <w:lang w:val="en-GB"/>
        </w:rPr>
        <w:t xml:space="preserve"> to ESMA to</w:t>
      </w:r>
      <w:r w:rsidR="00C818E9" w:rsidRPr="009E4F74">
        <w:rPr>
          <w:rFonts w:ascii="Arial" w:hAnsi="Arial" w:cs="Arial"/>
          <w:color w:val="000000"/>
          <w:sz w:val="20"/>
          <w:szCs w:val="20"/>
          <w:lang w:val="en-GB"/>
        </w:rPr>
        <w:t xml:space="preserve"> </w:t>
      </w:r>
      <w:r w:rsidR="00A26286" w:rsidRPr="009E4F74">
        <w:rPr>
          <w:rFonts w:ascii="Arial" w:hAnsi="Arial" w:cs="Arial"/>
          <w:color w:val="000000"/>
          <w:sz w:val="20"/>
          <w:szCs w:val="20"/>
          <w:lang w:val="en-GB"/>
        </w:rPr>
        <w:t>reintroduc</w:t>
      </w:r>
      <w:r w:rsidR="0016501A" w:rsidRPr="009E4F74">
        <w:rPr>
          <w:rFonts w:ascii="Arial" w:hAnsi="Arial" w:cs="Arial"/>
          <w:color w:val="000000"/>
          <w:sz w:val="20"/>
          <w:szCs w:val="20"/>
          <w:lang w:val="en-GB"/>
        </w:rPr>
        <w:t>e</w:t>
      </w:r>
      <w:r w:rsidR="00C818E9" w:rsidRPr="009E4F74">
        <w:rPr>
          <w:rFonts w:ascii="Arial" w:hAnsi="Arial" w:cs="Arial"/>
          <w:color w:val="000000"/>
          <w:sz w:val="20"/>
          <w:szCs w:val="20"/>
          <w:lang w:val="en-GB"/>
        </w:rPr>
        <w:t xml:space="preserve"> them</w:t>
      </w:r>
      <w:r w:rsidR="00FC225C" w:rsidRPr="009E4F74">
        <w:rPr>
          <w:rFonts w:ascii="Arial" w:hAnsi="Arial" w:cs="Arial"/>
          <w:color w:val="000000"/>
          <w:sz w:val="20"/>
          <w:szCs w:val="20"/>
          <w:lang w:val="en-GB"/>
        </w:rPr>
        <w:t xml:space="preserve"> (and more especially § 8</w:t>
      </w:r>
      <w:r w:rsidR="001A3C40" w:rsidRPr="009E4F74">
        <w:rPr>
          <w:rStyle w:val="Appelnotedebasdep"/>
          <w:rFonts w:cs="Arial"/>
          <w:color w:val="000000"/>
          <w:sz w:val="20"/>
          <w:szCs w:val="20"/>
          <w:lang w:val="en-GB"/>
        </w:rPr>
        <w:footnoteReference w:id="9"/>
      </w:r>
      <w:r w:rsidR="00A17964" w:rsidRPr="009E4F74">
        <w:rPr>
          <w:rFonts w:ascii="Arial" w:hAnsi="Arial" w:cs="Arial"/>
          <w:color w:val="000000"/>
          <w:sz w:val="20"/>
          <w:szCs w:val="20"/>
          <w:lang w:val="en-GB"/>
        </w:rPr>
        <w:t>)</w:t>
      </w:r>
      <w:r w:rsidR="00E94FCB" w:rsidRPr="009E4F74">
        <w:rPr>
          <w:rFonts w:ascii="Arial" w:hAnsi="Arial" w:cs="Arial"/>
          <w:color w:val="000000"/>
          <w:sz w:val="20"/>
          <w:szCs w:val="20"/>
          <w:lang w:val="en-GB"/>
        </w:rPr>
        <w:t xml:space="preserve"> at the end of the proposed</w:t>
      </w:r>
      <w:r w:rsidR="00FE2DDC" w:rsidRPr="009E4F74">
        <w:rPr>
          <w:rFonts w:ascii="Arial" w:hAnsi="Arial" w:cs="Arial"/>
          <w:color w:val="000000"/>
          <w:sz w:val="20"/>
          <w:szCs w:val="20"/>
          <w:lang w:val="en-GB"/>
        </w:rPr>
        <w:t xml:space="preserve"> Section II “Legislative references, abbreviations and definitions” of the Introduction of the Draft guidelines</w:t>
      </w:r>
      <w:r w:rsidR="00C818E9" w:rsidRPr="009E4F74">
        <w:rPr>
          <w:rFonts w:ascii="Arial" w:hAnsi="Arial" w:cs="Arial"/>
          <w:color w:val="000000"/>
          <w:sz w:val="20"/>
          <w:szCs w:val="20"/>
          <w:lang w:val="en-GB"/>
        </w:rPr>
        <w:t>.</w:t>
      </w:r>
    </w:p>
    <w:p w14:paraId="605682B9" w14:textId="77777777" w:rsidR="00B62F46" w:rsidRPr="009E4F74" w:rsidRDefault="00B62F46" w:rsidP="00B62F46">
      <w:pPr>
        <w:autoSpaceDE w:val="0"/>
        <w:autoSpaceDN w:val="0"/>
        <w:adjustRightInd w:val="0"/>
        <w:spacing w:after="0" w:line="240" w:lineRule="atLeast"/>
        <w:jc w:val="both"/>
        <w:rPr>
          <w:rFonts w:ascii="Arial" w:hAnsi="Arial" w:cs="Arial"/>
          <w:color w:val="000000"/>
          <w:sz w:val="20"/>
          <w:szCs w:val="20"/>
          <w:lang w:val="en-GB"/>
        </w:rPr>
      </w:pPr>
      <w:r w:rsidRPr="009E4F74">
        <w:rPr>
          <w:rFonts w:ascii="Arial" w:hAnsi="Arial" w:cs="Arial"/>
          <w:color w:val="000000"/>
          <w:sz w:val="20"/>
          <w:szCs w:val="20"/>
          <w:lang w:val="en-GB"/>
        </w:rPr>
        <w:t>Ongoing advice:</w:t>
      </w:r>
    </w:p>
    <w:p w14:paraId="71E1D92F" w14:textId="73317AAB" w:rsidR="00B62F46" w:rsidRPr="009E4F74" w:rsidRDefault="00B62F46" w:rsidP="00B62F46">
      <w:pPr>
        <w:autoSpaceDE w:val="0"/>
        <w:autoSpaceDN w:val="0"/>
        <w:adjustRightInd w:val="0"/>
        <w:spacing w:after="0" w:line="240" w:lineRule="atLeast"/>
        <w:jc w:val="both"/>
        <w:rPr>
          <w:rFonts w:ascii="Arial" w:hAnsi="Arial" w:cs="Arial"/>
          <w:i/>
          <w:iCs/>
          <w:color w:val="000000"/>
          <w:sz w:val="20"/>
          <w:szCs w:val="20"/>
          <w:lang w:val="en-GB"/>
        </w:rPr>
      </w:pPr>
      <w:r w:rsidRPr="009E4F74">
        <w:rPr>
          <w:rFonts w:ascii="Arial" w:hAnsi="Arial" w:cs="Arial"/>
          <w:color w:val="000000"/>
          <w:sz w:val="20"/>
          <w:szCs w:val="20"/>
          <w:lang w:val="en-GB"/>
        </w:rPr>
        <w:t>We consider that</w:t>
      </w:r>
      <w:r w:rsidR="00372BEA" w:rsidRPr="009E4F74">
        <w:rPr>
          <w:rFonts w:ascii="Arial" w:hAnsi="Arial" w:cs="Arial"/>
          <w:color w:val="000000"/>
          <w:sz w:val="20"/>
          <w:szCs w:val="20"/>
          <w:lang w:val="en-GB"/>
        </w:rPr>
        <w:t xml:space="preserve"> </w:t>
      </w:r>
      <w:r w:rsidRPr="009E4F74">
        <w:rPr>
          <w:rFonts w:ascii="Arial" w:hAnsi="Arial" w:cs="Arial"/>
          <w:color w:val="000000"/>
          <w:sz w:val="20"/>
          <w:szCs w:val="20"/>
          <w:lang w:val="en-GB"/>
        </w:rPr>
        <w:t>the §</w:t>
      </w:r>
      <w:proofErr w:type="gramStart"/>
      <w:r w:rsidRPr="009E4F74">
        <w:rPr>
          <w:rFonts w:ascii="Arial" w:hAnsi="Arial" w:cs="Arial"/>
          <w:color w:val="000000"/>
          <w:sz w:val="20"/>
          <w:szCs w:val="20"/>
          <w:lang w:val="en-GB"/>
        </w:rPr>
        <w:t>6.f.</w:t>
      </w:r>
      <w:proofErr w:type="gramEnd"/>
      <w:r w:rsidRPr="009E4F74">
        <w:rPr>
          <w:rFonts w:ascii="Arial" w:hAnsi="Arial" w:cs="Arial"/>
          <w:color w:val="000000"/>
          <w:sz w:val="20"/>
          <w:szCs w:val="20"/>
          <w:lang w:val="en-GB"/>
        </w:rPr>
        <w:t xml:space="preserve"> of the “</w:t>
      </w:r>
      <w:r w:rsidRPr="009E4F74">
        <w:rPr>
          <w:rFonts w:ascii="Arial" w:hAnsi="Arial" w:cs="Arial"/>
          <w:i/>
          <w:iCs/>
          <w:color w:val="000000"/>
          <w:sz w:val="20"/>
          <w:szCs w:val="20"/>
          <w:lang w:val="en-GB"/>
        </w:rPr>
        <w:t>in paragraph 13 a new subparagraph is added</w:t>
      </w:r>
    </w:p>
    <w:p w14:paraId="0055C216" w14:textId="148D7D62" w:rsidR="00B62F46" w:rsidRPr="009E4F74" w:rsidRDefault="00B62F46" w:rsidP="00B62F46">
      <w:pPr>
        <w:autoSpaceDE w:val="0"/>
        <w:autoSpaceDN w:val="0"/>
        <w:adjustRightInd w:val="0"/>
        <w:spacing w:after="0" w:line="240" w:lineRule="atLeast"/>
        <w:jc w:val="both"/>
        <w:rPr>
          <w:rFonts w:ascii="Arial" w:hAnsi="Arial" w:cs="Arial"/>
          <w:color w:val="000000"/>
          <w:sz w:val="20"/>
          <w:szCs w:val="20"/>
          <w:lang w:val="en-GB"/>
        </w:rPr>
      </w:pPr>
      <w:r w:rsidRPr="009E4F74">
        <w:rPr>
          <w:rFonts w:ascii="Arial" w:hAnsi="Arial" w:cs="Arial"/>
          <w:i/>
          <w:iCs/>
          <w:color w:val="000000"/>
          <w:sz w:val="20"/>
          <w:szCs w:val="20"/>
          <w:lang w:val="en-GB"/>
        </w:rPr>
        <w:t>‘The requirements to meet the sustainability preferences of clients or potential clients, where relevant, shall not alter the conditions laid down in the first subparagraph.’</w:t>
      </w:r>
      <w:r w:rsidRPr="009E4F74">
        <w:rPr>
          <w:rFonts w:ascii="Arial" w:hAnsi="Arial" w:cs="Arial"/>
          <w:color w:val="000000"/>
          <w:sz w:val="20"/>
          <w:szCs w:val="20"/>
          <w:lang w:val="en-GB"/>
        </w:rPr>
        <w:t>”</w:t>
      </w:r>
      <w:r w:rsidR="00D726A2" w:rsidRPr="009E4F74">
        <w:rPr>
          <w:rFonts w:ascii="Arial" w:hAnsi="Arial" w:cs="Arial"/>
          <w:color w:val="000000"/>
          <w:sz w:val="20"/>
          <w:szCs w:val="20"/>
          <w:lang w:val="en-GB"/>
        </w:rPr>
        <w:t xml:space="preserve"> should be taken into </w:t>
      </w:r>
      <w:r w:rsidR="009E4F74" w:rsidRPr="009E4F74">
        <w:rPr>
          <w:rFonts w:ascii="Arial" w:hAnsi="Arial" w:cs="Arial"/>
          <w:color w:val="000000"/>
          <w:sz w:val="20"/>
          <w:szCs w:val="20"/>
          <w:lang w:val="en-GB"/>
        </w:rPr>
        <w:t>consideration</w:t>
      </w:r>
      <w:r w:rsidR="00D726A2" w:rsidRPr="009E4F74">
        <w:rPr>
          <w:rFonts w:ascii="Arial" w:hAnsi="Arial" w:cs="Arial"/>
          <w:color w:val="000000"/>
          <w:sz w:val="20"/>
          <w:szCs w:val="20"/>
          <w:lang w:val="en-GB"/>
        </w:rPr>
        <w:t xml:space="preserve"> in the guidelines</w:t>
      </w:r>
      <w:r w:rsidRPr="009E4F74">
        <w:rPr>
          <w:rFonts w:ascii="Arial" w:hAnsi="Arial" w:cs="Arial"/>
          <w:color w:val="000000"/>
          <w:sz w:val="20"/>
          <w:szCs w:val="20"/>
          <w:lang w:val="en-GB"/>
        </w:rPr>
        <w:t>.</w:t>
      </w:r>
    </w:p>
    <w:p w14:paraId="75036995" w14:textId="31ACB8D5" w:rsidR="00B62F46" w:rsidRPr="009E4F74" w:rsidRDefault="00B62F46" w:rsidP="00B62F46">
      <w:pPr>
        <w:autoSpaceDE w:val="0"/>
        <w:autoSpaceDN w:val="0"/>
        <w:adjustRightInd w:val="0"/>
        <w:spacing w:after="0" w:line="240" w:lineRule="atLeast"/>
        <w:jc w:val="both"/>
        <w:rPr>
          <w:rFonts w:ascii="Arial" w:hAnsi="Arial" w:cs="Arial"/>
          <w:color w:val="000000"/>
          <w:sz w:val="20"/>
          <w:szCs w:val="20"/>
          <w:lang w:val="en-GB"/>
        </w:rPr>
      </w:pPr>
      <w:r w:rsidRPr="009E4F74">
        <w:rPr>
          <w:rFonts w:ascii="Arial" w:hAnsi="Arial" w:cs="Arial"/>
          <w:color w:val="000000"/>
          <w:sz w:val="20"/>
          <w:szCs w:val="20"/>
          <w:lang w:val="en-GB"/>
        </w:rPr>
        <w:t xml:space="preserve">Our </w:t>
      </w:r>
      <w:r w:rsidR="00D726A2" w:rsidRPr="009E4F74">
        <w:rPr>
          <w:rFonts w:ascii="Arial" w:hAnsi="Arial" w:cs="Arial"/>
          <w:color w:val="000000"/>
          <w:sz w:val="20"/>
          <w:szCs w:val="20"/>
          <w:lang w:val="en-GB"/>
        </w:rPr>
        <w:t>point of view</w:t>
      </w:r>
      <w:r w:rsidRPr="009E4F74">
        <w:rPr>
          <w:rFonts w:ascii="Arial" w:hAnsi="Arial" w:cs="Arial"/>
          <w:color w:val="000000"/>
          <w:sz w:val="20"/>
          <w:szCs w:val="20"/>
          <w:lang w:val="en-GB"/>
        </w:rPr>
        <w:t xml:space="preserve"> is that</w:t>
      </w:r>
      <w:r w:rsidR="00D726A2" w:rsidRPr="009E4F74">
        <w:rPr>
          <w:rFonts w:ascii="Arial" w:hAnsi="Arial" w:cs="Arial"/>
          <w:color w:val="000000"/>
          <w:sz w:val="20"/>
          <w:szCs w:val="20"/>
          <w:lang w:val="en-GB"/>
        </w:rPr>
        <w:t xml:space="preserve"> </w:t>
      </w:r>
      <w:r w:rsidRPr="009E4F74">
        <w:rPr>
          <w:rFonts w:ascii="Arial" w:hAnsi="Arial" w:cs="Arial"/>
          <w:color w:val="000000"/>
          <w:sz w:val="20"/>
          <w:szCs w:val="20"/>
          <w:lang w:val="en-GB"/>
        </w:rPr>
        <w:t xml:space="preserve">neither the first expression of its sustainability preferences by an existing client, nor after this first expression the regular review of the recommendations provided; should lead to </w:t>
      </w:r>
      <w:proofErr w:type="gramStart"/>
      <w:r w:rsidRPr="009E4F74">
        <w:rPr>
          <w:rFonts w:ascii="Arial" w:hAnsi="Arial" w:cs="Arial"/>
          <w:color w:val="000000"/>
          <w:sz w:val="20"/>
          <w:szCs w:val="20"/>
          <w:lang w:val="en-GB"/>
        </w:rPr>
        <w:t>advise</w:t>
      </w:r>
      <w:proofErr w:type="gramEnd"/>
      <w:r w:rsidRPr="009E4F74">
        <w:rPr>
          <w:rFonts w:ascii="Arial" w:hAnsi="Arial" w:cs="Arial"/>
          <w:color w:val="000000"/>
          <w:sz w:val="20"/>
          <w:szCs w:val="20"/>
          <w:lang w:val="en-GB"/>
        </w:rPr>
        <w:t xml:space="preserve"> a full immediate alignment of his portfolio with</w:t>
      </w:r>
      <w:r w:rsidR="00372BEA" w:rsidRPr="009E4F74">
        <w:rPr>
          <w:rFonts w:ascii="Arial" w:hAnsi="Arial" w:cs="Arial"/>
          <w:color w:val="000000"/>
          <w:sz w:val="20"/>
          <w:szCs w:val="20"/>
          <w:lang w:val="en-GB"/>
        </w:rPr>
        <w:t xml:space="preserve"> </w:t>
      </w:r>
      <w:r w:rsidRPr="009E4F74">
        <w:rPr>
          <w:rFonts w:ascii="Arial" w:hAnsi="Arial" w:cs="Arial"/>
          <w:color w:val="000000"/>
          <w:sz w:val="20"/>
          <w:szCs w:val="20"/>
          <w:lang w:val="en-GB"/>
        </w:rPr>
        <w:t>his sustainability preferences, as such an advice may be hugely expensive for the client.</w:t>
      </w:r>
    </w:p>
    <w:p w14:paraId="1EF65DB0" w14:textId="446428A8" w:rsidR="00B62F46" w:rsidRPr="009E4F74" w:rsidRDefault="00D726A2" w:rsidP="00B62F46">
      <w:pPr>
        <w:autoSpaceDE w:val="0"/>
        <w:autoSpaceDN w:val="0"/>
        <w:adjustRightInd w:val="0"/>
        <w:spacing w:after="0" w:line="240" w:lineRule="atLeast"/>
        <w:jc w:val="both"/>
        <w:rPr>
          <w:rFonts w:ascii="Arial" w:hAnsi="Arial" w:cs="Arial"/>
          <w:color w:val="000000"/>
          <w:sz w:val="20"/>
          <w:szCs w:val="20"/>
          <w:lang w:val="en-GB"/>
        </w:rPr>
      </w:pPr>
      <w:r w:rsidRPr="009E4F74">
        <w:rPr>
          <w:rFonts w:ascii="Arial" w:hAnsi="Arial" w:cs="Arial"/>
          <w:color w:val="000000"/>
          <w:sz w:val="20"/>
          <w:szCs w:val="20"/>
          <w:lang w:val="en-GB"/>
        </w:rPr>
        <w:t>T</w:t>
      </w:r>
      <w:r w:rsidR="00B62F46" w:rsidRPr="009E4F74">
        <w:rPr>
          <w:rFonts w:ascii="Arial" w:hAnsi="Arial" w:cs="Arial"/>
          <w:color w:val="000000"/>
          <w:sz w:val="20"/>
          <w:szCs w:val="20"/>
          <w:lang w:val="en-GB"/>
        </w:rPr>
        <w:t>his paragraph</w:t>
      </w:r>
      <w:r w:rsidRPr="009E4F74">
        <w:rPr>
          <w:rFonts w:ascii="Arial" w:hAnsi="Arial" w:cs="Arial"/>
          <w:color w:val="000000"/>
          <w:sz w:val="20"/>
          <w:szCs w:val="20"/>
          <w:lang w:val="en-GB"/>
        </w:rPr>
        <w:t xml:space="preserve"> shall</w:t>
      </w:r>
      <w:r w:rsidR="00B62F46" w:rsidRPr="009E4F74">
        <w:rPr>
          <w:rFonts w:ascii="Arial" w:hAnsi="Arial" w:cs="Arial"/>
          <w:color w:val="000000"/>
          <w:sz w:val="20"/>
          <w:szCs w:val="20"/>
          <w:lang w:val="en-GB"/>
        </w:rPr>
        <w:t xml:space="preserve"> allow for a progressive alignment of the client’s portfolio with his sustainability preferences, taking into consideration the other element of the suitability assessment and the cost of the proposed alignment.</w:t>
      </w:r>
    </w:p>
    <w:p w14:paraId="6C74E1A8" w14:textId="4501DBCD" w:rsidR="00B62F46" w:rsidRPr="009E4F74" w:rsidRDefault="00B62F46" w:rsidP="00B62F46">
      <w:pPr>
        <w:autoSpaceDE w:val="0"/>
        <w:autoSpaceDN w:val="0"/>
        <w:adjustRightInd w:val="0"/>
        <w:spacing w:after="0" w:line="240" w:lineRule="atLeast"/>
        <w:jc w:val="both"/>
        <w:rPr>
          <w:rFonts w:ascii="Arial" w:hAnsi="Arial" w:cs="Arial"/>
          <w:color w:val="000000"/>
          <w:sz w:val="20"/>
          <w:szCs w:val="20"/>
          <w:lang w:val="en-GB"/>
        </w:rPr>
      </w:pPr>
      <w:r w:rsidRPr="009E4F74">
        <w:rPr>
          <w:rFonts w:ascii="Arial" w:hAnsi="Arial" w:cs="Arial"/>
          <w:color w:val="000000"/>
          <w:sz w:val="20"/>
          <w:szCs w:val="20"/>
          <w:lang w:val="en-GB"/>
        </w:rPr>
        <w:t>We would like ESMA’s to</w:t>
      </w:r>
      <w:r w:rsidR="00D726A2" w:rsidRPr="009E4F74">
        <w:rPr>
          <w:rFonts w:ascii="Arial" w:hAnsi="Arial" w:cs="Arial"/>
          <w:color w:val="000000"/>
          <w:sz w:val="20"/>
          <w:szCs w:val="20"/>
          <w:lang w:val="en-GB"/>
        </w:rPr>
        <w:t xml:space="preserve"> include in the guidelines these clarifications.</w:t>
      </w:r>
    </w:p>
    <w:p w14:paraId="77B733D1" w14:textId="67EEA059" w:rsidR="00755C6A" w:rsidRPr="00604D97" w:rsidRDefault="00755C6A" w:rsidP="00731FD9">
      <w:pPr>
        <w:spacing w:after="0" w:line="240" w:lineRule="atLeast"/>
        <w:contextualSpacing/>
        <w:jc w:val="both"/>
        <w:rPr>
          <w:rFonts w:ascii="Arial" w:eastAsia="Times New Roman" w:hAnsi="Arial" w:cs="Arial"/>
          <w:sz w:val="20"/>
          <w:szCs w:val="20"/>
          <w:lang w:val="en-GB" w:eastAsia="fr-FR"/>
        </w:rPr>
      </w:pPr>
    </w:p>
    <w:p w14:paraId="488A61B4" w14:textId="77777777" w:rsidR="00254A2A" w:rsidRPr="00604D97" w:rsidRDefault="00254A2A" w:rsidP="00731FD9">
      <w:pPr>
        <w:spacing w:after="0" w:line="240" w:lineRule="atLeast"/>
        <w:contextualSpacing/>
        <w:jc w:val="both"/>
        <w:rPr>
          <w:rFonts w:ascii="Arial" w:eastAsia="Times New Roman" w:hAnsi="Arial" w:cs="Arial"/>
          <w:sz w:val="20"/>
          <w:szCs w:val="20"/>
          <w:lang w:val="en-GB" w:eastAsia="fr-FR"/>
        </w:rPr>
      </w:pPr>
    </w:p>
    <w:p w14:paraId="5AFE7CC9" w14:textId="237EE8BD" w:rsidR="003940B7" w:rsidRPr="00604D97" w:rsidRDefault="003940B7" w:rsidP="00731FD9">
      <w:pPr>
        <w:pStyle w:val="Paragraphedeliste"/>
        <w:numPr>
          <w:ilvl w:val="0"/>
          <w:numId w:val="17"/>
        </w:num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r w:rsidRPr="00604D97">
        <w:rPr>
          <w:rFonts w:ascii="Arial" w:eastAsia="Times New Roman" w:hAnsi="Arial" w:cs="Arial"/>
          <w:b/>
          <w:bCs/>
          <w:color w:val="000000"/>
          <w:sz w:val="20"/>
          <w:szCs w:val="20"/>
          <w:lang w:val="en-US" w:eastAsia="fr-FR"/>
        </w:rPr>
        <w:t>Good and bad practices</w:t>
      </w:r>
    </w:p>
    <w:p w14:paraId="70060C46" w14:textId="77777777" w:rsidR="003940B7" w:rsidRPr="00604D97" w:rsidRDefault="003940B7" w:rsidP="00731FD9">
      <w:pPr>
        <w:autoSpaceDE w:val="0"/>
        <w:autoSpaceDN w:val="0"/>
        <w:adjustRightInd w:val="0"/>
        <w:spacing w:after="0" w:line="240" w:lineRule="atLeast"/>
        <w:jc w:val="both"/>
        <w:rPr>
          <w:rFonts w:ascii="Arial" w:eastAsia="Times New Roman" w:hAnsi="Arial" w:cs="Arial"/>
          <w:sz w:val="20"/>
          <w:szCs w:val="20"/>
          <w:lang w:val="en-US" w:eastAsia="fr-FR"/>
        </w:rPr>
      </w:pPr>
    </w:p>
    <w:p w14:paraId="1CD792CB" w14:textId="77777777" w:rsidR="00314903" w:rsidRPr="00604D97" w:rsidRDefault="00314903"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r w:rsidRPr="00604D97">
        <w:rPr>
          <w:rFonts w:ascii="Arial" w:eastAsia="Times New Roman" w:hAnsi="Arial" w:cs="Arial"/>
          <w:i/>
          <w:iCs/>
          <w:sz w:val="20"/>
          <w:szCs w:val="20"/>
          <w:lang w:val="en-US" w:eastAsia="fr-FR"/>
        </w:rPr>
        <w:lastRenderedPageBreak/>
        <w:t>In February 2020 ESMA announced on its website the launch of a common supervisory action (CSA) with national competent authorities (NCAs) on the application of MiFID II suitability rules across the European Union (EU).</w:t>
      </w:r>
    </w:p>
    <w:p w14:paraId="152724BB" w14:textId="77777777" w:rsidR="00314903" w:rsidRPr="00604D97" w:rsidRDefault="00314903"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p>
    <w:p w14:paraId="19B8C924" w14:textId="6FCB5919" w:rsidR="00314903" w:rsidRPr="00604D97" w:rsidRDefault="00314903"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r w:rsidRPr="00604D97">
        <w:rPr>
          <w:rFonts w:ascii="Arial" w:eastAsia="Times New Roman" w:hAnsi="Arial" w:cs="Arial"/>
          <w:i/>
          <w:iCs/>
          <w:sz w:val="20"/>
          <w:szCs w:val="20"/>
          <w:lang w:val="en-US" w:eastAsia="fr-FR"/>
        </w:rPr>
        <w:t xml:space="preserve">The CSA was set up to allow ESMA and the NCAs to assess the progress made by intermediaries in the application of this key requirement, including on whether and how the costs and complexity of investment products are </w:t>
      </w:r>
      <w:proofErr w:type="gramStart"/>
      <w:r w:rsidRPr="00604D97">
        <w:rPr>
          <w:rFonts w:ascii="Arial" w:eastAsia="Times New Roman" w:hAnsi="Arial" w:cs="Arial"/>
          <w:i/>
          <w:iCs/>
          <w:sz w:val="20"/>
          <w:szCs w:val="20"/>
          <w:lang w:val="en-US" w:eastAsia="fr-FR"/>
        </w:rPr>
        <w:t>taken into account</w:t>
      </w:r>
      <w:proofErr w:type="gramEnd"/>
      <w:r w:rsidRPr="00604D97">
        <w:rPr>
          <w:rFonts w:ascii="Arial" w:eastAsia="Times New Roman" w:hAnsi="Arial" w:cs="Arial"/>
          <w:i/>
          <w:iCs/>
          <w:sz w:val="20"/>
          <w:szCs w:val="20"/>
          <w:lang w:val="en-US" w:eastAsia="fr-FR"/>
        </w:rPr>
        <w:t xml:space="preserve"> by firms when recommending an investment product to a client. ESMA had updated its guidelines on the topic in 2018 and had also published a supervisory briefing on suitability, both of which were considered for the 2020 CSA.</w:t>
      </w:r>
    </w:p>
    <w:p w14:paraId="61092E30" w14:textId="77777777" w:rsidR="00314903" w:rsidRPr="00604D97" w:rsidRDefault="00314903"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p>
    <w:p w14:paraId="383DC58C" w14:textId="5F09AFF7" w:rsidR="00314903" w:rsidRPr="00604D97" w:rsidRDefault="00314903"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r w:rsidRPr="00604D97">
        <w:rPr>
          <w:rFonts w:ascii="Arial" w:eastAsia="Times New Roman" w:hAnsi="Arial" w:cs="Arial"/>
          <w:i/>
          <w:iCs/>
          <w:sz w:val="20"/>
          <w:szCs w:val="20"/>
          <w:lang w:val="en-US" w:eastAsia="fr-FR"/>
        </w:rPr>
        <w:t xml:space="preserve">A Public Statement was published in July </w:t>
      </w:r>
      <w:r w:rsidRPr="00604D97">
        <w:rPr>
          <w:rFonts w:ascii="Arial" w:eastAsia="Times New Roman" w:hAnsi="Arial" w:cs="Arial"/>
          <w:sz w:val="20"/>
          <w:szCs w:val="20"/>
          <w:lang w:val="en-US" w:eastAsia="fr-FR"/>
        </w:rPr>
        <w:t>2021</w:t>
      </w:r>
      <w:r w:rsidRPr="00604D97">
        <w:rPr>
          <w:rStyle w:val="Appelnotedebasdep"/>
          <w:rFonts w:eastAsia="Times New Roman" w:cs="Arial"/>
          <w:lang w:val="en-US" w:eastAsia="fr-FR"/>
        </w:rPr>
        <w:footnoteReference w:id="10"/>
      </w:r>
      <w:r w:rsidR="00D64F76" w:rsidRPr="00604D97">
        <w:rPr>
          <w:rFonts w:ascii="Arial" w:eastAsia="Times New Roman" w:hAnsi="Arial" w:cs="Arial"/>
          <w:sz w:val="20"/>
          <w:szCs w:val="20"/>
          <w:lang w:val="en-US" w:eastAsia="fr-FR"/>
        </w:rPr>
        <w:t xml:space="preserve"> </w:t>
      </w:r>
      <w:r w:rsidR="009E4F74" w:rsidRPr="00604D97">
        <w:rPr>
          <w:rFonts w:ascii="Arial" w:eastAsia="Times New Roman" w:hAnsi="Arial" w:cs="Arial"/>
          <w:sz w:val="20"/>
          <w:szCs w:val="20"/>
          <w:lang w:val="en-US" w:eastAsia="fr-FR"/>
        </w:rPr>
        <w:t>summarizing</w:t>
      </w:r>
      <w:r w:rsidRPr="00604D97">
        <w:rPr>
          <w:rFonts w:ascii="Arial" w:eastAsia="Times New Roman" w:hAnsi="Arial" w:cs="Arial"/>
          <w:i/>
          <w:iCs/>
          <w:sz w:val="20"/>
          <w:szCs w:val="20"/>
          <w:lang w:val="en-US" w:eastAsia="fr-FR"/>
        </w:rPr>
        <w:t xml:space="preserve"> the results of the exercise.</w:t>
      </w:r>
    </w:p>
    <w:p w14:paraId="34D06B18" w14:textId="77777777" w:rsidR="00314903" w:rsidRPr="00604D97" w:rsidRDefault="00314903"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r w:rsidRPr="00604D97">
        <w:rPr>
          <w:rFonts w:ascii="Arial" w:eastAsia="Times New Roman" w:hAnsi="Arial" w:cs="Arial"/>
          <w:i/>
          <w:iCs/>
          <w:sz w:val="20"/>
          <w:szCs w:val="20"/>
          <w:lang w:val="en-US" w:eastAsia="fr-FR"/>
        </w:rPr>
        <w:t xml:space="preserve">The 2020 CSA has shown an adequate level of firms’ compliance with key elements of the suitability requirements that were already regulated under MiFID I such as firms’ understanding of products and clients and the processes and procedures to ensure the suitability of investments. However, shortcomings and areas of improvement have emerged </w:t>
      </w:r>
      <w:proofErr w:type="gramStart"/>
      <w:r w:rsidRPr="00604D97">
        <w:rPr>
          <w:rFonts w:ascii="Arial" w:eastAsia="Times New Roman" w:hAnsi="Arial" w:cs="Arial"/>
          <w:i/>
          <w:iCs/>
          <w:sz w:val="20"/>
          <w:szCs w:val="20"/>
          <w:lang w:val="en-US" w:eastAsia="fr-FR"/>
        </w:rPr>
        <w:t>with regard to</w:t>
      </w:r>
      <w:proofErr w:type="gramEnd"/>
      <w:r w:rsidRPr="00604D97">
        <w:rPr>
          <w:rFonts w:ascii="Arial" w:eastAsia="Times New Roman" w:hAnsi="Arial" w:cs="Arial"/>
          <w:i/>
          <w:iCs/>
          <w:sz w:val="20"/>
          <w:szCs w:val="20"/>
          <w:lang w:val="en-US" w:eastAsia="fr-FR"/>
        </w:rPr>
        <w:t xml:space="preserve"> some of the new requirements introduced by MiFID II, notably the requirement to consider the cost and complexity of equivalent products, the costs and benefits of switching investments and suitability reports.</w:t>
      </w:r>
    </w:p>
    <w:p w14:paraId="3AA94C63" w14:textId="77777777" w:rsidR="00314903" w:rsidRPr="00604D97" w:rsidRDefault="00314903"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p>
    <w:p w14:paraId="4D83BCDC" w14:textId="215E8296" w:rsidR="003940B7" w:rsidRPr="00604D97" w:rsidRDefault="00314903" w:rsidP="00731FD9">
      <w:pPr>
        <w:autoSpaceDE w:val="0"/>
        <w:autoSpaceDN w:val="0"/>
        <w:adjustRightInd w:val="0"/>
        <w:spacing w:after="0" w:line="240" w:lineRule="atLeast"/>
        <w:jc w:val="both"/>
        <w:rPr>
          <w:rFonts w:ascii="Arial" w:eastAsia="Times New Roman" w:hAnsi="Arial" w:cs="Arial"/>
          <w:i/>
          <w:iCs/>
          <w:sz w:val="20"/>
          <w:szCs w:val="20"/>
          <w:lang w:val="en-US" w:eastAsia="fr-FR"/>
        </w:rPr>
      </w:pPr>
      <w:r w:rsidRPr="00604D97">
        <w:rPr>
          <w:rFonts w:ascii="Arial" w:eastAsia="Times New Roman" w:hAnsi="Arial" w:cs="Arial"/>
          <w:i/>
          <w:iCs/>
          <w:sz w:val="20"/>
          <w:szCs w:val="20"/>
          <w:lang w:val="en-US" w:eastAsia="fr-FR"/>
        </w:rPr>
        <w:t>To provide further guidance to firms and to increase convergence on these important MiFID II requirements, ESMA has included in the annex to the guidelines a list of good and bad practices emerged from the 2020 CSA.</w:t>
      </w:r>
    </w:p>
    <w:p w14:paraId="41C46A24" w14:textId="77777777" w:rsidR="00D64F76" w:rsidRPr="00604D97" w:rsidRDefault="00D64F76" w:rsidP="00731FD9">
      <w:pPr>
        <w:autoSpaceDE w:val="0"/>
        <w:autoSpaceDN w:val="0"/>
        <w:adjustRightInd w:val="0"/>
        <w:spacing w:after="0" w:line="240" w:lineRule="atLeast"/>
        <w:jc w:val="both"/>
        <w:rPr>
          <w:rFonts w:ascii="Arial" w:eastAsia="Times New Roman" w:hAnsi="Arial" w:cs="Arial"/>
          <w:sz w:val="20"/>
          <w:szCs w:val="20"/>
          <w:lang w:val="en-US" w:eastAsia="fr-FR"/>
        </w:rPr>
      </w:pPr>
    </w:p>
    <w:p w14:paraId="292C7DBB" w14:textId="0F08625E" w:rsidR="003940B7" w:rsidRPr="00604D97" w:rsidRDefault="003940B7"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roofErr w:type="gramStart"/>
      <w:r w:rsidRPr="00604D97">
        <w:rPr>
          <w:rFonts w:ascii="Arial" w:eastAsia="Times New Roman" w:hAnsi="Arial" w:cs="Arial"/>
          <w:b/>
          <w:bCs/>
          <w:color w:val="000000"/>
          <w:sz w:val="20"/>
          <w:szCs w:val="20"/>
          <w:lang w:val="en-US" w:eastAsia="fr-FR"/>
        </w:rPr>
        <w:t>Q2</w:t>
      </w:r>
      <w:r w:rsidR="005538A0" w:rsidRPr="00604D97">
        <w:rPr>
          <w:rFonts w:ascii="Arial" w:eastAsia="Times New Roman" w:hAnsi="Arial" w:cs="Arial"/>
          <w:b/>
          <w:bCs/>
          <w:color w:val="000000"/>
          <w:sz w:val="20"/>
          <w:szCs w:val="20"/>
          <w:lang w:val="en-US" w:eastAsia="fr-FR"/>
        </w:rPr>
        <w:t>2</w:t>
      </w:r>
      <w:proofErr w:type="gramEnd"/>
      <w:r w:rsidRPr="00604D97">
        <w:rPr>
          <w:rFonts w:ascii="Arial" w:eastAsia="Times New Roman" w:hAnsi="Arial" w:cs="Arial"/>
          <w:b/>
          <w:bCs/>
          <w:color w:val="000000"/>
          <w:sz w:val="20"/>
          <w:szCs w:val="20"/>
          <w:lang w:val="en-US" w:eastAsia="fr-FR"/>
        </w:rPr>
        <w:tab/>
      </w:r>
      <w:r w:rsidR="005538A0" w:rsidRPr="00604D97">
        <w:rPr>
          <w:rFonts w:ascii="Arial" w:eastAsia="Times New Roman" w:hAnsi="Arial" w:cs="Arial"/>
          <w:b/>
          <w:bCs/>
          <w:color w:val="000000"/>
          <w:sz w:val="20"/>
          <w:szCs w:val="20"/>
          <w:lang w:val="en-US" w:eastAsia="fr-FR"/>
        </w:rPr>
        <w:t>Do you have any comment on the list of good and poor practices annexed to the guidelines?</w:t>
      </w:r>
    </w:p>
    <w:p w14:paraId="4FB274B5" w14:textId="77777777" w:rsidR="005538A0" w:rsidRPr="00604D97" w:rsidRDefault="005538A0"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p>
    <w:p w14:paraId="218C0B7D" w14:textId="10246857" w:rsidR="00352F1B" w:rsidRPr="00604D97" w:rsidRDefault="00F47122" w:rsidP="00FF61A8">
      <w:p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 xml:space="preserve">In </w:t>
      </w:r>
      <w:r w:rsidR="00E67976" w:rsidRPr="00604D97">
        <w:rPr>
          <w:rFonts w:ascii="Arial" w:hAnsi="Arial" w:cs="Arial"/>
          <w:color w:val="000000"/>
          <w:sz w:val="20"/>
          <w:lang w:val="en-GB"/>
        </w:rPr>
        <w:t>FBF</w:t>
      </w:r>
      <w:r w:rsidRPr="00604D97">
        <w:rPr>
          <w:rFonts w:ascii="Arial" w:hAnsi="Arial" w:cs="Arial"/>
          <w:color w:val="000000"/>
          <w:sz w:val="20"/>
          <w:lang w:val="en-GB"/>
        </w:rPr>
        <w:t xml:space="preserve">’s </w:t>
      </w:r>
      <w:r w:rsidR="00D52A9C" w:rsidRPr="00604D97">
        <w:rPr>
          <w:rFonts w:ascii="Arial" w:hAnsi="Arial" w:cs="Arial"/>
          <w:color w:val="000000"/>
          <w:sz w:val="20"/>
          <w:lang w:val="en-GB"/>
        </w:rPr>
        <w:t>view,</w:t>
      </w:r>
      <w:r w:rsidRPr="00604D97">
        <w:rPr>
          <w:rFonts w:ascii="Arial" w:hAnsi="Arial" w:cs="Arial"/>
          <w:color w:val="000000"/>
          <w:sz w:val="20"/>
          <w:lang w:val="en-GB"/>
        </w:rPr>
        <w:t xml:space="preserve"> </w:t>
      </w:r>
      <w:r w:rsidR="00352F1B" w:rsidRPr="00604D97">
        <w:rPr>
          <w:rFonts w:ascii="Arial" w:hAnsi="Arial" w:cs="Arial"/>
          <w:color w:val="000000"/>
          <w:sz w:val="20"/>
          <w:lang w:val="en-GB"/>
        </w:rPr>
        <w:t>some so</w:t>
      </w:r>
      <w:r w:rsidR="005656A1" w:rsidRPr="00604D97">
        <w:rPr>
          <w:rFonts w:ascii="Arial" w:hAnsi="Arial" w:cs="Arial"/>
          <w:color w:val="000000"/>
          <w:sz w:val="20"/>
          <w:lang w:val="en-GB"/>
        </w:rPr>
        <w:t xml:space="preserve"> called </w:t>
      </w:r>
      <w:r w:rsidRPr="00604D97">
        <w:rPr>
          <w:rFonts w:ascii="Arial" w:hAnsi="Arial" w:cs="Arial"/>
          <w:color w:val="000000"/>
          <w:sz w:val="20"/>
          <w:lang w:val="en-GB"/>
        </w:rPr>
        <w:t xml:space="preserve">good practices </w:t>
      </w:r>
      <w:r w:rsidR="005656A1" w:rsidRPr="00604D97">
        <w:rPr>
          <w:rFonts w:ascii="Arial" w:hAnsi="Arial" w:cs="Arial"/>
          <w:color w:val="000000"/>
          <w:sz w:val="20"/>
          <w:lang w:val="en-GB"/>
        </w:rPr>
        <w:t xml:space="preserve">are already </w:t>
      </w:r>
      <w:r w:rsidR="006B0F10" w:rsidRPr="00604D97">
        <w:rPr>
          <w:rFonts w:ascii="Arial" w:hAnsi="Arial" w:cs="Arial"/>
          <w:color w:val="000000"/>
          <w:sz w:val="20"/>
          <w:lang w:val="en-GB"/>
        </w:rPr>
        <w:t xml:space="preserve">legal </w:t>
      </w:r>
      <w:r w:rsidR="005656A1" w:rsidRPr="00604D97">
        <w:rPr>
          <w:rFonts w:ascii="Arial" w:hAnsi="Arial" w:cs="Arial"/>
          <w:color w:val="000000"/>
          <w:sz w:val="20"/>
          <w:lang w:val="en-GB"/>
        </w:rPr>
        <w:t xml:space="preserve">requirements so that </w:t>
      </w:r>
      <w:r w:rsidR="00075FDE" w:rsidRPr="00604D97">
        <w:rPr>
          <w:rFonts w:ascii="Arial" w:hAnsi="Arial" w:cs="Arial"/>
          <w:color w:val="000000"/>
          <w:sz w:val="20"/>
          <w:lang w:val="en-GB"/>
        </w:rPr>
        <w:t>it ma</w:t>
      </w:r>
      <w:r w:rsidR="003A6737" w:rsidRPr="00604D97">
        <w:rPr>
          <w:rFonts w:ascii="Arial" w:hAnsi="Arial" w:cs="Arial"/>
          <w:color w:val="000000"/>
          <w:sz w:val="20"/>
          <w:lang w:val="en-GB"/>
        </w:rPr>
        <w:t>y</w:t>
      </w:r>
      <w:r w:rsidR="00075FDE" w:rsidRPr="00604D97">
        <w:rPr>
          <w:rFonts w:ascii="Arial" w:hAnsi="Arial" w:cs="Arial"/>
          <w:color w:val="000000"/>
          <w:sz w:val="20"/>
          <w:lang w:val="en-GB"/>
        </w:rPr>
        <w:t xml:space="preserve"> create confusion to publish them as simple good practices. </w:t>
      </w:r>
    </w:p>
    <w:p w14:paraId="05FF6AF9" w14:textId="62E1EE3B" w:rsidR="00FF61A8" w:rsidRPr="00604D97" w:rsidRDefault="00075FDE" w:rsidP="00FF61A8">
      <w:p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 xml:space="preserve">This is the </w:t>
      </w:r>
      <w:r w:rsidR="00D52A9C" w:rsidRPr="00604D97">
        <w:rPr>
          <w:rFonts w:ascii="Arial" w:hAnsi="Arial" w:cs="Arial"/>
          <w:color w:val="000000"/>
          <w:sz w:val="20"/>
          <w:lang w:val="en-GB"/>
        </w:rPr>
        <w:t>case for</w:t>
      </w:r>
      <w:r w:rsidR="00FF61A8" w:rsidRPr="00604D97">
        <w:rPr>
          <w:rFonts w:ascii="Arial" w:hAnsi="Arial" w:cs="Arial"/>
          <w:color w:val="000000"/>
          <w:sz w:val="20"/>
          <w:lang w:val="en-GB"/>
        </w:rPr>
        <w:t xml:space="preserve"> </w:t>
      </w:r>
      <w:r w:rsidR="000B0A3E" w:rsidRPr="00604D97">
        <w:rPr>
          <w:rFonts w:ascii="Arial" w:hAnsi="Arial" w:cs="Arial"/>
          <w:color w:val="000000"/>
          <w:sz w:val="20"/>
          <w:lang w:val="en-GB"/>
        </w:rPr>
        <w:t>the 1</w:t>
      </w:r>
      <w:r w:rsidR="000B0A3E" w:rsidRPr="00604D97">
        <w:rPr>
          <w:rFonts w:ascii="Arial" w:hAnsi="Arial" w:cs="Arial"/>
          <w:color w:val="000000"/>
          <w:sz w:val="20"/>
          <w:vertAlign w:val="superscript"/>
          <w:lang w:val="en-GB"/>
        </w:rPr>
        <w:t>st</w:t>
      </w:r>
      <w:r w:rsidR="00E22851" w:rsidRPr="00604D97">
        <w:rPr>
          <w:rFonts w:ascii="Arial" w:hAnsi="Arial" w:cs="Arial"/>
          <w:color w:val="000000"/>
          <w:sz w:val="20"/>
          <w:lang w:val="en-GB"/>
        </w:rPr>
        <w:t xml:space="preserve"> sentence </w:t>
      </w:r>
      <w:r w:rsidR="000B0A3E" w:rsidRPr="00604D97">
        <w:rPr>
          <w:rFonts w:ascii="Arial" w:hAnsi="Arial" w:cs="Arial"/>
          <w:color w:val="000000"/>
          <w:sz w:val="20"/>
          <w:lang w:val="en-GB"/>
        </w:rPr>
        <w:t xml:space="preserve">of the </w:t>
      </w:r>
      <w:r w:rsidR="004D0846" w:rsidRPr="00604D97">
        <w:rPr>
          <w:rFonts w:ascii="Arial" w:hAnsi="Arial" w:cs="Arial"/>
          <w:color w:val="000000"/>
          <w:sz w:val="20"/>
          <w:lang w:val="en-GB"/>
        </w:rPr>
        <w:t>3</w:t>
      </w:r>
      <w:r w:rsidR="004D0846" w:rsidRPr="00604D97">
        <w:rPr>
          <w:rFonts w:ascii="Arial" w:hAnsi="Arial" w:cs="Arial"/>
          <w:color w:val="000000"/>
          <w:sz w:val="20"/>
          <w:vertAlign w:val="superscript"/>
          <w:lang w:val="en-GB"/>
        </w:rPr>
        <w:t>rd</w:t>
      </w:r>
      <w:r w:rsidR="004D0846" w:rsidRPr="00604D97">
        <w:rPr>
          <w:rFonts w:ascii="Arial" w:hAnsi="Arial" w:cs="Arial"/>
          <w:color w:val="000000"/>
          <w:sz w:val="20"/>
          <w:lang w:val="en-GB"/>
        </w:rPr>
        <w:t xml:space="preserve"> </w:t>
      </w:r>
      <w:bookmarkStart w:id="24" w:name="_Hlk97201903"/>
      <w:r w:rsidR="0040391C" w:rsidRPr="00604D97">
        <w:rPr>
          <w:rFonts w:ascii="Arial" w:hAnsi="Arial" w:cs="Arial"/>
          <w:color w:val="000000"/>
          <w:sz w:val="20"/>
          <w:lang w:val="en-GB"/>
        </w:rPr>
        <w:t xml:space="preserve">§ </w:t>
      </w:r>
      <w:r w:rsidR="004D0846" w:rsidRPr="00604D97">
        <w:rPr>
          <w:rFonts w:ascii="Arial" w:hAnsi="Arial" w:cs="Arial"/>
          <w:color w:val="000000"/>
          <w:sz w:val="20"/>
          <w:lang w:val="en-GB"/>
        </w:rPr>
        <w:t xml:space="preserve">of </w:t>
      </w:r>
      <w:r w:rsidR="0040391C" w:rsidRPr="00604D97">
        <w:rPr>
          <w:rFonts w:ascii="Arial" w:hAnsi="Arial" w:cs="Arial"/>
          <w:color w:val="000000"/>
          <w:sz w:val="20"/>
          <w:lang w:val="en-GB"/>
        </w:rPr>
        <w:t xml:space="preserve">the </w:t>
      </w:r>
      <w:r w:rsidR="0044712E" w:rsidRPr="00604D97">
        <w:rPr>
          <w:rFonts w:ascii="Arial" w:hAnsi="Arial" w:cs="Arial"/>
          <w:color w:val="000000"/>
          <w:sz w:val="20"/>
          <w:lang w:val="en-GB"/>
        </w:rPr>
        <w:t>“</w:t>
      </w:r>
      <w:r w:rsidR="004D0846" w:rsidRPr="00604D97">
        <w:rPr>
          <w:rFonts w:ascii="Arial" w:hAnsi="Arial" w:cs="Arial"/>
          <w:color w:val="000000"/>
          <w:sz w:val="20"/>
          <w:lang w:val="en-GB"/>
        </w:rPr>
        <w:t>client profiling</w:t>
      </w:r>
      <w:r w:rsidR="0044712E" w:rsidRPr="00604D97">
        <w:rPr>
          <w:rFonts w:ascii="Arial" w:hAnsi="Arial" w:cs="Arial"/>
          <w:color w:val="000000"/>
          <w:sz w:val="20"/>
          <w:lang w:val="en-GB"/>
        </w:rPr>
        <w:t>”</w:t>
      </w:r>
      <w:r w:rsidR="004D0846" w:rsidRPr="00604D97">
        <w:rPr>
          <w:rFonts w:ascii="Arial" w:hAnsi="Arial" w:cs="Arial"/>
          <w:color w:val="000000"/>
          <w:sz w:val="20"/>
          <w:lang w:val="en-GB"/>
        </w:rPr>
        <w:t xml:space="preserve"> se</w:t>
      </w:r>
      <w:r w:rsidR="00C3390D" w:rsidRPr="00604D97">
        <w:rPr>
          <w:rFonts w:ascii="Arial" w:hAnsi="Arial" w:cs="Arial"/>
          <w:color w:val="000000"/>
          <w:sz w:val="20"/>
          <w:lang w:val="en-GB"/>
        </w:rPr>
        <w:t>ct</w:t>
      </w:r>
      <w:r w:rsidR="004D0846" w:rsidRPr="00604D97">
        <w:rPr>
          <w:rFonts w:ascii="Arial" w:hAnsi="Arial" w:cs="Arial"/>
          <w:color w:val="000000"/>
          <w:sz w:val="20"/>
          <w:lang w:val="en-GB"/>
        </w:rPr>
        <w:t>ion</w:t>
      </w:r>
      <w:r w:rsidR="00972E32" w:rsidRPr="00604D97">
        <w:rPr>
          <w:rFonts w:ascii="Arial" w:hAnsi="Arial" w:cs="Arial"/>
          <w:color w:val="000000"/>
          <w:sz w:val="20"/>
          <w:lang w:val="en-GB"/>
        </w:rPr>
        <w:t>.</w:t>
      </w:r>
    </w:p>
    <w:p w14:paraId="6A04562F" w14:textId="77777777" w:rsidR="00352F1B" w:rsidRPr="00604D97" w:rsidRDefault="00352F1B" w:rsidP="00C3390D">
      <w:pPr>
        <w:autoSpaceDE w:val="0"/>
        <w:autoSpaceDN w:val="0"/>
        <w:adjustRightInd w:val="0"/>
        <w:spacing w:after="0" w:line="240" w:lineRule="atLeast"/>
        <w:jc w:val="both"/>
        <w:rPr>
          <w:rFonts w:ascii="Arial" w:hAnsi="Arial" w:cs="Arial"/>
          <w:color w:val="000000"/>
          <w:sz w:val="20"/>
          <w:lang w:val="en-GB"/>
        </w:rPr>
      </w:pPr>
    </w:p>
    <w:bookmarkEnd w:id="24"/>
    <w:p w14:paraId="3C936D7D" w14:textId="6AD2686E" w:rsidR="00780BFF" w:rsidRPr="00604D97" w:rsidRDefault="00352F1B" w:rsidP="00FF61A8">
      <w:p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Similarly,</w:t>
      </w:r>
      <w:r w:rsidR="006747CB" w:rsidRPr="00604D97">
        <w:rPr>
          <w:rFonts w:ascii="Arial" w:hAnsi="Arial" w:cs="Arial"/>
          <w:color w:val="000000"/>
          <w:sz w:val="20"/>
          <w:lang w:val="en-GB"/>
        </w:rPr>
        <w:t xml:space="preserve"> some behaviours that are presented as </w:t>
      </w:r>
      <w:r w:rsidR="00780BFF" w:rsidRPr="00604D97">
        <w:rPr>
          <w:rFonts w:ascii="Arial" w:hAnsi="Arial" w:cs="Arial"/>
          <w:color w:val="000000"/>
          <w:sz w:val="20"/>
          <w:lang w:val="en-GB"/>
        </w:rPr>
        <w:t xml:space="preserve">poor </w:t>
      </w:r>
      <w:r w:rsidR="006747CB" w:rsidRPr="00604D97">
        <w:rPr>
          <w:rFonts w:ascii="Arial" w:hAnsi="Arial" w:cs="Arial"/>
          <w:color w:val="000000"/>
          <w:sz w:val="20"/>
          <w:lang w:val="en-GB"/>
        </w:rPr>
        <w:t xml:space="preserve">practices are already </w:t>
      </w:r>
      <w:r w:rsidR="00385F34" w:rsidRPr="00604D97">
        <w:rPr>
          <w:rFonts w:ascii="Arial" w:hAnsi="Arial" w:cs="Arial"/>
          <w:color w:val="000000"/>
          <w:sz w:val="20"/>
          <w:lang w:val="en-GB"/>
        </w:rPr>
        <w:t xml:space="preserve">viewed as infringements to the current </w:t>
      </w:r>
      <w:r w:rsidRPr="00604D97">
        <w:rPr>
          <w:rFonts w:ascii="Arial" w:hAnsi="Arial" w:cs="Arial"/>
          <w:color w:val="000000"/>
          <w:sz w:val="20"/>
          <w:lang w:val="en-GB"/>
        </w:rPr>
        <w:t>requirements</w:t>
      </w:r>
      <w:r w:rsidR="00385F34" w:rsidRPr="00604D97">
        <w:rPr>
          <w:rFonts w:ascii="Arial" w:hAnsi="Arial" w:cs="Arial"/>
          <w:color w:val="000000"/>
          <w:sz w:val="20"/>
          <w:lang w:val="en-GB"/>
        </w:rPr>
        <w:t xml:space="preserve"> so that </w:t>
      </w:r>
      <w:r w:rsidRPr="00604D97">
        <w:rPr>
          <w:rFonts w:ascii="Arial" w:hAnsi="Arial" w:cs="Arial"/>
          <w:color w:val="000000"/>
          <w:sz w:val="20"/>
          <w:lang w:val="en-GB"/>
        </w:rPr>
        <w:t>again</w:t>
      </w:r>
      <w:r w:rsidR="00385F34" w:rsidRPr="00604D97">
        <w:rPr>
          <w:rFonts w:ascii="Arial" w:hAnsi="Arial" w:cs="Arial"/>
          <w:color w:val="000000"/>
          <w:sz w:val="20"/>
          <w:lang w:val="en-GB"/>
        </w:rPr>
        <w:t>, the messages to professional</w:t>
      </w:r>
      <w:r w:rsidR="003A6737" w:rsidRPr="00604D97">
        <w:rPr>
          <w:rFonts w:ascii="Arial" w:hAnsi="Arial" w:cs="Arial"/>
          <w:color w:val="000000"/>
          <w:sz w:val="20"/>
          <w:lang w:val="en-GB"/>
        </w:rPr>
        <w:t xml:space="preserve">s </w:t>
      </w:r>
      <w:r w:rsidR="00385F34" w:rsidRPr="00604D97">
        <w:rPr>
          <w:rFonts w:ascii="Arial" w:hAnsi="Arial" w:cs="Arial"/>
          <w:color w:val="000000"/>
          <w:sz w:val="20"/>
          <w:lang w:val="en-GB"/>
        </w:rPr>
        <w:t xml:space="preserve">could in </w:t>
      </w:r>
      <w:r w:rsidR="00E67976" w:rsidRPr="00604D97">
        <w:rPr>
          <w:rFonts w:ascii="Arial" w:hAnsi="Arial" w:cs="Arial"/>
          <w:color w:val="000000"/>
          <w:sz w:val="20"/>
          <w:lang w:val="en-GB"/>
        </w:rPr>
        <w:t>FBF</w:t>
      </w:r>
      <w:r w:rsidR="00385F34" w:rsidRPr="00604D97">
        <w:rPr>
          <w:rFonts w:ascii="Arial" w:hAnsi="Arial" w:cs="Arial"/>
          <w:color w:val="000000"/>
          <w:sz w:val="20"/>
          <w:lang w:val="en-GB"/>
        </w:rPr>
        <w:t>’s vie</w:t>
      </w:r>
      <w:r w:rsidRPr="00604D97">
        <w:rPr>
          <w:rFonts w:ascii="Arial" w:hAnsi="Arial" w:cs="Arial"/>
          <w:color w:val="000000"/>
          <w:sz w:val="20"/>
          <w:lang w:val="en-GB"/>
        </w:rPr>
        <w:t>w</w:t>
      </w:r>
      <w:r w:rsidR="00780BFF" w:rsidRPr="00604D97">
        <w:rPr>
          <w:rFonts w:ascii="Arial" w:hAnsi="Arial" w:cs="Arial"/>
          <w:color w:val="000000"/>
          <w:sz w:val="20"/>
          <w:lang w:val="en-GB"/>
        </w:rPr>
        <w:t xml:space="preserve">, be </w:t>
      </w:r>
      <w:r w:rsidRPr="00604D97">
        <w:rPr>
          <w:rFonts w:ascii="Arial" w:hAnsi="Arial" w:cs="Arial"/>
          <w:color w:val="000000"/>
          <w:sz w:val="20"/>
          <w:lang w:val="en-GB"/>
        </w:rPr>
        <w:t>blurred</w:t>
      </w:r>
      <w:r w:rsidR="00780BFF" w:rsidRPr="00604D97">
        <w:rPr>
          <w:rFonts w:ascii="Arial" w:hAnsi="Arial" w:cs="Arial"/>
          <w:color w:val="000000"/>
          <w:sz w:val="20"/>
          <w:lang w:val="en-GB"/>
        </w:rPr>
        <w:t>. This is the case for:</w:t>
      </w:r>
    </w:p>
    <w:p w14:paraId="770A1D84" w14:textId="369E1736" w:rsidR="00780BFF" w:rsidRPr="00604D97" w:rsidRDefault="0040391C" w:rsidP="00780BFF">
      <w:pPr>
        <w:pStyle w:val="Paragraphedeliste"/>
        <w:numPr>
          <w:ilvl w:val="0"/>
          <w:numId w:val="16"/>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1</w:t>
      </w:r>
      <w:r w:rsidRPr="00604D97">
        <w:rPr>
          <w:rFonts w:ascii="Arial" w:hAnsi="Arial" w:cs="Arial"/>
          <w:color w:val="000000"/>
          <w:sz w:val="20"/>
          <w:vertAlign w:val="superscript"/>
          <w:lang w:val="en-GB"/>
        </w:rPr>
        <w:t>st</w:t>
      </w:r>
      <w:r w:rsidR="006E7363" w:rsidRPr="00604D97">
        <w:rPr>
          <w:rFonts w:ascii="Arial" w:hAnsi="Arial" w:cs="Arial"/>
          <w:color w:val="000000"/>
          <w:sz w:val="20"/>
          <w:lang w:val="en-GB"/>
        </w:rPr>
        <w:t xml:space="preserve">, </w:t>
      </w:r>
      <w:proofErr w:type="gramStart"/>
      <w:r w:rsidR="006E7363" w:rsidRPr="00604D97">
        <w:rPr>
          <w:rFonts w:ascii="Arial" w:hAnsi="Arial" w:cs="Arial"/>
          <w:color w:val="000000"/>
          <w:sz w:val="20"/>
          <w:lang w:val="en-GB"/>
        </w:rPr>
        <w:t>3</w:t>
      </w:r>
      <w:r w:rsidR="006E7363" w:rsidRPr="00604D97">
        <w:rPr>
          <w:rFonts w:ascii="Arial" w:hAnsi="Arial" w:cs="Arial"/>
          <w:color w:val="000000"/>
          <w:sz w:val="20"/>
          <w:vertAlign w:val="superscript"/>
          <w:lang w:val="en-GB"/>
        </w:rPr>
        <w:t>rd</w:t>
      </w:r>
      <w:proofErr w:type="gramEnd"/>
      <w:r w:rsidR="005A497B" w:rsidRPr="00604D97">
        <w:rPr>
          <w:rFonts w:ascii="Arial" w:hAnsi="Arial" w:cs="Arial"/>
          <w:color w:val="000000"/>
          <w:sz w:val="20"/>
          <w:lang w:val="en-GB"/>
        </w:rPr>
        <w:t xml:space="preserve"> and 5</w:t>
      </w:r>
      <w:r w:rsidR="005A497B" w:rsidRPr="00604D97">
        <w:rPr>
          <w:rFonts w:ascii="Arial" w:hAnsi="Arial" w:cs="Arial"/>
          <w:color w:val="000000"/>
          <w:sz w:val="20"/>
          <w:vertAlign w:val="superscript"/>
          <w:lang w:val="en-GB"/>
        </w:rPr>
        <w:t>th</w:t>
      </w:r>
      <w:r w:rsidR="005A497B" w:rsidRPr="00604D97">
        <w:rPr>
          <w:rFonts w:ascii="Arial" w:hAnsi="Arial" w:cs="Arial"/>
          <w:color w:val="000000"/>
          <w:sz w:val="20"/>
          <w:lang w:val="en-GB"/>
        </w:rPr>
        <w:t xml:space="preserve"> </w:t>
      </w:r>
      <w:r w:rsidR="00D77714" w:rsidRPr="00604D97">
        <w:rPr>
          <w:rFonts w:ascii="Arial" w:hAnsi="Arial" w:cs="Arial"/>
          <w:color w:val="000000"/>
          <w:sz w:val="20"/>
          <w:lang w:val="en-GB"/>
        </w:rPr>
        <w:t xml:space="preserve">§ </w:t>
      </w:r>
      <w:r w:rsidR="00780BFF" w:rsidRPr="00604D97">
        <w:rPr>
          <w:rFonts w:ascii="Arial" w:hAnsi="Arial" w:cs="Arial"/>
          <w:color w:val="000000"/>
          <w:sz w:val="20"/>
          <w:lang w:val="en-GB"/>
        </w:rPr>
        <w:t xml:space="preserve">of </w:t>
      </w:r>
      <w:r w:rsidR="00D77714" w:rsidRPr="00604D97">
        <w:rPr>
          <w:rFonts w:ascii="Arial" w:hAnsi="Arial" w:cs="Arial"/>
          <w:color w:val="000000"/>
          <w:sz w:val="20"/>
          <w:lang w:val="en-GB"/>
        </w:rPr>
        <w:t xml:space="preserve">the </w:t>
      </w:r>
      <w:r w:rsidR="00352F1B" w:rsidRPr="00604D97">
        <w:rPr>
          <w:rFonts w:ascii="Arial" w:hAnsi="Arial" w:cs="Arial"/>
          <w:color w:val="000000"/>
          <w:sz w:val="20"/>
          <w:lang w:val="en-GB"/>
        </w:rPr>
        <w:t>“</w:t>
      </w:r>
      <w:r w:rsidR="00780BFF" w:rsidRPr="00604D97">
        <w:rPr>
          <w:rFonts w:ascii="Arial" w:hAnsi="Arial" w:cs="Arial"/>
          <w:color w:val="000000"/>
          <w:sz w:val="20"/>
          <w:lang w:val="en-GB"/>
        </w:rPr>
        <w:t>client profiling</w:t>
      </w:r>
      <w:r w:rsidR="00352F1B" w:rsidRPr="00604D97">
        <w:rPr>
          <w:rFonts w:ascii="Arial" w:hAnsi="Arial" w:cs="Arial"/>
          <w:color w:val="000000"/>
          <w:sz w:val="20"/>
          <w:lang w:val="en-GB"/>
        </w:rPr>
        <w:t>”</w:t>
      </w:r>
      <w:r w:rsidR="00780BFF" w:rsidRPr="00604D97">
        <w:rPr>
          <w:rFonts w:ascii="Arial" w:hAnsi="Arial" w:cs="Arial"/>
          <w:color w:val="000000"/>
          <w:sz w:val="20"/>
          <w:lang w:val="en-GB"/>
        </w:rPr>
        <w:t xml:space="preserve"> se</w:t>
      </w:r>
      <w:r w:rsidR="00C3390D" w:rsidRPr="00604D97">
        <w:rPr>
          <w:rFonts w:ascii="Arial" w:hAnsi="Arial" w:cs="Arial"/>
          <w:color w:val="000000"/>
          <w:sz w:val="20"/>
          <w:lang w:val="en-GB"/>
        </w:rPr>
        <w:t>ct</w:t>
      </w:r>
      <w:r w:rsidR="00780BFF" w:rsidRPr="00604D97">
        <w:rPr>
          <w:rFonts w:ascii="Arial" w:hAnsi="Arial" w:cs="Arial"/>
          <w:color w:val="000000"/>
          <w:sz w:val="20"/>
          <w:lang w:val="en-GB"/>
        </w:rPr>
        <w:t>ion,</w:t>
      </w:r>
    </w:p>
    <w:p w14:paraId="0DD99D30" w14:textId="69ED3141" w:rsidR="00352F1B" w:rsidRPr="00604D97" w:rsidRDefault="00352F1B" w:rsidP="00780BFF">
      <w:pPr>
        <w:pStyle w:val="Paragraphedeliste"/>
        <w:numPr>
          <w:ilvl w:val="0"/>
          <w:numId w:val="16"/>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w:t>
      </w:r>
      <w:r w:rsidR="00780BFF" w:rsidRPr="00604D97">
        <w:rPr>
          <w:rFonts w:ascii="Arial" w:hAnsi="Arial" w:cs="Arial"/>
          <w:color w:val="000000"/>
          <w:sz w:val="20"/>
          <w:lang w:val="en-GB"/>
        </w:rPr>
        <w:t>Product mapping</w:t>
      </w:r>
      <w:r w:rsidRPr="00604D97">
        <w:rPr>
          <w:rFonts w:ascii="Arial" w:hAnsi="Arial" w:cs="Arial"/>
          <w:color w:val="000000"/>
          <w:sz w:val="20"/>
          <w:lang w:val="en-GB"/>
        </w:rPr>
        <w:t>”</w:t>
      </w:r>
      <w:r w:rsidR="00780BFF" w:rsidRPr="00604D97">
        <w:rPr>
          <w:rFonts w:ascii="Arial" w:hAnsi="Arial" w:cs="Arial"/>
          <w:color w:val="000000"/>
          <w:sz w:val="20"/>
          <w:lang w:val="en-GB"/>
        </w:rPr>
        <w:t xml:space="preserve"> </w:t>
      </w:r>
      <w:r w:rsidR="008A49D6" w:rsidRPr="00604D97">
        <w:rPr>
          <w:rFonts w:ascii="Arial" w:hAnsi="Arial" w:cs="Arial"/>
          <w:color w:val="000000"/>
          <w:sz w:val="20"/>
          <w:lang w:val="en-GB"/>
        </w:rPr>
        <w:t>section</w:t>
      </w:r>
      <w:r w:rsidRPr="00604D97">
        <w:rPr>
          <w:rFonts w:ascii="Arial" w:hAnsi="Arial" w:cs="Arial"/>
          <w:color w:val="000000"/>
          <w:sz w:val="20"/>
          <w:lang w:val="en-GB"/>
        </w:rPr>
        <w:t xml:space="preserve">, </w:t>
      </w:r>
    </w:p>
    <w:p w14:paraId="52376DB5" w14:textId="290ACF6E" w:rsidR="00780BFF" w:rsidRPr="00604D97" w:rsidRDefault="00D77714" w:rsidP="00780BFF">
      <w:pPr>
        <w:pStyle w:val="Paragraphedeliste"/>
        <w:numPr>
          <w:ilvl w:val="0"/>
          <w:numId w:val="16"/>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1</w:t>
      </w:r>
      <w:r w:rsidRPr="00604D97">
        <w:rPr>
          <w:rFonts w:ascii="Arial" w:hAnsi="Arial" w:cs="Arial"/>
          <w:color w:val="000000"/>
          <w:sz w:val="20"/>
          <w:vertAlign w:val="superscript"/>
          <w:lang w:val="en-GB"/>
        </w:rPr>
        <w:t>st</w:t>
      </w:r>
      <w:r w:rsidR="00352F1B" w:rsidRPr="00604D97">
        <w:rPr>
          <w:rFonts w:ascii="Arial" w:hAnsi="Arial" w:cs="Arial"/>
          <w:color w:val="000000"/>
          <w:sz w:val="20"/>
          <w:lang w:val="en-GB"/>
        </w:rPr>
        <w:t xml:space="preserve"> </w:t>
      </w:r>
      <w:r w:rsidRPr="00604D97">
        <w:rPr>
          <w:rFonts w:ascii="Arial" w:hAnsi="Arial" w:cs="Arial"/>
          <w:color w:val="000000"/>
          <w:sz w:val="20"/>
          <w:lang w:val="en-GB"/>
        </w:rPr>
        <w:t xml:space="preserve">§ </w:t>
      </w:r>
      <w:r w:rsidR="00352F1B" w:rsidRPr="00604D97">
        <w:rPr>
          <w:rFonts w:ascii="Arial" w:hAnsi="Arial" w:cs="Arial"/>
          <w:color w:val="000000"/>
          <w:sz w:val="20"/>
          <w:lang w:val="en-GB"/>
        </w:rPr>
        <w:t xml:space="preserve">of </w:t>
      </w:r>
      <w:r w:rsidRPr="00604D97">
        <w:rPr>
          <w:rFonts w:ascii="Arial" w:hAnsi="Arial" w:cs="Arial"/>
          <w:color w:val="000000"/>
          <w:sz w:val="20"/>
          <w:lang w:val="en-GB"/>
        </w:rPr>
        <w:t xml:space="preserve">the </w:t>
      </w:r>
      <w:r w:rsidR="00352F1B" w:rsidRPr="00604D97">
        <w:rPr>
          <w:rFonts w:ascii="Arial" w:hAnsi="Arial" w:cs="Arial"/>
          <w:color w:val="000000"/>
          <w:sz w:val="20"/>
          <w:lang w:val="en-GB"/>
        </w:rPr>
        <w:t>“matching” se</w:t>
      </w:r>
      <w:r w:rsidR="00C3390D" w:rsidRPr="00604D97">
        <w:rPr>
          <w:rFonts w:ascii="Arial" w:hAnsi="Arial" w:cs="Arial"/>
          <w:color w:val="000000"/>
          <w:sz w:val="20"/>
          <w:lang w:val="en-GB"/>
        </w:rPr>
        <w:t>ct</w:t>
      </w:r>
      <w:r w:rsidR="00352F1B" w:rsidRPr="00604D97">
        <w:rPr>
          <w:rFonts w:ascii="Arial" w:hAnsi="Arial" w:cs="Arial"/>
          <w:color w:val="000000"/>
          <w:sz w:val="20"/>
          <w:lang w:val="en-GB"/>
        </w:rPr>
        <w:t>ion</w:t>
      </w:r>
    </w:p>
    <w:p w14:paraId="784AB533" w14:textId="6FE16A45" w:rsidR="00C5359B" w:rsidRPr="00604D97" w:rsidRDefault="00C5359B" w:rsidP="00C3390D">
      <w:pPr>
        <w:pStyle w:val="Paragraphedeliste"/>
        <w:numPr>
          <w:ilvl w:val="0"/>
          <w:numId w:val="16"/>
        </w:numPr>
        <w:autoSpaceDE w:val="0"/>
        <w:autoSpaceDN w:val="0"/>
        <w:adjustRightInd w:val="0"/>
        <w:spacing w:after="0" w:line="240" w:lineRule="atLeast"/>
        <w:jc w:val="both"/>
        <w:rPr>
          <w:rFonts w:ascii="Arial" w:hAnsi="Arial" w:cs="Arial"/>
          <w:color w:val="000000"/>
          <w:sz w:val="20"/>
          <w:lang w:val="en-GB"/>
        </w:rPr>
      </w:pPr>
      <w:r w:rsidRPr="00604D97">
        <w:rPr>
          <w:rFonts w:ascii="Arial" w:hAnsi="Arial" w:cs="Arial"/>
          <w:color w:val="000000"/>
          <w:sz w:val="20"/>
          <w:lang w:val="en-GB"/>
        </w:rPr>
        <w:t xml:space="preserve">last </w:t>
      </w:r>
      <w:r w:rsidR="005B29D4" w:rsidRPr="00604D97">
        <w:rPr>
          <w:rFonts w:ascii="Arial" w:hAnsi="Arial" w:cs="Arial"/>
          <w:color w:val="000000"/>
          <w:sz w:val="20"/>
          <w:lang w:val="en-GB"/>
        </w:rPr>
        <w:t xml:space="preserve">§ </w:t>
      </w:r>
      <w:r w:rsidRPr="00604D97">
        <w:rPr>
          <w:rFonts w:ascii="Arial" w:hAnsi="Arial" w:cs="Arial"/>
          <w:color w:val="000000"/>
          <w:sz w:val="20"/>
          <w:lang w:val="en-GB"/>
        </w:rPr>
        <w:t xml:space="preserve">of </w:t>
      </w:r>
      <w:r w:rsidR="005B29D4" w:rsidRPr="00604D97">
        <w:rPr>
          <w:rFonts w:ascii="Arial" w:hAnsi="Arial" w:cs="Arial"/>
          <w:color w:val="000000"/>
          <w:sz w:val="20"/>
          <w:lang w:val="en-GB"/>
        </w:rPr>
        <w:t xml:space="preserve">the </w:t>
      </w:r>
      <w:r w:rsidRPr="00604D97">
        <w:rPr>
          <w:rFonts w:ascii="Arial" w:hAnsi="Arial" w:cs="Arial"/>
          <w:color w:val="000000"/>
          <w:sz w:val="20"/>
          <w:lang w:val="en-GB"/>
        </w:rPr>
        <w:t>“costs and benefits of switching investments</w:t>
      </w:r>
      <w:r w:rsidR="005B29D4" w:rsidRPr="00604D97">
        <w:rPr>
          <w:rFonts w:ascii="Arial" w:hAnsi="Arial" w:cs="Arial"/>
          <w:color w:val="000000"/>
          <w:sz w:val="20"/>
          <w:lang w:val="en-GB"/>
        </w:rPr>
        <w:t>”</w:t>
      </w:r>
      <w:r w:rsidRPr="00604D97">
        <w:rPr>
          <w:rFonts w:ascii="Arial" w:hAnsi="Arial" w:cs="Arial"/>
          <w:color w:val="000000"/>
          <w:sz w:val="20"/>
          <w:lang w:val="en-GB"/>
        </w:rPr>
        <w:t xml:space="preserve"> </w:t>
      </w:r>
      <w:r w:rsidR="00C3390D" w:rsidRPr="00604D97">
        <w:rPr>
          <w:rFonts w:ascii="Arial" w:hAnsi="Arial" w:cs="Arial"/>
          <w:color w:val="000000"/>
          <w:sz w:val="20"/>
          <w:lang w:val="en-GB"/>
        </w:rPr>
        <w:t>section</w:t>
      </w:r>
    </w:p>
    <w:p w14:paraId="440BA1AB" w14:textId="77777777" w:rsidR="00400EFB" w:rsidRPr="00604D97" w:rsidRDefault="00400EFB" w:rsidP="00731FD9">
      <w:pPr>
        <w:autoSpaceDE w:val="0"/>
        <w:autoSpaceDN w:val="0"/>
        <w:adjustRightInd w:val="0"/>
        <w:spacing w:after="0" w:line="240" w:lineRule="atLeast"/>
        <w:jc w:val="both"/>
        <w:rPr>
          <w:rFonts w:ascii="Arial" w:hAnsi="Arial" w:cs="Arial"/>
          <w:color w:val="000000"/>
          <w:sz w:val="20"/>
          <w:lang w:val="en-GB"/>
        </w:rPr>
      </w:pPr>
    </w:p>
    <w:p w14:paraId="77F7355C" w14:textId="6EDA8D00" w:rsidR="005A5077" w:rsidRPr="00604D97" w:rsidRDefault="0080607C" w:rsidP="000E2D58">
      <w:pPr>
        <w:spacing w:after="0" w:line="240" w:lineRule="atLeast"/>
        <w:contextualSpacing/>
        <w:jc w:val="both"/>
        <w:rPr>
          <w:rFonts w:ascii="Arial" w:eastAsia="Times New Roman" w:hAnsi="Arial" w:cs="Arial"/>
          <w:sz w:val="20"/>
          <w:szCs w:val="20"/>
          <w:lang w:val="en-GB" w:eastAsia="fr-FR"/>
        </w:rPr>
      </w:pPr>
      <w:r w:rsidRPr="00604D97">
        <w:rPr>
          <w:rFonts w:ascii="Arial" w:hAnsi="Arial" w:cs="Arial"/>
          <w:color w:val="000000"/>
          <w:sz w:val="20"/>
          <w:lang w:val="en-GB"/>
        </w:rPr>
        <w:t xml:space="preserve">Some good practices </w:t>
      </w:r>
      <w:r w:rsidR="00C77ED9" w:rsidRPr="00604D97">
        <w:rPr>
          <w:rFonts w:ascii="Arial" w:hAnsi="Arial" w:cs="Arial"/>
          <w:color w:val="000000"/>
          <w:sz w:val="20"/>
          <w:lang w:val="en-GB"/>
        </w:rPr>
        <w:t xml:space="preserve">also </w:t>
      </w:r>
      <w:r w:rsidRPr="00604D97">
        <w:rPr>
          <w:rFonts w:ascii="Arial" w:hAnsi="Arial" w:cs="Arial"/>
          <w:color w:val="000000"/>
          <w:sz w:val="20"/>
          <w:lang w:val="en-GB"/>
        </w:rPr>
        <w:t xml:space="preserve">seem to go too </w:t>
      </w:r>
      <w:r w:rsidR="00E22851" w:rsidRPr="00604D97">
        <w:rPr>
          <w:rFonts w:ascii="Arial" w:hAnsi="Arial" w:cs="Arial"/>
          <w:color w:val="000000"/>
          <w:sz w:val="20"/>
          <w:lang w:val="en-GB"/>
        </w:rPr>
        <w:t>far</w:t>
      </w:r>
      <w:r w:rsidRPr="00604D97">
        <w:rPr>
          <w:rFonts w:ascii="Arial" w:hAnsi="Arial" w:cs="Arial"/>
          <w:color w:val="000000"/>
          <w:sz w:val="20"/>
          <w:lang w:val="en-GB"/>
        </w:rPr>
        <w:t>:</w:t>
      </w:r>
      <w:r w:rsidR="00B47916" w:rsidRPr="00604D97">
        <w:rPr>
          <w:rFonts w:ascii="Arial" w:hAnsi="Arial" w:cs="Arial"/>
          <w:color w:val="000000"/>
          <w:sz w:val="20"/>
          <w:lang w:val="en-GB"/>
        </w:rPr>
        <w:t xml:space="preserve"> this is </w:t>
      </w:r>
      <w:r w:rsidR="00005A54" w:rsidRPr="00604D97">
        <w:rPr>
          <w:rFonts w:ascii="Arial" w:hAnsi="Arial" w:cs="Arial"/>
          <w:color w:val="000000"/>
          <w:sz w:val="20"/>
          <w:lang w:val="en-GB"/>
        </w:rPr>
        <w:t>particular</w:t>
      </w:r>
      <w:r w:rsidR="00533812" w:rsidRPr="00604D97">
        <w:rPr>
          <w:rFonts w:ascii="Arial" w:hAnsi="Arial" w:cs="Arial"/>
          <w:color w:val="000000"/>
          <w:sz w:val="20"/>
          <w:lang w:val="en-GB"/>
        </w:rPr>
        <w:t>ly</w:t>
      </w:r>
      <w:r w:rsidR="00005A54" w:rsidRPr="00604D97">
        <w:rPr>
          <w:rFonts w:ascii="Arial" w:hAnsi="Arial" w:cs="Arial"/>
          <w:color w:val="000000"/>
          <w:sz w:val="20"/>
          <w:lang w:val="en-GB"/>
        </w:rPr>
        <w:t xml:space="preserve"> </w:t>
      </w:r>
      <w:r w:rsidR="00B47916" w:rsidRPr="00604D97">
        <w:rPr>
          <w:rFonts w:ascii="Arial" w:hAnsi="Arial" w:cs="Arial"/>
          <w:color w:val="000000"/>
          <w:sz w:val="20"/>
          <w:lang w:val="en-GB"/>
        </w:rPr>
        <w:t xml:space="preserve">the case </w:t>
      </w:r>
      <w:r w:rsidR="00533812" w:rsidRPr="00604D97">
        <w:rPr>
          <w:rFonts w:ascii="Arial" w:hAnsi="Arial" w:cs="Arial"/>
          <w:color w:val="000000"/>
          <w:sz w:val="20"/>
          <w:lang w:val="en-GB"/>
        </w:rPr>
        <w:t xml:space="preserve">of the </w:t>
      </w:r>
      <w:r w:rsidR="00D416CA" w:rsidRPr="00604D97">
        <w:rPr>
          <w:rFonts w:ascii="Arial" w:hAnsi="Arial" w:cs="Arial"/>
          <w:color w:val="000000"/>
          <w:sz w:val="20"/>
          <w:lang w:val="en-GB"/>
        </w:rPr>
        <w:t>2</w:t>
      </w:r>
      <w:r w:rsidR="00D416CA" w:rsidRPr="00604D97">
        <w:rPr>
          <w:rFonts w:ascii="Arial" w:hAnsi="Arial" w:cs="Arial"/>
          <w:color w:val="000000"/>
          <w:sz w:val="20"/>
          <w:vertAlign w:val="superscript"/>
          <w:lang w:val="en-GB"/>
        </w:rPr>
        <w:t>nd</w:t>
      </w:r>
      <w:r w:rsidR="00D416CA" w:rsidRPr="00604D97">
        <w:rPr>
          <w:rFonts w:ascii="Arial" w:hAnsi="Arial" w:cs="Arial"/>
          <w:color w:val="000000"/>
          <w:sz w:val="20"/>
          <w:lang w:val="en-GB"/>
        </w:rPr>
        <w:t xml:space="preserve"> </w:t>
      </w:r>
      <w:r w:rsidR="008A49D6" w:rsidRPr="00604D97">
        <w:rPr>
          <w:rFonts w:ascii="Arial" w:hAnsi="Arial" w:cs="Arial"/>
          <w:color w:val="000000"/>
          <w:sz w:val="20"/>
          <w:lang w:val="en-GB"/>
        </w:rPr>
        <w:t xml:space="preserve">§ </w:t>
      </w:r>
      <w:r w:rsidR="0044712E" w:rsidRPr="00604D97">
        <w:rPr>
          <w:rFonts w:ascii="Arial" w:hAnsi="Arial" w:cs="Arial"/>
          <w:color w:val="000000"/>
          <w:sz w:val="20"/>
          <w:lang w:val="en-GB"/>
        </w:rPr>
        <w:t xml:space="preserve">of </w:t>
      </w:r>
      <w:r w:rsidR="008A49D6" w:rsidRPr="00604D97">
        <w:rPr>
          <w:rFonts w:ascii="Arial" w:hAnsi="Arial" w:cs="Arial"/>
          <w:color w:val="000000"/>
          <w:sz w:val="20"/>
          <w:lang w:val="en-GB"/>
        </w:rPr>
        <w:t xml:space="preserve">the </w:t>
      </w:r>
      <w:r w:rsidR="0044712E" w:rsidRPr="00604D97">
        <w:rPr>
          <w:rFonts w:ascii="Arial" w:hAnsi="Arial" w:cs="Arial"/>
          <w:color w:val="000000"/>
          <w:sz w:val="20"/>
          <w:lang w:val="en-GB"/>
        </w:rPr>
        <w:t>“</w:t>
      </w:r>
      <w:r w:rsidR="009323F5" w:rsidRPr="00604D97">
        <w:rPr>
          <w:rFonts w:ascii="Arial" w:hAnsi="Arial" w:cs="Arial"/>
          <w:color w:val="000000"/>
          <w:sz w:val="20"/>
          <w:lang w:val="en-GB"/>
        </w:rPr>
        <w:t>indicators</w:t>
      </w:r>
      <w:r w:rsidR="00D416CA" w:rsidRPr="00604D97">
        <w:rPr>
          <w:rFonts w:ascii="Arial" w:hAnsi="Arial" w:cs="Arial"/>
          <w:color w:val="000000"/>
          <w:sz w:val="20"/>
          <w:lang w:val="en-GB"/>
        </w:rPr>
        <w:t>/ monitoring control functions</w:t>
      </w:r>
      <w:r w:rsidR="009B6EC8" w:rsidRPr="00604D97">
        <w:rPr>
          <w:rFonts w:ascii="Arial" w:hAnsi="Arial" w:cs="Arial"/>
          <w:color w:val="000000"/>
          <w:sz w:val="20"/>
          <w:lang w:val="en-GB"/>
        </w:rPr>
        <w:t>”</w:t>
      </w:r>
      <w:r w:rsidR="009323F5" w:rsidRPr="00604D97">
        <w:rPr>
          <w:rFonts w:ascii="Arial" w:hAnsi="Arial" w:cs="Arial"/>
          <w:color w:val="000000"/>
          <w:sz w:val="20"/>
          <w:lang w:val="en-GB"/>
        </w:rPr>
        <w:t xml:space="preserve"> </w:t>
      </w:r>
      <w:r w:rsidR="00E22851" w:rsidRPr="00604D97">
        <w:rPr>
          <w:rFonts w:ascii="Arial" w:hAnsi="Arial" w:cs="Arial"/>
          <w:color w:val="000000"/>
          <w:sz w:val="20"/>
          <w:lang w:val="en-GB"/>
        </w:rPr>
        <w:t>se</w:t>
      </w:r>
      <w:r w:rsidR="00C3390D" w:rsidRPr="00604D97">
        <w:rPr>
          <w:rFonts w:ascii="Arial" w:hAnsi="Arial" w:cs="Arial"/>
          <w:color w:val="000000"/>
          <w:sz w:val="20"/>
          <w:lang w:val="en-GB"/>
        </w:rPr>
        <w:t>ct</w:t>
      </w:r>
      <w:r w:rsidR="00E22851" w:rsidRPr="00604D97">
        <w:rPr>
          <w:rFonts w:ascii="Arial" w:hAnsi="Arial" w:cs="Arial"/>
          <w:color w:val="000000"/>
          <w:sz w:val="20"/>
          <w:lang w:val="en-GB"/>
        </w:rPr>
        <w:t>ion</w:t>
      </w:r>
      <w:r w:rsidR="009B6EC8" w:rsidRPr="00604D97">
        <w:rPr>
          <w:rFonts w:ascii="Arial" w:hAnsi="Arial" w:cs="Arial"/>
          <w:color w:val="000000"/>
          <w:sz w:val="20"/>
          <w:lang w:val="en-GB"/>
        </w:rPr>
        <w:t xml:space="preserve"> promoting f</w:t>
      </w:r>
      <w:bookmarkStart w:id="25" w:name="_Hlk97201545"/>
      <w:r w:rsidR="00024F61" w:rsidRPr="00604D97">
        <w:rPr>
          <w:rFonts w:ascii="Arial" w:hAnsi="Arial" w:cs="Arial"/>
          <w:color w:val="000000"/>
          <w:sz w:val="20"/>
          <w:lang w:val="en-GB"/>
        </w:rPr>
        <w:t>requent</w:t>
      </w:r>
      <w:r w:rsidR="00432971" w:rsidRPr="00604D97">
        <w:rPr>
          <w:rFonts w:ascii="Arial" w:hAnsi="Arial" w:cs="Arial"/>
          <w:color w:val="000000"/>
          <w:sz w:val="20"/>
          <w:lang w:val="en-GB"/>
        </w:rPr>
        <w:t xml:space="preserve"> and </w:t>
      </w:r>
      <w:r w:rsidR="00024F61" w:rsidRPr="00604D97">
        <w:rPr>
          <w:rFonts w:ascii="Arial" w:hAnsi="Arial" w:cs="Arial"/>
          <w:color w:val="000000"/>
          <w:sz w:val="20"/>
          <w:lang w:val="en-GB"/>
        </w:rPr>
        <w:t>thorough</w:t>
      </w:r>
      <w:r w:rsidR="00432971" w:rsidRPr="00604D97">
        <w:rPr>
          <w:rFonts w:ascii="Arial" w:hAnsi="Arial" w:cs="Arial"/>
          <w:color w:val="000000"/>
          <w:sz w:val="20"/>
          <w:lang w:val="en-GB"/>
        </w:rPr>
        <w:t xml:space="preserve"> review of all</w:t>
      </w:r>
      <w:r w:rsidR="00024F61" w:rsidRPr="00604D97">
        <w:rPr>
          <w:rFonts w:ascii="Arial" w:hAnsi="Arial" w:cs="Arial"/>
          <w:color w:val="000000"/>
          <w:sz w:val="20"/>
          <w:lang w:val="en-GB"/>
        </w:rPr>
        <w:t xml:space="preserve"> </w:t>
      </w:r>
      <w:r w:rsidR="00432971" w:rsidRPr="00604D97">
        <w:rPr>
          <w:rFonts w:ascii="Arial" w:hAnsi="Arial" w:cs="Arial"/>
          <w:color w:val="000000"/>
          <w:sz w:val="20"/>
          <w:lang w:val="en-GB"/>
        </w:rPr>
        <w:t>aspects of suitability practices</w:t>
      </w:r>
      <w:bookmarkEnd w:id="25"/>
      <w:r w:rsidR="00E67198" w:rsidRPr="00604D97">
        <w:rPr>
          <w:rFonts w:ascii="Arial" w:hAnsi="Arial" w:cs="Arial"/>
          <w:color w:val="000000"/>
          <w:sz w:val="20"/>
          <w:lang w:val="en-GB"/>
        </w:rPr>
        <w:t>.</w:t>
      </w:r>
      <w:r w:rsidR="00432971" w:rsidRPr="00604D97">
        <w:rPr>
          <w:rFonts w:ascii="Arial" w:hAnsi="Arial" w:cs="Arial"/>
          <w:color w:val="000000"/>
          <w:sz w:val="20"/>
          <w:lang w:val="en-GB"/>
        </w:rPr>
        <w:t xml:space="preserve"> </w:t>
      </w:r>
      <w:r w:rsidR="00E67198" w:rsidRPr="00604D97">
        <w:rPr>
          <w:rFonts w:ascii="Arial" w:hAnsi="Arial" w:cs="Arial"/>
          <w:color w:val="000000"/>
          <w:sz w:val="20"/>
          <w:lang w:val="en-GB"/>
        </w:rPr>
        <w:t>U</w:t>
      </w:r>
      <w:r w:rsidR="00024F61" w:rsidRPr="00604D97">
        <w:rPr>
          <w:rFonts w:ascii="Arial" w:hAnsi="Arial" w:cs="Arial"/>
          <w:color w:val="000000"/>
          <w:sz w:val="20"/>
          <w:lang w:val="en-GB"/>
        </w:rPr>
        <w:t xml:space="preserve">nder </w:t>
      </w:r>
      <w:r w:rsidR="00CF254E" w:rsidRPr="00604D97">
        <w:rPr>
          <w:rFonts w:ascii="Arial" w:hAnsi="Arial" w:cs="Arial"/>
          <w:color w:val="000000"/>
          <w:sz w:val="20"/>
          <w:lang w:val="en-GB"/>
        </w:rPr>
        <w:t>ESMA</w:t>
      </w:r>
      <w:r w:rsidR="0094619D" w:rsidRPr="00604D97">
        <w:rPr>
          <w:rFonts w:ascii="Arial" w:hAnsi="Arial" w:cs="Arial"/>
          <w:color w:val="000000"/>
          <w:sz w:val="20"/>
          <w:lang w:val="en-GB"/>
        </w:rPr>
        <w:t xml:space="preserve">’s </w:t>
      </w:r>
      <w:r w:rsidR="00024F61" w:rsidRPr="00604D97">
        <w:rPr>
          <w:rFonts w:ascii="Arial" w:hAnsi="Arial" w:cs="Arial"/>
          <w:color w:val="000000"/>
          <w:sz w:val="20"/>
          <w:lang w:val="en-GB"/>
        </w:rPr>
        <w:t>compliance guidelines, investment firms must have a risk</w:t>
      </w:r>
      <w:r w:rsidR="00E67198" w:rsidRPr="00604D97">
        <w:rPr>
          <w:rFonts w:ascii="Arial" w:hAnsi="Arial" w:cs="Arial"/>
          <w:color w:val="000000"/>
          <w:sz w:val="20"/>
          <w:lang w:val="en-GB"/>
        </w:rPr>
        <w:t>-</w:t>
      </w:r>
      <w:r w:rsidR="00024F61" w:rsidRPr="00604D97">
        <w:rPr>
          <w:rFonts w:ascii="Arial" w:hAnsi="Arial" w:cs="Arial"/>
          <w:color w:val="000000"/>
          <w:sz w:val="20"/>
          <w:lang w:val="en-GB"/>
        </w:rPr>
        <w:t xml:space="preserve">based and proportionate approach for controls. Therefore, under such </w:t>
      </w:r>
      <w:r w:rsidR="009B6EC8" w:rsidRPr="00604D97">
        <w:rPr>
          <w:rFonts w:ascii="Arial" w:hAnsi="Arial" w:cs="Arial"/>
          <w:color w:val="000000"/>
          <w:sz w:val="20"/>
          <w:lang w:val="en-GB"/>
        </w:rPr>
        <w:t>principle</w:t>
      </w:r>
      <w:r w:rsidR="00024F61" w:rsidRPr="00604D97">
        <w:rPr>
          <w:rFonts w:ascii="Arial" w:hAnsi="Arial" w:cs="Arial"/>
          <w:color w:val="000000"/>
          <w:sz w:val="20"/>
          <w:lang w:val="en-GB"/>
        </w:rPr>
        <w:t>, a frequent and thorough review of all aspects of suitability practices should only be required</w:t>
      </w:r>
      <w:r w:rsidR="00211D93" w:rsidRPr="00604D97">
        <w:rPr>
          <w:rFonts w:ascii="Arial" w:hAnsi="Arial" w:cs="Arial"/>
          <w:color w:val="000000"/>
          <w:sz w:val="20"/>
          <w:lang w:val="en-GB"/>
        </w:rPr>
        <w:t xml:space="preserve"> where an</w:t>
      </w:r>
      <w:r w:rsidR="00292DF9" w:rsidRPr="00604D97">
        <w:rPr>
          <w:rFonts w:ascii="Arial" w:hAnsi="Arial" w:cs="Arial"/>
          <w:color w:val="000000"/>
          <w:sz w:val="20"/>
          <w:lang w:val="en-GB"/>
        </w:rPr>
        <w:t>d</w:t>
      </w:r>
      <w:r w:rsidR="00211D93" w:rsidRPr="00604D97">
        <w:rPr>
          <w:rFonts w:ascii="Arial" w:hAnsi="Arial" w:cs="Arial"/>
          <w:color w:val="000000"/>
          <w:sz w:val="20"/>
          <w:lang w:val="en-GB"/>
        </w:rPr>
        <w:t xml:space="preserve"> when the firm has assessed the related risks as mandating such </w:t>
      </w:r>
      <w:r w:rsidR="00292DF9" w:rsidRPr="00604D97">
        <w:rPr>
          <w:rFonts w:ascii="Arial" w:hAnsi="Arial" w:cs="Arial"/>
          <w:color w:val="000000"/>
          <w:sz w:val="20"/>
          <w:lang w:val="en-GB"/>
        </w:rPr>
        <w:t>thoroughness and frequency</w:t>
      </w:r>
      <w:r w:rsidR="003B2EF4" w:rsidRPr="00604D97">
        <w:rPr>
          <w:rFonts w:ascii="Arial" w:hAnsi="Arial" w:cs="Arial"/>
          <w:color w:val="000000"/>
          <w:sz w:val="20"/>
          <w:lang w:val="en-GB"/>
        </w:rPr>
        <w:t xml:space="preserve"> </w:t>
      </w:r>
      <w:r w:rsidR="00D3212C" w:rsidRPr="00604D97">
        <w:rPr>
          <w:rFonts w:ascii="Arial" w:hAnsi="Arial" w:cs="Arial"/>
          <w:color w:val="000000"/>
          <w:sz w:val="20"/>
          <w:lang w:val="en-GB"/>
        </w:rPr>
        <w:t xml:space="preserve">The freedom (and resulting </w:t>
      </w:r>
      <w:r w:rsidR="00BE6038" w:rsidRPr="00604D97">
        <w:rPr>
          <w:rFonts w:ascii="Arial" w:hAnsi="Arial" w:cs="Arial"/>
          <w:color w:val="000000"/>
          <w:sz w:val="20"/>
          <w:lang w:val="en-GB"/>
        </w:rPr>
        <w:t>responsibility</w:t>
      </w:r>
      <w:r w:rsidR="00D3212C" w:rsidRPr="00604D97">
        <w:rPr>
          <w:rFonts w:ascii="Arial" w:hAnsi="Arial" w:cs="Arial"/>
          <w:color w:val="000000"/>
          <w:sz w:val="20"/>
          <w:lang w:val="en-GB"/>
        </w:rPr>
        <w:t xml:space="preserve">) of </w:t>
      </w:r>
      <w:r w:rsidR="00BE6038" w:rsidRPr="00604D97">
        <w:rPr>
          <w:rFonts w:ascii="Arial" w:hAnsi="Arial" w:cs="Arial"/>
          <w:color w:val="000000"/>
          <w:sz w:val="20"/>
          <w:lang w:val="en-GB"/>
        </w:rPr>
        <w:t xml:space="preserve">the firm in applying a risk-based approach </w:t>
      </w:r>
      <w:r w:rsidR="00F92884" w:rsidRPr="00604D97">
        <w:rPr>
          <w:rFonts w:ascii="Arial" w:hAnsi="Arial" w:cs="Arial"/>
          <w:color w:val="000000"/>
          <w:sz w:val="20"/>
          <w:lang w:val="en-GB"/>
        </w:rPr>
        <w:t>to its control proc</w:t>
      </w:r>
      <w:r w:rsidR="00F86ED0" w:rsidRPr="00604D97">
        <w:rPr>
          <w:rFonts w:ascii="Arial" w:hAnsi="Arial" w:cs="Arial"/>
          <w:color w:val="000000"/>
          <w:sz w:val="20"/>
          <w:lang w:val="en-GB"/>
        </w:rPr>
        <w:t xml:space="preserve">esses </w:t>
      </w:r>
      <w:r w:rsidR="00BE6038" w:rsidRPr="00604D97">
        <w:rPr>
          <w:rFonts w:ascii="Arial" w:hAnsi="Arial" w:cs="Arial"/>
          <w:color w:val="000000"/>
          <w:sz w:val="20"/>
          <w:lang w:val="en-GB"/>
        </w:rPr>
        <w:t xml:space="preserve">should apply </w:t>
      </w:r>
      <w:r w:rsidR="00F86ED0" w:rsidRPr="00604D97">
        <w:rPr>
          <w:rFonts w:ascii="Arial" w:hAnsi="Arial" w:cs="Arial"/>
          <w:color w:val="000000"/>
          <w:sz w:val="20"/>
          <w:lang w:val="en-GB"/>
        </w:rPr>
        <w:t>to</w:t>
      </w:r>
      <w:r w:rsidR="00BE6038" w:rsidRPr="00604D97">
        <w:rPr>
          <w:rFonts w:ascii="Arial" w:hAnsi="Arial" w:cs="Arial"/>
          <w:color w:val="000000"/>
          <w:sz w:val="20"/>
          <w:lang w:val="en-GB"/>
        </w:rPr>
        <w:t xml:space="preserve"> suitability practices, as with any oth</w:t>
      </w:r>
      <w:r w:rsidR="000B3534" w:rsidRPr="00604D97">
        <w:rPr>
          <w:rFonts w:ascii="Arial" w:hAnsi="Arial" w:cs="Arial"/>
          <w:color w:val="000000"/>
          <w:sz w:val="20"/>
          <w:lang w:val="en-GB"/>
        </w:rPr>
        <w:t>er of its processes resulting from MiFID II.</w:t>
      </w:r>
    </w:p>
    <w:p w14:paraId="29CA0293" w14:textId="5DA2FFE8" w:rsidR="001B2A9A" w:rsidRPr="00604D97" w:rsidRDefault="001B2A9A" w:rsidP="00731FD9">
      <w:pPr>
        <w:spacing w:after="0" w:line="240" w:lineRule="atLeast"/>
        <w:contextualSpacing/>
        <w:jc w:val="both"/>
        <w:rPr>
          <w:rFonts w:ascii="Arial" w:hAnsi="Arial" w:cs="Arial"/>
          <w:sz w:val="20"/>
          <w:szCs w:val="20"/>
          <w:lang w:val="en-GB"/>
        </w:rPr>
      </w:pPr>
    </w:p>
    <w:p w14:paraId="0596511A" w14:textId="273EE936"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bookmarkStart w:id="26" w:name="_Hlk101449486"/>
      <w:r w:rsidRPr="00604D97">
        <w:rPr>
          <w:rFonts w:ascii="Arial" w:hAnsi="Arial" w:cs="Arial"/>
          <w:sz w:val="20"/>
          <w:szCs w:val="20"/>
          <w:lang w:val="en-US"/>
        </w:rPr>
        <w:t>We also have comments on the below good practices</w:t>
      </w:r>
    </w:p>
    <w:p w14:paraId="72B207F1" w14:textId="77777777"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p>
    <w:p w14:paraId="32E79CEA" w14:textId="5D66B49D"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r w:rsidRPr="00604D97">
        <w:rPr>
          <w:rFonts w:ascii="Arial" w:hAnsi="Arial" w:cs="Arial"/>
          <w:sz w:val="20"/>
          <w:szCs w:val="20"/>
          <w:lang w:val="en-US"/>
        </w:rPr>
        <w:t>“</w:t>
      </w:r>
      <w:r w:rsidRPr="00604D97">
        <w:rPr>
          <w:rFonts w:ascii="Arial" w:hAnsi="Arial" w:cs="Arial"/>
          <w:i/>
          <w:iCs/>
          <w:sz w:val="20"/>
          <w:szCs w:val="20"/>
          <w:lang w:val="en-US"/>
        </w:rPr>
        <w:t>On the cost/benefit analysis of the switch, the provision of a simple and clear overview of the portfolio before and after the recommended transaction, which includes the expected (excess) return and costs related to the switch. By doing so, a client will understand what the effect of the switch would be on the expected return of his portfolio</w:t>
      </w:r>
      <w:r w:rsidRPr="00604D97">
        <w:rPr>
          <w:rFonts w:ascii="Arial" w:hAnsi="Arial" w:cs="Arial"/>
          <w:sz w:val="20"/>
          <w:szCs w:val="20"/>
          <w:lang w:val="en-US"/>
        </w:rPr>
        <w:t xml:space="preserve">”: in several situation, the switch is not driven by the expectation of </w:t>
      </w:r>
      <w:proofErr w:type="gramStart"/>
      <w:r w:rsidRPr="00604D97">
        <w:rPr>
          <w:rFonts w:ascii="Arial" w:hAnsi="Arial" w:cs="Arial"/>
          <w:sz w:val="20"/>
          <w:szCs w:val="20"/>
          <w:lang w:val="en-US"/>
        </w:rPr>
        <w:t>an</w:t>
      </w:r>
      <w:proofErr w:type="gramEnd"/>
      <w:r w:rsidRPr="00604D97">
        <w:rPr>
          <w:rFonts w:ascii="Arial" w:hAnsi="Arial" w:cs="Arial"/>
          <w:sz w:val="20"/>
          <w:szCs w:val="20"/>
          <w:lang w:val="en-US"/>
        </w:rPr>
        <w:t xml:space="preserve"> higher return but, for instance, by the alignment of the portfolio to the risk profile of the client, the diversification of the assets, </w:t>
      </w:r>
      <w:r w:rsidR="009E4F74" w:rsidRPr="00604D97">
        <w:rPr>
          <w:rFonts w:ascii="Arial" w:hAnsi="Arial" w:cs="Arial"/>
          <w:sz w:val="20"/>
          <w:szCs w:val="20"/>
          <w:lang w:val="en-US"/>
        </w:rPr>
        <w:t>etc.</w:t>
      </w:r>
      <w:r w:rsidRPr="00604D97">
        <w:rPr>
          <w:rFonts w:ascii="Arial" w:hAnsi="Arial" w:cs="Arial"/>
          <w:sz w:val="20"/>
          <w:szCs w:val="20"/>
          <w:lang w:val="en-US"/>
        </w:rPr>
        <w:t xml:space="preserve">…. </w:t>
      </w:r>
      <w:r w:rsidR="009E4F74" w:rsidRPr="00604D97">
        <w:rPr>
          <w:rFonts w:ascii="Arial" w:hAnsi="Arial" w:cs="Arial"/>
          <w:sz w:val="20"/>
          <w:szCs w:val="20"/>
          <w:lang w:val="en-US"/>
        </w:rPr>
        <w:t>Also,</w:t>
      </w:r>
      <w:r w:rsidRPr="00604D97">
        <w:rPr>
          <w:rFonts w:ascii="Arial" w:hAnsi="Arial" w:cs="Arial"/>
          <w:sz w:val="20"/>
          <w:szCs w:val="20"/>
          <w:lang w:val="en-US"/>
        </w:rPr>
        <w:t xml:space="preserve"> any expected return/costs would need to be expressed on </w:t>
      </w:r>
      <w:proofErr w:type="gramStart"/>
      <w:r w:rsidRPr="00604D97">
        <w:rPr>
          <w:rFonts w:ascii="Arial" w:hAnsi="Arial" w:cs="Arial"/>
          <w:sz w:val="20"/>
          <w:szCs w:val="20"/>
          <w:lang w:val="en-US"/>
        </w:rPr>
        <w:t>an</w:t>
      </w:r>
      <w:proofErr w:type="gramEnd"/>
      <w:r w:rsidRPr="00604D97">
        <w:rPr>
          <w:rFonts w:ascii="Arial" w:hAnsi="Arial" w:cs="Arial"/>
          <w:sz w:val="20"/>
          <w:szCs w:val="20"/>
          <w:lang w:val="en-US"/>
        </w:rPr>
        <w:t xml:space="preserve"> certain period, and </w:t>
      </w:r>
      <w:r w:rsidRPr="00604D97">
        <w:rPr>
          <w:rFonts w:ascii="Arial" w:hAnsi="Arial" w:cs="Arial"/>
          <w:sz w:val="20"/>
          <w:szCs w:val="20"/>
          <w:lang w:val="en-US"/>
        </w:rPr>
        <w:lastRenderedPageBreak/>
        <w:t>choosing this period may be very challenging (in particular if the product sold has a risk profile different from the product bought, or if the switch result from a change in the client investment profile…). We therefore recommend deleting this example of “good practice”, which may be misleading for the client.</w:t>
      </w:r>
    </w:p>
    <w:p w14:paraId="7A7B9A4A" w14:textId="77D3EBF3"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r w:rsidRPr="00604D97">
        <w:rPr>
          <w:rFonts w:ascii="Arial" w:hAnsi="Arial" w:cs="Arial"/>
          <w:sz w:val="20"/>
          <w:szCs w:val="20"/>
          <w:lang w:val="en-US"/>
        </w:rPr>
        <w:t>“</w:t>
      </w:r>
      <w:r w:rsidRPr="00604D97">
        <w:rPr>
          <w:rFonts w:ascii="Arial" w:hAnsi="Arial" w:cs="Arial"/>
          <w:i/>
          <w:iCs/>
          <w:sz w:val="20"/>
          <w:szCs w:val="20"/>
          <w:lang w:val="en-US"/>
        </w:rPr>
        <w:t xml:space="preserve">Continuous monitoring by control functions </w:t>
      </w:r>
      <w:r w:rsidRPr="00604D97">
        <w:rPr>
          <w:rFonts w:ascii="Arial" w:hAnsi="Arial" w:cs="Arial"/>
          <w:i/>
          <w:iCs/>
          <w:strike/>
          <w:sz w:val="20"/>
          <w:szCs w:val="20"/>
          <w:lang w:val="en-US"/>
        </w:rPr>
        <w:t xml:space="preserve">(compliance and internal audit) </w:t>
      </w:r>
      <w:r w:rsidRPr="00604D97">
        <w:rPr>
          <w:rFonts w:ascii="Arial" w:hAnsi="Arial" w:cs="Arial"/>
          <w:i/>
          <w:iCs/>
          <w:sz w:val="20"/>
          <w:szCs w:val="20"/>
          <w:lang w:val="en-US"/>
        </w:rPr>
        <w:t xml:space="preserve">of advisors’ performance to assess advisory activity and </w:t>
      </w:r>
      <w:r w:rsidR="00750E8C" w:rsidRPr="00604D97">
        <w:rPr>
          <w:rFonts w:ascii="Arial" w:hAnsi="Arial" w:cs="Arial"/>
          <w:i/>
          <w:iCs/>
          <w:sz w:val="20"/>
          <w:szCs w:val="20"/>
          <w:lang w:val="en-US"/>
        </w:rPr>
        <w:t>behaviors</w:t>
      </w:r>
      <w:r w:rsidRPr="00604D97">
        <w:rPr>
          <w:rFonts w:ascii="Arial" w:hAnsi="Arial" w:cs="Arial"/>
          <w:i/>
          <w:iCs/>
          <w:sz w:val="20"/>
          <w:szCs w:val="20"/>
          <w:lang w:val="en-US"/>
        </w:rPr>
        <w:t xml:space="preserve"> by taking into account client outcomes in the form of qualitative elements (e.g. complaints, satisfaction surveys) and quantitative metrics (e.g. return on investments, level or risk, cost and complexity of products, compatibility of investments with client profile)</w:t>
      </w:r>
      <w:r w:rsidRPr="00604D97">
        <w:rPr>
          <w:rFonts w:ascii="Arial" w:hAnsi="Arial" w:cs="Arial"/>
          <w:sz w:val="20"/>
          <w:szCs w:val="20"/>
          <w:lang w:val="en-US"/>
        </w:rPr>
        <w:t xml:space="preserve">.” : internal audit is usually conducting periodic control and not continuous monitoring, when compliance may not be in charge of this monitoring (which is not included neither in the regulation nor in ESMA’s guidelines relating to compliance function). </w:t>
      </w:r>
    </w:p>
    <w:p w14:paraId="72DB0E8D" w14:textId="77777777"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p>
    <w:p w14:paraId="58CA3939" w14:textId="77777777"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p>
    <w:p w14:paraId="61021F3D" w14:textId="3385940F"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r w:rsidRPr="00604D97">
        <w:rPr>
          <w:rFonts w:ascii="Arial" w:hAnsi="Arial" w:cs="Arial"/>
          <w:sz w:val="20"/>
          <w:szCs w:val="20"/>
          <w:lang w:val="en-US"/>
        </w:rPr>
        <w:t>And on the below bad practices</w:t>
      </w:r>
    </w:p>
    <w:p w14:paraId="297557B4" w14:textId="6B89E4D5"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r w:rsidRPr="00604D97">
        <w:rPr>
          <w:rFonts w:ascii="Arial" w:hAnsi="Arial" w:cs="Arial"/>
          <w:sz w:val="20"/>
          <w:szCs w:val="20"/>
          <w:lang w:val="en-US"/>
        </w:rPr>
        <w:t xml:space="preserve"> “</w:t>
      </w:r>
      <w:r w:rsidRPr="00604D97">
        <w:rPr>
          <w:rFonts w:ascii="Arial" w:hAnsi="Arial" w:cs="Arial"/>
          <w:i/>
          <w:iCs/>
          <w:sz w:val="20"/>
          <w:szCs w:val="20"/>
          <w:lang w:val="en-US"/>
        </w:rPr>
        <w:t xml:space="preserve">Not properly investigating the clients’ understanding of bail-in mechanism and its potential impact on the investments, </w:t>
      </w:r>
      <w:proofErr w:type="gramStart"/>
      <w:r w:rsidRPr="00604D97">
        <w:rPr>
          <w:rFonts w:ascii="Arial" w:hAnsi="Arial" w:cs="Arial"/>
          <w:i/>
          <w:iCs/>
          <w:sz w:val="20"/>
          <w:szCs w:val="20"/>
          <w:lang w:val="en-US"/>
        </w:rPr>
        <w:t>e.g.</w:t>
      </w:r>
      <w:proofErr w:type="gramEnd"/>
      <w:r w:rsidRPr="00604D97">
        <w:rPr>
          <w:rFonts w:ascii="Arial" w:hAnsi="Arial" w:cs="Arial"/>
          <w:i/>
          <w:iCs/>
          <w:sz w:val="20"/>
          <w:szCs w:val="20"/>
          <w:lang w:val="en-US"/>
        </w:rPr>
        <w:t xml:space="preserve"> where questionnaire presented to clients do not include questions specifically focused on the potential impacts for investments in a bank bond where the bail-in tool is activated</w:t>
      </w:r>
      <w:r w:rsidRPr="00604D97">
        <w:rPr>
          <w:rFonts w:ascii="Arial" w:hAnsi="Arial" w:cs="Arial"/>
          <w:sz w:val="20"/>
          <w:szCs w:val="20"/>
          <w:lang w:val="en-US"/>
        </w:rPr>
        <w:t>.”. Specific information is already provided to clients investing in bail-</w:t>
      </w:r>
      <w:r w:rsidR="00372BEA">
        <w:rPr>
          <w:rFonts w:ascii="Arial" w:hAnsi="Arial" w:cs="Arial"/>
          <w:sz w:val="20"/>
          <w:szCs w:val="20"/>
          <w:lang w:val="en-US"/>
        </w:rPr>
        <w:t>u</w:t>
      </w:r>
      <w:r w:rsidRPr="00604D97">
        <w:rPr>
          <w:rFonts w:ascii="Arial" w:hAnsi="Arial" w:cs="Arial"/>
          <w:sz w:val="20"/>
          <w:szCs w:val="20"/>
          <w:lang w:val="en-US"/>
        </w:rPr>
        <w:t>nable products. ESMA guidelines recently updated on non-advised services do not require such a specific questioning of clients on bail-</w:t>
      </w:r>
      <w:r w:rsidR="00372BEA">
        <w:rPr>
          <w:rFonts w:ascii="Arial" w:hAnsi="Arial" w:cs="Arial"/>
          <w:sz w:val="20"/>
          <w:szCs w:val="20"/>
          <w:lang w:val="en-US"/>
        </w:rPr>
        <w:t>u</w:t>
      </w:r>
      <w:r w:rsidRPr="00604D97">
        <w:rPr>
          <w:rFonts w:ascii="Arial" w:hAnsi="Arial" w:cs="Arial"/>
          <w:sz w:val="20"/>
          <w:szCs w:val="20"/>
          <w:lang w:val="en-US"/>
        </w:rPr>
        <w:t xml:space="preserve">nable products. This requirement, which would once again require modification of the questionnaires, is </w:t>
      </w:r>
      <w:proofErr w:type="gramStart"/>
      <w:r w:rsidRPr="00604D97">
        <w:rPr>
          <w:rFonts w:ascii="Arial" w:hAnsi="Arial" w:cs="Arial"/>
          <w:sz w:val="20"/>
          <w:szCs w:val="20"/>
          <w:lang w:val="en-US"/>
        </w:rPr>
        <w:t>to</w:t>
      </w:r>
      <w:proofErr w:type="gramEnd"/>
      <w:r w:rsidRPr="00604D97">
        <w:rPr>
          <w:rFonts w:ascii="Arial" w:hAnsi="Arial" w:cs="Arial"/>
          <w:sz w:val="20"/>
          <w:szCs w:val="20"/>
          <w:lang w:val="en-US"/>
        </w:rPr>
        <w:t xml:space="preserve"> prescriptive. Such questions should not be systematically asked to each client, but, as for other specificities of investments products, can be raised</w:t>
      </w:r>
      <w:r w:rsidR="00372BEA">
        <w:rPr>
          <w:rFonts w:ascii="Arial" w:hAnsi="Arial" w:cs="Arial"/>
          <w:sz w:val="20"/>
          <w:szCs w:val="20"/>
          <w:lang w:val="en-US"/>
        </w:rPr>
        <w:t xml:space="preserve"> </w:t>
      </w:r>
      <w:r w:rsidRPr="00604D97">
        <w:rPr>
          <w:rFonts w:ascii="Arial" w:hAnsi="Arial" w:cs="Arial"/>
          <w:sz w:val="20"/>
          <w:szCs w:val="20"/>
          <w:lang w:val="en-US"/>
        </w:rPr>
        <w:t xml:space="preserve">when firms, depending on the products sold, the percentage of the investment of the clients in each product, </w:t>
      </w:r>
      <w:proofErr w:type="spellStart"/>
      <w:r w:rsidRPr="00604D97">
        <w:rPr>
          <w:rFonts w:ascii="Arial" w:hAnsi="Arial" w:cs="Arial"/>
          <w:sz w:val="20"/>
          <w:szCs w:val="20"/>
          <w:lang w:val="en-US"/>
        </w:rPr>
        <w:t>etc</w:t>
      </w:r>
      <w:proofErr w:type="spellEnd"/>
      <w:r w:rsidRPr="00604D97">
        <w:rPr>
          <w:rFonts w:ascii="Arial" w:hAnsi="Arial" w:cs="Arial"/>
          <w:sz w:val="20"/>
          <w:szCs w:val="20"/>
          <w:lang w:val="en-US"/>
        </w:rPr>
        <w:t xml:space="preserve">… consider that additional questioning on specific topics is proportionate to the investment envisaged. We consider that this “bad practice” should be removed. </w:t>
      </w:r>
    </w:p>
    <w:p w14:paraId="15B2677D" w14:textId="77777777"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r w:rsidRPr="00604D97">
        <w:rPr>
          <w:rFonts w:ascii="Arial" w:hAnsi="Arial" w:cs="Arial"/>
          <w:sz w:val="20"/>
          <w:szCs w:val="20"/>
          <w:lang w:val="en-US"/>
        </w:rPr>
        <w:t xml:space="preserve"> </w:t>
      </w:r>
    </w:p>
    <w:p w14:paraId="7838EABE" w14:textId="77777777" w:rsidR="00C54FCA" w:rsidRPr="00604D97" w:rsidRDefault="00C54FCA" w:rsidP="00C54F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ascii="Arial" w:hAnsi="Arial" w:cs="Arial"/>
          <w:sz w:val="20"/>
          <w:szCs w:val="20"/>
          <w:lang w:val="en-US"/>
        </w:rPr>
      </w:pPr>
    </w:p>
    <w:p w14:paraId="3A926E0A" w14:textId="7CE8F491" w:rsidR="00C54FCA" w:rsidRPr="00604D97" w:rsidRDefault="00C54FCA" w:rsidP="00C54FCA">
      <w:pPr>
        <w:spacing w:after="0" w:line="240" w:lineRule="atLeast"/>
        <w:contextualSpacing/>
        <w:jc w:val="both"/>
        <w:rPr>
          <w:rFonts w:ascii="Arial" w:eastAsia="Times New Roman" w:hAnsi="Arial" w:cs="Arial"/>
          <w:sz w:val="20"/>
          <w:szCs w:val="20"/>
          <w:lang w:val="en-GB" w:eastAsia="fr-FR"/>
        </w:rPr>
      </w:pPr>
      <w:r w:rsidRPr="00604D97">
        <w:rPr>
          <w:rFonts w:ascii="Arial" w:hAnsi="Arial" w:cs="Arial"/>
          <w:sz w:val="20"/>
          <w:szCs w:val="20"/>
          <w:lang w:val="en-US"/>
        </w:rPr>
        <w:t>"</w:t>
      </w:r>
      <w:r w:rsidRPr="00604D97">
        <w:rPr>
          <w:rFonts w:ascii="Arial" w:hAnsi="Arial" w:cs="Arial"/>
          <w:lang w:val="en-US"/>
        </w:rPr>
        <w:t xml:space="preserve"> </w:t>
      </w:r>
      <w:r w:rsidRPr="00604D97">
        <w:rPr>
          <w:rFonts w:ascii="Arial" w:hAnsi="Arial" w:cs="Arial"/>
          <w:i/>
          <w:iCs/>
          <w:sz w:val="20"/>
          <w:szCs w:val="20"/>
          <w:lang w:val="en-US"/>
        </w:rPr>
        <w:t>On the cost-complexity of products, comparing only products issued by one single-entity (or by entities of the same group)</w:t>
      </w:r>
      <w:r w:rsidRPr="00604D97">
        <w:rPr>
          <w:rFonts w:ascii="Arial" w:hAnsi="Arial" w:cs="Arial"/>
          <w:sz w:val="20"/>
          <w:szCs w:val="20"/>
          <w:lang w:val="en-US"/>
        </w:rPr>
        <w:t>.” Some firms only offer products issued by one single-entity or by entities of the same group. The clients are clearly informed of the offer of the firms. Therefore, firms do not have to conduct a large assessment of the market offer when the range of product they offer is limited.</w:t>
      </w:r>
      <w:r w:rsidR="00372BEA">
        <w:rPr>
          <w:rFonts w:ascii="Arial" w:hAnsi="Arial" w:cs="Arial"/>
          <w:sz w:val="20"/>
          <w:szCs w:val="20"/>
          <w:lang w:val="en-US"/>
        </w:rPr>
        <w:t xml:space="preserve"> </w:t>
      </w:r>
      <w:r w:rsidRPr="00604D97">
        <w:rPr>
          <w:rFonts w:ascii="Arial" w:hAnsi="Arial" w:cs="Arial"/>
          <w:sz w:val="20"/>
          <w:szCs w:val="20"/>
          <w:lang w:val="en-US"/>
        </w:rPr>
        <w:t>We consider that this “bad practice” should be removed.</w:t>
      </w:r>
      <w:bookmarkEnd w:id="26"/>
    </w:p>
    <w:p w14:paraId="51405F51" w14:textId="77777777" w:rsidR="00C54FCA" w:rsidRPr="00604D97" w:rsidRDefault="00C54FCA" w:rsidP="00731FD9">
      <w:pPr>
        <w:spacing w:after="0" w:line="240" w:lineRule="atLeast"/>
        <w:contextualSpacing/>
        <w:jc w:val="both"/>
        <w:rPr>
          <w:rFonts w:ascii="Arial" w:hAnsi="Arial" w:cs="Arial"/>
          <w:sz w:val="20"/>
          <w:szCs w:val="20"/>
          <w:lang w:val="en-GB"/>
        </w:rPr>
      </w:pPr>
    </w:p>
    <w:p w14:paraId="6FA5470F" w14:textId="77777777" w:rsidR="008A49D6" w:rsidRPr="00604D97" w:rsidRDefault="008A49D6" w:rsidP="00731FD9">
      <w:pPr>
        <w:spacing w:after="0" w:line="240" w:lineRule="atLeast"/>
        <w:contextualSpacing/>
        <w:jc w:val="both"/>
        <w:rPr>
          <w:rFonts w:ascii="Arial" w:hAnsi="Arial" w:cs="Arial"/>
          <w:sz w:val="20"/>
          <w:szCs w:val="20"/>
          <w:lang w:val="en-GB"/>
        </w:rPr>
      </w:pPr>
    </w:p>
    <w:p w14:paraId="34E30F2A" w14:textId="2BFBEE7B" w:rsidR="009F6BF8" w:rsidRPr="00604D97" w:rsidRDefault="00CA386A" w:rsidP="00731FD9">
      <w:pPr>
        <w:autoSpaceDE w:val="0"/>
        <w:autoSpaceDN w:val="0"/>
        <w:adjustRightInd w:val="0"/>
        <w:spacing w:after="0" w:line="240" w:lineRule="atLeast"/>
        <w:jc w:val="both"/>
        <w:rPr>
          <w:rFonts w:ascii="Arial" w:eastAsia="Times New Roman" w:hAnsi="Arial" w:cs="Arial"/>
          <w:b/>
          <w:bCs/>
          <w:color w:val="000000"/>
          <w:sz w:val="20"/>
          <w:szCs w:val="20"/>
          <w:lang w:val="en-US" w:eastAsia="fr-FR"/>
        </w:rPr>
      </w:pPr>
      <w:r w:rsidRPr="00604D97">
        <w:rPr>
          <w:rFonts w:ascii="Arial" w:eastAsia="Times New Roman" w:hAnsi="Arial" w:cs="Arial"/>
          <w:b/>
          <w:bCs/>
          <w:color w:val="000000"/>
          <w:sz w:val="20"/>
          <w:szCs w:val="20"/>
          <w:lang w:val="en-US" w:eastAsia="fr-FR"/>
        </w:rPr>
        <w:t>Q2</w:t>
      </w:r>
      <w:r w:rsidR="00CA112B" w:rsidRPr="00604D97">
        <w:rPr>
          <w:rFonts w:ascii="Arial" w:eastAsia="Times New Roman" w:hAnsi="Arial" w:cs="Arial"/>
          <w:b/>
          <w:bCs/>
          <w:color w:val="000000"/>
          <w:sz w:val="20"/>
          <w:szCs w:val="20"/>
          <w:lang w:val="en-US" w:eastAsia="fr-FR"/>
        </w:rPr>
        <w:t>3</w:t>
      </w:r>
      <w:r w:rsidRPr="00604D97">
        <w:rPr>
          <w:rFonts w:ascii="Arial" w:eastAsia="Times New Roman" w:hAnsi="Arial" w:cs="Arial"/>
          <w:b/>
          <w:bCs/>
          <w:color w:val="000000"/>
          <w:sz w:val="20"/>
          <w:szCs w:val="20"/>
          <w:lang w:val="en-US" w:eastAsia="fr-FR"/>
        </w:rPr>
        <w:tab/>
        <w:t>What level of resources (financial and other) would be required to implement and comply with the guidelines (</w:t>
      </w:r>
      <w:proofErr w:type="spellStart"/>
      <w:r w:rsidRPr="00604D97">
        <w:rPr>
          <w:rFonts w:ascii="Arial" w:eastAsia="Times New Roman" w:hAnsi="Arial" w:cs="Arial"/>
          <w:b/>
          <w:bCs/>
          <w:color w:val="000000"/>
          <w:sz w:val="20"/>
          <w:szCs w:val="20"/>
          <w:lang w:val="en-US" w:eastAsia="fr-FR"/>
        </w:rPr>
        <w:t>organisational</w:t>
      </w:r>
      <w:proofErr w:type="spellEnd"/>
      <w:r w:rsidRPr="00604D97">
        <w:rPr>
          <w:rFonts w:ascii="Arial" w:eastAsia="Times New Roman" w:hAnsi="Arial" w:cs="Arial"/>
          <w:b/>
          <w:bCs/>
          <w:color w:val="000000"/>
          <w:sz w:val="20"/>
          <w:szCs w:val="20"/>
          <w:lang w:val="en-US" w:eastAsia="fr-FR"/>
        </w:rPr>
        <w:t xml:space="preserve">, IT costs, training costs, staff costs, etc., differentiated between one off and ongoing costs)? When answering this question, please also provide information about the size, internal </w:t>
      </w:r>
      <w:proofErr w:type="spellStart"/>
      <w:r w:rsidRPr="00604D97">
        <w:rPr>
          <w:rFonts w:ascii="Arial" w:eastAsia="Times New Roman" w:hAnsi="Arial" w:cs="Arial"/>
          <w:b/>
          <w:bCs/>
          <w:color w:val="000000"/>
          <w:sz w:val="20"/>
          <w:szCs w:val="20"/>
          <w:lang w:val="en-US" w:eastAsia="fr-FR"/>
        </w:rPr>
        <w:t>organisation</w:t>
      </w:r>
      <w:proofErr w:type="spellEnd"/>
      <w:r w:rsidRPr="00604D97">
        <w:rPr>
          <w:rFonts w:ascii="Arial" w:eastAsia="Times New Roman" w:hAnsi="Arial" w:cs="Arial"/>
          <w:b/>
          <w:bCs/>
          <w:color w:val="000000"/>
          <w:sz w:val="20"/>
          <w:szCs w:val="20"/>
          <w:lang w:val="en-US" w:eastAsia="fr-FR"/>
        </w:rPr>
        <w:t xml:space="preserve"> and the nature, </w:t>
      </w:r>
      <w:proofErr w:type="gramStart"/>
      <w:r w:rsidRPr="00604D97">
        <w:rPr>
          <w:rFonts w:ascii="Arial" w:eastAsia="Times New Roman" w:hAnsi="Arial" w:cs="Arial"/>
          <w:b/>
          <w:bCs/>
          <w:color w:val="000000"/>
          <w:sz w:val="20"/>
          <w:szCs w:val="20"/>
          <w:lang w:val="en-US" w:eastAsia="fr-FR"/>
        </w:rPr>
        <w:t>scale</w:t>
      </w:r>
      <w:proofErr w:type="gramEnd"/>
      <w:r w:rsidRPr="00604D97">
        <w:rPr>
          <w:rFonts w:ascii="Arial" w:eastAsia="Times New Roman" w:hAnsi="Arial" w:cs="Arial"/>
          <w:b/>
          <w:bCs/>
          <w:color w:val="000000"/>
          <w:sz w:val="20"/>
          <w:szCs w:val="20"/>
          <w:lang w:val="en-US" w:eastAsia="fr-FR"/>
        </w:rPr>
        <w:t xml:space="preserve"> and complexity of the activities of your institution, where relevant.</w:t>
      </w:r>
    </w:p>
    <w:p w14:paraId="52A6982B" w14:textId="510611B5" w:rsidR="00CA386A" w:rsidRPr="00372BEA" w:rsidRDefault="00CA386A" w:rsidP="00731FD9">
      <w:pPr>
        <w:spacing w:after="0" w:line="240" w:lineRule="atLeast"/>
        <w:contextualSpacing/>
        <w:jc w:val="both"/>
        <w:rPr>
          <w:rFonts w:ascii="Arial" w:eastAsia="Times New Roman" w:hAnsi="Arial" w:cs="Arial"/>
          <w:bCs/>
          <w:color w:val="000000"/>
          <w:sz w:val="20"/>
          <w:szCs w:val="20"/>
          <w:lang w:val="en-US" w:eastAsia="fr-FR"/>
        </w:rPr>
      </w:pPr>
    </w:p>
    <w:p w14:paraId="1A872930" w14:textId="31693D28" w:rsidR="00CA386A" w:rsidRPr="00A074BE" w:rsidRDefault="009E7DFC" w:rsidP="00731FD9">
      <w:pPr>
        <w:spacing w:after="0" w:line="240" w:lineRule="atLeast"/>
        <w:contextualSpacing/>
        <w:jc w:val="both"/>
        <w:rPr>
          <w:rFonts w:ascii="Arial" w:hAnsi="Arial" w:cs="Arial"/>
          <w:bCs/>
          <w:sz w:val="20"/>
          <w:szCs w:val="20"/>
          <w:lang w:val="en-GB"/>
        </w:rPr>
      </w:pPr>
      <w:r w:rsidRPr="00372BEA">
        <w:rPr>
          <w:rFonts w:ascii="Arial" w:hAnsi="Arial" w:cs="Arial"/>
          <w:bCs/>
          <w:color w:val="000000"/>
          <w:sz w:val="20"/>
          <w:szCs w:val="20"/>
          <w:lang w:val="en"/>
        </w:rPr>
        <w:t xml:space="preserve">As a professional </w:t>
      </w:r>
      <w:r w:rsidR="00750E8C" w:rsidRPr="00372BEA">
        <w:rPr>
          <w:rFonts w:ascii="Arial" w:hAnsi="Arial" w:cs="Arial"/>
          <w:bCs/>
          <w:color w:val="000000"/>
          <w:sz w:val="20"/>
          <w:szCs w:val="20"/>
          <w:lang w:val="en"/>
        </w:rPr>
        <w:t>organization</w:t>
      </w:r>
      <w:r w:rsidRPr="00372BEA">
        <w:rPr>
          <w:rFonts w:ascii="Arial" w:hAnsi="Arial" w:cs="Arial"/>
          <w:bCs/>
          <w:color w:val="000000"/>
          <w:sz w:val="20"/>
          <w:szCs w:val="20"/>
          <w:lang w:val="en"/>
        </w:rPr>
        <w:t xml:space="preserve">, the FBF is not </w:t>
      </w:r>
      <w:proofErr w:type="gramStart"/>
      <w:r w:rsidRPr="00372BEA">
        <w:rPr>
          <w:rFonts w:ascii="Arial" w:hAnsi="Arial" w:cs="Arial"/>
          <w:bCs/>
          <w:color w:val="000000"/>
          <w:sz w:val="20"/>
          <w:szCs w:val="20"/>
          <w:lang w:val="en"/>
        </w:rPr>
        <w:t>in a position</w:t>
      </w:r>
      <w:proofErr w:type="gramEnd"/>
      <w:r w:rsidRPr="00372BEA">
        <w:rPr>
          <w:rFonts w:ascii="Arial" w:hAnsi="Arial" w:cs="Arial"/>
          <w:bCs/>
          <w:color w:val="000000"/>
          <w:sz w:val="20"/>
          <w:szCs w:val="20"/>
          <w:lang w:val="en"/>
        </w:rPr>
        <w:t xml:space="preserve"> to provide any answers to this question.</w:t>
      </w:r>
    </w:p>
    <w:p w14:paraId="7E285043" w14:textId="77777777" w:rsidR="00967AD1" w:rsidRPr="00A074BE" w:rsidRDefault="00967AD1" w:rsidP="00731FD9">
      <w:pPr>
        <w:spacing w:after="0" w:line="240" w:lineRule="atLeast"/>
        <w:contextualSpacing/>
        <w:jc w:val="both"/>
        <w:rPr>
          <w:rFonts w:ascii="Arial" w:hAnsi="Arial" w:cs="Arial"/>
          <w:bCs/>
          <w:sz w:val="20"/>
          <w:szCs w:val="20"/>
          <w:lang w:val="en-GB"/>
        </w:rPr>
      </w:pPr>
    </w:p>
    <w:p w14:paraId="59C0D248" w14:textId="4A92BCF9" w:rsidR="00067DA0" w:rsidRPr="00372BEA" w:rsidRDefault="00067DA0" w:rsidP="00FD7943">
      <w:pPr>
        <w:spacing w:after="0" w:line="240" w:lineRule="atLeast"/>
        <w:rPr>
          <w:rFonts w:ascii="Arial" w:eastAsia="Times New Roman" w:hAnsi="Arial" w:cs="Arial"/>
          <w:bCs/>
          <w:color w:val="003366"/>
          <w:lang w:val="en-GB" w:eastAsia="fr-FR"/>
        </w:rPr>
      </w:pPr>
    </w:p>
    <w:sectPr w:rsidR="00067DA0" w:rsidRPr="00372BEA" w:rsidSect="005928DA">
      <w:headerReference w:type="even" r:id="rId13"/>
      <w:headerReference w:type="default" r:id="rId14"/>
      <w:footerReference w:type="default" r:id="rId15"/>
      <w:headerReference w:type="first" r:id="rId16"/>
      <w:footerReference w:type="first" r:id="rId17"/>
      <w:type w:val="continuous"/>
      <w:pgSz w:w="11906" w:h="16838" w:code="9"/>
      <w:pgMar w:top="1134" w:right="1133" w:bottom="567" w:left="1418" w:header="709"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2CEB" w14:textId="77777777" w:rsidR="00253409" w:rsidRDefault="00253409">
      <w:r>
        <w:separator/>
      </w:r>
    </w:p>
  </w:endnote>
  <w:endnote w:type="continuationSeparator" w:id="0">
    <w:p w14:paraId="32DFB3E1" w14:textId="77777777" w:rsidR="00253409" w:rsidRDefault="00253409">
      <w:r>
        <w:continuationSeparator/>
      </w:r>
    </w:p>
  </w:endnote>
  <w:endnote w:type="continuationNotice" w:id="1">
    <w:p w14:paraId="080E1215" w14:textId="77777777" w:rsidR="00253409" w:rsidRDefault="00253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85B1" w14:textId="77777777" w:rsidR="001A3BFB" w:rsidRPr="005928DA" w:rsidRDefault="001A3BFB" w:rsidP="005928DA">
    <w:pPr>
      <w:tabs>
        <w:tab w:val="left" w:pos="2715"/>
      </w:tabs>
      <w:spacing w:after="0" w:line="240" w:lineRule="atLeast"/>
      <w:jc w:val="center"/>
      <w:rPr>
        <w:rFonts w:ascii="Arial" w:hAnsi="Arial" w:cs="Arial"/>
        <w:b/>
        <w:bCs/>
        <w:color w:val="386492"/>
        <w:sz w:val="18"/>
        <w:szCs w:val="18"/>
      </w:rPr>
    </w:pPr>
  </w:p>
  <w:p w14:paraId="502AAB72" w14:textId="77777777" w:rsidR="001A3BFB" w:rsidRPr="005928DA" w:rsidRDefault="001A3BFB" w:rsidP="005928DA">
    <w:pPr>
      <w:spacing w:after="0" w:line="240" w:lineRule="atLeast"/>
      <w:jc w:val="center"/>
      <w:rPr>
        <w:rFonts w:ascii="Arial" w:hAnsi="Arial" w:cs="Arial"/>
        <w:b/>
        <w:bCs/>
        <w:color w:val="386492"/>
        <w:sz w:val="18"/>
        <w:szCs w:val="18"/>
      </w:rPr>
    </w:pPr>
    <w:r w:rsidRPr="005928DA">
      <w:rPr>
        <w:rFonts w:ascii="Arial" w:hAnsi="Arial" w:cs="Arial"/>
        <w:b/>
        <w:bCs/>
        <w:color w:val="386492"/>
        <w:sz w:val="18"/>
        <w:szCs w:val="18"/>
      </w:rPr>
      <w:t xml:space="preserve">- </w:t>
    </w:r>
    <w:r w:rsidRPr="005928DA">
      <w:rPr>
        <w:rFonts w:ascii="Arial" w:hAnsi="Arial" w:cs="Arial"/>
        <w:b/>
        <w:bCs/>
        <w:color w:val="386492"/>
        <w:sz w:val="18"/>
        <w:szCs w:val="18"/>
      </w:rPr>
      <w:fldChar w:fldCharType="begin"/>
    </w:r>
    <w:r w:rsidRPr="005928DA">
      <w:rPr>
        <w:rFonts w:ascii="Arial" w:hAnsi="Arial" w:cs="Arial"/>
        <w:b/>
        <w:bCs/>
        <w:color w:val="386492"/>
        <w:sz w:val="18"/>
        <w:szCs w:val="18"/>
      </w:rPr>
      <w:instrText xml:space="preserve"> PAGE </w:instrText>
    </w:r>
    <w:r w:rsidRPr="005928DA">
      <w:rPr>
        <w:rFonts w:ascii="Arial" w:hAnsi="Arial" w:cs="Arial"/>
        <w:b/>
        <w:bCs/>
        <w:color w:val="386492"/>
        <w:sz w:val="18"/>
        <w:szCs w:val="18"/>
      </w:rPr>
      <w:fldChar w:fldCharType="separate"/>
    </w:r>
    <w:r w:rsidRPr="005928DA">
      <w:rPr>
        <w:rFonts w:ascii="Arial" w:hAnsi="Arial" w:cs="Arial"/>
        <w:b/>
        <w:bCs/>
        <w:noProof/>
        <w:color w:val="386492"/>
        <w:sz w:val="18"/>
        <w:szCs w:val="18"/>
      </w:rPr>
      <w:t>2</w:t>
    </w:r>
    <w:r w:rsidRPr="005928DA">
      <w:rPr>
        <w:rFonts w:ascii="Arial" w:hAnsi="Arial" w:cs="Arial"/>
        <w:b/>
        <w:bCs/>
        <w:color w:val="386492"/>
        <w:sz w:val="18"/>
        <w:szCs w:val="18"/>
      </w:rPr>
      <w:fldChar w:fldCharType="end"/>
    </w:r>
    <w:r w:rsidRPr="005928DA">
      <w:rPr>
        <w:rFonts w:ascii="Arial" w:hAnsi="Arial" w:cs="Arial"/>
        <w:b/>
        <w:bCs/>
        <w:color w:val="386492"/>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BFB4" w14:textId="77777777" w:rsidR="00DC48DA" w:rsidRPr="00DC48DA" w:rsidRDefault="00DC48DA" w:rsidP="00DC48DA">
    <w:pPr>
      <w:spacing w:after="0" w:line="240" w:lineRule="atLeast"/>
      <w:ind w:left="-567"/>
      <w:rPr>
        <w:rFonts w:ascii="Arial" w:hAnsi="Arial" w:cs="Arial"/>
        <w:color w:val="386492"/>
        <w:sz w:val="18"/>
        <w:szCs w:val="18"/>
      </w:rPr>
    </w:pPr>
  </w:p>
  <w:p w14:paraId="5EDE2F8F" w14:textId="3C3439A2" w:rsidR="00DC48DA" w:rsidRPr="00DC48DA" w:rsidRDefault="00E67976" w:rsidP="00DC48DA">
    <w:pPr>
      <w:spacing w:after="0" w:line="240" w:lineRule="atLeast"/>
      <w:ind w:left="-567"/>
      <w:rPr>
        <w:rFonts w:ascii="Arial" w:hAnsi="Arial" w:cs="Arial"/>
        <w:color w:val="386492"/>
        <w:sz w:val="18"/>
        <w:szCs w:val="18"/>
      </w:rPr>
    </w:pPr>
    <w:r>
      <w:rPr>
        <w:rFonts w:ascii="Arial" w:hAnsi="Arial" w:cs="Arial"/>
        <w:color w:val="386492"/>
        <w:sz w:val="18"/>
        <w:szCs w:val="18"/>
      </w:rPr>
      <w:t>FBF</w:t>
    </w:r>
    <w:r w:rsidR="00DC48DA" w:rsidRPr="00DC48DA">
      <w:rPr>
        <w:rFonts w:ascii="Arial" w:hAnsi="Arial" w:cs="Arial"/>
        <w:color w:val="386492"/>
        <w:sz w:val="18"/>
        <w:szCs w:val="18"/>
      </w:rPr>
      <w:t xml:space="preserve"> ■ 13, rue Auber ■ 75009 Paris ■ France</w:t>
    </w:r>
  </w:p>
  <w:p w14:paraId="5CEC4B36" w14:textId="55291115" w:rsidR="001A3BFB" w:rsidRPr="00DC48DA" w:rsidRDefault="00DC48DA" w:rsidP="00DC48D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567"/>
      <w:rPr>
        <w:rFonts w:ascii="Arial" w:eastAsia="Arial Unicode MS" w:hAnsi="Arial" w:cs="Arial"/>
        <w:color w:val="2F5496"/>
        <w:bdr w:val="nil"/>
        <w:lang w:eastAsia="fr-FR"/>
      </w:rPr>
    </w:pPr>
    <w:r w:rsidRPr="00DC48DA">
      <w:rPr>
        <w:rFonts w:ascii="Arial" w:hAnsi="Arial" w:cs="Arial"/>
        <w:color w:val="386492"/>
        <w:sz w:val="18"/>
        <w:szCs w:val="18"/>
      </w:rPr>
      <w:t>Phone : +33 1 53 83 00 70 ■ http://www.</w:t>
    </w:r>
    <w:r w:rsidR="00E67976">
      <w:rPr>
        <w:rFonts w:ascii="Arial" w:hAnsi="Arial" w:cs="Arial"/>
        <w:color w:val="386492"/>
        <w:sz w:val="18"/>
        <w:szCs w:val="18"/>
      </w:rPr>
      <w:t>FBF</w:t>
    </w:r>
    <w:r w:rsidRPr="00DC48DA">
      <w:rPr>
        <w:rFonts w:ascii="Arial" w:hAnsi="Arial" w:cs="Arial"/>
        <w:color w:val="386492"/>
        <w:sz w:val="18"/>
        <w:szCs w:val="18"/>
      </w:rPr>
      <w:t xml:space="preserve">.fr ■ </w:t>
    </w:r>
    <w:proofErr w:type="gramStart"/>
    <w:r w:rsidRPr="00DC48DA">
      <w:rPr>
        <w:rFonts w:ascii="Arial" w:hAnsi="Arial" w:cs="Arial"/>
        <w:color w:val="386492"/>
        <w:sz w:val="18"/>
        <w:szCs w:val="18"/>
      </w:rPr>
      <w:t>E-mail</w:t>
    </w:r>
    <w:proofErr w:type="gramEnd"/>
    <w:r w:rsidRPr="00DC48DA">
      <w:rPr>
        <w:rFonts w:ascii="Arial" w:hAnsi="Arial" w:cs="Arial"/>
        <w:color w:val="386492"/>
        <w:sz w:val="18"/>
        <w:szCs w:val="18"/>
      </w:rPr>
      <w:t> : info@</w:t>
    </w:r>
    <w:r w:rsidR="00E67976">
      <w:rPr>
        <w:rFonts w:ascii="Arial" w:hAnsi="Arial" w:cs="Arial"/>
        <w:color w:val="386492"/>
        <w:sz w:val="18"/>
        <w:szCs w:val="18"/>
      </w:rPr>
      <w:t>FBF</w:t>
    </w:r>
    <w:r w:rsidRPr="00DC48DA">
      <w:rPr>
        <w:rFonts w:ascii="Arial" w:hAnsi="Arial" w:cs="Arial"/>
        <w:color w:val="386492"/>
        <w:sz w:val="18"/>
        <w:szCs w:val="18"/>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2A17" w14:textId="77777777" w:rsidR="00253409" w:rsidRPr="005928DA" w:rsidRDefault="00253409" w:rsidP="005928DA">
      <w:pPr>
        <w:spacing w:after="0" w:line="240" w:lineRule="atLeast"/>
        <w:rPr>
          <w:rFonts w:ascii="Arial" w:hAnsi="Arial" w:cs="Arial"/>
        </w:rPr>
      </w:pPr>
      <w:r>
        <w:separator/>
      </w:r>
    </w:p>
  </w:footnote>
  <w:footnote w:type="continuationSeparator" w:id="0">
    <w:p w14:paraId="2A618487" w14:textId="77777777" w:rsidR="00253409" w:rsidRDefault="00253409">
      <w:r>
        <w:continuationSeparator/>
      </w:r>
    </w:p>
  </w:footnote>
  <w:footnote w:type="continuationNotice" w:id="1">
    <w:p w14:paraId="1EB148FA" w14:textId="77777777" w:rsidR="00253409" w:rsidRPr="005928DA" w:rsidRDefault="00253409" w:rsidP="005928DA">
      <w:pPr>
        <w:pStyle w:val="Pieddepage"/>
      </w:pPr>
    </w:p>
  </w:footnote>
  <w:footnote w:id="2">
    <w:p w14:paraId="28A4A9D4" w14:textId="2BC11A2A" w:rsidR="00123B1C" w:rsidRPr="00EC7D12" w:rsidRDefault="00123B1C" w:rsidP="00EC7D12">
      <w:pPr>
        <w:pStyle w:val="Sansinterligne"/>
        <w:jc w:val="both"/>
        <w:rPr>
          <w:rFonts w:ascii="Arial" w:hAnsi="Arial" w:cs="Arial"/>
          <w:lang w:val="en-GB"/>
        </w:rPr>
      </w:pPr>
      <w:r w:rsidRPr="00EC7D12">
        <w:rPr>
          <w:rFonts w:ascii="Arial" w:hAnsi="Arial" w:cs="Arial"/>
          <w:sz w:val="18"/>
          <w:szCs w:val="18"/>
          <w:vertAlign w:val="superscript"/>
          <w:lang w:val="en-GB"/>
        </w:rPr>
        <w:footnoteRef/>
      </w:r>
      <w:r w:rsidRPr="00EC7D12">
        <w:rPr>
          <w:rFonts w:ascii="Arial" w:hAnsi="Arial" w:cs="Arial"/>
          <w:sz w:val="18"/>
          <w:szCs w:val="18"/>
          <w:lang w:val="en-GB"/>
        </w:rPr>
        <w:t xml:space="preserve"> Cf. ESMA Final Report, </w:t>
      </w:r>
      <w:r w:rsidR="00714F9A" w:rsidRPr="00EC7D12">
        <w:rPr>
          <w:rFonts w:ascii="Arial" w:hAnsi="Arial" w:cs="Arial"/>
          <w:sz w:val="18"/>
          <w:szCs w:val="18"/>
          <w:lang w:val="en-GB"/>
        </w:rPr>
        <w:t>“</w:t>
      </w:r>
      <w:r w:rsidRPr="00EC7D12">
        <w:rPr>
          <w:rFonts w:ascii="Arial" w:hAnsi="Arial" w:cs="Arial"/>
          <w:sz w:val="18"/>
          <w:szCs w:val="18"/>
          <w:lang w:val="en-GB"/>
        </w:rPr>
        <w:t>Guidelines on certain aspects of the MiFID II suitability requirements</w:t>
      </w:r>
      <w:r w:rsidR="00714F9A" w:rsidRPr="00EC7D12">
        <w:rPr>
          <w:rFonts w:ascii="Arial" w:hAnsi="Arial" w:cs="Arial"/>
          <w:sz w:val="18"/>
          <w:szCs w:val="18"/>
          <w:lang w:val="en-GB"/>
        </w:rPr>
        <w:t>”</w:t>
      </w:r>
      <w:r w:rsidRPr="00EC7D12">
        <w:rPr>
          <w:rFonts w:ascii="Arial" w:hAnsi="Arial" w:cs="Arial"/>
          <w:sz w:val="18"/>
          <w:szCs w:val="18"/>
          <w:lang w:val="en-GB"/>
        </w:rPr>
        <w:t>, 28 May 2018 (</w:t>
      </w:r>
      <w:hyperlink r:id="rId1" w:history="1">
        <w:r w:rsidRPr="006A4549">
          <w:rPr>
            <w:rStyle w:val="Lienhypertexte"/>
            <w:rFonts w:ascii="Arial" w:hAnsi="Arial" w:cs="Arial"/>
            <w:i/>
            <w:iCs/>
            <w:sz w:val="18"/>
            <w:szCs w:val="18"/>
            <w:lang w:val="en-GB"/>
          </w:rPr>
          <w:t>ESMA35-43-869</w:t>
        </w:r>
      </w:hyperlink>
      <w:r w:rsidRPr="00EC7D12">
        <w:rPr>
          <w:rFonts w:ascii="Arial" w:hAnsi="Arial" w:cs="Arial"/>
          <w:sz w:val="18"/>
          <w:szCs w:val="18"/>
          <w:lang w:val="en-GB"/>
        </w:rPr>
        <w:t>).</w:t>
      </w:r>
    </w:p>
  </w:footnote>
  <w:footnote w:id="3">
    <w:p w14:paraId="04F2FC5B" w14:textId="77777777" w:rsidR="00F24EB3" w:rsidRPr="00EC7D12" w:rsidRDefault="00F24EB3" w:rsidP="00F24EB3">
      <w:pPr>
        <w:pStyle w:val="Sansinterligne"/>
        <w:jc w:val="both"/>
        <w:rPr>
          <w:lang w:val="en-GB"/>
        </w:rPr>
      </w:pPr>
      <w:r w:rsidRPr="00EC7D12">
        <w:rPr>
          <w:rStyle w:val="Appelnotedebasdep"/>
          <w:rFonts w:cs="Arial"/>
          <w:sz w:val="18"/>
          <w:szCs w:val="18"/>
          <w:vertAlign w:val="superscript"/>
        </w:rPr>
        <w:footnoteRef/>
      </w:r>
      <w:r w:rsidRPr="00EC7D12">
        <w:rPr>
          <w:rFonts w:ascii="Arial" w:hAnsi="Arial" w:cs="Arial"/>
          <w:sz w:val="18"/>
          <w:szCs w:val="18"/>
          <w:lang w:val="en-GB"/>
        </w:rPr>
        <w:t xml:space="preserve"> Cf. the EC’s press release (</w:t>
      </w:r>
      <w:hyperlink r:id="rId2" w:history="1">
        <w:r w:rsidRPr="00EC7D12">
          <w:rPr>
            <w:rStyle w:val="Lienhypertexte"/>
            <w:rFonts w:ascii="Arial" w:hAnsi="Arial" w:cs="Arial"/>
            <w:sz w:val="18"/>
            <w:szCs w:val="18"/>
            <w:lang w:val="en-GB"/>
          </w:rPr>
          <w:t>here</w:t>
        </w:r>
      </w:hyperlink>
      <w:r w:rsidRPr="00EC7D12">
        <w:rPr>
          <w:rFonts w:ascii="Arial" w:hAnsi="Arial" w:cs="Arial"/>
          <w:sz w:val="18"/>
          <w:szCs w:val="18"/>
          <w:lang w:val="en-GB"/>
        </w:rPr>
        <w:t>) and the consultation paper (</w:t>
      </w:r>
      <w:hyperlink r:id="rId3" w:history="1">
        <w:r w:rsidRPr="00EC7D12">
          <w:rPr>
            <w:rStyle w:val="Lienhypertexte"/>
            <w:rFonts w:ascii="Arial" w:hAnsi="Arial" w:cs="Arial"/>
            <w:sz w:val="18"/>
            <w:szCs w:val="18"/>
            <w:lang w:val="en-GB"/>
          </w:rPr>
          <w:t>here</w:t>
        </w:r>
      </w:hyperlink>
      <w:r w:rsidRPr="00EC7D12">
        <w:rPr>
          <w:rFonts w:ascii="Arial" w:hAnsi="Arial" w:cs="Arial"/>
          <w:sz w:val="18"/>
          <w:szCs w:val="18"/>
          <w:lang w:val="en-GB"/>
        </w:rPr>
        <w:t>).</w:t>
      </w:r>
    </w:p>
  </w:footnote>
  <w:footnote w:id="4">
    <w:p w14:paraId="7468A6B9" w14:textId="05B9C164" w:rsidR="00FB04B2" w:rsidRPr="00970615" w:rsidRDefault="00FB04B2" w:rsidP="00E72D4C">
      <w:pPr>
        <w:pStyle w:val="Sansinterligne"/>
        <w:rPr>
          <w:rStyle w:val="Appelnotedebasdep"/>
          <w:sz w:val="18"/>
          <w:szCs w:val="18"/>
          <w:lang w:val="en-GB"/>
        </w:rPr>
      </w:pPr>
      <w:r w:rsidRPr="007A1D71">
        <w:rPr>
          <w:rStyle w:val="Appelnotedebasdep"/>
        </w:rPr>
        <w:footnoteRef/>
      </w:r>
      <w:r w:rsidRPr="00970615">
        <w:rPr>
          <w:rStyle w:val="Appelnotedebasdep"/>
          <w:sz w:val="18"/>
          <w:szCs w:val="18"/>
          <w:lang w:val="en-GB"/>
        </w:rPr>
        <w:t xml:space="preserve"> </w:t>
      </w:r>
      <w:r w:rsidR="000A571A" w:rsidRPr="00970615">
        <w:rPr>
          <w:rFonts w:cs="Arial"/>
          <w:lang w:val="en-GB"/>
        </w:rPr>
        <w:t xml:space="preserve">See the </w:t>
      </w:r>
      <w:hyperlink r:id="rId4" w:history="1">
        <w:r w:rsidR="000A571A" w:rsidRPr="00970615">
          <w:rPr>
            <w:rFonts w:cs="Arial"/>
            <w:lang w:val="en-GB"/>
          </w:rPr>
          <w:t xml:space="preserve">European Commission’s </w:t>
        </w:r>
        <w:r w:rsidR="009249B8" w:rsidRPr="00970615">
          <w:rPr>
            <w:rFonts w:cs="Arial"/>
            <w:lang w:val="en-GB"/>
          </w:rPr>
          <w:t xml:space="preserve">Consultation Document </w:t>
        </w:r>
        <w:r w:rsidR="00816E2B" w:rsidRPr="00970615">
          <w:rPr>
            <w:rFonts w:cs="Arial"/>
            <w:lang w:val="en-GB"/>
          </w:rPr>
          <w:t>-</w:t>
        </w:r>
        <w:r w:rsidR="00152E0B" w:rsidRPr="00970615">
          <w:rPr>
            <w:rFonts w:cs="Arial"/>
            <w:lang w:val="en-GB"/>
          </w:rPr>
          <w:t xml:space="preserve"> A </w:t>
        </w:r>
        <w:r w:rsidR="00816E2B" w:rsidRPr="00970615">
          <w:rPr>
            <w:rFonts w:cs="Arial"/>
            <w:lang w:val="en-GB"/>
          </w:rPr>
          <w:t xml:space="preserve">retail strategy for </w:t>
        </w:r>
        <w:r w:rsidR="00152E0B" w:rsidRPr="00970615">
          <w:rPr>
            <w:rFonts w:cs="Arial"/>
            <w:lang w:val="en-GB"/>
          </w:rPr>
          <w:t>E</w:t>
        </w:r>
        <w:r w:rsidR="00816E2B" w:rsidRPr="00970615">
          <w:rPr>
            <w:rFonts w:cs="Arial"/>
            <w:lang w:val="en-GB"/>
          </w:rPr>
          <w:t>urope</w:t>
        </w:r>
      </w:hyperlink>
      <w:r w:rsidR="000A571A" w:rsidRPr="00970615">
        <w:rPr>
          <w:rFonts w:cs="Arial"/>
          <w:lang w:val="en-GB"/>
        </w:rPr>
        <w:t>, Question 4.9</w:t>
      </w:r>
      <w:r w:rsidR="00D5782F" w:rsidRPr="00970615">
        <w:rPr>
          <w:rFonts w:cs="Arial"/>
          <w:lang w:val="en-GB"/>
        </w:rPr>
        <w:t>.</w:t>
      </w:r>
    </w:p>
  </w:footnote>
  <w:footnote w:id="5">
    <w:p w14:paraId="09582CE9" w14:textId="17AC45D0" w:rsidR="00E97970" w:rsidRPr="00EC7D12" w:rsidRDefault="00E97970" w:rsidP="00E72D4C">
      <w:pPr>
        <w:pStyle w:val="Sansinterligne"/>
        <w:jc w:val="both"/>
        <w:rPr>
          <w:lang w:val="en-GB"/>
        </w:rPr>
      </w:pPr>
      <w:r>
        <w:rPr>
          <w:rStyle w:val="Appelnotedebasdep"/>
        </w:rPr>
        <w:footnoteRef/>
      </w:r>
      <w:r w:rsidRPr="00E72D4C">
        <w:rPr>
          <w:sz w:val="18"/>
          <w:szCs w:val="18"/>
          <w:lang w:val="en-GB"/>
        </w:rPr>
        <w:t xml:space="preserve"> </w:t>
      </w:r>
      <w:r w:rsidR="002872B2" w:rsidRPr="00E72D4C">
        <w:rPr>
          <w:rFonts w:ascii="Arial" w:hAnsi="Arial" w:cs="Arial"/>
          <w:sz w:val="18"/>
          <w:szCs w:val="18"/>
          <w:lang w:val="en-GB"/>
        </w:rPr>
        <w:t>See the C</w:t>
      </w:r>
      <w:r w:rsidRPr="00E72D4C">
        <w:rPr>
          <w:rFonts w:ascii="Arial" w:hAnsi="Arial" w:cs="Arial"/>
          <w:sz w:val="18"/>
          <w:szCs w:val="18"/>
          <w:lang w:val="en-GB"/>
        </w:rPr>
        <w:t xml:space="preserve">ommission Delegated Regulation (EU) 2017/565 of 25 April 2016 supplementing Directive 2014/65/EU of the European Parliament and of the Council </w:t>
      </w:r>
      <w:r w:rsidR="00F660EC" w:rsidRPr="00E72D4C">
        <w:rPr>
          <w:rFonts w:ascii="Arial" w:hAnsi="Arial" w:cs="Arial"/>
          <w:sz w:val="18"/>
          <w:szCs w:val="18"/>
          <w:lang w:val="en-GB"/>
        </w:rPr>
        <w:t xml:space="preserve">(MiFID II) </w:t>
      </w:r>
      <w:r w:rsidRPr="00E72D4C">
        <w:rPr>
          <w:rFonts w:ascii="Arial" w:hAnsi="Arial" w:cs="Arial"/>
          <w:sz w:val="18"/>
          <w:szCs w:val="18"/>
          <w:lang w:val="en-GB"/>
        </w:rPr>
        <w:t>as regards organisational requirements and operating conditions for investment firms and defined terms for the purposes of that Directive</w:t>
      </w:r>
      <w:r w:rsidR="00F660EC" w:rsidRPr="00E72D4C">
        <w:rPr>
          <w:rFonts w:ascii="Arial" w:hAnsi="Arial" w:cs="Arial"/>
          <w:sz w:val="18"/>
          <w:szCs w:val="18"/>
          <w:lang w:val="en-GB"/>
        </w:rPr>
        <w:t xml:space="preserve">, also known as the </w:t>
      </w:r>
      <w:r w:rsidR="00163085" w:rsidRPr="00E72D4C">
        <w:rPr>
          <w:rFonts w:ascii="Arial" w:hAnsi="Arial" w:cs="Arial"/>
          <w:sz w:val="18"/>
          <w:szCs w:val="18"/>
          <w:lang w:val="en-GB"/>
        </w:rPr>
        <w:t>“</w:t>
      </w:r>
      <w:r w:rsidR="00F660EC" w:rsidRPr="00E72D4C">
        <w:rPr>
          <w:rFonts w:ascii="Arial" w:hAnsi="Arial" w:cs="Arial"/>
          <w:sz w:val="18"/>
          <w:szCs w:val="18"/>
          <w:lang w:val="en-GB"/>
        </w:rPr>
        <w:t>MiFID II Delegated Regulation</w:t>
      </w:r>
      <w:r w:rsidR="00163085" w:rsidRPr="00E72D4C">
        <w:rPr>
          <w:rFonts w:ascii="Arial" w:hAnsi="Arial" w:cs="Arial"/>
          <w:sz w:val="18"/>
          <w:szCs w:val="18"/>
          <w:lang w:val="en-GB"/>
        </w:rPr>
        <w:t>”</w:t>
      </w:r>
      <w:r w:rsidR="00F660EC" w:rsidRPr="00E72D4C">
        <w:rPr>
          <w:rFonts w:ascii="Arial" w:hAnsi="Arial" w:cs="Arial"/>
          <w:sz w:val="18"/>
          <w:szCs w:val="18"/>
          <w:lang w:val="en-GB"/>
        </w:rPr>
        <w:t xml:space="preserve"> (</w:t>
      </w:r>
      <w:hyperlink r:id="rId5" w:history="1">
        <w:r w:rsidR="00F660EC" w:rsidRPr="00E72D4C">
          <w:rPr>
            <w:rStyle w:val="Lienhypertexte"/>
            <w:rFonts w:ascii="Arial" w:hAnsi="Arial" w:cs="Arial"/>
            <w:sz w:val="18"/>
            <w:szCs w:val="18"/>
            <w:lang w:val="en-GB"/>
          </w:rPr>
          <w:t>link</w:t>
        </w:r>
      </w:hyperlink>
      <w:r w:rsidR="00F660EC" w:rsidRPr="00E72D4C">
        <w:rPr>
          <w:rFonts w:ascii="Arial" w:hAnsi="Arial" w:cs="Arial"/>
          <w:sz w:val="18"/>
          <w:szCs w:val="18"/>
          <w:lang w:val="en-GB"/>
        </w:rPr>
        <w:t>).</w:t>
      </w:r>
      <w:r w:rsidR="002872B2" w:rsidRPr="00E72D4C">
        <w:rPr>
          <w:rFonts w:ascii="Arial" w:hAnsi="Arial" w:cs="Arial"/>
          <w:sz w:val="18"/>
          <w:szCs w:val="18"/>
          <w:lang w:val="en-GB"/>
        </w:rPr>
        <w:t xml:space="preserve"> </w:t>
      </w:r>
      <w:r w:rsidR="00EC59A7" w:rsidRPr="00E72D4C">
        <w:rPr>
          <w:rFonts w:ascii="Arial" w:hAnsi="Arial" w:cs="Arial"/>
          <w:sz w:val="18"/>
          <w:szCs w:val="18"/>
          <w:lang w:val="en-GB"/>
        </w:rPr>
        <w:t>It is the Commission Delegated Regulation (EU) 2021/1253 of 21 April 2021 which amended</w:t>
      </w:r>
      <w:r w:rsidR="00B32F85" w:rsidRPr="00E72D4C">
        <w:rPr>
          <w:rFonts w:ascii="Arial" w:hAnsi="Arial" w:cs="Arial"/>
          <w:sz w:val="18"/>
          <w:szCs w:val="18"/>
          <w:lang w:val="en-GB"/>
        </w:rPr>
        <w:t xml:space="preserve"> MiFID II Delega</w:t>
      </w:r>
      <w:r w:rsidR="00EC59A7" w:rsidRPr="00E72D4C">
        <w:rPr>
          <w:rFonts w:ascii="Arial" w:hAnsi="Arial" w:cs="Arial"/>
          <w:sz w:val="18"/>
          <w:szCs w:val="18"/>
          <w:lang w:val="en-GB"/>
        </w:rPr>
        <w:t>ted Regulation as regards the integration of sustainability factors, risks and preferences into certain organisational requirements and operating conditions for investment firms</w:t>
      </w:r>
      <w:r w:rsidR="00B32F85" w:rsidRPr="00E72D4C">
        <w:rPr>
          <w:rFonts w:ascii="Arial" w:hAnsi="Arial" w:cs="Arial"/>
          <w:sz w:val="18"/>
          <w:szCs w:val="18"/>
          <w:lang w:val="en-GB"/>
        </w:rPr>
        <w:t xml:space="preserve"> (</w:t>
      </w:r>
      <w:hyperlink r:id="rId6" w:history="1">
        <w:r w:rsidR="00B32F85" w:rsidRPr="00E72D4C">
          <w:rPr>
            <w:rStyle w:val="Lienhypertexte"/>
            <w:rFonts w:ascii="Arial" w:hAnsi="Arial" w:cs="Arial"/>
            <w:sz w:val="18"/>
            <w:szCs w:val="18"/>
            <w:lang w:val="en-GB"/>
          </w:rPr>
          <w:t>link</w:t>
        </w:r>
      </w:hyperlink>
      <w:r w:rsidR="00B32F85" w:rsidRPr="00E72D4C">
        <w:rPr>
          <w:rFonts w:ascii="Arial" w:hAnsi="Arial" w:cs="Arial"/>
          <w:sz w:val="18"/>
          <w:szCs w:val="18"/>
          <w:lang w:val="en-GB"/>
        </w:rPr>
        <w:t>).</w:t>
      </w:r>
      <w:r w:rsidR="00201451" w:rsidRPr="00E72D4C">
        <w:rPr>
          <w:rFonts w:ascii="Arial" w:hAnsi="Arial" w:cs="Arial"/>
          <w:sz w:val="18"/>
          <w:szCs w:val="18"/>
          <w:lang w:val="en-GB"/>
        </w:rPr>
        <w:t xml:space="preserve"> More particularly it is Article 1 (1) which </w:t>
      </w:r>
      <w:r w:rsidR="00AE66B0" w:rsidRPr="00E72D4C">
        <w:rPr>
          <w:rFonts w:ascii="Arial" w:hAnsi="Arial" w:cs="Arial"/>
          <w:sz w:val="18"/>
          <w:szCs w:val="18"/>
          <w:lang w:val="en-GB"/>
        </w:rPr>
        <w:t xml:space="preserve">adds (7) a) to c) to Article 2 of MiFID II Delegated Regulation. </w:t>
      </w:r>
      <w:r w:rsidR="00194567" w:rsidRPr="00E72D4C">
        <w:rPr>
          <w:rFonts w:ascii="Arial" w:hAnsi="Arial" w:cs="Arial"/>
          <w:sz w:val="18"/>
          <w:szCs w:val="18"/>
          <w:lang w:val="en-GB"/>
        </w:rPr>
        <w:t xml:space="preserve">As for now, MiFID II Delegated Regulation </w:t>
      </w:r>
      <w:r w:rsidR="00E567B0" w:rsidRPr="00E72D4C">
        <w:rPr>
          <w:rFonts w:ascii="Arial" w:hAnsi="Arial" w:cs="Arial"/>
          <w:sz w:val="18"/>
          <w:szCs w:val="18"/>
          <w:lang w:val="en-GB"/>
        </w:rPr>
        <w:t>amended by the Commission Delegated Regulation (EU) 2021/1253 shall apply from 2 August 2022</w:t>
      </w:r>
      <w:r w:rsidR="006F75F1" w:rsidRPr="00E72D4C">
        <w:rPr>
          <w:rFonts w:ascii="Arial" w:hAnsi="Arial" w:cs="Arial"/>
          <w:sz w:val="18"/>
          <w:szCs w:val="18"/>
          <w:lang w:val="en-GB"/>
        </w:rPr>
        <w:t xml:space="preserve"> (see </w:t>
      </w:r>
      <w:r w:rsidR="006F75F1" w:rsidRPr="00E72D4C">
        <w:rPr>
          <w:rFonts w:ascii="Arial" w:hAnsi="Arial" w:cs="Arial"/>
          <w:i/>
          <w:iCs/>
          <w:sz w:val="18"/>
          <w:szCs w:val="18"/>
          <w:u w:val="single"/>
          <w:lang w:val="en-GB"/>
        </w:rPr>
        <w:t>EC Commission Delegated Regulation (EU) 2021/1253</w:t>
      </w:r>
      <w:r w:rsidR="009C3E6E" w:rsidRPr="00E72D4C">
        <w:rPr>
          <w:rFonts w:ascii="Arial" w:hAnsi="Arial" w:cs="Arial"/>
          <w:i/>
          <w:iCs/>
          <w:sz w:val="18"/>
          <w:szCs w:val="18"/>
          <w:u w:val="single"/>
          <w:lang w:val="en-GB"/>
        </w:rPr>
        <w:t>, Art. 2</w:t>
      </w:r>
      <w:r w:rsidR="006F75F1" w:rsidRPr="00E72D4C">
        <w:rPr>
          <w:rFonts w:ascii="Arial" w:hAnsi="Arial" w:cs="Arial"/>
          <w:sz w:val="18"/>
          <w:szCs w:val="18"/>
          <w:lang w:val="en-GB"/>
        </w:rPr>
        <w:t>)</w:t>
      </w:r>
      <w:r w:rsidR="00E567B0" w:rsidRPr="00E72D4C">
        <w:rPr>
          <w:rFonts w:ascii="Arial" w:hAnsi="Arial" w:cs="Arial"/>
          <w:sz w:val="18"/>
          <w:szCs w:val="18"/>
          <w:lang w:val="en-GB"/>
        </w:rPr>
        <w:t>.</w:t>
      </w:r>
    </w:p>
  </w:footnote>
  <w:footnote w:id="6">
    <w:p w14:paraId="23B646A8" w14:textId="08C6E447" w:rsidR="00B433C8" w:rsidRPr="00970615" w:rsidRDefault="00B433C8" w:rsidP="00B433C8">
      <w:pPr>
        <w:pStyle w:val="Sansinterligne"/>
        <w:rPr>
          <w:rStyle w:val="Appelnotedebasdep"/>
          <w:sz w:val="18"/>
          <w:szCs w:val="18"/>
          <w:lang w:val="en-GB"/>
        </w:rPr>
      </w:pPr>
      <w:r w:rsidRPr="007A1D71">
        <w:rPr>
          <w:rStyle w:val="Appelnotedebasdep"/>
        </w:rPr>
        <w:footnoteRef/>
      </w:r>
      <w:r w:rsidRPr="00970615">
        <w:rPr>
          <w:rStyle w:val="Appelnotedebasdep"/>
          <w:sz w:val="18"/>
          <w:szCs w:val="18"/>
          <w:lang w:val="en-GB"/>
        </w:rPr>
        <w:t xml:space="preserve"> </w:t>
      </w:r>
      <w:r w:rsidRPr="00970615">
        <w:rPr>
          <w:rFonts w:cs="Arial"/>
          <w:lang w:val="en-GB"/>
        </w:rPr>
        <w:t xml:space="preserve">See </w:t>
      </w:r>
      <w:r w:rsidR="00C66CF0" w:rsidRPr="00970615">
        <w:rPr>
          <w:rFonts w:ascii="Arial" w:hAnsi="Arial" w:cs="Arial"/>
          <w:sz w:val="18"/>
          <w:szCs w:val="18"/>
          <w:lang w:val="en-GB"/>
        </w:rPr>
        <w:t>he</w:t>
      </w:r>
      <w:r w:rsidR="00360D33">
        <w:rPr>
          <w:rFonts w:ascii="Arial" w:hAnsi="Arial" w:cs="Arial"/>
          <w:sz w:val="18"/>
          <w:szCs w:val="18"/>
          <w:lang w:val="en-GB"/>
        </w:rPr>
        <w:t>reabove</w:t>
      </w:r>
      <w:r w:rsidR="00FA4914">
        <w:rPr>
          <w:rFonts w:ascii="Arial" w:hAnsi="Arial" w:cs="Arial"/>
          <w:sz w:val="18"/>
          <w:szCs w:val="18"/>
          <w:lang w:val="en-GB"/>
        </w:rPr>
        <w:t xml:space="preserve">, </w:t>
      </w:r>
      <w:r w:rsidRPr="00970615">
        <w:rPr>
          <w:rFonts w:cs="Arial"/>
          <w:lang w:val="en-GB"/>
        </w:rPr>
        <w:t>the European Commission’s Consultation Document - A retail strategy for Europe, Question 4.9.</w:t>
      </w:r>
    </w:p>
  </w:footnote>
  <w:footnote w:id="7">
    <w:p w14:paraId="2B059BCE" w14:textId="69D0ECE1" w:rsidR="00881E4E" w:rsidRPr="00B94F79" w:rsidRDefault="00881E4E" w:rsidP="008A6499">
      <w:pPr>
        <w:pStyle w:val="Sansinterligne"/>
        <w:rPr>
          <w:rFonts w:ascii="Arial" w:hAnsi="Arial" w:cs="Arial"/>
          <w:sz w:val="18"/>
          <w:szCs w:val="18"/>
          <w:lang w:val="en-GB"/>
        </w:rPr>
      </w:pPr>
      <w:r w:rsidRPr="00FF6397">
        <w:rPr>
          <w:rStyle w:val="Appelnotedebasdep"/>
          <w:rFonts w:cs="Arial"/>
          <w:sz w:val="18"/>
          <w:szCs w:val="18"/>
          <w:vertAlign w:val="superscript"/>
        </w:rPr>
        <w:footnoteRef/>
      </w:r>
      <w:r w:rsidRPr="00B94F79">
        <w:rPr>
          <w:rFonts w:ascii="Arial" w:hAnsi="Arial" w:cs="Arial"/>
          <w:sz w:val="18"/>
          <w:szCs w:val="18"/>
          <w:vertAlign w:val="superscript"/>
          <w:lang w:val="en-GB"/>
        </w:rPr>
        <w:t xml:space="preserve"> </w:t>
      </w:r>
      <w:r w:rsidRPr="00B94F79">
        <w:rPr>
          <w:rFonts w:ascii="Arial" w:hAnsi="Arial" w:cs="Arial"/>
          <w:sz w:val="18"/>
          <w:szCs w:val="18"/>
          <w:lang w:val="en-GB"/>
        </w:rPr>
        <w:t>Re</w:t>
      </w:r>
      <w:r w:rsidRPr="00B94F79">
        <w:rPr>
          <w:rFonts w:ascii="Arial" w:hAnsi="Arial" w:cs="Arial"/>
          <w:spacing w:val="1"/>
          <w:sz w:val="18"/>
          <w:szCs w:val="18"/>
          <w:lang w:val="en-GB"/>
        </w:rPr>
        <w:t>f</w:t>
      </w:r>
      <w:r w:rsidRPr="00B94F79">
        <w:rPr>
          <w:rFonts w:ascii="Arial" w:hAnsi="Arial" w:cs="Arial"/>
          <w:sz w:val="18"/>
          <w:szCs w:val="18"/>
          <w:lang w:val="en-GB"/>
        </w:rPr>
        <w:t xml:space="preserve">: </w:t>
      </w:r>
      <w:r w:rsidRPr="00B94F79">
        <w:rPr>
          <w:rFonts w:ascii="Arial" w:hAnsi="Arial" w:cs="Arial"/>
          <w:spacing w:val="-2"/>
          <w:sz w:val="18"/>
          <w:szCs w:val="18"/>
          <w:lang w:val="en-GB"/>
        </w:rPr>
        <w:t>E</w:t>
      </w:r>
      <w:r w:rsidRPr="00B94F79">
        <w:rPr>
          <w:rFonts w:ascii="Arial" w:hAnsi="Arial" w:cs="Arial"/>
          <w:spacing w:val="1"/>
          <w:sz w:val="18"/>
          <w:szCs w:val="18"/>
          <w:lang w:val="en-GB"/>
        </w:rPr>
        <w:t>S</w:t>
      </w:r>
      <w:r w:rsidRPr="00B94F79">
        <w:rPr>
          <w:rFonts w:ascii="Arial" w:hAnsi="Arial" w:cs="Arial"/>
          <w:spacing w:val="-2"/>
          <w:sz w:val="18"/>
          <w:szCs w:val="18"/>
          <w:lang w:val="en-GB"/>
        </w:rPr>
        <w:t>M</w:t>
      </w:r>
      <w:r w:rsidRPr="00B94F79">
        <w:rPr>
          <w:rFonts w:ascii="Arial" w:hAnsi="Arial" w:cs="Arial"/>
          <w:spacing w:val="1"/>
          <w:sz w:val="18"/>
          <w:szCs w:val="18"/>
          <w:lang w:val="en-GB"/>
        </w:rPr>
        <w:t>A</w:t>
      </w:r>
      <w:r w:rsidRPr="00B94F79">
        <w:rPr>
          <w:rFonts w:ascii="Arial" w:hAnsi="Arial" w:cs="Arial"/>
          <w:sz w:val="18"/>
          <w:szCs w:val="18"/>
          <w:lang w:val="en-GB"/>
        </w:rPr>
        <w:t>35-43-2938.</w:t>
      </w:r>
    </w:p>
  </w:footnote>
  <w:footnote w:id="8">
    <w:p w14:paraId="5E0AFF6A" w14:textId="2826166E" w:rsidR="008A6499" w:rsidRPr="00B94F79" w:rsidRDefault="008A6499" w:rsidP="008A6499">
      <w:pPr>
        <w:pStyle w:val="Sansinterligne"/>
        <w:rPr>
          <w:rFonts w:ascii="Arial" w:hAnsi="Arial" w:cs="Arial"/>
          <w:sz w:val="18"/>
          <w:szCs w:val="18"/>
          <w:lang w:val="en-GB"/>
        </w:rPr>
      </w:pPr>
      <w:r w:rsidRPr="00FF6397">
        <w:rPr>
          <w:rStyle w:val="Appelnotedebasdep"/>
          <w:rFonts w:cs="Arial"/>
          <w:sz w:val="18"/>
          <w:szCs w:val="18"/>
          <w:vertAlign w:val="superscript"/>
        </w:rPr>
        <w:footnoteRef/>
      </w:r>
      <w:r w:rsidRPr="00B94F79">
        <w:rPr>
          <w:rFonts w:ascii="Arial" w:hAnsi="Arial" w:cs="Arial"/>
          <w:sz w:val="18"/>
          <w:szCs w:val="18"/>
          <w:vertAlign w:val="superscript"/>
          <w:lang w:val="en-GB"/>
        </w:rPr>
        <w:t xml:space="preserve"> </w:t>
      </w:r>
      <w:r w:rsidRPr="00B94F79">
        <w:rPr>
          <w:rFonts w:ascii="Arial" w:hAnsi="Arial" w:cs="Arial"/>
          <w:sz w:val="18"/>
          <w:szCs w:val="18"/>
          <w:lang w:val="en-GB"/>
        </w:rPr>
        <w:t xml:space="preserve">See MiFID II Delegated Regulation, </w:t>
      </w:r>
      <w:r w:rsidR="000B79F8">
        <w:rPr>
          <w:rFonts w:ascii="Arial" w:hAnsi="Arial" w:cs="Arial"/>
          <w:sz w:val="18"/>
          <w:szCs w:val="18"/>
          <w:lang w:val="en-GB"/>
        </w:rPr>
        <w:t>A</w:t>
      </w:r>
      <w:r w:rsidRPr="00B94F79">
        <w:rPr>
          <w:rFonts w:ascii="Arial" w:hAnsi="Arial" w:cs="Arial"/>
          <w:sz w:val="18"/>
          <w:szCs w:val="18"/>
          <w:lang w:val="en-GB"/>
        </w:rPr>
        <w:t>rt. 55.</w:t>
      </w:r>
    </w:p>
  </w:footnote>
  <w:footnote w:id="9">
    <w:p w14:paraId="4E5BAEBD" w14:textId="7A094987" w:rsidR="001A3C40" w:rsidRPr="00EC7D12" w:rsidRDefault="001A3C40" w:rsidP="004A2A49">
      <w:pPr>
        <w:pStyle w:val="Notedebasdepage"/>
        <w:rPr>
          <w:lang w:val="en-GB"/>
        </w:rPr>
      </w:pPr>
      <w:r>
        <w:rPr>
          <w:rStyle w:val="Appelnotedebasdep"/>
        </w:rPr>
        <w:footnoteRef/>
      </w:r>
      <w:r w:rsidRPr="00EC7D12">
        <w:rPr>
          <w:lang w:val="en-GB"/>
        </w:rPr>
        <w:t xml:space="preserve"> See 2018 ESMA guidelines, § 8</w:t>
      </w:r>
      <w:r w:rsidR="00212415">
        <w:rPr>
          <w:lang w:val="en-GB"/>
        </w:rPr>
        <w:t>:</w:t>
      </w:r>
      <w:r w:rsidRPr="00EC7D12">
        <w:rPr>
          <w:lang w:val="en-GB"/>
        </w:rPr>
        <w:t xml:space="preserve"> </w:t>
      </w:r>
      <w:r w:rsidR="00DA4681">
        <w:rPr>
          <w:lang w:val="en-GB"/>
        </w:rPr>
        <w:t>“</w:t>
      </w:r>
      <w:r w:rsidRPr="00EC7D12">
        <w:rPr>
          <w:i/>
          <w:iCs/>
          <w:lang w:val="en-GB"/>
        </w:rPr>
        <w:t xml:space="preserve">Guidelines </w:t>
      </w:r>
      <w:r w:rsidR="004A2A49" w:rsidRPr="00EC7D12">
        <w:rPr>
          <w:i/>
          <w:iCs/>
          <w:lang w:val="en-GB"/>
        </w:rPr>
        <w:t xml:space="preserve">do not reflect absolute obligations. For this reason, the word ‘should’ </w:t>
      </w:r>
      <w:proofErr w:type="gramStart"/>
      <w:r w:rsidR="004A2A49" w:rsidRPr="00EC7D12">
        <w:rPr>
          <w:i/>
          <w:iCs/>
          <w:lang w:val="en-GB"/>
        </w:rPr>
        <w:t>is</w:t>
      </w:r>
      <w:proofErr w:type="gramEnd"/>
      <w:r w:rsidR="004A2A49" w:rsidRPr="00EC7D12">
        <w:rPr>
          <w:i/>
          <w:iCs/>
          <w:lang w:val="en-GB"/>
        </w:rPr>
        <w:t xml:space="preserve"> often used. However, the words ‘shall’, ‘must’ or ‘required to’ are used when describing a MiFID II requirement</w:t>
      </w:r>
      <w:r w:rsidR="004A2A49" w:rsidRPr="00EC7D12">
        <w:rPr>
          <w:lang w:val="en-GB"/>
        </w:rPr>
        <w:t>.</w:t>
      </w:r>
      <w:r w:rsidR="00DA4681">
        <w:rPr>
          <w:lang w:val="en-GB"/>
        </w:rPr>
        <w:t>”</w:t>
      </w:r>
    </w:p>
  </w:footnote>
  <w:footnote w:id="10">
    <w:p w14:paraId="6977593A" w14:textId="33DA96B9" w:rsidR="00314903" w:rsidRDefault="00314903">
      <w:pPr>
        <w:pStyle w:val="Notedebasdepage"/>
      </w:pPr>
      <w:r w:rsidRPr="00FF6397">
        <w:rPr>
          <w:rStyle w:val="Appelnotedebasdep"/>
          <w:rFonts w:cs="Arial"/>
          <w:sz w:val="18"/>
          <w:szCs w:val="18"/>
          <w:vertAlign w:val="superscript"/>
        </w:rPr>
        <w:footnoteRef/>
      </w:r>
      <w:r w:rsidRPr="00FF6397">
        <w:rPr>
          <w:rFonts w:ascii="Arial" w:hAnsi="Arial" w:cs="Arial"/>
        </w:rPr>
        <w:t xml:space="preserve"> </w:t>
      </w:r>
      <w:proofErr w:type="spellStart"/>
      <w:r w:rsidR="00FF6397" w:rsidRPr="00FF6397">
        <w:rPr>
          <w:rFonts w:ascii="Arial" w:hAnsi="Arial" w:cs="Arial"/>
        </w:rPr>
        <w:t>Ref</w:t>
      </w:r>
      <w:proofErr w:type="spellEnd"/>
      <w:r w:rsidR="00FF6397" w:rsidRPr="00FF6397">
        <w:rPr>
          <w:rFonts w:ascii="Arial" w:hAnsi="Arial" w:cs="Arial"/>
        </w:rPr>
        <w:t>. ESMA35-43-2748</w:t>
      </w:r>
      <w:r w:rsidR="0006519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E3A8" w14:textId="7DE19568" w:rsidR="003E4653" w:rsidRDefault="00ED5D71">
    <w:pPr>
      <w:pStyle w:val="En-tte"/>
    </w:pPr>
    <w:r>
      <w:rPr>
        <w:noProof/>
      </w:rPr>
      <mc:AlternateContent>
        <mc:Choice Requires="wps">
          <w:drawing>
            <wp:anchor distT="0" distB="0" distL="114300" distR="114300" simplePos="0" relativeHeight="251658243" behindDoc="1" locked="0" layoutInCell="0" allowOverlap="1" wp14:anchorId="078113CF" wp14:editId="0FE37EF9">
              <wp:simplePos x="0" y="0"/>
              <wp:positionH relativeFrom="margin">
                <wp:align>center</wp:align>
              </wp:positionH>
              <wp:positionV relativeFrom="margin">
                <wp:align>center</wp:align>
              </wp:positionV>
              <wp:extent cx="5234940" cy="3140710"/>
              <wp:effectExtent l="0" t="0" r="0" b="0"/>
              <wp:wrapNone/>
              <wp:docPr id="3" name="PowerPlusWaterMarkObject79232654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4940" cy="3140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5DDC08" w14:textId="77777777" w:rsidR="00ED5D71" w:rsidRDefault="00ED5D71" w:rsidP="00ED5D7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78113CF" id="_x0000_t202" coordsize="21600,21600" o:spt="202" path="m,l,21600r21600,l21600,xe">
              <v:stroke joinstyle="miter"/>
              <v:path gradientshapeok="t" o:connecttype="rect"/>
            </v:shapetype>
            <v:shape id="PowerPlusWaterMarkObject792326547" o:spid="_x0000_s1026" type="#_x0000_t202" style="position:absolute;margin-left:0;margin-top:0;width:412.2pt;height:247.3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" o:allowincell="f" filled="f" stroked="f">
              <v:stroke joinstyle="round"/>
              <o:lock v:ext="edit" rotation="t" aspectratio="t" verticies="t" adjusthandles="t" grouping="t" shapetype="t"/>
              <v:textbox>
                <w:txbxContent>
                  <w:p w14:paraId="295DDC08" w14:textId="77777777" w:rsidR="00ED5D71" w:rsidRDefault="00ED5D71" w:rsidP="00ED5D7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p w14:paraId="181B3BAD" w14:textId="77777777" w:rsidR="00491730" w:rsidRDefault="00491730"/>
  <w:p w14:paraId="37D0927E" w14:textId="77777777" w:rsidR="00491730" w:rsidRDefault="00491730"/>
  <w:p w14:paraId="20964138" w14:textId="77777777" w:rsidR="00491730" w:rsidRDefault="004917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A705" w14:textId="49A6BE6F" w:rsidR="00FD7943" w:rsidRPr="000E2E3A" w:rsidRDefault="00FD7943" w:rsidP="00FD7943">
    <w:pPr>
      <w:spacing w:after="0" w:line="240" w:lineRule="atLeast"/>
      <w:jc w:val="right"/>
      <w:rPr>
        <w:rFonts w:ascii="Arial" w:eastAsia="Times New Roman" w:hAnsi="Arial" w:cs="Arial"/>
        <w:b/>
        <w:sz w:val="16"/>
        <w:szCs w:val="20"/>
        <w:lang w:eastAsia="fr-FR"/>
      </w:rPr>
    </w:pPr>
    <w:r>
      <w:rPr>
        <w:noProof/>
        <w:lang w:eastAsia="fr-FR"/>
      </w:rPr>
      <w:drawing>
        <wp:anchor distT="0" distB="0" distL="114300" distR="114300" simplePos="0" relativeHeight="251662340" behindDoc="1" locked="0" layoutInCell="1" allowOverlap="1" wp14:anchorId="431E5040" wp14:editId="01B5DE1D">
          <wp:simplePos x="0" y="0"/>
          <wp:positionH relativeFrom="column">
            <wp:posOffset>-428625</wp:posOffset>
          </wp:positionH>
          <wp:positionV relativeFrom="paragraph">
            <wp:posOffset>-86360</wp:posOffset>
          </wp:positionV>
          <wp:extent cx="2076450" cy="752475"/>
          <wp:effectExtent l="0" t="0" r="0" b="9525"/>
          <wp:wrapNone/>
          <wp:docPr id="7" name="Image 7" descr="Logos_FBF_2015_OL_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s_FBF_2015_OL_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52475"/>
                  </a:xfrm>
                  <a:prstGeom prst="rect">
                    <a:avLst/>
                  </a:prstGeom>
                  <a:noFill/>
                </pic:spPr>
              </pic:pic>
            </a:graphicData>
          </a:graphic>
          <wp14:sizeRelH relativeFrom="page">
            <wp14:pctWidth>0</wp14:pctWidth>
          </wp14:sizeRelH>
          <wp14:sizeRelV relativeFrom="page">
            <wp14:pctHeight>0</wp14:pctHeight>
          </wp14:sizeRelV>
        </wp:anchor>
      </w:drawing>
    </w:r>
  </w:p>
  <w:p w14:paraId="72C623AF" w14:textId="7C14EBCB" w:rsidR="00FD7943" w:rsidRPr="00D15A71" w:rsidRDefault="00FD7943" w:rsidP="00FD7943">
    <w:pPr>
      <w:spacing w:after="0" w:line="240" w:lineRule="auto"/>
      <w:jc w:val="right"/>
      <w:rPr>
        <w:rFonts w:ascii="Arial" w:eastAsia="Times New Roman" w:hAnsi="Arial" w:cs="Arial"/>
        <w:b/>
        <w:sz w:val="16"/>
        <w:szCs w:val="20"/>
        <w:lang w:val="en-GB" w:eastAsia="fr-FR"/>
      </w:rPr>
    </w:pPr>
    <w:r>
      <w:rPr>
        <w:rFonts w:ascii="Arial" w:eastAsia="Times New Roman" w:hAnsi="Arial" w:cs="Arial"/>
        <w:b/>
        <w:sz w:val="16"/>
        <w:szCs w:val="20"/>
        <w:lang w:val="en-GB" w:eastAsia="fr-FR"/>
      </w:rPr>
      <w:t>22/04/2022</w:t>
    </w:r>
  </w:p>
  <w:p w14:paraId="3653EB9B" w14:textId="77777777" w:rsidR="00FD7943" w:rsidRPr="00EC7D12" w:rsidRDefault="00FD7943" w:rsidP="00FD7943">
    <w:pPr>
      <w:spacing w:after="0" w:line="240" w:lineRule="auto"/>
      <w:jc w:val="right"/>
      <w:rPr>
        <w:rFonts w:ascii="Arial" w:eastAsia="Times New Roman" w:hAnsi="Arial" w:cs="Arial"/>
        <w:b/>
        <w:sz w:val="16"/>
        <w:szCs w:val="20"/>
        <w:u w:val="single"/>
        <w:lang w:val="en-GB" w:eastAsia="fr-FR"/>
      </w:rPr>
    </w:pPr>
  </w:p>
  <w:p w14:paraId="4C827D0A" w14:textId="77777777" w:rsidR="00FD7943" w:rsidRPr="00EC7D12" w:rsidRDefault="00FD7943" w:rsidP="00FD7943">
    <w:pPr>
      <w:spacing w:after="0" w:line="240" w:lineRule="auto"/>
      <w:jc w:val="right"/>
      <w:rPr>
        <w:rFonts w:ascii="Arial" w:eastAsia="Times New Roman" w:hAnsi="Arial" w:cs="Arial"/>
        <w:b/>
        <w:sz w:val="16"/>
        <w:szCs w:val="20"/>
        <w:lang w:val="en-GB" w:eastAsia="fr-FR"/>
      </w:rPr>
    </w:pPr>
  </w:p>
  <w:p w14:paraId="53C710B2" w14:textId="556DDD71" w:rsidR="000E2E3A" w:rsidRPr="00EC7D12" w:rsidRDefault="000E2E3A" w:rsidP="000E2E3A">
    <w:pPr>
      <w:spacing w:after="0" w:line="240" w:lineRule="auto"/>
      <w:jc w:val="right"/>
      <w:rPr>
        <w:rFonts w:ascii="Arial" w:eastAsia="Times New Roman" w:hAnsi="Arial" w:cs="Arial"/>
        <w:b/>
        <w:sz w:val="16"/>
        <w:szCs w:val="20"/>
        <w:lang w:val="en-GB" w:eastAsia="fr-FR"/>
      </w:rPr>
    </w:pPr>
  </w:p>
  <w:p w14:paraId="69310FCB" w14:textId="3D4315DC" w:rsidR="009F6BF8" w:rsidRPr="00EC7D12" w:rsidRDefault="009F6BF8" w:rsidP="000E2E3A">
    <w:pPr>
      <w:spacing w:after="0" w:line="240" w:lineRule="auto"/>
      <w:jc w:val="right"/>
      <w:rPr>
        <w:rFonts w:ascii="Arial" w:eastAsia="Times New Roman" w:hAnsi="Arial" w:cs="Arial"/>
        <w:b/>
        <w:sz w:val="16"/>
        <w:szCs w:val="20"/>
        <w:lang w:val="en-GB" w:eastAsia="fr-FR"/>
      </w:rPr>
    </w:pPr>
  </w:p>
  <w:p w14:paraId="51AA7E4D" w14:textId="0F12DFD2" w:rsidR="00751992" w:rsidRPr="00EC7D12" w:rsidRDefault="00751992" w:rsidP="000E2E3A">
    <w:pPr>
      <w:spacing w:after="0" w:line="240" w:lineRule="auto"/>
      <w:jc w:val="right"/>
      <w:rPr>
        <w:rFonts w:ascii="Arial" w:eastAsia="Times New Roman" w:hAnsi="Arial" w:cs="Arial"/>
        <w:b/>
        <w:sz w:val="16"/>
        <w:szCs w:val="20"/>
        <w:lang w:val="en-GB" w:eastAsia="fr-FR"/>
      </w:rPr>
    </w:pPr>
  </w:p>
  <w:p w14:paraId="62213774" w14:textId="77777777" w:rsidR="00751992" w:rsidRPr="00EC7D12" w:rsidRDefault="00751992" w:rsidP="000E2E3A">
    <w:pPr>
      <w:spacing w:after="0" w:line="240" w:lineRule="auto"/>
      <w:jc w:val="right"/>
      <w:rPr>
        <w:rFonts w:ascii="Arial" w:eastAsia="Times New Roman" w:hAnsi="Arial" w:cs="Arial"/>
        <w:b/>
        <w:sz w:val="16"/>
        <w:szCs w:val="20"/>
        <w:lang w:val="en-GB" w:eastAsia="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B734" w14:textId="1C97CC8A" w:rsidR="000E2E3A" w:rsidRPr="000E2E3A" w:rsidRDefault="00FD7943" w:rsidP="005928DA">
    <w:pPr>
      <w:spacing w:after="0" w:line="240" w:lineRule="atLeast"/>
      <w:jc w:val="right"/>
      <w:rPr>
        <w:rFonts w:ascii="Arial" w:eastAsia="Times New Roman" w:hAnsi="Arial" w:cs="Arial"/>
        <w:b/>
        <w:sz w:val="16"/>
        <w:szCs w:val="20"/>
        <w:lang w:eastAsia="fr-FR"/>
      </w:rPr>
    </w:pPr>
    <w:r>
      <w:rPr>
        <w:noProof/>
        <w:lang w:eastAsia="fr-FR"/>
      </w:rPr>
      <w:drawing>
        <wp:anchor distT="0" distB="0" distL="114300" distR="114300" simplePos="0" relativeHeight="251660292" behindDoc="1" locked="0" layoutInCell="1" allowOverlap="1" wp14:anchorId="01788840" wp14:editId="460AB45B">
          <wp:simplePos x="0" y="0"/>
          <wp:positionH relativeFrom="column">
            <wp:posOffset>-438150</wp:posOffset>
          </wp:positionH>
          <wp:positionV relativeFrom="paragraph">
            <wp:posOffset>-67310</wp:posOffset>
          </wp:positionV>
          <wp:extent cx="2076450" cy="752475"/>
          <wp:effectExtent l="0" t="0" r="0" b="9525"/>
          <wp:wrapNone/>
          <wp:docPr id="4" name="Image 4" descr="Logos_FBF_2015_OL_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s_FBF_2015_OL_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52475"/>
                  </a:xfrm>
                  <a:prstGeom prst="rect">
                    <a:avLst/>
                  </a:prstGeom>
                  <a:noFill/>
                </pic:spPr>
              </pic:pic>
            </a:graphicData>
          </a:graphic>
          <wp14:sizeRelH relativeFrom="page">
            <wp14:pctWidth>0</wp14:pctWidth>
          </wp14:sizeRelH>
          <wp14:sizeRelV relativeFrom="page">
            <wp14:pctHeight>0</wp14:pctHeight>
          </wp14:sizeRelV>
        </wp:anchor>
      </w:drawing>
    </w:r>
  </w:p>
  <w:p w14:paraId="78E5CF76" w14:textId="76695472" w:rsidR="00D15A71" w:rsidRPr="00D15A71" w:rsidRDefault="00604D97" w:rsidP="00D15A71">
    <w:pPr>
      <w:spacing w:after="0" w:line="240" w:lineRule="auto"/>
      <w:jc w:val="right"/>
      <w:rPr>
        <w:rFonts w:ascii="Arial" w:eastAsia="Times New Roman" w:hAnsi="Arial" w:cs="Arial"/>
        <w:b/>
        <w:sz w:val="16"/>
        <w:szCs w:val="20"/>
        <w:lang w:val="en-GB" w:eastAsia="fr-FR"/>
      </w:rPr>
    </w:pPr>
    <w:r>
      <w:rPr>
        <w:rFonts w:ascii="Arial" w:eastAsia="Times New Roman" w:hAnsi="Arial" w:cs="Arial"/>
        <w:b/>
        <w:sz w:val="16"/>
        <w:szCs w:val="20"/>
        <w:lang w:val="en-GB" w:eastAsia="fr-FR"/>
      </w:rPr>
      <w:t>22/04/2022</w:t>
    </w:r>
  </w:p>
  <w:p w14:paraId="4C3B93B1" w14:textId="44270DFF" w:rsidR="000E2E3A" w:rsidRPr="00EC7D12" w:rsidRDefault="000E2E3A" w:rsidP="00D15A71">
    <w:pPr>
      <w:spacing w:after="0" w:line="240" w:lineRule="auto"/>
      <w:jc w:val="right"/>
      <w:rPr>
        <w:rFonts w:ascii="Arial" w:eastAsia="Times New Roman" w:hAnsi="Arial" w:cs="Arial"/>
        <w:b/>
        <w:sz w:val="16"/>
        <w:szCs w:val="20"/>
        <w:u w:val="single"/>
        <w:lang w:val="en-GB" w:eastAsia="fr-FR"/>
      </w:rPr>
    </w:pPr>
  </w:p>
  <w:p w14:paraId="249DD84D" w14:textId="77777777" w:rsidR="000E2E3A" w:rsidRPr="00EC7D12" w:rsidRDefault="000E2E3A" w:rsidP="000E2E3A">
    <w:pPr>
      <w:spacing w:after="0" w:line="240" w:lineRule="auto"/>
      <w:jc w:val="right"/>
      <w:rPr>
        <w:rFonts w:ascii="Arial" w:eastAsia="Times New Roman" w:hAnsi="Arial" w:cs="Arial"/>
        <w:b/>
        <w:sz w:val="16"/>
        <w:szCs w:val="20"/>
        <w:lang w:val="en-GB" w:eastAsia="fr-FR"/>
      </w:rPr>
    </w:pPr>
  </w:p>
  <w:p w14:paraId="567FC422" w14:textId="77777777" w:rsidR="000E2E3A" w:rsidRPr="00EC7D12" w:rsidRDefault="000E2E3A" w:rsidP="000E2E3A">
    <w:pPr>
      <w:spacing w:after="0" w:line="240" w:lineRule="auto"/>
      <w:jc w:val="right"/>
      <w:rPr>
        <w:rFonts w:ascii="Arial" w:eastAsia="Times New Roman" w:hAnsi="Arial" w:cs="Arial"/>
        <w:b/>
        <w:sz w:val="16"/>
        <w:szCs w:val="20"/>
        <w:lang w:val="en-GB" w:eastAsia="fr-FR"/>
      </w:rPr>
    </w:pPr>
  </w:p>
  <w:p w14:paraId="7E943519" w14:textId="58C2E52E" w:rsidR="000E2E3A" w:rsidRPr="00EC7D12" w:rsidRDefault="000E2E3A" w:rsidP="000E2E3A">
    <w:pPr>
      <w:spacing w:after="0" w:line="240" w:lineRule="auto"/>
      <w:jc w:val="right"/>
      <w:rPr>
        <w:rFonts w:ascii="Arial" w:eastAsia="Times New Roman" w:hAnsi="Arial" w:cs="Arial"/>
        <w:b/>
        <w:sz w:val="16"/>
        <w:szCs w:val="20"/>
        <w:lang w:val="en-GB" w:eastAsia="fr-FR"/>
      </w:rPr>
    </w:pPr>
  </w:p>
  <w:p w14:paraId="47DEFA0A" w14:textId="502B33CA" w:rsidR="009F6BF8" w:rsidRPr="00EC7D12" w:rsidRDefault="009F6BF8" w:rsidP="000E2E3A">
    <w:pPr>
      <w:spacing w:after="0" w:line="240" w:lineRule="auto"/>
      <w:jc w:val="right"/>
      <w:rPr>
        <w:rFonts w:ascii="Arial" w:eastAsia="Times New Roman" w:hAnsi="Arial" w:cs="Arial"/>
        <w:b/>
        <w:sz w:val="16"/>
        <w:szCs w:val="20"/>
        <w:lang w:val="en-GB" w:eastAsia="fr-FR"/>
      </w:rPr>
    </w:pPr>
  </w:p>
  <w:p w14:paraId="246EA447" w14:textId="77777777" w:rsidR="009F6BF8" w:rsidRPr="00EC7D12" w:rsidRDefault="009F6BF8" w:rsidP="000E2E3A">
    <w:pPr>
      <w:spacing w:after="0" w:line="240" w:lineRule="auto"/>
      <w:jc w:val="right"/>
      <w:rPr>
        <w:rFonts w:ascii="Arial" w:eastAsia="Times New Roman" w:hAnsi="Arial" w:cs="Arial"/>
        <w:b/>
        <w:sz w:val="16"/>
        <w:szCs w:val="20"/>
        <w:lang w:val="en-GB"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836"/>
    <w:multiLevelType w:val="hybridMultilevel"/>
    <w:tmpl w:val="9B6E3C50"/>
    <w:lvl w:ilvl="0" w:tplc="F8D4A0D6">
      <w:start w:val="1"/>
      <w:numFmt w:val="upperLetter"/>
      <w:lvlText w:val="%1."/>
      <w:lvlJc w:val="left"/>
      <w:pPr>
        <w:ind w:left="426" w:hanging="360"/>
      </w:pPr>
      <w:rPr>
        <w:rFonts w:hint="default"/>
        <w:i w:val="0"/>
        <w:u w:val="single"/>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 w15:restartNumberingAfterBreak="0">
    <w:nsid w:val="0BC94F58"/>
    <w:multiLevelType w:val="singleLevel"/>
    <w:tmpl w:val="AE7A2892"/>
    <w:lvl w:ilvl="0">
      <w:start w:val="3"/>
      <w:numFmt w:val="upperLetter"/>
      <w:pStyle w:val="Titre6"/>
      <w:lvlText w:val="%1."/>
      <w:lvlJc w:val="left"/>
      <w:pPr>
        <w:tabs>
          <w:tab w:val="num" w:pos="916"/>
        </w:tabs>
        <w:ind w:left="916" w:hanging="360"/>
      </w:pPr>
      <w:rPr>
        <w:rFonts w:hint="default"/>
      </w:rPr>
    </w:lvl>
  </w:abstractNum>
  <w:abstractNum w:abstractNumId="2" w15:restartNumberingAfterBreak="0">
    <w:nsid w:val="15DB20E0"/>
    <w:multiLevelType w:val="hybridMultilevel"/>
    <w:tmpl w:val="55062A12"/>
    <w:lvl w:ilvl="0" w:tplc="428696D2">
      <w:start w:val="1"/>
      <w:numFmt w:val="decimal"/>
      <w:pStyle w:val="Style1"/>
      <w:lvlText w:val="%1"/>
      <w:lvlJc w:val="left"/>
      <w:pPr>
        <w:tabs>
          <w:tab w:val="num" w:pos="4188"/>
        </w:tabs>
        <w:ind w:left="4188" w:hanging="360"/>
      </w:pPr>
      <w:rPr>
        <w:rFonts w:hint="default"/>
        <w:b/>
        <w:bCs/>
        <w:i w:val="0"/>
        <w:sz w:val="20"/>
        <w:szCs w:val="20"/>
      </w:rPr>
    </w:lvl>
    <w:lvl w:ilvl="1" w:tplc="040C0005">
      <w:start w:val="1"/>
      <w:numFmt w:val="bullet"/>
      <w:lvlText w:val=""/>
      <w:lvlJc w:val="left"/>
      <w:pPr>
        <w:tabs>
          <w:tab w:val="num" w:pos="2709"/>
        </w:tabs>
        <w:ind w:left="2709" w:hanging="360"/>
      </w:pPr>
      <w:rPr>
        <w:rFonts w:ascii="Wingdings" w:hAnsi="Wingdings" w:hint="default"/>
        <w:b/>
        <w:i w:val="0"/>
      </w:rPr>
    </w:lvl>
    <w:lvl w:ilvl="2" w:tplc="471A402A">
      <w:start w:val="1"/>
      <w:numFmt w:val="bullet"/>
      <w:lvlText w:val="-"/>
      <w:lvlJc w:val="left"/>
      <w:pPr>
        <w:tabs>
          <w:tab w:val="num" w:pos="3609"/>
        </w:tabs>
        <w:ind w:left="3609" w:hanging="360"/>
      </w:pPr>
      <w:rPr>
        <w:rFonts w:ascii="Arial" w:eastAsia="Times New Roman" w:hAnsi="Arial" w:cs="Arial" w:hint="default"/>
      </w:rPr>
    </w:lvl>
    <w:lvl w:ilvl="3" w:tplc="040C0001">
      <w:start w:val="1"/>
      <w:numFmt w:val="bullet"/>
      <w:lvlText w:val=""/>
      <w:lvlJc w:val="left"/>
      <w:pPr>
        <w:tabs>
          <w:tab w:val="num" w:pos="4149"/>
        </w:tabs>
        <w:ind w:left="4149" w:hanging="360"/>
      </w:pPr>
      <w:rPr>
        <w:rFonts w:ascii="Symbol" w:hAnsi="Symbol" w:hint="default"/>
        <w:b/>
        <w:i w:val="0"/>
      </w:rPr>
    </w:lvl>
    <w:lvl w:ilvl="4" w:tplc="040C0019">
      <w:start w:val="1"/>
      <w:numFmt w:val="lowerLetter"/>
      <w:lvlText w:val="%5."/>
      <w:lvlJc w:val="left"/>
      <w:pPr>
        <w:tabs>
          <w:tab w:val="num" w:pos="4869"/>
        </w:tabs>
        <w:ind w:left="4869" w:hanging="360"/>
      </w:pPr>
    </w:lvl>
    <w:lvl w:ilvl="5" w:tplc="040C001B">
      <w:start w:val="1"/>
      <w:numFmt w:val="lowerRoman"/>
      <w:lvlText w:val="%6."/>
      <w:lvlJc w:val="right"/>
      <w:pPr>
        <w:tabs>
          <w:tab w:val="num" w:pos="5589"/>
        </w:tabs>
        <w:ind w:left="5589" w:hanging="180"/>
      </w:pPr>
    </w:lvl>
    <w:lvl w:ilvl="6" w:tplc="040C000F">
      <w:start w:val="1"/>
      <w:numFmt w:val="decimal"/>
      <w:lvlText w:val="%7."/>
      <w:lvlJc w:val="left"/>
      <w:pPr>
        <w:tabs>
          <w:tab w:val="num" w:pos="6309"/>
        </w:tabs>
        <w:ind w:left="6309" w:hanging="360"/>
      </w:pPr>
    </w:lvl>
    <w:lvl w:ilvl="7" w:tplc="040C0019">
      <w:start w:val="1"/>
      <w:numFmt w:val="lowerLetter"/>
      <w:lvlText w:val="%8."/>
      <w:lvlJc w:val="left"/>
      <w:pPr>
        <w:tabs>
          <w:tab w:val="num" w:pos="7029"/>
        </w:tabs>
        <w:ind w:left="7029" w:hanging="360"/>
      </w:pPr>
    </w:lvl>
    <w:lvl w:ilvl="8" w:tplc="040C001B">
      <w:start w:val="1"/>
      <w:numFmt w:val="lowerRoman"/>
      <w:lvlText w:val="%9."/>
      <w:lvlJc w:val="right"/>
      <w:pPr>
        <w:tabs>
          <w:tab w:val="num" w:pos="7749"/>
        </w:tabs>
        <w:ind w:left="7749" w:hanging="180"/>
      </w:pPr>
    </w:lvl>
  </w:abstractNum>
  <w:abstractNum w:abstractNumId="3" w15:restartNumberingAfterBreak="0">
    <w:nsid w:val="17344FCA"/>
    <w:multiLevelType w:val="hybridMultilevel"/>
    <w:tmpl w:val="7C705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4015B"/>
    <w:multiLevelType w:val="hybridMultilevel"/>
    <w:tmpl w:val="26DC1D82"/>
    <w:lvl w:ilvl="0" w:tplc="5462928A">
      <w:start w:val="1"/>
      <w:numFmt w:val="upperLetter"/>
      <w:lvlText w:val="%1."/>
      <w:lvlJc w:val="left"/>
      <w:pPr>
        <w:ind w:left="720" w:hanging="360"/>
      </w:pPr>
      <w:rPr>
        <w:rFonts w:hint="default"/>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F52BE7"/>
    <w:multiLevelType w:val="hybridMultilevel"/>
    <w:tmpl w:val="642095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75ACA"/>
    <w:multiLevelType w:val="hybridMultilevel"/>
    <w:tmpl w:val="99E2E78C"/>
    <w:lvl w:ilvl="0" w:tplc="7638B79C">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C347629"/>
    <w:multiLevelType w:val="hybridMultilevel"/>
    <w:tmpl w:val="A3E4D7C2"/>
    <w:lvl w:ilvl="0" w:tplc="A0AA29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5624A"/>
    <w:multiLevelType w:val="hybridMultilevel"/>
    <w:tmpl w:val="E8F46D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D11EEF"/>
    <w:multiLevelType w:val="hybridMultilevel"/>
    <w:tmpl w:val="5CA0B9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EB62D3"/>
    <w:multiLevelType w:val="hybridMultilevel"/>
    <w:tmpl w:val="E37A860C"/>
    <w:lvl w:ilvl="0" w:tplc="6018F9C0">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D0390F"/>
    <w:multiLevelType w:val="hybridMultilevel"/>
    <w:tmpl w:val="B2E4410E"/>
    <w:lvl w:ilvl="0" w:tplc="8BA4B8CA">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0D34E9"/>
    <w:multiLevelType w:val="hybridMultilevel"/>
    <w:tmpl w:val="314EEF0C"/>
    <w:lvl w:ilvl="0" w:tplc="72745C9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DD76A2"/>
    <w:multiLevelType w:val="hybridMultilevel"/>
    <w:tmpl w:val="E40AF340"/>
    <w:lvl w:ilvl="0" w:tplc="6018F9C0">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5B6876"/>
    <w:multiLevelType w:val="singleLevel"/>
    <w:tmpl w:val="AB80FCB2"/>
    <w:lvl w:ilvl="0">
      <w:start w:val="1"/>
      <w:numFmt w:val="upperLetter"/>
      <w:pStyle w:val="Titre4"/>
      <w:lvlText w:val="%1."/>
      <w:lvlJc w:val="left"/>
      <w:pPr>
        <w:tabs>
          <w:tab w:val="num" w:pos="1068"/>
        </w:tabs>
        <w:ind w:left="1068" w:hanging="360"/>
      </w:pPr>
      <w:rPr>
        <w:rFonts w:hint="default"/>
      </w:rPr>
    </w:lvl>
  </w:abstractNum>
  <w:abstractNum w:abstractNumId="15" w15:restartNumberingAfterBreak="0">
    <w:nsid w:val="558926D3"/>
    <w:multiLevelType w:val="multilevel"/>
    <w:tmpl w:val="61F42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D32B3B"/>
    <w:multiLevelType w:val="multilevel"/>
    <w:tmpl w:val="60DA22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2F9257A"/>
    <w:multiLevelType w:val="hybridMultilevel"/>
    <w:tmpl w:val="926004EC"/>
    <w:lvl w:ilvl="0" w:tplc="C06EC5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4D1A18"/>
    <w:multiLevelType w:val="hybridMultilevel"/>
    <w:tmpl w:val="0DFCF70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DD4849"/>
    <w:multiLevelType w:val="singleLevel"/>
    <w:tmpl w:val="155E0550"/>
    <w:lvl w:ilvl="0">
      <w:start w:val="1"/>
      <w:numFmt w:val="upperRoman"/>
      <w:pStyle w:val="Titre3"/>
      <w:lvlText w:val="%1."/>
      <w:lvlJc w:val="left"/>
      <w:pPr>
        <w:tabs>
          <w:tab w:val="num" w:pos="720"/>
        </w:tabs>
        <w:ind w:left="720" w:hanging="720"/>
      </w:pPr>
      <w:rPr>
        <w:rFonts w:hint="default"/>
      </w:rPr>
    </w:lvl>
  </w:abstractNum>
  <w:abstractNum w:abstractNumId="20" w15:restartNumberingAfterBreak="0">
    <w:nsid w:val="72D10710"/>
    <w:multiLevelType w:val="hybridMultilevel"/>
    <w:tmpl w:val="8F74D8DC"/>
    <w:lvl w:ilvl="0" w:tplc="7D8CD34C">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757B3EEB"/>
    <w:multiLevelType w:val="hybridMultilevel"/>
    <w:tmpl w:val="EE8E85B4"/>
    <w:lvl w:ilvl="0" w:tplc="069AB02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4458E8"/>
    <w:multiLevelType w:val="hybridMultilevel"/>
    <w:tmpl w:val="48F40C98"/>
    <w:lvl w:ilvl="0" w:tplc="069AB02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F959CC"/>
    <w:multiLevelType w:val="hybridMultilevel"/>
    <w:tmpl w:val="788C0B2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03143011">
    <w:abstractNumId w:val="19"/>
  </w:num>
  <w:num w:numId="2" w16cid:durableId="1097015970">
    <w:abstractNumId w:val="14"/>
  </w:num>
  <w:num w:numId="3" w16cid:durableId="199511143">
    <w:abstractNumId w:val="1"/>
  </w:num>
  <w:num w:numId="4" w16cid:durableId="1534420944">
    <w:abstractNumId w:val="7"/>
  </w:num>
  <w:num w:numId="5" w16cid:durableId="583027860">
    <w:abstractNumId w:val="20"/>
  </w:num>
  <w:num w:numId="6" w16cid:durableId="1036194787">
    <w:abstractNumId w:val="23"/>
  </w:num>
  <w:num w:numId="7" w16cid:durableId="1677998235">
    <w:abstractNumId w:val="18"/>
  </w:num>
  <w:num w:numId="8" w16cid:durableId="14312043">
    <w:abstractNumId w:val="2"/>
  </w:num>
  <w:num w:numId="9" w16cid:durableId="1922058005">
    <w:abstractNumId w:val="4"/>
  </w:num>
  <w:num w:numId="10" w16cid:durableId="808941976">
    <w:abstractNumId w:val="0"/>
  </w:num>
  <w:num w:numId="11" w16cid:durableId="1242258167">
    <w:abstractNumId w:val="8"/>
  </w:num>
  <w:num w:numId="12" w16cid:durableId="814358">
    <w:abstractNumId w:val="5"/>
  </w:num>
  <w:num w:numId="13" w16cid:durableId="404767180">
    <w:abstractNumId w:val="9"/>
  </w:num>
  <w:num w:numId="14" w16cid:durableId="1827747236">
    <w:abstractNumId w:val="13"/>
  </w:num>
  <w:num w:numId="15" w16cid:durableId="1349914449">
    <w:abstractNumId w:val="10"/>
  </w:num>
  <w:num w:numId="16" w16cid:durableId="1522744914">
    <w:abstractNumId w:val="22"/>
  </w:num>
  <w:num w:numId="17" w16cid:durableId="1236431437">
    <w:abstractNumId w:val="3"/>
  </w:num>
  <w:num w:numId="18" w16cid:durableId="1593127768">
    <w:abstractNumId w:val="21"/>
  </w:num>
  <w:num w:numId="19" w16cid:durableId="290290418">
    <w:abstractNumId w:val="17"/>
  </w:num>
  <w:num w:numId="20" w16cid:durableId="1135869976">
    <w:abstractNumId w:val="11"/>
  </w:num>
  <w:num w:numId="21" w16cid:durableId="74594705">
    <w:abstractNumId w:val="6"/>
  </w:num>
  <w:num w:numId="22" w16cid:durableId="878126242">
    <w:abstractNumId w:val="15"/>
  </w:num>
  <w:num w:numId="23" w16cid:durableId="2070179118">
    <w:abstractNumId w:val="16"/>
  </w:num>
  <w:num w:numId="24" w16cid:durableId="1621061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779839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activeWritingStyle w:appName="MSWord" w:lang="en-US" w:vendorID="8" w:dllVersion="513" w:checkStyle="1"/>
  <w:activeWritingStyle w:appName="MSWord" w:lang="ar-SA" w:vendorID="4" w:dllVersion="512" w:checkStyle="1"/>
  <w:activeWritingStyle w:appName="MSWord" w:lang="fr-FR" w:vendorID="65" w:dllVersion="514"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A0"/>
    <w:rsid w:val="00000268"/>
    <w:rsid w:val="00000EE4"/>
    <w:rsid w:val="00000F33"/>
    <w:rsid w:val="00001700"/>
    <w:rsid w:val="000018B5"/>
    <w:rsid w:val="00002AE5"/>
    <w:rsid w:val="00003204"/>
    <w:rsid w:val="0000483A"/>
    <w:rsid w:val="00004E33"/>
    <w:rsid w:val="000056FC"/>
    <w:rsid w:val="000057F6"/>
    <w:rsid w:val="00005A54"/>
    <w:rsid w:val="000076A4"/>
    <w:rsid w:val="00007812"/>
    <w:rsid w:val="00007835"/>
    <w:rsid w:val="0000792D"/>
    <w:rsid w:val="0001071A"/>
    <w:rsid w:val="00010999"/>
    <w:rsid w:val="00010A0D"/>
    <w:rsid w:val="00011715"/>
    <w:rsid w:val="00011EB2"/>
    <w:rsid w:val="00011FE7"/>
    <w:rsid w:val="000122DC"/>
    <w:rsid w:val="000128BF"/>
    <w:rsid w:val="00012FC2"/>
    <w:rsid w:val="00013CED"/>
    <w:rsid w:val="000140D2"/>
    <w:rsid w:val="0001470F"/>
    <w:rsid w:val="00014999"/>
    <w:rsid w:val="000149D6"/>
    <w:rsid w:val="00014B5B"/>
    <w:rsid w:val="00014B74"/>
    <w:rsid w:val="00014F92"/>
    <w:rsid w:val="00014FAF"/>
    <w:rsid w:val="0001598F"/>
    <w:rsid w:val="00016206"/>
    <w:rsid w:val="000165F2"/>
    <w:rsid w:val="00016A37"/>
    <w:rsid w:val="00017934"/>
    <w:rsid w:val="000179EA"/>
    <w:rsid w:val="00017C17"/>
    <w:rsid w:val="00017F2F"/>
    <w:rsid w:val="000201E3"/>
    <w:rsid w:val="000202FD"/>
    <w:rsid w:val="00020A90"/>
    <w:rsid w:val="00020B0C"/>
    <w:rsid w:val="00020EBF"/>
    <w:rsid w:val="00021251"/>
    <w:rsid w:val="00021EF3"/>
    <w:rsid w:val="00021F5D"/>
    <w:rsid w:val="000220E3"/>
    <w:rsid w:val="00022534"/>
    <w:rsid w:val="00022567"/>
    <w:rsid w:val="000228E8"/>
    <w:rsid w:val="000228F2"/>
    <w:rsid w:val="00023098"/>
    <w:rsid w:val="00023224"/>
    <w:rsid w:val="0002357D"/>
    <w:rsid w:val="00023D53"/>
    <w:rsid w:val="00024BDC"/>
    <w:rsid w:val="00024F61"/>
    <w:rsid w:val="00025194"/>
    <w:rsid w:val="000251B4"/>
    <w:rsid w:val="00025EB4"/>
    <w:rsid w:val="00025FB5"/>
    <w:rsid w:val="00026617"/>
    <w:rsid w:val="00026C14"/>
    <w:rsid w:val="00027097"/>
    <w:rsid w:val="00027274"/>
    <w:rsid w:val="0003044D"/>
    <w:rsid w:val="0003088B"/>
    <w:rsid w:val="000309C3"/>
    <w:rsid w:val="00031FEF"/>
    <w:rsid w:val="00032278"/>
    <w:rsid w:val="000327E9"/>
    <w:rsid w:val="00032AC6"/>
    <w:rsid w:val="000342AF"/>
    <w:rsid w:val="0003466A"/>
    <w:rsid w:val="000349E1"/>
    <w:rsid w:val="00035696"/>
    <w:rsid w:val="00035AC4"/>
    <w:rsid w:val="00036031"/>
    <w:rsid w:val="00036286"/>
    <w:rsid w:val="00036290"/>
    <w:rsid w:val="00036916"/>
    <w:rsid w:val="00036BF2"/>
    <w:rsid w:val="0003706E"/>
    <w:rsid w:val="00037383"/>
    <w:rsid w:val="000376F8"/>
    <w:rsid w:val="0004007B"/>
    <w:rsid w:val="000404AA"/>
    <w:rsid w:val="000418D3"/>
    <w:rsid w:val="00042474"/>
    <w:rsid w:val="00042480"/>
    <w:rsid w:val="00042592"/>
    <w:rsid w:val="000425A7"/>
    <w:rsid w:val="00042736"/>
    <w:rsid w:val="00042B4C"/>
    <w:rsid w:val="000433AE"/>
    <w:rsid w:val="0004346A"/>
    <w:rsid w:val="0004356C"/>
    <w:rsid w:val="000436D9"/>
    <w:rsid w:val="00043B1D"/>
    <w:rsid w:val="00043F81"/>
    <w:rsid w:val="000441A4"/>
    <w:rsid w:val="000445A2"/>
    <w:rsid w:val="000447DE"/>
    <w:rsid w:val="00045363"/>
    <w:rsid w:val="0004571B"/>
    <w:rsid w:val="000457E3"/>
    <w:rsid w:val="00050028"/>
    <w:rsid w:val="00050134"/>
    <w:rsid w:val="0005253A"/>
    <w:rsid w:val="000528BA"/>
    <w:rsid w:val="00052B5E"/>
    <w:rsid w:val="00053DBA"/>
    <w:rsid w:val="00054B40"/>
    <w:rsid w:val="00055464"/>
    <w:rsid w:val="000559CA"/>
    <w:rsid w:val="00055EBF"/>
    <w:rsid w:val="0005607D"/>
    <w:rsid w:val="000560B1"/>
    <w:rsid w:val="000560CC"/>
    <w:rsid w:val="0005685A"/>
    <w:rsid w:val="0005695F"/>
    <w:rsid w:val="00056B87"/>
    <w:rsid w:val="00056C36"/>
    <w:rsid w:val="000572ED"/>
    <w:rsid w:val="00057428"/>
    <w:rsid w:val="000574FB"/>
    <w:rsid w:val="00057D81"/>
    <w:rsid w:val="00060F43"/>
    <w:rsid w:val="000610F6"/>
    <w:rsid w:val="0006112D"/>
    <w:rsid w:val="00061565"/>
    <w:rsid w:val="00061C00"/>
    <w:rsid w:val="00061E48"/>
    <w:rsid w:val="000620B9"/>
    <w:rsid w:val="00062594"/>
    <w:rsid w:val="00062782"/>
    <w:rsid w:val="000630DE"/>
    <w:rsid w:val="000635C4"/>
    <w:rsid w:val="00063843"/>
    <w:rsid w:val="00064328"/>
    <w:rsid w:val="00064624"/>
    <w:rsid w:val="000647DE"/>
    <w:rsid w:val="00065196"/>
    <w:rsid w:val="00065759"/>
    <w:rsid w:val="000658A7"/>
    <w:rsid w:val="00065CB9"/>
    <w:rsid w:val="0006641C"/>
    <w:rsid w:val="000664C1"/>
    <w:rsid w:val="0006655C"/>
    <w:rsid w:val="000665A8"/>
    <w:rsid w:val="000665BC"/>
    <w:rsid w:val="000672BD"/>
    <w:rsid w:val="00067618"/>
    <w:rsid w:val="00067DA0"/>
    <w:rsid w:val="00067DC4"/>
    <w:rsid w:val="000701DE"/>
    <w:rsid w:val="00070963"/>
    <w:rsid w:val="00071431"/>
    <w:rsid w:val="0007258D"/>
    <w:rsid w:val="00072BDB"/>
    <w:rsid w:val="000731CF"/>
    <w:rsid w:val="00073403"/>
    <w:rsid w:val="00073C3A"/>
    <w:rsid w:val="000742BA"/>
    <w:rsid w:val="0007454B"/>
    <w:rsid w:val="0007504C"/>
    <w:rsid w:val="000750FC"/>
    <w:rsid w:val="00075356"/>
    <w:rsid w:val="00075A07"/>
    <w:rsid w:val="00075AEF"/>
    <w:rsid w:val="00075C86"/>
    <w:rsid w:val="00075D23"/>
    <w:rsid w:val="00075FDE"/>
    <w:rsid w:val="000761D8"/>
    <w:rsid w:val="00076BC8"/>
    <w:rsid w:val="00076FEC"/>
    <w:rsid w:val="00077000"/>
    <w:rsid w:val="00080249"/>
    <w:rsid w:val="0008037F"/>
    <w:rsid w:val="00080DDB"/>
    <w:rsid w:val="0008176C"/>
    <w:rsid w:val="00082161"/>
    <w:rsid w:val="00082802"/>
    <w:rsid w:val="00082CBA"/>
    <w:rsid w:val="00083D5D"/>
    <w:rsid w:val="00083DE5"/>
    <w:rsid w:val="00084BB2"/>
    <w:rsid w:val="00084E64"/>
    <w:rsid w:val="00084EB0"/>
    <w:rsid w:val="000851BE"/>
    <w:rsid w:val="0008584F"/>
    <w:rsid w:val="000858B9"/>
    <w:rsid w:val="00085D74"/>
    <w:rsid w:val="000863E1"/>
    <w:rsid w:val="000864C7"/>
    <w:rsid w:val="000869C0"/>
    <w:rsid w:val="0008707A"/>
    <w:rsid w:val="00087DC4"/>
    <w:rsid w:val="00090EFE"/>
    <w:rsid w:val="000913A5"/>
    <w:rsid w:val="00091CEB"/>
    <w:rsid w:val="000922D5"/>
    <w:rsid w:val="000924B9"/>
    <w:rsid w:val="00092C92"/>
    <w:rsid w:val="00092D94"/>
    <w:rsid w:val="00093209"/>
    <w:rsid w:val="000936BC"/>
    <w:rsid w:val="00094136"/>
    <w:rsid w:val="00094ACD"/>
    <w:rsid w:val="00096B36"/>
    <w:rsid w:val="00096D96"/>
    <w:rsid w:val="00096F7A"/>
    <w:rsid w:val="0009734C"/>
    <w:rsid w:val="000977FA"/>
    <w:rsid w:val="000A0174"/>
    <w:rsid w:val="000A018A"/>
    <w:rsid w:val="000A018B"/>
    <w:rsid w:val="000A0F59"/>
    <w:rsid w:val="000A133E"/>
    <w:rsid w:val="000A140B"/>
    <w:rsid w:val="000A1681"/>
    <w:rsid w:val="000A171A"/>
    <w:rsid w:val="000A24BF"/>
    <w:rsid w:val="000A2B59"/>
    <w:rsid w:val="000A3349"/>
    <w:rsid w:val="000A3BA1"/>
    <w:rsid w:val="000A4E9D"/>
    <w:rsid w:val="000A4FC6"/>
    <w:rsid w:val="000A571A"/>
    <w:rsid w:val="000A5E10"/>
    <w:rsid w:val="000A5E2D"/>
    <w:rsid w:val="000A6E25"/>
    <w:rsid w:val="000A75FB"/>
    <w:rsid w:val="000A7E78"/>
    <w:rsid w:val="000B0333"/>
    <w:rsid w:val="000B038A"/>
    <w:rsid w:val="000B0A3E"/>
    <w:rsid w:val="000B0CFA"/>
    <w:rsid w:val="000B0D48"/>
    <w:rsid w:val="000B210D"/>
    <w:rsid w:val="000B2617"/>
    <w:rsid w:val="000B2C7D"/>
    <w:rsid w:val="000B2DE1"/>
    <w:rsid w:val="000B3534"/>
    <w:rsid w:val="000B35A6"/>
    <w:rsid w:val="000B397E"/>
    <w:rsid w:val="000B39C6"/>
    <w:rsid w:val="000B5010"/>
    <w:rsid w:val="000B64F9"/>
    <w:rsid w:val="000B66F0"/>
    <w:rsid w:val="000B6921"/>
    <w:rsid w:val="000B71FE"/>
    <w:rsid w:val="000B79F8"/>
    <w:rsid w:val="000C00C7"/>
    <w:rsid w:val="000C04A5"/>
    <w:rsid w:val="000C070F"/>
    <w:rsid w:val="000C0C81"/>
    <w:rsid w:val="000C19C2"/>
    <w:rsid w:val="000C1F3F"/>
    <w:rsid w:val="000C259A"/>
    <w:rsid w:val="000C2AAB"/>
    <w:rsid w:val="000C33D0"/>
    <w:rsid w:val="000C3A05"/>
    <w:rsid w:val="000C402F"/>
    <w:rsid w:val="000C4235"/>
    <w:rsid w:val="000C4A33"/>
    <w:rsid w:val="000C5200"/>
    <w:rsid w:val="000C5465"/>
    <w:rsid w:val="000C5CFA"/>
    <w:rsid w:val="000C60D4"/>
    <w:rsid w:val="000C61EC"/>
    <w:rsid w:val="000C6DB3"/>
    <w:rsid w:val="000C78A2"/>
    <w:rsid w:val="000C7DA9"/>
    <w:rsid w:val="000D00A2"/>
    <w:rsid w:val="000D0AAD"/>
    <w:rsid w:val="000D0FDA"/>
    <w:rsid w:val="000D1056"/>
    <w:rsid w:val="000D165E"/>
    <w:rsid w:val="000D1AEB"/>
    <w:rsid w:val="000D1EC2"/>
    <w:rsid w:val="000D2237"/>
    <w:rsid w:val="000D2277"/>
    <w:rsid w:val="000D299A"/>
    <w:rsid w:val="000D2EE9"/>
    <w:rsid w:val="000D422A"/>
    <w:rsid w:val="000D4572"/>
    <w:rsid w:val="000D5B82"/>
    <w:rsid w:val="000D5E5E"/>
    <w:rsid w:val="000D5EC0"/>
    <w:rsid w:val="000D6399"/>
    <w:rsid w:val="000D6A04"/>
    <w:rsid w:val="000D6ACC"/>
    <w:rsid w:val="000D6CBC"/>
    <w:rsid w:val="000D6E85"/>
    <w:rsid w:val="000D760C"/>
    <w:rsid w:val="000D7AF5"/>
    <w:rsid w:val="000E080B"/>
    <w:rsid w:val="000E1327"/>
    <w:rsid w:val="000E222E"/>
    <w:rsid w:val="000E26EB"/>
    <w:rsid w:val="000E2742"/>
    <w:rsid w:val="000E29E6"/>
    <w:rsid w:val="000E2D58"/>
    <w:rsid w:val="000E2E3A"/>
    <w:rsid w:val="000E3053"/>
    <w:rsid w:val="000E366B"/>
    <w:rsid w:val="000E3ABE"/>
    <w:rsid w:val="000E43E3"/>
    <w:rsid w:val="000E4475"/>
    <w:rsid w:val="000E5683"/>
    <w:rsid w:val="000E578D"/>
    <w:rsid w:val="000E586A"/>
    <w:rsid w:val="000E60BB"/>
    <w:rsid w:val="000E6191"/>
    <w:rsid w:val="000E64E5"/>
    <w:rsid w:val="000E651A"/>
    <w:rsid w:val="000E6CCA"/>
    <w:rsid w:val="000E73F2"/>
    <w:rsid w:val="000E7492"/>
    <w:rsid w:val="000F16B6"/>
    <w:rsid w:val="000F2847"/>
    <w:rsid w:val="000F38BA"/>
    <w:rsid w:val="000F403F"/>
    <w:rsid w:val="000F4344"/>
    <w:rsid w:val="000F45E7"/>
    <w:rsid w:val="000F4A64"/>
    <w:rsid w:val="000F5A6F"/>
    <w:rsid w:val="000F5DAE"/>
    <w:rsid w:val="000F5E21"/>
    <w:rsid w:val="000F63F1"/>
    <w:rsid w:val="000F7BDA"/>
    <w:rsid w:val="001003CA"/>
    <w:rsid w:val="0010046C"/>
    <w:rsid w:val="00100C5D"/>
    <w:rsid w:val="001015CD"/>
    <w:rsid w:val="001017BC"/>
    <w:rsid w:val="00101CEF"/>
    <w:rsid w:val="00101D92"/>
    <w:rsid w:val="00102435"/>
    <w:rsid w:val="00102BF5"/>
    <w:rsid w:val="00102DCF"/>
    <w:rsid w:val="00103B47"/>
    <w:rsid w:val="001043DF"/>
    <w:rsid w:val="001049F4"/>
    <w:rsid w:val="0010534B"/>
    <w:rsid w:val="00105668"/>
    <w:rsid w:val="00105C60"/>
    <w:rsid w:val="00105D9A"/>
    <w:rsid w:val="00106B7B"/>
    <w:rsid w:val="00106D4D"/>
    <w:rsid w:val="00106F6F"/>
    <w:rsid w:val="00106FE1"/>
    <w:rsid w:val="00107003"/>
    <w:rsid w:val="0010728C"/>
    <w:rsid w:val="001107EC"/>
    <w:rsid w:val="00111031"/>
    <w:rsid w:val="001110A5"/>
    <w:rsid w:val="001138C0"/>
    <w:rsid w:val="00113DE0"/>
    <w:rsid w:val="00114018"/>
    <w:rsid w:val="001146D6"/>
    <w:rsid w:val="00114E94"/>
    <w:rsid w:val="00115013"/>
    <w:rsid w:val="0011579E"/>
    <w:rsid w:val="00115D5A"/>
    <w:rsid w:val="00116617"/>
    <w:rsid w:val="00116EAC"/>
    <w:rsid w:val="0012021F"/>
    <w:rsid w:val="00120510"/>
    <w:rsid w:val="0012178E"/>
    <w:rsid w:val="0012179D"/>
    <w:rsid w:val="00121DBC"/>
    <w:rsid w:val="001222C3"/>
    <w:rsid w:val="001222E6"/>
    <w:rsid w:val="001229C5"/>
    <w:rsid w:val="001230DF"/>
    <w:rsid w:val="0012377E"/>
    <w:rsid w:val="00123B1C"/>
    <w:rsid w:val="00123BA5"/>
    <w:rsid w:val="00123EA8"/>
    <w:rsid w:val="001246CD"/>
    <w:rsid w:val="001255D5"/>
    <w:rsid w:val="001258C8"/>
    <w:rsid w:val="00125E18"/>
    <w:rsid w:val="00125FF4"/>
    <w:rsid w:val="0012660A"/>
    <w:rsid w:val="001267CC"/>
    <w:rsid w:val="00126D63"/>
    <w:rsid w:val="00127149"/>
    <w:rsid w:val="0012749B"/>
    <w:rsid w:val="001276EB"/>
    <w:rsid w:val="00127A98"/>
    <w:rsid w:val="00130243"/>
    <w:rsid w:val="00130ABA"/>
    <w:rsid w:val="00130B1E"/>
    <w:rsid w:val="00130BD3"/>
    <w:rsid w:val="001312B9"/>
    <w:rsid w:val="00131A21"/>
    <w:rsid w:val="001325A2"/>
    <w:rsid w:val="0013293D"/>
    <w:rsid w:val="00132E53"/>
    <w:rsid w:val="00132EBA"/>
    <w:rsid w:val="00133823"/>
    <w:rsid w:val="00133C58"/>
    <w:rsid w:val="00133D28"/>
    <w:rsid w:val="00134045"/>
    <w:rsid w:val="0013449E"/>
    <w:rsid w:val="00135818"/>
    <w:rsid w:val="00135846"/>
    <w:rsid w:val="00135DA8"/>
    <w:rsid w:val="00136293"/>
    <w:rsid w:val="00137999"/>
    <w:rsid w:val="00137A16"/>
    <w:rsid w:val="00137B2A"/>
    <w:rsid w:val="00137B9D"/>
    <w:rsid w:val="001402A8"/>
    <w:rsid w:val="0014089A"/>
    <w:rsid w:val="001410D0"/>
    <w:rsid w:val="00141938"/>
    <w:rsid w:val="001421DA"/>
    <w:rsid w:val="00142700"/>
    <w:rsid w:val="0014283E"/>
    <w:rsid w:val="00142DCA"/>
    <w:rsid w:val="00142E0B"/>
    <w:rsid w:val="0014334B"/>
    <w:rsid w:val="001435F3"/>
    <w:rsid w:val="00144461"/>
    <w:rsid w:val="00144776"/>
    <w:rsid w:val="00144CC7"/>
    <w:rsid w:val="00144D52"/>
    <w:rsid w:val="001451CB"/>
    <w:rsid w:val="00146434"/>
    <w:rsid w:val="001466D3"/>
    <w:rsid w:val="00146FF5"/>
    <w:rsid w:val="00147547"/>
    <w:rsid w:val="00147965"/>
    <w:rsid w:val="00147E61"/>
    <w:rsid w:val="0015055B"/>
    <w:rsid w:val="001505B3"/>
    <w:rsid w:val="00150675"/>
    <w:rsid w:val="001508D0"/>
    <w:rsid w:val="001509DE"/>
    <w:rsid w:val="001516E7"/>
    <w:rsid w:val="0015213E"/>
    <w:rsid w:val="001522A6"/>
    <w:rsid w:val="001523AD"/>
    <w:rsid w:val="001523FA"/>
    <w:rsid w:val="001527D7"/>
    <w:rsid w:val="001529BA"/>
    <w:rsid w:val="00152B2B"/>
    <w:rsid w:val="00152E0B"/>
    <w:rsid w:val="00153524"/>
    <w:rsid w:val="00153EB7"/>
    <w:rsid w:val="0015419C"/>
    <w:rsid w:val="00154287"/>
    <w:rsid w:val="001548C2"/>
    <w:rsid w:val="00154F03"/>
    <w:rsid w:val="00155A16"/>
    <w:rsid w:val="001571C7"/>
    <w:rsid w:val="001573A5"/>
    <w:rsid w:val="00157B57"/>
    <w:rsid w:val="00157EB6"/>
    <w:rsid w:val="00160542"/>
    <w:rsid w:val="00160C0E"/>
    <w:rsid w:val="00160CAF"/>
    <w:rsid w:val="00161281"/>
    <w:rsid w:val="00161D8C"/>
    <w:rsid w:val="00162BD3"/>
    <w:rsid w:val="00162F2B"/>
    <w:rsid w:val="00162FA5"/>
    <w:rsid w:val="00163085"/>
    <w:rsid w:val="00163675"/>
    <w:rsid w:val="0016501A"/>
    <w:rsid w:val="001655B2"/>
    <w:rsid w:val="00165D48"/>
    <w:rsid w:val="00165FCD"/>
    <w:rsid w:val="00166992"/>
    <w:rsid w:val="00166C85"/>
    <w:rsid w:val="00166F87"/>
    <w:rsid w:val="00167435"/>
    <w:rsid w:val="0017053B"/>
    <w:rsid w:val="00170D0B"/>
    <w:rsid w:val="001710CC"/>
    <w:rsid w:val="00171552"/>
    <w:rsid w:val="00171D0E"/>
    <w:rsid w:val="00171D6B"/>
    <w:rsid w:val="001721FA"/>
    <w:rsid w:val="00172736"/>
    <w:rsid w:val="00172F43"/>
    <w:rsid w:val="00173AFF"/>
    <w:rsid w:val="00175125"/>
    <w:rsid w:val="00175ECD"/>
    <w:rsid w:val="0017619B"/>
    <w:rsid w:val="00176753"/>
    <w:rsid w:val="00176954"/>
    <w:rsid w:val="00176C2D"/>
    <w:rsid w:val="0017743F"/>
    <w:rsid w:val="001777F3"/>
    <w:rsid w:val="00177927"/>
    <w:rsid w:val="00177D7B"/>
    <w:rsid w:val="00180728"/>
    <w:rsid w:val="00180BB3"/>
    <w:rsid w:val="00180DD0"/>
    <w:rsid w:val="00181172"/>
    <w:rsid w:val="00181580"/>
    <w:rsid w:val="00181D38"/>
    <w:rsid w:val="00182683"/>
    <w:rsid w:val="001831E9"/>
    <w:rsid w:val="001840F1"/>
    <w:rsid w:val="001848EE"/>
    <w:rsid w:val="001855D8"/>
    <w:rsid w:val="00185E49"/>
    <w:rsid w:val="00186297"/>
    <w:rsid w:val="0018652A"/>
    <w:rsid w:val="00186C9E"/>
    <w:rsid w:val="00187180"/>
    <w:rsid w:val="00187474"/>
    <w:rsid w:val="0018776F"/>
    <w:rsid w:val="00187F16"/>
    <w:rsid w:val="001919D4"/>
    <w:rsid w:val="001919F4"/>
    <w:rsid w:val="00191EF6"/>
    <w:rsid w:val="00191F6D"/>
    <w:rsid w:val="0019237D"/>
    <w:rsid w:val="001924EA"/>
    <w:rsid w:val="00192AB4"/>
    <w:rsid w:val="00192F42"/>
    <w:rsid w:val="0019390C"/>
    <w:rsid w:val="00193960"/>
    <w:rsid w:val="00194484"/>
    <w:rsid w:val="00194567"/>
    <w:rsid w:val="001951A5"/>
    <w:rsid w:val="0019528A"/>
    <w:rsid w:val="00195F28"/>
    <w:rsid w:val="00196326"/>
    <w:rsid w:val="00196912"/>
    <w:rsid w:val="00196C3E"/>
    <w:rsid w:val="00196D2D"/>
    <w:rsid w:val="001970C0"/>
    <w:rsid w:val="001971AB"/>
    <w:rsid w:val="00197FA5"/>
    <w:rsid w:val="001A1172"/>
    <w:rsid w:val="001A1994"/>
    <w:rsid w:val="001A1C56"/>
    <w:rsid w:val="001A25A2"/>
    <w:rsid w:val="001A274C"/>
    <w:rsid w:val="001A2979"/>
    <w:rsid w:val="001A2CDA"/>
    <w:rsid w:val="001A2DC2"/>
    <w:rsid w:val="001A2EE8"/>
    <w:rsid w:val="001A374A"/>
    <w:rsid w:val="001A37CE"/>
    <w:rsid w:val="001A3BFB"/>
    <w:rsid w:val="001A3C40"/>
    <w:rsid w:val="001A3F35"/>
    <w:rsid w:val="001A4B02"/>
    <w:rsid w:val="001A4DBE"/>
    <w:rsid w:val="001A57B3"/>
    <w:rsid w:val="001A5DEC"/>
    <w:rsid w:val="001A5E38"/>
    <w:rsid w:val="001A63AC"/>
    <w:rsid w:val="001A6AED"/>
    <w:rsid w:val="001A6FBA"/>
    <w:rsid w:val="001A7128"/>
    <w:rsid w:val="001A716C"/>
    <w:rsid w:val="001A75A4"/>
    <w:rsid w:val="001A765C"/>
    <w:rsid w:val="001A79EB"/>
    <w:rsid w:val="001A7BD4"/>
    <w:rsid w:val="001B0211"/>
    <w:rsid w:val="001B04B9"/>
    <w:rsid w:val="001B1605"/>
    <w:rsid w:val="001B19D4"/>
    <w:rsid w:val="001B1B2C"/>
    <w:rsid w:val="001B2A14"/>
    <w:rsid w:val="001B2A9A"/>
    <w:rsid w:val="001B3724"/>
    <w:rsid w:val="001B3D03"/>
    <w:rsid w:val="001B406D"/>
    <w:rsid w:val="001B4500"/>
    <w:rsid w:val="001B5176"/>
    <w:rsid w:val="001B5329"/>
    <w:rsid w:val="001B568F"/>
    <w:rsid w:val="001B57ED"/>
    <w:rsid w:val="001B58FA"/>
    <w:rsid w:val="001B59F1"/>
    <w:rsid w:val="001B5F36"/>
    <w:rsid w:val="001B6209"/>
    <w:rsid w:val="001B6E39"/>
    <w:rsid w:val="001B7037"/>
    <w:rsid w:val="001B7742"/>
    <w:rsid w:val="001B77EA"/>
    <w:rsid w:val="001C0076"/>
    <w:rsid w:val="001C1119"/>
    <w:rsid w:val="001C13D7"/>
    <w:rsid w:val="001C1FC2"/>
    <w:rsid w:val="001C2127"/>
    <w:rsid w:val="001C274F"/>
    <w:rsid w:val="001C297C"/>
    <w:rsid w:val="001C3D5F"/>
    <w:rsid w:val="001C3E33"/>
    <w:rsid w:val="001C45F3"/>
    <w:rsid w:val="001C4ADC"/>
    <w:rsid w:val="001C4C28"/>
    <w:rsid w:val="001C4E28"/>
    <w:rsid w:val="001C5417"/>
    <w:rsid w:val="001C5631"/>
    <w:rsid w:val="001C6F32"/>
    <w:rsid w:val="001C7111"/>
    <w:rsid w:val="001C72AF"/>
    <w:rsid w:val="001C741A"/>
    <w:rsid w:val="001C79C8"/>
    <w:rsid w:val="001C7DE8"/>
    <w:rsid w:val="001C7FFB"/>
    <w:rsid w:val="001D14DF"/>
    <w:rsid w:val="001D1E8C"/>
    <w:rsid w:val="001D2572"/>
    <w:rsid w:val="001D2DE3"/>
    <w:rsid w:val="001D3668"/>
    <w:rsid w:val="001D5123"/>
    <w:rsid w:val="001D6A4F"/>
    <w:rsid w:val="001D6BB5"/>
    <w:rsid w:val="001D6D98"/>
    <w:rsid w:val="001D7419"/>
    <w:rsid w:val="001D74B7"/>
    <w:rsid w:val="001D793D"/>
    <w:rsid w:val="001D7D09"/>
    <w:rsid w:val="001D7E7A"/>
    <w:rsid w:val="001E05A4"/>
    <w:rsid w:val="001E0CCE"/>
    <w:rsid w:val="001E0D58"/>
    <w:rsid w:val="001E0EC8"/>
    <w:rsid w:val="001E1252"/>
    <w:rsid w:val="001E14CD"/>
    <w:rsid w:val="001E167F"/>
    <w:rsid w:val="001E1A12"/>
    <w:rsid w:val="001E265A"/>
    <w:rsid w:val="001E2948"/>
    <w:rsid w:val="001E3179"/>
    <w:rsid w:val="001E347A"/>
    <w:rsid w:val="001E35A7"/>
    <w:rsid w:val="001E47B1"/>
    <w:rsid w:val="001E4D9B"/>
    <w:rsid w:val="001E51EF"/>
    <w:rsid w:val="001E5868"/>
    <w:rsid w:val="001E58AF"/>
    <w:rsid w:val="001E59FE"/>
    <w:rsid w:val="001E5A3D"/>
    <w:rsid w:val="001E63F3"/>
    <w:rsid w:val="001E6D67"/>
    <w:rsid w:val="001E7D9F"/>
    <w:rsid w:val="001E7F21"/>
    <w:rsid w:val="001F021C"/>
    <w:rsid w:val="001F0721"/>
    <w:rsid w:val="001F0851"/>
    <w:rsid w:val="001F1570"/>
    <w:rsid w:val="001F1C10"/>
    <w:rsid w:val="001F1CC2"/>
    <w:rsid w:val="001F216B"/>
    <w:rsid w:val="001F24CC"/>
    <w:rsid w:val="001F2EAD"/>
    <w:rsid w:val="001F3564"/>
    <w:rsid w:val="001F394B"/>
    <w:rsid w:val="001F3ABC"/>
    <w:rsid w:val="001F485D"/>
    <w:rsid w:val="001F4C3A"/>
    <w:rsid w:val="001F4FB7"/>
    <w:rsid w:val="001F6C65"/>
    <w:rsid w:val="001F6D4F"/>
    <w:rsid w:val="001F758C"/>
    <w:rsid w:val="001F7679"/>
    <w:rsid w:val="001F796D"/>
    <w:rsid w:val="002005F9"/>
    <w:rsid w:val="002007C6"/>
    <w:rsid w:val="002007F3"/>
    <w:rsid w:val="00200CAC"/>
    <w:rsid w:val="002011FE"/>
    <w:rsid w:val="00201451"/>
    <w:rsid w:val="00201766"/>
    <w:rsid w:val="002017B9"/>
    <w:rsid w:val="00202728"/>
    <w:rsid w:val="0020277B"/>
    <w:rsid w:val="002031A3"/>
    <w:rsid w:val="00203489"/>
    <w:rsid w:val="0020370A"/>
    <w:rsid w:val="0020390A"/>
    <w:rsid w:val="00203BAF"/>
    <w:rsid w:val="00203C8D"/>
    <w:rsid w:val="00204262"/>
    <w:rsid w:val="00204E08"/>
    <w:rsid w:val="00204FC2"/>
    <w:rsid w:val="0020623B"/>
    <w:rsid w:val="00206B4A"/>
    <w:rsid w:val="002071DA"/>
    <w:rsid w:val="002075F5"/>
    <w:rsid w:val="00207B52"/>
    <w:rsid w:val="00207BF6"/>
    <w:rsid w:val="002102D9"/>
    <w:rsid w:val="00210AC9"/>
    <w:rsid w:val="002111F8"/>
    <w:rsid w:val="00211D93"/>
    <w:rsid w:val="00212364"/>
    <w:rsid w:val="002123AC"/>
    <w:rsid w:val="002123D2"/>
    <w:rsid w:val="00212415"/>
    <w:rsid w:val="002124FC"/>
    <w:rsid w:val="00212727"/>
    <w:rsid w:val="0021293C"/>
    <w:rsid w:val="0021353B"/>
    <w:rsid w:val="002145E7"/>
    <w:rsid w:val="00214B73"/>
    <w:rsid w:val="0021503B"/>
    <w:rsid w:val="002161C8"/>
    <w:rsid w:val="002168E4"/>
    <w:rsid w:val="0021783F"/>
    <w:rsid w:val="00220E39"/>
    <w:rsid w:val="00220F68"/>
    <w:rsid w:val="00221A9A"/>
    <w:rsid w:val="00221DD1"/>
    <w:rsid w:val="00222106"/>
    <w:rsid w:val="0022289C"/>
    <w:rsid w:val="00222E8F"/>
    <w:rsid w:val="00223D79"/>
    <w:rsid w:val="0022444A"/>
    <w:rsid w:val="00224763"/>
    <w:rsid w:val="002249E6"/>
    <w:rsid w:val="00225283"/>
    <w:rsid w:val="00225319"/>
    <w:rsid w:val="00225718"/>
    <w:rsid w:val="00225761"/>
    <w:rsid w:val="00225E6D"/>
    <w:rsid w:val="002261EF"/>
    <w:rsid w:val="002261FA"/>
    <w:rsid w:val="00226548"/>
    <w:rsid w:val="00226DF0"/>
    <w:rsid w:val="002278E5"/>
    <w:rsid w:val="00227B0C"/>
    <w:rsid w:val="002300B1"/>
    <w:rsid w:val="00230315"/>
    <w:rsid w:val="00230892"/>
    <w:rsid w:val="00230B16"/>
    <w:rsid w:val="00231913"/>
    <w:rsid w:val="00231AD5"/>
    <w:rsid w:val="00232271"/>
    <w:rsid w:val="002323A7"/>
    <w:rsid w:val="00232430"/>
    <w:rsid w:val="0023271A"/>
    <w:rsid w:val="00232DFF"/>
    <w:rsid w:val="00232F88"/>
    <w:rsid w:val="00233019"/>
    <w:rsid w:val="00233252"/>
    <w:rsid w:val="002344F6"/>
    <w:rsid w:val="00234978"/>
    <w:rsid w:val="002354D0"/>
    <w:rsid w:val="00235526"/>
    <w:rsid w:val="00235D7F"/>
    <w:rsid w:val="0023640A"/>
    <w:rsid w:val="002366D2"/>
    <w:rsid w:val="002369AA"/>
    <w:rsid w:val="002369CB"/>
    <w:rsid w:val="00236CEC"/>
    <w:rsid w:val="00236D70"/>
    <w:rsid w:val="002406E1"/>
    <w:rsid w:val="00243159"/>
    <w:rsid w:val="00244721"/>
    <w:rsid w:val="002447E3"/>
    <w:rsid w:val="0024485B"/>
    <w:rsid w:val="00244B6C"/>
    <w:rsid w:val="00245B39"/>
    <w:rsid w:val="00246193"/>
    <w:rsid w:val="00246736"/>
    <w:rsid w:val="00246CF0"/>
    <w:rsid w:val="00246D56"/>
    <w:rsid w:val="00247638"/>
    <w:rsid w:val="002477EA"/>
    <w:rsid w:val="002478C0"/>
    <w:rsid w:val="00247A59"/>
    <w:rsid w:val="00247C84"/>
    <w:rsid w:val="00247D83"/>
    <w:rsid w:val="00247DBC"/>
    <w:rsid w:val="00250022"/>
    <w:rsid w:val="0025066A"/>
    <w:rsid w:val="00250F29"/>
    <w:rsid w:val="00251D18"/>
    <w:rsid w:val="00251E8D"/>
    <w:rsid w:val="002521CE"/>
    <w:rsid w:val="00252435"/>
    <w:rsid w:val="0025247A"/>
    <w:rsid w:val="00252577"/>
    <w:rsid w:val="00252578"/>
    <w:rsid w:val="00253409"/>
    <w:rsid w:val="002536D3"/>
    <w:rsid w:val="00253975"/>
    <w:rsid w:val="00254685"/>
    <w:rsid w:val="00254A2A"/>
    <w:rsid w:val="00254D90"/>
    <w:rsid w:val="00255C15"/>
    <w:rsid w:val="0025631B"/>
    <w:rsid w:val="002565B0"/>
    <w:rsid w:val="0025724F"/>
    <w:rsid w:val="00257372"/>
    <w:rsid w:val="0025745D"/>
    <w:rsid w:val="002574B9"/>
    <w:rsid w:val="00257CF0"/>
    <w:rsid w:val="00260F7B"/>
    <w:rsid w:val="00261A33"/>
    <w:rsid w:val="0026202A"/>
    <w:rsid w:val="00262372"/>
    <w:rsid w:val="00262703"/>
    <w:rsid w:val="00262F6D"/>
    <w:rsid w:val="00263C3D"/>
    <w:rsid w:val="00263FD5"/>
    <w:rsid w:val="00264CCE"/>
    <w:rsid w:val="002655BD"/>
    <w:rsid w:val="00265B84"/>
    <w:rsid w:val="00265C74"/>
    <w:rsid w:val="002663D1"/>
    <w:rsid w:val="002668D9"/>
    <w:rsid w:val="0026715F"/>
    <w:rsid w:val="0026784B"/>
    <w:rsid w:val="00267ECF"/>
    <w:rsid w:val="002702F9"/>
    <w:rsid w:val="00270644"/>
    <w:rsid w:val="002707CE"/>
    <w:rsid w:val="00270999"/>
    <w:rsid w:val="00270AEB"/>
    <w:rsid w:val="00270C52"/>
    <w:rsid w:val="002710D0"/>
    <w:rsid w:val="00271313"/>
    <w:rsid w:val="002713C7"/>
    <w:rsid w:val="00271595"/>
    <w:rsid w:val="00272283"/>
    <w:rsid w:val="00272B63"/>
    <w:rsid w:val="00273243"/>
    <w:rsid w:val="0027332F"/>
    <w:rsid w:val="002735B5"/>
    <w:rsid w:val="002736B8"/>
    <w:rsid w:val="00273F5E"/>
    <w:rsid w:val="0027495E"/>
    <w:rsid w:val="00274F33"/>
    <w:rsid w:val="002756F9"/>
    <w:rsid w:val="00275951"/>
    <w:rsid w:val="00275B3C"/>
    <w:rsid w:val="00275FCF"/>
    <w:rsid w:val="002768AA"/>
    <w:rsid w:val="002769EB"/>
    <w:rsid w:val="00276B77"/>
    <w:rsid w:val="00276ECE"/>
    <w:rsid w:val="00277262"/>
    <w:rsid w:val="0027771B"/>
    <w:rsid w:val="00280146"/>
    <w:rsid w:val="00280489"/>
    <w:rsid w:val="00280857"/>
    <w:rsid w:val="002815A0"/>
    <w:rsid w:val="002818EA"/>
    <w:rsid w:val="00281A3C"/>
    <w:rsid w:val="00281D30"/>
    <w:rsid w:val="00281DC8"/>
    <w:rsid w:val="00282156"/>
    <w:rsid w:val="00282258"/>
    <w:rsid w:val="00282451"/>
    <w:rsid w:val="00282516"/>
    <w:rsid w:val="00282615"/>
    <w:rsid w:val="002830A5"/>
    <w:rsid w:val="002830BF"/>
    <w:rsid w:val="002830E7"/>
    <w:rsid w:val="0028319A"/>
    <w:rsid w:val="00283434"/>
    <w:rsid w:val="002835AD"/>
    <w:rsid w:val="002835E3"/>
    <w:rsid w:val="00284122"/>
    <w:rsid w:val="00284BF0"/>
    <w:rsid w:val="00284ECA"/>
    <w:rsid w:val="00285010"/>
    <w:rsid w:val="00285E49"/>
    <w:rsid w:val="002862AE"/>
    <w:rsid w:val="002863DA"/>
    <w:rsid w:val="00286A1C"/>
    <w:rsid w:val="002872B2"/>
    <w:rsid w:val="00287890"/>
    <w:rsid w:val="002879C7"/>
    <w:rsid w:val="00287B94"/>
    <w:rsid w:val="00290C3B"/>
    <w:rsid w:val="002911CB"/>
    <w:rsid w:val="00291685"/>
    <w:rsid w:val="00291729"/>
    <w:rsid w:val="00291750"/>
    <w:rsid w:val="00291826"/>
    <w:rsid w:val="0029198A"/>
    <w:rsid w:val="00291F0E"/>
    <w:rsid w:val="00292330"/>
    <w:rsid w:val="00292681"/>
    <w:rsid w:val="0029294B"/>
    <w:rsid w:val="00292A80"/>
    <w:rsid w:val="00292BBA"/>
    <w:rsid w:val="00292BC3"/>
    <w:rsid w:val="00292DF9"/>
    <w:rsid w:val="002934CC"/>
    <w:rsid w:val="00293614"/>
    <w:rsid w:val="00293A60"/>
    <w:rsid w:val="00293DDF"/>
    <w:rsid w:val="00294297"/>
    <w:rsid w:val="00294687"/>
    <w:rsid w:val="002950FE"/>
    <w:rsid w:val="00295395"/>
    <w:rsid w:val="00295438"/>
    <w:rsid w:val="002957A1"/>
    <w:rsid w:val="00295C0B"/>
    <w:rsid w:val="00296176"/>
    <w:rsid w:val="002964E1"/>
    <w:rsid w:val="00297BED"/>
    <w:rsid w:val="00297D00"/>
    <w:rsid w:val="002A0303"/>
    <w:rsid w:val="002A0B79"/>
    <w:rsid w:val="002A0EAB"/>
    <w:rsid w:val="002A1566"/>
    <w:rsid w:val="002A1DF2"/>
    <w:rsid w:val="002A27D0"/>
    <w:rsid w:val="002A2A7D"/>
    <w:rsid w:val="002A2E86"/>
    <w:rsid w:val="002A32A2"/>
    <w:rsid w:val="002A54F4"/>
    <w:rsid w:val="002A72E9"/>
    <w:rsid w:val="002A7851"/>
    <w:rsid w:val="002A7F0F"/>
    <w:rsid w:val="002B01B0"/>
    <w:rsid w:val="002B0246"/>
    <w:rsid w:val="002B09A4"/>
    <w:rsid w:val="002B1F0B"/>
    <w:rsid w:val="002B22BA"/>
    <w:rsid w:val="002B2C3F"/>
    <w:rsid w:val="002B3108"/>
    <w:rsid w:val="002B37B5"/>
    <w:rsid w:val="002B3836"/>
    <w:rsid w:val="002B3C69"/>
    <w:rsid w:val="002B45DC"/>
    <w:rsid w:val="002B4AE3"/>
    <w:rsid w:val="002B4DA5"/>
    <w:rsid w:val="002B50A1"/>
    <w:rsid w:val="002B559C"/>
    <w:rsid w:val="002B598D"/>
    <w:rsid w:val="002B5CB6"/>
    <w:rsid w:val="002B5FE9"/>
    <w:rsid w:val="002B63A4"/>
    <w:rsid w:val="002B6B26"/>
    <w:rsid w:val="002B6E53"/>
    <w:rsid w:val="002B6E85"/>
    <w:rsid w:val="002B6EC6"/>
    <w:rsid w:val="002C04B5"/>
    <w:rsid w:val="002C08E5"/>
    <w:rsid w:val="002C11A8"/>
    <w:rsid w:val="002C1503"/>
    <w:rsid w:val="002C1554"/>
    <w:rsid w:val="002C1B25"/>
    <w:rsid w:val="002C2079"/>
    <w:rsid w:val="002C26B9"/>
    <w:rsid w:val="002C3FC3"/>
    <w:rsid w:val="002C431E"/>
    <w:rsid w:val="002C490F"/>
    <w:rsid w:val="002C49D8"/>
    <w:rsid w:val="002C49E1"/>
    <w:rsid w:val="002C5769"/>
    <w:rsid w:val="002C5BA7"/>
    <w:rsid w:val="002C5CB1"/>
    <w:rsid w:val="002C641B"/>
    <w:rsid w:val="002C69B9"/>
    <w:rsid w:val="002C6EDC"/>
    <w:rsid w:val="002C7AAC"/>
    <w:rsid w:val="002C7F2A"/>
    <w:rsid w:val="002D01C5"/>
    <w:rsid w:val="002D0D62"/>
    <w:rsid w:val="002D1AC9"/>
    <w:rsid w:val="002D1E44"/>
    <w:rsid w:val="002D22FB"/>
    <w:rsid w:val="002D2462"/>
    <w:rsid w:val="002D3BD2"/>
    <w:rsid w:val="002D3D4C"/>
    <w:rsid w:val="002D4417"/>
    <w:rsid w:val="002D560D"/>
    <w:rsid w:val="002D561C"/>
    <w:rsid w:val="002D688D"/>
    <w:rsid w:val="002D6C86"/>
    <w:rsid w:val="002D7273"/>
    <w:rsid w:val="002E0A9E"/>
    <w:rsid w:val="002E0CC7"/>
    <w:rsid w:val="002E1044"/>
    <w:rsid w:val="002E2997"/>
    <w:rsid w:val="002E2B07"/>
    <w:rsid w:val="002E4B43"/>
    <w:rsid w:val="002E5947"/>
    <w:rsid w:val="002E5D7B"/>
    <w:rsid w:val="002E63EC"/>
    <w:rsid w:val="002E6460"/>
    <w:rsid w:val="002E692F"/>
    <w:rsid w:val="002E6A59"/>
    <w:rsid w:val="002E6CFD"/>
    <w:rsid w:val="002E708D"/>
    <w:rsid w:val="002E71EA"/>
    <w:rsid w:val="002E7AD4"/>
    <w:rsid w:val="002E7F27"/>
    <w:rsid w:val="002E7F31"/>
    <w:rsid w:val="002E7FF5"/>
    <w:rsid w:val="002F0528"/>
    <w:rsid w:val="002F0C86"/>
    <w:rsid w:val="002F0C90"/>
    <w:rsid w:val="002F0E33"/>
    <w:rsid w:val="002F1483"/>
    <w:rsid w:val="002F155E"/>
    <w:rsid w:val="002F1613"/>
    <w:rsid w:val="002F1719"/>
    <w:rsid w:val="002F2728"/>
    <w:rsid w:val="002F27A1"/>
    <w:rsid w:val="002F2ACA"/>
    <w:rsid w:val="002F2C7E"/>
    <w:rsid w:val="002F2E6F"/>
    <w:rsid w:val="002F2F8F"/>
    <w:rsid w:val="002F34F2"/>
    <w:rsid w:val="002F3EBE"/>
    <w:rsid w:val="002F3F45"/>
    <w:rsid w:val="002F46D0"/>
    <w:rsid w:val="002F4981"/>
    <w:rsid w:val="002F6004"/>
    <w:rsid w:val="002F7171"/>
    <w:rsid w:val="002F72FB"/>
    <w:rsid w:val="002F73F1"/>
    <w:rsid w:val="002F7E25"/>
    <w:rsid w:val="002F7E71"/>
    <w:rsid w:val="002F7F4E"/>
    <w:rsid w:val="0030055F"/>
    <w:rsid w:val="00300699"/>
    <w:rsid w:val="00300CBB"/>
    <w:rsid w:val="00301A21"/>
    <w:rsid w:val="00301AEF"/>
    <w:rsid w:val="00301EB5"/>
    <w:rsid w:val="00302A21"/>
    <w:rsid w:val="00302FE7"/>
    <w:rsid w:val="00303139"/>
    <w:rsid w:val="003032BD"/>
    <w:rsid w:val="00304076"/>
    <w:rsid w:val="00304270"/>
    <w:rsid w:val="00304C35"/>
    <w:rsid w:val="00304CF8"/>
    <w:rsid w:val="0030502E"/>
    <w:rsid w:val="003050CE"/>
    <w:rsid w:val="003055CA"/>
    <w:rsid w:val="00305886"/>
    <w:rsid w:val="00306011"/>
    <w:rsid w:val="003069D7"/>
    <w:rsid w:val="00307295"/>
    <w:rsid w:val="00307B16"/>
    <w:rsid w:val="00310848"/>
    <w:rsid w:val="00310E90"/>
    <w:rsid w:val="003113A6"/>
    <w:rsid w:val="003123C6"/>
    <w:rsid w:val="003126B3"/>
    <w:rsid w:val="00312AB3"/>
    <w:rsid w:val="003134E3"/>
    <w:rsid w:val="00313BCD"/>
    <w:rsid w:val="00314903"/>
    <w:rsid w:val="00315259"/>
    <w:rsid w:val="0031587B"/>
    <w:rsid w:val="00316143"/>
    <w:rsid w:val="00316407"/>
    <w:rsid w:val="00316A65"/>
    <w:rsid w:val="00317FAB"/>
    <w:rsid w:val="00320347"/>
    <w:rsid w:val="0032076D"/>
    <w:rsid w:val="003207B5"/>
    <w:rsid w:val="003208CF"/>
    <w:rsid w:val="00323BF7"/>
    <w:rsid w:val="00323DCB"/>
    <w:rsid w:val="003248E1"/>
    <w:rsid w:val="0032524F"/>
    <w:rsid w:val="00325944"/>
    <w:rsid w:val="00325C4E"/>
    <w:rsid w:val="00326505"/>
    <w:rsid w:val="00326CF8"/>
    <w:rsid w:val="00326EDA"/>
    <w:rsid w:val="00327814"/>
    <w:rsid w:val="00327A38"/>
    <w:rsid w:val="00327FF4"/>
    <w:rsid w:val="0033006F"/>
    <w:rsid w:val="003305BE"/>
    <w:rsid w:val="00330735"/>
    <w:rsid w:val="00330856"/>
    <w:rsid w:val="00331273"/>
    <w:rsid w:val="003324E8"/>
    <w:rsid w:val="00332E36"/>
    <w:rsid w:val="003334B6"/>
    <w:rsid w:val="00333C03"/>
    <w:rsid w:val="003341C4"/>
    <w:rsid w:val="003347D0"/>
    <w:rsid w:val="00335EFE"/>
    <w:rsid w:val="003367B3"/>
    <w:rsid w:val="00336CED"/>
    <w:rsid w:val="003378C1"/>
    <w:rsid w:val="00337A4F"/>
    <w:rsid w:val="00337E94"/>
    <w:rsid w:val="00337F59"/>
    <w:rsid w:val="00340243"/>
    <w:rsid w:val="00340660"/>
    <w:rsid w:val="00340699"/>
    <w:rsid w:val="003406EB"/>
    <w:rsid w:val="003409D0"/>
    <w:rsid w:val="003420E7"/>
    <w:rsid w:val="00342859"/>
    <w:rsid w:val="003430B6"/>
    <w:rsid w:val="003431FB"/>
    <w:rsid w:val="0034443C"/>
    <w:rsid w:val="003444F7"/>
    <w:rsid w:val="003448D0"/>
    <w:rsid w:val="00344E59"/>
    <w:rsid w:val="00345042"/>
    <w:rsid w:val="003457FD"/>
    <w:rsid w:val="00345860"/>
    <w:rsid w:val="003463F9"/>
    <w:rsid w:val="003464DB"/>
    <w:rsid w:val="00346F60"/>
    <w:rsid w:val="00346F8E"/>
    <w:rsid w:val="003475F3"/>
    <w:rsid w:val="003509E6"/>
    <w:rsid w:val="003516ED"/>
    <w:rsid w:val="00351D40"/>
    <w:rsid w:val="00352049"/>
    <w:rsid w:val="00352176"/>
    <w:rsid w:val="0035244B"/>
    <w:rsid w:val="00352F1B"/>
    <w:rsid w:val="00352F78"/>
    <w:rsid w:val="003533B7"/>
    <w:rsid w:val="0035344C"/>
    <w:rsid w:val="0035362C"/>
    <w:rsid w:val="0035371C"/>
    <w:rsid w:val="00353A01"/>
    <w:rsid w:val="00353BD5"/>
    <w:rsid w:val="00353F31"/>
    <w:rsid w:val="00354730"/>
    <w:rsid w:val="00354948"/>
    <w:rsid w:val="003553A9"/>
    <w:rsid w:val="00356839"/>
    <w:rsid w:val="00356A9A"/>
    <w:rsid w:val="00356EFF"/>
    <w:rsid w:val="0035780F"/>
    <w:rsid w:val="003600D0"/>
    <w:rsid w:val="003601F5"/>
    <w:rsid w:val="00360D33"/>
    <w:rsid w:val="00360ECA"/>
    <w:rsid w:val="00360F63"/>
    <w:rsid w:val="0036102F"/>
    <w:rsid w:val="00361A1C"/>
    <w:rsid w:val="00361E8E"/>
    <w:rsid w:val="00363A04"/>
    <w:rsid w:val="00363C4B"/>
    <w:rsid w:val="00365426"/>
    <w:rsid w:val="003655FE"/>
    <w:rsid w:val="00365D49"/>
    <w:rsid w:val="0036605E"/>
    <w:rsid w:val="00366AFE"/>
    <w:rsid w:val="00366C16"/>
    <w:rsid w:val="00367342"/>
    <w:rsid w:val="0037003B"/>
    <w:rsid w:val="00370284"/>
    <w:rsid w:val="003707DD"/>
    <w:rsid w:val="00370802"/>
    <w:rsid w:val="00370D6E"/>
    <w:rsid w:val="00370F24"/>
    <w:rsid w:val="00371458"/>
    <w:rsid w:val="0037177E"/>
    <w:rsid w:val="00371D13"/>
    <w:rsid w:val="00371D1A"/>
    <w:rsid w:val="00372032"/>
    <w:rsid w:val="003723EA"/>
    <w:rsid w:val="00372BEA"/>
    <w:rsid w:val="003738C8"/>
    <w:rsid w:val="00373B3F"/>
    <w:rsid w:val="00373FB6"/>
    <w:rsid w:val="0037430F"/>
    <w:rsid w:val="00374740"/>
    <w:rsid w:val="00374C19"/>
    <w:rsid w:val="00374EAF"/>
    <w:rsid w:val="003751F8"/>
    <w:rsid w:val="0037531C"/>
    <w:rsid w:val="00375691"/>
    <w:rsid w:val="00375892"/>
    <w:rsid w:val="00375B1B"/>
    <w:rsid w:val="003760AE"/>
    <w:rsid w:val="00376DD4"/>
    <w:rsid w:val="00377560"/>
    <w:rsid w:val="00377A17"/>
    <w:rsid w:val="003802F3"/>
    <w:rsid w:val="003805DB"/>
    <w:rsid w:val="00380E0E"/>
    <w:rsid w:val="00381A72"/>
    <w:rsid w:val="00381A94"/>
    <w:rsid w:val="0038245B"/>
    <w:rsid w:val="003829A8"/>
    <w:rsid w:val="00382E5C"/>
    <w:rsid w:val="00383079"/>
    <w:rsid w:val="003834C2"/>
    <w:rsid w:val="00383BB1"/>
    <w:rsid w:val="00384480"/>
    <w:rsid w:val="0038479E"/>
    <w:rsid w:val="0038495B"/>
    <w:rsid w:val="003849A4"/>
    <w:rsid w:val="00384A10"/>
    <w:rsid w:val="00385F34"/>
    <w:rsid w:val="0038639D"/>
    <w:rsid w:val="003870C2"/>
    <w:rsid w:val="00387296"/>
    <w:rsid w:val="003879EA"/>
    <w:rsid w:val="00390464"/>
    <w:rsid w:val="00390CA8"/>
    <w:rsid w:val="00391033"/>
    <w:rsid w:val="00391A74"/>
    <w:rsid w:val="00391E99"/>
    <w:rsid w:val="00393238"/>
    <w:rsid w:val="00393718"/>
    <w:rsid w:val="00393773"/>
    <w:rsid w:val="003940B7"/>
    <w:rsid w:val="0039421F"/>
    <w:rsid w:val="00394B02"/>
    <w:rsid w:val="00394F70"/>
    <w:rsid w:val="00395B75"/>
    <w:rsid w:val="0039605C"/>
    <w:rsid w:val="00396745"/>
    <w:rsid w:val="00396854"/>
    <w:rsid w:val="00396F3E"/>
    <w:rsid w:val="0039754F"/>
    <w:rsid w:val="003A1866"/>
    <w:rsid w:val="003A2026"/>
    <w:rsid w:val="003A24D9"/>
    <w:rsid w:val="003A3076"/>
    <w:rsid w:val="003A3302"/>
    <w:rsid w:val="003A358E"/>
    <w:rsid w:val="003A36B2"/>
    <w:rsid w:val="003A40D7"/>
    <w:rsid w:val="003A470D"/>
    <w:rsid w:val="003A4756"/>
    <w:rsid w:val="003A476C"/>
    <w:rsid w:val="003A4CA3"/>
    <w:rsid w:val="003A5163"/>
    <w:rsid w:val="003A5B09"/>
    <w:rsid w:val="003A5D0F"/>
    <w:rsid w:val="003A66A1"/>
    <w:rsid w:val="003A6737"/>
    <w:rsid w:val="003A6D08"/>
    <w:rsid w:val="003A6FAC"/>
    <w:rsid w:val="003A7DF6"/>
    <w:rsid w:val="003B09A9"/>
    <w:rsid w:val="003B0C57"/>
    <w:rsid w:val="003B1251"/>
    <w:rsid w:val="003B2EF4"/>
    <w:rsid w:val="003B3812"/>
    <w:rsid w:val="003B44D8"/>
    <w:rsid w:val="003B54D2"/>
    <w:rsid w:val="003B576D"/>
    <w:rsid w:val="003B5EEA"/>
    <w:rsid w:val="003B6ECE"/>
    <w:rsid w:val="003B703B"/>
    <w:rsid w:val="003B74BE"/>
    <w:rsid w:val="003B7E38"/>
    <w:rsid w:val="003C0178"/>
    <w:rsid w:val="003C057F"/>
    <w:rsid w:val="003C06DD"/>
    <w:rsid w:val="003C0D02"/>
    <w:rsid w:val="003C1333"/>
    <w:rsid w:val="003C139D"/>
    <w:rsid w:val="003C1DF7"/>
    <w:rsid w:val="003C2325"/>
    <w:rsid w:val="003C24B5"/>
    <w:rsid w:val="003C24C2"/>
    <w:rsid w:val="003C251D"/>
    <w:rsid w:val="003C25CA"/>
    <w:rsid w:val="003C28F8"/>
    <w:rsid w:val="003C2C4E"/>
    <w:rsid w:val="003C317F"/>
    <w:rsid w:val="003C3392"/>
    <w:rsid w:val="003C3C14"/>
    <w:rsid w:val="003C508F"/>
    <w:rsid w:val="003C50E5"/>
    <w:rsid w:val="003C5392"/>
    <w:rsid w:val="003C568B"/>
    <w:rsid w:val="003C5C03"/>
    <w:rsid w:val="003C5C26"/>
    <w:rsid w:val="003C60C2"/>
    <w:rsid w:val="003C60DD"/>
    <w:rsid w:val="003C6C90"/>
    <w:rsid w:val="003C74EA"/>
    <w:rsid w:val="003C76FA"/>
    <w:rsid w:val="003C7C45"/>
    <w:rsid w:val="003C7C59"/>
    <w:rsid w:val="003D0947"/>
    <w:rsid w:val="003D0965"/>
    <w:rsid w:val="003D17CA"/>
    <w:rsid w:val="003D1876"/>
    <w:rsid w:val="003D1B0B"/>
    <w:rsid w:val="003D1BAB"/>
    <w:rsid w:val="003D1F3E"/>
    <w:rsid w:val="003D2B46"/>
    <w:rsid w:val="003D2C54"/>
    <w:rsid w:val="003D2CE3"/>
    <w:rsid w:val="003D34A2"/>
    <w:rsid w:val="003D354C"/>
    <w:rsid w:val="003D3930"/>
    <w:rsid w:val="003D3AB6"/>
    <w:rsid w:val="003D4074"/>
    <w:rsid w:val="003D41E6"/>
    <w:rsid w:val="003D459D"/>
    <w:rsid w:val="003D4A9F"/>
    <w:rsid w:val="003D4B06"/>
    <w:rsid w:val="003D54E3"/>
    <w:rsid w:val="003D6499"/>
    <w:rsid w:val="003D6A59"/>
    <w:rsid w:val="003D6F8E"/>
    <w:rsid w:val="003D7D73"/>
    <w:rsid w:val="003D7D84"/>
    <w:rsid w:val="003E06B8"/>
    <w:rsid w:val="003E08FB"/>
    <w:rsid w:val="003E10D3"/>
    <w:rsid w:val="003E1238"/>
    <w:rsid w:val="003E12A7"/>
    <w:rsid w:val="003E3FF9"/>
    <w:rsid w:val="003E400C"/>
    <w:rsid w:val="003E4141"/>
    <w:rsid w:val="003E4653"/>
    <w:rsid w:val="003E468A"/>
    <w:rsid w:val="003E4939"/>
    <w:rsid w:val="003E537F"/>
    <w:rsid w:val="003E5888"/>
    <w:rsid w:val="003E656A"/>
    <w:rsid w:val="003E65A0"/>
    <w:rsid w:val="003E686C"/>
    <w:rsid w:val="003E6B11"/>
    <w:rsid w:val="003E6B29"/>
    <w:rsid w:val="003E728F"/>
    <w:rsid w:val="003E7C1C"/>
    <w:rsid w:val="003E7FA5"/>
    <w:rsid w:val="003E7FB0"/>
    <w:rsid w:val="003F0021"/>
    <w:rsid w:val="003F039E"/>
    <w:rsid w:val="003F06AD"/>
    <w:rsid w:val="003F07B4"/>
    <w:rsid w:val="003F0A9F"/>
    <w:rsid w:val="003F10A8"/>
    <w:rsid w:val="003F1369"/>
    <w:rsid w:val="003F1715"/>
    <w:rsid w:val="003F1750"/>
    <w:rsid w:val="003F1D57"/>
    <w:rsid w:val="003F29A7"/>
    <w:rsid w:val="003F2E2C"/>
    <w:rsid w:val="003F36EA"/>
    <w:rsid w:val="003F3840"/>
    <w:rsid w:val="003F4695"/>
    <w:rsid w:val="003F48C4"/>
    <w:rsid w:val="003F4A34"/>
    <w:rsid w:val="003F5372"/>
    <w:rsid w:val="003F5A08"/>
    <w:rsid w:val="003F69E0"/>
    <w:rsid w:val="003F7BA0"/>
    <w:rsid w:val="00400EFB"/>
    <w:rsid w:val="004011FF"/>
    <w:rsid w:val="00401605"/>
    <w:rsid w:val="004016A9"/>
    <w:rsid w:val="00401D61"/>
    <w:rsid w:val="004020BC"/>
    <w:rsid w:val="0040220D"/>
    <w:rsid w:val="00402D4F"/>
    <w:rsid w:val="004036C2"/>
    <w:rsid w:val="0040391C"/>
    <w:rsid w:val="004043DA"/>
    <w:rsid w:val="004045AD"/>
    <w:rsid w:val="004048DD"/>
    <w:rsid w:val="00404C63"/>
    <w:rsid w:val="00404C71"/>
    <w:rsid w:val="00404CCF"/>
    <w:rsid w:val="00404D7F"/>
    <w:rsid w:val="00405B2F"/>
    <w:rsid w:val="00405E8E"/>
    <w:rsid w:val="00406279"/>
    <w:rsid w:val="0040642E"/>
    <w:rsid w:val="004066E8"/>
    <w:rsid w:val="0040699C"/>
    <w:rsid w:val="00406C64"/>
    <w:rsid w:val="00406FF4"/>
    <w:rsid w:val="0040705F"/>
    <w:rsid w:val="004072FF"/>
    <w:rsid w:val="00407502"/>
    <w:rsid w:val="004076B2"/>
    <w:rsid w:val="004105C9"/>
    <w:rsid w:val="0041093B"/>
    <w:rsid w:val="004113A3"/>
    <w:rsid w:val="0041214F"/>
    <w:rsid w:val="00412229"/>
    <w:rsid w:val="004126D7"/>
    <w:rsid w:val="00412870"/>
    <w:rsid w:val="004128EB"/>
    <w:rsid w:val="004130C7"/>
    <w:rsid w:val="004135EE"/>
    <w:rsid w:val="00413B8B"/>
    <w:rsid w:val="0041485F"/>
    <w:rsid w:val="00415CE4"/>
    <w:rsid w:val="004167EA"/>
    <w:rsid w:val="0041681C"/>
    <w:rsid w:val="00416D04"/>
    <w:rsid w:val="00417873"/>
    <w:rsid w:val="00417E49"/>
    <w:rsid w:val="004203B7"/>
    <w:rsid w:val="004217D0"/>
    <w:rsid w:val="0042195D"/>
    <w:rsid w:val="00422080"/>
    <w:rsid w:val="00422C7B"/>
    <w:rsid w:val="00424766"/>
    <w:rsid w:val="00424A39"/>
    <w:rsid w:val="00424DD7"/>
    <w:rsid w:val="004254BF"/>
    <w:rsid w:val="00426E12"/>
    <w:rsid w:val="00426F6B"/>
    <w:rsid w:val="004271C1"/>
    <w:rsid w:val="004276D9"/>
    <w:rsid w:val="00427986"/>
    <w:rsid w:val="00427A32"/>
    <w:rsid w:val="00427B50"/>
    <w:rsid w:val="004308DA"/>
    <w:rsid w:val="00430FCB"/>
    <w:rsid w:val="00431870"/>
    <w:rsid w:val="00431F51"/>
    <w:rsid w:val="0043240C"/>
    <w:rsid w:val="00432425"/>
    <w:rsid w:val="00432525"/>
    <w:rsid w:val="00432971"/>
    <w:rsid w:val="00432F52"/>
    <w:rsid w:val="0043480C"/>
    <w:rsid w:val="004349F3"/>
    <w:rsid w:val="0043578F"/>
    <w:rsid w:val="00435AD6"/>
    <w:rsid w:val="00435EC2"/>
    <w:rsid w:val="0043691A"/>
    <w:rsid w:val="00437439"/>
    <w:rsid w:val="004403A9"/>
    <w:rsid w:val="00440507"/>
    <w:rsid w:val="00440543"/>
    <w:rsid w:val="00440C23"/>
    <w:rsid w:val="00440CA0"/>
    <w:rsid w:val="0044126A"/>
    <w:rsid w:val="00441D5E"/>
    <w:rsid w:val="00441D9A"/>
    <w:rsid w:val="004424CE"/>
    <w:rsid w:val="0044291C"/>
    <w:rsid w:val="00442A4C"/>
    <w:rsid w:val="00442B07"/>
    <w:rsid w:val="00443BB2"/>
    <w:rsid w:val="00443E27"/>
    <w:rsid w:val="004450E8"/>
    <w:rsid w:val="00445822"/>
    <w:rsid w:val="004466A0"/>
    <w:rsid w:val="004468E9"/>
    <w:rsid w:val="00446AC2"/>
    <w:rsid w:val="00446CF4"/>
    <w:rsid w:val="0044712E"/>
    <w:rsid w:val="00447309"/>
    <w:rsid w:val="004479B7"/>
    <w:rsid w:val="00447F2E"/>
    <w:rsid w:val="00450A07"/>
    <w:rsid w:val="00450C1C"/>
    <w:rsid w:val="004513D8"/>
    <w:rsid w:val="0045160B"/>
    <w:rsid w:val="004517E4"/>
    <w:rsid w:val="00451834"/>
    <w:rsid w:val="00452307"/>
    <w:rsid w:val="0045230E"/>
    <w:rsid w:val="00453B20"/>
    <w:rsid w:val="00454821"/>
    <w:rsid w:val="00455ADB"/>
    <w:rsid w:val="00456360"/>
    <w:rsid w:val="004566F3"/>
    <w:rsid w:val="0045675A"/>
    <w:rsid w:val="00456FD7"/>
    <w:rsid w:val="00457AA3"/>
    <w:rsid w:val="00460780"/>
    <w:rsid w:val="004619DC"/>
    <w:rsid w:val="00461C50"/>
    <w:rsid w:val="004620A1"/>
    <w:rsid w:val="004620A3"/>
    <w:rsid w:val="00462168"/>
    <w:rsid w:val="004625EC"/>
    <w:rsid w:val="00462702"/>
    <w:rsid w:val="00462956"/>
    <w:rsid w:val="0046419F"/>
    <w:rsid w:val="00464802"/>
    <w:rsid w:val="004659E4"/>
    <w:rsid w:val="00465A86"/>
    <w:rsid w:val="004669AA"/>
    <w:rsid w:val="004672CE"/>
    <w:rsid w:val="0046786E"/>
    <w:rsid w:val="00467CC0"/>
    <w:rsid w:val="0047071F"/>
    <w:rsid w:val="00471BBC"/>
    <w:rsid w:val="00471E51"/>
    <w:rsid w:val="0047223A"/>
    <w:rsid w:val="00472550"/>
    <w:rsid w:val="00472D4E"/>
    <w:rsid w:val="00473DF8"/>
    <w:rsid w:val="00474462"/>
    <w:rsid w:val="0047465C"/>
    <w:rsid w:val="004750E8"/>
    <w:rsid w:val="00475187"/>
    <w:rsid w:val="0047525F"/>
    <w:rsid w:val="00476716"/>
    <w:rsid w:val="00476CAF"/>
    <w:rsid w:val="00476DFD"/>
    <w:rsid w:val="004773FE"/>
    <w:rsid w:val="00480293"/>
    <w:rsid w:val="004805E7"/>
    <w:rsid w:val="004807AC"/>
    <w:rsid w:val="0048145B"/>
    <w:rsid w:val="004818DD"/>
    <w:rsid w:val="0048245E"/>
    <w:rsid w:val="004831A3"/>
    <w:rsid w:val="00483664"/>
    <w:rsid w:val="00483B84"/>
    <w:rsid w:val="00483C7E"/>
    <w:rsid w:val="00483CE9"/>
    <w:rsid w:val="004841B4"/>
    <w:rsid w:val="00484A8D"/>
    <w:rsid w:val="00484B26"/>
    <w:rsid w:val="00485A7C"/>
    <w:rsid w:val="00486513"/>
    <w:rsid w:val="00486693"/>
    <w:rsid w:val="0048669F"/>
    <w:rsid w:val="00486DD5"/>
    <w:rsid w:val="004870AA"/>
    <w:rsid w:val="004872A5"/>
    <w:rsid w:val="00490172"/>
    <w:rsid w:val="004902C2"/>
    <w:rsid w:val="004905A4"/>
    <w:rsid w:val="004907AD"/>
    <w:rsid w:val="00491730"/>
    <w:rsid w:val="00493307"/>
    <w:rsid w:val="00493C54"/>
    <w:rsid w:val="00493E50"/>
    <w:rsid w:val="00493FA2"/>
    <w:rsid w:val="00494122"/>
    <w:rsid w:val="00494170"/>
    <w:rsid w:val="0049460E"/>
    <w:rsid w:val="004947DE"/>
    <w:rsid w:val="00494BB2"/>
    <w:rsid w:val="00495819"/>
    <w:rsid w:val="00495DFA"/>
    <w:rsid w:val="00496C22"/>
    <w:rsid w:val="00496C2D"/>
    <w:rsid w:val="00496EDF"/>
    <w:rsid w:val="00497AD8"/>
    <w:rsid w:val="00497E89"/>
    <w:rsid w:val="004A042C"/>
    <w:rsid w:val="004A2A04"/>
    <w:rsid w:val="004A2A49"/>
    <w:rsid w:val="004A2B56"/>
    <w:rsid w:val="004A2CC1"/>
    <w:rsid w:val="004A367F"/>
    <w:rsid w:val="004A3DEA"/>
    <w:rsid w:val="004A40D4"/>
    <w:rsid w:val="004A49F0"/>
    <w:rsid w:val="004A4A10"/>
    <w:rsid w:val="004A4DEA"/>
    <w:rsid w:val="004A523D"/>
    <w:rsid w:val="004A530C"/>
    <w:rsid w:val="004A5BC3"/>
    <w:rsid w:val="004A6A64"/>
    <w:rsid w:val="004A6CD9"/>
    <w:rsid w:val="004B0CC3"/>
    <w:rsid w:val="004B1EA3"/>
    <w:rsid w:val="004B29A0"/>
    <w:rsid w:val="004B2E30"/>
    <w:rsid w:val="004B3A28"/>
    <w:rsid w:val="004B3EA1"/>
    <w:rsid w:val="004B3FCD"/>
    <w:rsid w:val="004B52FF"/>
    <w:rsid w:val="004B5A4C"/>
    <w:rsid w:val="004B6269"/>
    <w:rsid w:val="004B6BED"/>
    <w:rsid w:val="004B70B5"/>
    <w:rsid w:val="004B7DB2"/>
    <w:rsid w:val="004C167B"/>
    <w:rsid w:val="004C2266"/>
    <w:rsid w:val="004C2341"/>
    <w:rsid w:val="004C25EE"/>
    <w:rsid w:val="004C2B0D"/>
    <w:rsid w:val="004C2D48"/>
    <w:rsid w:val="004C2FCB"/>
    <w:rsid w:val="004C30C8"/>
    <w:rsid w:val="004C332C"/>
    <w:rsid w:val="004C415E"/>
    <w:rsid w:val="004C461D"/>
    <w:rsid w:val="004C4702"/>
    <w:rsid w:val="004C491E"/>
    <w:rsid w:val="004C494A"/>
    <w:rsid w:val="004C4B8C"/>
    <w:rsid w:val="004C4B9C"/>
    <w:rsid w:val="004C57FB"/>
    <w:rsid w:val="004C60E3"/>
    <w:rsid w:val="004C6A08"/>
    <w:rsid w:val="004C6A19"/>
    <w:rsid w:val="004C6AF0"/>
    <w:rsid w:val="004C6E29"/>
    <w:rsid w:val="004C6E90"/>
    <w:rsid w:val="004C716F"/>
    <w:rsid w:val="004C7357"/>
    <w:rsid w:val="004C7B46"/>
    <w:rsid w:val="004C7BE7"/>
    <w:rsid w:val="004D069F"/>
    <w:rsid w:val="004D0846"/>
    <w:rsid w:val="004D088E"/>
    <w:rsid w:val="004D151C"/>
    <w:rsid w:val="004D177C"/>
    <w:rsid w:val="004D1863"/>
    <w:rsid w:val="004D1B18"/>
    <w:rsid w:val="004D1B74"/>
    <w:rsid w:val="004D254D"/>
    <w:rsid w:val="004D256E"/>
    <w:rsid w:val="004D3077"/>
    <w:rsid w:val="004D3081"/>
    <w:rsid w:val="004D3197"/>
    <w:rsid w:val="004D3330"/>
    <w:rsid w:val="004D36A4"/>
    <w:rsid w:val="004D3DFD"/>
    <w:rsid w:val="004D414B"/>
    <w:rsid w:val="004D4421"/>
    <w:rsid w:val="004D45D0"/>
    <w:rsid w:val="004D4B5A"/>
    <w:rsid w:val="004D4FAF"/>
    <w:rsid w:val="004D50D1"/>
    <w:rsid w:val="004D50FA"/>
    <w:rsid w:val="004D60D8"/>
    <w:rsid w:val="004D69A1"/>
    <w:rsid w:val="004D75B6"/>
    <w:rsid w:val="004D7D78"/>
    <w:rsid w:val="004E0B1E"/>
    <w:rsid w:val="004E10D1"/>
    <w:rsid w:val="004E128D"/>
    <w:rsid w:val="004E194B"/>
    <w:rsid w:val="004E1D25"/>
    <w:rsid w:val="004E1D79"/>
    <w:rsid w:val="004E231F"/>
    <w:rsid w:val="004E2369"/>
    <w:rsid w:val="004E254E"/>
    <w:rsid w:val="004E2B09"/>
    <w:rsid w:val="004E39F1"/>
    <w:rsid w:val="004E3CAE"/>
    <w:rsid w:val="004E4130"/>
    <w:rsid w:val="004E41B9"/>
    <w:rsid w:val="004E4816"/>
    <w:rsid w:val="004E4C7A"/>
    <w:rsid w:val="004E529D"/>
    <w:rsid w:val="004E543E"/>
    <w:rsid w:val="004E5833"/>
    <w:rsid w:val="004E597F"/>
    <w:rsid w:val="004E5F44"/>
    <w:rsid w:val="004E7371"/>
    <w:rsid w:val="004F0BDB"/>
    <w:rsid w:val="004F0DF4"/>
    <w:rsid w:val="004F17D4"/>
    <w:rsid w:val="004F24A5"/>
    <w:rsid w:val="004F25F0"/>
    <w:rsid w:val="004F2816"/>
    <w:rsid w:val="004F2AD4"/>
    <w:rsid w:val="004F4115"/>
    <w:rsid w:val="004F4310"/>
    <w:rsid w:val="004F4358"/>
    <w:rsid w:val="004F49C6"/>
    <w:rsid w:val="004F566C"/>
    <w:rsid w:val="004F593C"/>
    <w:rsid w:val="004F6006"/>
    <w:rsid w:val="004F620F"/>
    <w:rsid w:val="004F75CB"/>
    <w:rsid w:val="004F769C"/>
    <w:rsid w:val="004F76AB"/>
    <w:rsid w:val="004F789B"/>
    <w:rsid w:val="004F7F36"/>
    <w:rsid w:val="005003DD"/>
    <w:rsid w:val="005004C5"/>
    <w:rsid w:val="00500876"/>
    <w:rsid w:val="0050152C"/>
    <w:rsid w:val="00501910"/>
    <w:rsid w:val="00501D08"/>
    <w:rsid w:val="00501F2F"/>
    <w:rsid w:val="005021C4"/>
    <w:rsid w:val="005021D7"/>
    <w:rsid w:val="00502528"/>
    <w:rsid w:val="00502700"/>
    <w:rsid w:val="00502FFD"/>
    <w:rsid w:val="00503140"/>
    <w:rsid w:val="00503604"/>
    <w:rsid w:val="00503AD2"/>
    <w:rsid w:val="00503EE5"/>
    <w:rsid w:val="00504079"/>
    <w:rsid w:val="00504D0F"/>
    <w:rsid w:val="00504D26"/>
    <w:rsid w:val="00504DF6"/>
    <w:rsid w:val="005057E9"/>
    <w:rsid w:val="00506231"/>
    <w:rsid w:val="00506442"/>
    <w:rsid w:val="00506541"/>
    <w:rsid w:val="005068C5"/>
    <w:rsid w:val="00506D92"/>
    <w:rsid w:val="00507698"/>
    <w:rsid w:val="005079C9"/>
    <w:rsid w:val="00507CAC"/>
    <w:rsid w:val="005105B7"/>
    <w:rsid w:val="0051072E"/>
    <w:rsid w:val="00511C50"/>
    <w:rsid w:val="00512200"/>
    <w:rsid w:val="00512889"/>
    <w:rsid w:val="00512C05"/>
    <w:rsid w:val="005134C4"/>
    <w:rsid w:val="00513CE3"/>
    <w:rsid w:val="005146C8"/>
    <w:rsid w:val="00514795"/>
    <w:rsid w:val="00514842"/>
    <w:rsid w:val="005150DE"/>
    <w:rsid w:val="00515E2D"/>
    <w:rsid w:val="0051616E"/>
    <w:rsid w:val="0051687E"/>
    <w:rsid w:val="0051779D"/>
    <w:rsid w:val="00517D1F"/>
    <w:rsid w:val="00517F32"/>
    <w:rsid w:val="00520318"/>
    <w:rsid w:val="00520E70"/>
    <w:rsid w:val="00521058"/>
    <w:rsid w:val="00521460"/>
    <w:rsid w:val="00521930"/>
    <w:rsid w:val="005221AF"/>
    <w:rsid w:val="00522827"/>
    <w:rsid w:val="0052324B"/>
    <w:rsid w:val="0052337E"/>
    <w:rsid w:val="00523674"/>
    <w:rsid w:val="00523CA3"/>
    <w:rsid w:val="00523CFA"/>
    <w:rsid w:val="00523D22"/>
    <w:rsid w:val="00523E6E"/>
    <w:rsid w:val="00524622"/>
    <w:rsid w:val="00524B81"/>
    <w:rsid w:val="00524CD4"/>
    <w:rsid w:val="0052506B"/>
    <w:rsid w:val="00525CAC"/>
    <w:rsid w:val="00525CC6"/>
    <w:rsid w:val="00525EF7"/>
    <w:rsid w:val="00527121"/>
    <w:rsid w:val="005275C7"/>
    <w:rsid w:val="00527627"/>
    <w:rsid w:val="005276A3"/>
    <w:rsid w:val="0053021C"/>
    <w:rsid w:val="00530F8D"/>
    <w:rsid w:val="00531303"/>
    <w:rsid w:val="005318AA"/>
    <w:rsid w:val="0053258E"/>
    <w:rsid w:val="00532FFF"/>
    <w:rsid w:val="00533812"/>
    <w:rsid w:val="005338F3"/>
    <w:rsid w:val="00534BDD"/>
    <w:rsid w:val="00534BFC"/>
    <w:rsid w:val="005356A9"/>
    <w:rsid w:val="005357B0"/>
    <w:rsid w:val="005357D0"/>
    <w:rsid w:val="00535867"/>
    <w:rsid w:val="00535F7D"/>
    <w:rsid w:val="005363F2"/>
    <w:rsid w:val="00536ADA"/>
    <w:rsid w:val="00537079"/>
    <w:rsid w:val="005379F2"/>
    <w:rsid w:val="00537A70"/>
    <w:rsid w:val="005403B1"/>
    <w:rsid w:val="00540848"/>
    <w:rsid w:val="005416D3"/>
    <w:rsid w:val="00541B46"/>
    <w:rsid w:val="00541D2B"/>
    <w:rsid w:val="00542F4B"/>
    <w:rsid w:val="00542FC0"/>
    <w:rsid w:val="005430FB"/>
    <w:rsid w:val="005434F9"/>
    <w:rsid w:val="005437A0"/>
    <w:rsid w:val="005441F3"/>
    <w:rsid w:val="005443A2"/>
    <w:rsid w:val="0054441D"/>
    <w:rsid w:val="00544781"/>
    <w:rsid w:val="00544AB6"/>
    <w:rsid w:val="00544C47"/>
    <w:rsid w:val="00544D97"/>
    <w:rsid w:val="00544E7C"/>
    <w:rsid w:val="00545E98"/>
    <w:rsid w:val="0054633F"/>
    <w:rsid w:val="00547291"/>
    <w:rsid w:val="0055062C"/>
    <w:rsid w:val="00550A63"/>
    <w:rsid w:val="00550C21"/>
    <w:rsid w:val="00551346"/>
    <w:rsid w:val="00551431"/>
    <w:rsid w:val="00551B90"/>
    <w:rsid w:val="00552354"/>
    <w:rsid w:val="00552B4A"/>
    <w:rsid w:val="0055314F"/>
    <w:rsid w:val="00553337"/>
    <w:rsid w:val="00553864"/>
    <w:rsid w:val="005538A0"/>
    <w:rsid w:val="005539C7"/>
    <w:rsid w:val="00554192"/>
    <w:rsid w:val="005552F0"/>
    <w:rsid w:val="00555666"/>
    <w:rsid w:val="005559B6"/>
    <w:rsid w:val="00555A88"/>
    <w:rsid w:val="00555B71"/>
    <w:rsid w:val="00555D0B"/>
    <w:rsid w:val="00556920"/>
    <w:rsid w:val="00556BD8"/>
    <w:rsid w:val="00556F74"/>
    <w:rsid w:val="005572F4"/>
    <w:rsid w:val="00557DC3"/>
    <w:rsid w:val="005604D2"/>
    <w:rsid w:val="005610B9"/>
    <w:rsid w:val="005614F4"/>
    <w:rsid w:val="00561921"/>
    <w:rsid w:val="005620B9"/>
    <w:rsid w:val="00562D70"/>
    <w:rsid w:val="005635A7"/>
    <w:rsid w:val="00563982"/>
    <w:rsid w:val="00563A34"/>
    <w:rsid w:val="00563BA4"/>
    <w:rsid w:val="00563FDC"/>
    <w:rsid w:val="005642B6"/>
    <w:rsid w:val="005648FE"/>
    <w:rsid w:val="00564F29"/>
    <w:rsid w:val="00565462"/>
    <w:rsid w:val="005656A1"/>
    <w:rsid w:val="00566114"/>
    <w:rsid w:val="0056640C"/>
    <w:rsid w:val="00567890"/>
    <w:rsid w:val="0056789F"/>
    <w:rsid w:val="00567A29"/>
    <w:rsid w:val="00567F0C"/>
    <w:rsid w:val="00567F28"/>
    <w:rsid w:val="005702B4"/>
    <w:rsid w:val="00570E70"/>
    <w:rsid w:val="005716DC"/>
    <w:rsid w:val="00571C68"/>
    <w:rsid w:val="0057295E"/>
    <w:rsid w:val="00573B63"/>
    <w:rsid w:val="00574809"/>
    <w:rsid w:val="00574B4E"/>
    <w:rsid w:val="00574DFD"/>
    <w:rsid w:val="00575730"/>
    <w:rsid w:val="005761B0"/>
    <w:rsid w:val="0057647F"/>
    <w:rsid w:val="0057654E"/>
    <w:rsid w:val="00576ED0"/>
    <w:rsid w:val="005771B4"/>
    <w:rsid w:val="00580215"/>
    <w:rsid w:val="00580F1E"/>
    <w:rsid w:val="00580FEE"/>
    <w:rsid w:val="005817DA"/>
    <w:rsid w:val="00581931"/>
    <w:rsid w:val="005819B9"/>
    <w:rsid w:val="00581A1A"/>
    <w:rsid w:val="00582425"/>
    <w:rsid w:val="00582759"/>
    <w:rsid w:val="00582EF4"/>
    <w:rsid w:val="005830D0"/>
    <w:rsid w:val="0058417A"/>
    <w:rsid w:val="005842AB"/>
    <w:rsid w:val="00584703"/>
    <w:rsid w:val="00584E04"/>
    <w:rsid w:val="0058558C"/>
    <w:rsid w:val="0058604D"/>
    <w:rsid w:val="0058687B"/>
    <w:rsid w:val="00586D58"/>
    <w:rsid w:val="005870D1"/>
    <w:rsid w:val="0059117C"/>
    <w:rsid w:val="005913ED"/>
    <w:rsid w:val="0059145D"/>
    <w:rsid w:val="00591486"/>
    <w:rsid w:val="005919CE"/>
    <w:rsid w:val="00591F82"/>
    <w:rsid w:val="00592319"/>
    <w:rsid w:val="0059252F"/>
    <w:rsid w:val="005928DA"/>
    <w:rsid w:val="00592B6C"/>
    <w:rsid w:val="00592B78"/>
    <w:rsid w:val="00593527"/>
    <w:rsid w:val="00593790"/>
    <w:rsid w:val="00593890"/>
    <w:rsid w:val="00593C15"/>
    <w:rsid w:val="00594196"/>
    <w:rsid w:val="005941EF"/>
    <w:rsid w:val="005949F1"/>
    <w:rsid w:val="0059514C"/>
    <w:rsid w:val="0059559B"/>
    <w:rsid w:val="005957DB"/>
    <w:rsid w:val="00595A1E"/>
    <w:rsid w:val="005A0593"/>
    <w:rsid w:val="005A0861"/>
    <w:rsid w:val="005A0FB7"/>
    <w:rsid w:val="005A1D2C"/>
    <w:rsid w:val="005A1DF5"/>
    <w:rsid w:val="005A22F9"/>
    <w:rsid w:val="005A253C"/>
    <w:rsid w:val="005A26AB"/>
    <w:rsid w:val="005A3336"/>
    <w:rsid w:val="005A4244"/>
    <w:rsid w:val="005A48F0"/>
    <w:rsid w:val="005A492F"/>
    <w:rsid w:val="005A497B"/>
    <w:rsid w:val="005A499A"/>
    <w:rsid w:val="005A5077"/>
    <w:rsid w:val="005A60DB"/>
    <w:rsid w:val="005A625B"/>
    <w:rsid w:val="005A77F9"/>
    <w:rsid w:val="005B0E5A"/>
    <w:rsid w:val="005B133E"/>
    <w:rsid w:val="005B150C"/>
    <w:rsid w:val="005B224F"/>
    <w:rsid w:val="005B29D4"/>
    <w:rsid w:val="005B2CEF"/>
    <w:rsid w:val="005B2EFB"/>
    <w:rsid w:val="005B2F7F"/>
    <w:rsid w:val="005B31E0"/>
    <w:rsid w:val="005B370B"/>
    <w:rsid w:val="005B4086"/>
    <w:rsid w:val="005B4DD7"/>
    <w:rsid w:val="005B4FC0"/>
    <w:rsid w:val="005B5023"/>
    <w:rsid w:val="005B559B"/>
    <w:rsid w:val="005B59B0"/>
    <w:rsid w:val="005B6D05"/>
    <w:rsid w:val="005B70F0"/>
    <w:rsid w:val="005B7148"/>
    <w:rsid w:val="005B7562"/>
    <w:rsid w:val="005C00D4"/>
    <w:rsid w:val="005C0985"/>
    <w:rsid w:val="005C1199"/>
    <w:rsid w:val="005C1B84"/>
    <w:rsid w:val="005C27DD"/>
    <w:rsid w:val="005C2B00"/>
    <w:rsid w:val="005C3011"/>
    <w:rsid w:val="005C389C"/>
    <w:rsid w:val="005C398C"/>
    <w:rsid w:val="005C3F7F"/>
    <w:rsid w:val="005C4A10"/>
    <w:rsid w:val="005C4E5B"/>
    <w:rsid w:val="005C4FE3"/>
    <w:rsid w:val="005C5930"/>
    <w:rsid w:val="005C5AEA"/>
    <w:rsid w:val="005C6957"/>
    <w:rsid w:val="005C6964"/>
    <w:rsid w:val="005C6AB8"/>
    <w:rsid w:val="005C6D00"/>
    <w:rsid w:val="005C7B50"/>
    <w:rsid w:val="005C7D79"/>
    <w:rsid w:val="005C7D99"/>
    <w:rsid w:val="005D03AC"/>
    <w:rsid w:val="005D125B"/>
    <w:rsid w:val="005D1903"/>
    <w:rsid w:val="005D2C5B"/>
    <w:rsid w:val="005D37ED"/>
    <w:rsid w:val="005D3D46"/>
    <w:rsid w:val="005D4102"/>
    <w:rsid w:val="005D41AD"/>
    <w:rsid w:val="005D427A"/>
    <w:rsid w:val="005D54B3"/>
    <w:rsid w:val="005D558D"/>
    <w:rsid w:val="005D55BF"/>
    <w:rsid w:val="005D5AF0"/>
    <w:rsid w:val="005D5EFF"/>
    <w:rsid w:val="005D6199"/>
    <w:rsid w:val="005D683C"/>
    <w:rsid w:val="005D6C6F"/>
    <w:rsid w:val="005D702F"/>
    <w:rsid w:val="005D7074"/>
    <w:rsid w:val="005D76EE"/>
    <w:rsid w:val="005D7AC5"/>
    <w:rsid w:val="005D7E3E"/>
    <w:rsid w:val="005D7E81"/>
    <w:rsid w:val="005E05AA"/>
    <w:rsid w:val="005E0CBB"/>
    <w:rsid w:val="005E10B6"/>
    <w:rsid w:val="005E1212"/>
    <w:rsid w:val="005E1D55"/>
    <w:rsid w:val="005E24D1"/>
    <w:rsid w:val="005E28B5"/>
    <w:rsid w:val="005E39A8"/>
    <w:rsid w:val="005E3EBC"/>
    <w:rsid w:val="005E4169"/>
    <w:rsid w:val="005E4AA8"/>
    <w:rsid w:val="005E5633"/>
    <w:rsid w:val="005E64FB"/>
    <w:rsid w:val="005E6590"/>
    <w:rsid w:val="005E7968"/>
    <w:rsid w:val="005F0072"/>
    <w:rsid w:val="005F01DE"/>
    <w:rsid w:val="005F14CA"/>
    <w:rsid w:val="005F1877"/>
    <w:rsid w:val="005F1A6A"/>
    <w:rsid w:val="005F1B59"/>
    <w:rsid w:val="005F1D6F"/>
    <w:rsid w:val="005F219B"/>
    <w:rsid w:val="005F23BE"/>
    <w:rsid w:val="005F2444"/>
    <w:rsid w:val="005F2CBE"/>
    <w:rsid w:val="005F2E41"/>
    <w:rsid w:val="005F2F91"/>
    <w:rsid w:val="005F35BF"/>
    <w:rsid w:val="005F3B9B"/>
    <w:rsid w:val="005F5110"/>
    <w:rsid w:val="005F5407"/>
    <w:rsid w:val="005F552D"/>
    <w:rsid w:val="005F58BF"/>
    <w:rsid w:val="005F61D9"/>
    <w:rsid w:val="005F6315"/>
    <w:rsid w:val="005F64A5"/>
    <w:rsid w:val="005F68AE"/>
    <w:rsid w:val="005F6D9A"/>
    <w:rsid w:val="005F71AD"/>
    <w:rsid w:val="005F77DC"/>
    <w:rsid w:val="005F7B0D"/>
    <w:rsid w:val="00600506"/>
    <w:rsid w:val="00601154"/>
    <w:rsid w:val="006020B7"/>
    <w:rsid w:val="006020E6"/>
    <w:rsid w:val="0060290B"/>
    <w:rsid w:val="00602DB9"/>
    <w:rsid w:val="006033E2"/>
    <w:rsid w:val="006037E3"/>
    <w:rsid w:val="00603A0B"/>
    <w:rsid w:val="00603BD8"/>
    <w:rsid w:val="00604D97"/>
    <w:rsid w:val="00604FFE"/>
    <w:rsid w:val="00605141"/>
    <w:rsid w:val="006053A3"/>
    <w:rsid w:val="00605584"/>
    <w:rsid w:val="00605AA5"/>
    <w:rsid w:val="00605C07"/>
    <w:rsid w:val="00605E4A"/>
    <w:rsid w:val="00605F6D"/>
    <w:rsid w:val="0060658A"/>
    <w:rsid w:val="00607016"/>
    <w:rsid w:val="00610651"/>
    <w:rsid w:val="00611744"/>
    <w:rsid w:val="00611A26"/>
    <w:rsid w:val="00611C1D"/>
    <w:rsid w:val="0061233C"/>
    <w:rsid w:val="00612378"/>
    <w:rsid w:val="00612909"/>
    <w:rsid w:val="00612D2D"/>
    <w:rsid w:val="00612DA1"/>
    <w:rsid w:val="00612F74"/>
    <w:rsid w:val="00613102"/>
    <w:rsid w:val="00613110"/>
    <w:rsid w:val="00613391"/>
    <w:rsid w:val="0061367F"/>
    <w:rsid w:val="00613B99"/>
    <w:rsid w:val="00614015"/>
    <w:rsid w:val="006140C4"/>
    <w:rsid w:val="0061493E"/>
    <w:rsid w:val="00615170"/>
    <w:rsid w:val="0061602C"/>
    <w:rsid w:val="00616070"/>
    <w:rsid w:val="00616572"/>
    <w:rsid w:val="006167E0"/>
    <w:rsid w:val="00616C58"/>
    <w:rsid w:val="00617386"/>
    <w:rsid w:val="00620E70"/>
    <w:rsid w:val="00621D52"/>
    <w:rsid w:val="006221CB"/>
    <w:rsid w:val="0062289E"/>
    <w:rsid w:val="00622E4F"/>
    <w:rsid w:val="00623630"/>
    <w:rsid w:val="00623F72"/>
    <w:rsid w:val="006245AF"/>
    <w:rsid w:val="00624F44"/>
    <w:rsid w:val="00625190"/>
    <w:rsid w:val="006255C6"/>
    <w:rsid w:val="00625A72"/>
    <w:rsid w:val="006265B1"/>
    <w:rsid w:val="0062763A"/>
    <w:rsid w:val="00627640"/>
    <w:rsid w:val="00627974"/>
    <w:rsid w:val="00630177"/>
    <w:rsid w:val="0063051F"/>
    <w:rsid w:val="00630675"/>
    <w:rsid w:val="00630744"/>
    <w:rsid w:val="00631182"/>
    <w:rsid w:val="00631965"/>
    <w:rsid w:val="00631BCA"/>
    <w:rsid w:val="00631C05"/>
    <w:rsid w:val="0063205B"/>
    <w:rsid w:val="006325A8"/>
    <w:rsid w:val="00632BDE"/>
    <w:rsid w:val="006332FB"/>
    <w:rsid w:val="00634822"/>
    <w:rsid w:val="00634C3E"/>
    <w:rsid w:val="0063555C"/>
    <w:rsid w:val="006356C0"/>
    <w:rsid w:val="0063578B"/>
    <w:rsid w:val="00635D7F"/>
    <w:rsid w:val="00636036"/>
    <w:rsid w:val="0063659D"/>
    <w:rsid w:val="00636E52"/>
    <w:rsid w:val="006376E8"/>
    <w:rsid w:val="00637E7C"/>
    <w:rsid w:val="00637EA9"/>
    <w:rsid w:val="006402AF"/>
    <w:rsid w:val="00640B39"/>
    <w:rsid w:val="00640E73"/>
    <w:rsid w:val="00641027"/>
    <w:rsid w:val="00641DCC"/>
    <w:rsid w:val="00642973"/>
    <w:rsid w:val="006430BA"/>
    <w:rsid w:val="00643316"/>
    <w:rsid w:val="0064379C"/>
    <w:rsid w:val="0064389E"/>
    <w:rsid w:val="00643BFC"/>
    <w:rsid w:val="0064413C"/>
    <w:rsid w:val="006442EE"/>
    <w:rsid w:val="0064466D"/>
    <w:rsid w:val="00644D01"/>
    <w:rsid w:val="00645417"/>
    <w:rsid w:val="0064594B"/>
    <w:rsid w:val="00645AC6"/>
    <w:rsid w:val="0064659E"/>
    <w:rsid w:val="00646B89"/>
    <w:rsid w:val="006473E2"/>
    <w:rsid w:val="00647437"/>
    <w:rsid w:val="00647731"/>
    <w:rsid w:val="0064777A"/>
    <w:rsid w:val="0065078A"/>
    <w:rsid w:val="00650AC9"/>
    <w:rsid w:val="006516CA"/>
    <w:rsid w:val="006517DE"/>
    <w:rsid w:val="00652DA5"/>
    <w:rsid w:val="0065357D"/>
    <w:rsid w:val="00653892"/>
    <w:rsid w:val="00653E73"/>
    <w:rsid w:val="00654859"/>
    <w:rsid w:val="006548A5"/>
    <w:rsid w:val="00654E7E"/>
    <w:rsid w:val="00654FAA"/>
    <w:rsid w:val="00655155"/>
    <w:rsid w:val="0065590F"/>
    <w:rsid w:val="00655A08"/>
    <w:rsid w:val="006569EA"/>
    <w:rsid w:val="00656E76"/>
    <w:rsid w:val="006570EA"/>
    <w:rsid w:val="0065743B"/>
    <w:rsid w:val="006574AA"/>
    <w:rsid w:val="00657596"/>
    <w:rsid w:val="006600B8"/>
    <w:rsid w:val="00660ABF"/>
    <w:rsid w:val="00660E5B"/>
    <w:rsid w:val="006612BD"/>
    <w:rsid w:val="006615B9"/>
    <w:rsid w:val="0066180E"/>
    <w:rsid w:val="00661853"/>
    <w:rsid w:val="00661B79"/>
    <w:rsid w:val="00661BFD"/>
    <w:rsid w:val="006620A8"/>
    <w:rsid w:val="006620C8"/>
    <w:rsid w:val="006624DF"/>
    <w:rsid w:val="006629AF"/>
    <w:rsid w:val="00662C9E"/>
    <w:rsid w:val="00663F74"/>
    <w:rsid w:val="00664056"/>
    <w:rsid w:val="006645FC"/>
    <w:rsid w:val="006648BE"/>
    <w:rsid w:val="00664FE0"/>
    <w:rsid w:val="00665515"/>
    <w:rsid w:val="00665E4C"/>
    <w:rsid w:val="00666660"/>
    <w:rsid w:val="006668CC"/>
    <w:rsid w:val="00666DB1"/>
    <w:rsid w:val="00666E45"/>
    <w:rsid w:val="00667591"/>
    <w:rsid w:val="00667F99"/>
    <w:rsid w:val="00670122"/>
    <w:rsid w:val="00670A6E"/>
    <w:rsid w:val="00670F19"/>
    <w:rsid w:val="0067106F"/>
    <w:rsid w:val="00671481"/>
    <w:rsid w:val="0067179D"/>
    <w:rsid w:val="00671ACB"/>
    <w:rsid w:val="00672AA0"/>
    <w:rsid w:val="006734FD"/>
    <w:rsid w:val="00674531"/>
    <w:rsid w:val="0067463D"/>
    <w:rsid w:val="006747CB"/>
    <w:rsid w:val="00674B07"/>
    <w:rsid w:val="006755E5"/>
    <w:rsid w:val="00675DFD"/>
    <w:rsid w:val="00675EEB"/>
    <w:rsid w:val="006761AE"/>
    <w:rsid w:val="00676799"/>
    <w:rsid w:val="006771A3"/>
    <w:rsid w:val="00677D85"/>
    <w:rsid w:val="00677DB0"/>
    <w:rsid w:val="006803D5"/>
    <w:rsid w:val="00680500"/>
    <w:rsid w:val="006806FC"/>
    <w:rsid w:val="006814D9"/>
    <w:rsid w:val="00682342"/>
    <w:rsid w:val="006824A2"/>
    <w:rsid w:val="0068260D"/>
    <w:rsid w:val="006826ED"/>
    <w:rsid w:val="006826F3"/>
    <w:rsid w:val="00682B0B"/>
    <w:rsid w:val="00682C93"/>
    <w:rsid w:val="00682DD1"/>
    <w:rsid w:val="00682F2A"/>
    <w:rsid w:val="00682FEE"/>
    <w:rsid w:val="00683093"/>
    <w:rsid w:val="006833B9"/>
    <w:rsid w:val="0068384C"/>
    <w:rsid w:val="006838B4"/>
    <w:rsid w:val="00683E61"/>
    <w:rsid w:val="00683E76"/>
    <w:rsid w:val="00684436"/>
    <w:rsid w:val="00684C39"/>
    <w:rsid w:val="00685701"/>
    <w:rsid w:val="00685856"/>
    <w:rsid w:val="0068658B"/>
    <w:rsid w:val="0068662C"/>
    <w:rsid w:val="00686CE5"/>
    <w:rsid w:val="006874ED"/>
    <w:rsid w:val="0068786C"/>
    <w:rsid w:val="00690A25"/>
    <w:rsid w:val="00690B01"/>
    <w:rsid w:val="00690BBC"/>
    <w:rsid w:val="00690BEA"/>
    <w:rsid w:val="006920F7"/>
    <w:rsid w:val="00692690"/>
    <w:rsid w:val="00692F5D"/>
    <w:rsid w:val="00692FDF"/>
    <w:rsid w:val="006931AF"/>
    <w:rsid w:val="0069391D"/>
    <w:rsid w:val="00694135"/>
    <w:rsid w:val="00694357"/>
    <w:rsid w:val="0069439A"/>
    <w:rsid w:val="00695AF0"/>
    <w:rsid w:val="00696134"/>
    <w:rsid w:val="006961AA"/>
    <w:rsid w:val="00696A7B"/>
    <w:rsid w:val="00696C97"/>
    <w:rsid w:val="006970D6"/>
    <w:rsid w:val="006977E8"/>
    <w:rsid w:val="006978E0"/>
    <w:rsid w:val="00697E15"/>
    <w:rsid w:val="006A089F"/>
    <w:rsid w:val="006A1249"/>
    <w:rsid w:val="006A1840"/>
    <w:rsid w:val="006A1A10"/>
    <w:rsid w:val="006A1CD2"/>
    <w:rsid w:val="006A2F13"/>
    <w:rsid w:val="006A308B"/>
    <w:rsid w:val="006A3449"/>
    <w:rsid w:val="006A403E"/>
    <w:rsid w:val="006A4549"/>
    <w:rsid w:val="006A4622"/>
    <w:rsid w:val="006A491A"/>
    <w:rsid w:val="006A4ECA"/>
    <w:rsid w:val="006A5355"/>
    <w:rsid w:val="006A612C"/>
    <w:rsid w:val="006A61F2"/>
    <w:rsid w:val="006A693F"/>
    <w:rsid w:val="006A70E9"/>
    <w:rsid w:val="006A7834"/>
    <w:rsid w:val="006B0F10"/>
    <w:rsid w:val="006B10F0"/>
    <w:rsid w:val="006B1328"/>
    <w:rsid w:val="006B1DA2"/>
    <w:rsid w:val="006B1EB8"/>
    <w:rsid w:val="006B23B7"/>
    <w:rsid w:val="006B3725"/>
    <w:rsid w:val="006B3989"/>
    <w:rsid w:val="006B430A"/>
    <w:rsid w:val="006B469F"/>
    <w:rsid w:val="006B50AA"/>
    <w:rsid w:val="006B5D48"/>
    <w:rsid w:val="006B5E85"/>
    <w:rsid w:val="006B69EC"/>
    <w:rsid w:val="006B6EE0"/>
    <w:rsid w:val="006B6FE5"/>
    <w:rsid w:val="006C0011"/>
    <w:rsid w:val="006C1076"/>
    <w:rsid w:val="006C1AAC"/>
    <w:rsid w:val="006C1DAF"/>
    <w:rsid w:val="006C200C"/>
    <w:rsid w:val="006C277C"/>
    <w:rsid w:val="006C2B71"/>
    <w:rsid w:val="006C2BCD"/>
    <w:rsid w:val="006C33DA"/>
    <w:rsid w:val="006C3405"/>
    <w:rsid w:val="006C37A3"/>
    <w:rsid w:val="006C3869"/>
    <w:rsid w:val="006C4B24"/>
    <w:rsid w:val="006C4CE9"/>
    <w:rsid w:val="006C6169"/>
    <w:rsid w:val="006C63CA"/>
    <w:rsid w:val="006C682B"/>
    <w:rsid w:val="006C6B9B"/>
    <w:rsid w:val="006C706B"/>
    <w:rsid w:val="006C7760"/>
    <w:rsid w:val="006C7A93"/>
    <w:rsid w:val="006C7E5D"/>
    <w:rsid w:val="006D0089"/>
    <w:rsid w:val="006D043F"/>
    <w:rsid w:val="006D04E8"/>
    <w:rsid w:val="006D0561"/>
    <w:rsid w:val="006D0745"/>
    <w:rsid w:val="006D0816"/>
    <w:rsid w:val="006D09E8"/>
    <w:rsid w:val="006D0C05"/>
    <w:rsid w:val="006D1027"/>
    <w:rsid w:val="006D1150"/>
    <w:rsid w:val="006D23D6"/>
    <w:rsid w:val="006D26F7"/>
    <w:rsid w:val="006D2CDF"/>
    <w:rsid w:val="006D2E7D"/>
    <w:rsid w:val="006D39F6"/>
    <w:rsid w:val="006D496C"/>
    <w:rsid w:val="006D5FD9"/>
    <w:rsid w:val="006D64CD"/>
    <w:rsid w:val="006D69B8"/>
    <w:rsid w:val="006D73C9"/>
    <w:rsid w:val="006D7579"/>
    <w:rsid w:val="006D7722"/>
    <w:rsid w:val="006D7D93"/>
    <w:rsid w:val="006E01A1"/>
    <w:rsid w:val="006E04E8"/>
    <w:rsid w:val="006E0682"/>
    <w:rsid w:val="006E198F"/>
    <w:rsid w:val="006E1E18"/>
    <w:rsid w:val="006E289A"/>
    <w:rsid w:val="006E2B00"/>
    <w:rsid w:val="006E2B83"/>
    <w:rsid w:val="006E33F6"/>
    <w:rsid w:val="006E3615"/>
    <w:rsid w:val="006E373F"/>
    <w:rsid w:val="006E4248"/>
    <w:rsid w:val="006E4453"/>
    <w:rsid w:val="006E4A32"/>
    <w:rsid w:val="006E5CF4"/>
    <w:rsid w:val="006E5E6A"/>
    <w:rsid w:val="006E6D2F"/>
    <w:rsid w:val="006E6DE4"/>
    <w:rsid w:val="006E7363"/>
    <w:rsid w:val="006E7BBD"/>
    <w:rsid w:val="006F0495"/>
    <w:rsid w:val="006F0F85"/>
    <w:rsid w:val="006F1452"/>
    <w:rsid w:val="006F1DB6"/>
    <w:rsid w:val="006F217F"/>
    <w:rsid w:val="006F21CC"/>
    <w:rsid w:val="006F2465"/>
    <w:rsid w:val="006F37AB"/>
    <w:rsid w:val="006F4304"/>
    <w:rsid w:val="006F46D7"/>
    <w:rsid w:val="006F472C"/>
    <w:rsid w:val="006F50DB"/>
    <w:rsid w:val="006F5144"/>
    <w:rsid w:val="006F52D8"/>
    <w:rsid w:val="006F53BC"/>
    <w:rsid w:val="006F6269"/>
    <w:rsid w:val="006F6556"/>
    <w:rsid w:val="006F657A"/>
    <w:rsid w:val="006F68CC"/>
    <w:rsid w:val="006F6DE9"/>
    <w:rsid w:val="006F724A"/>
    <w:rsid w:val="006F73F9"/>
    <w:rsid w:val="006F75F1"/>
    <w:rsid w:val="006F7608"/>
    <w:rsid w:val="006F77E0"/>
    <w:rsid w:val="006F7DFA"/>
    <w:rsid w:val="006F7FC2"/>
    <w:rsid w:val="00701352"/>
    <w:rsid w:val="00701BDC"/>
    <w:rsid w:val="00701F91"/>
    <w:rsid w:val="007021E7"/>
    <w:rsid w:val="00702D4A"/>
    <w:rsid w:val="0070314E"/>
    <w:rsid w:val="007039D8"/>
    <w:rsid w:val="0070415E"/>
    <w:rsid w:val="00704901"/>
    <w:rsid w:val="00704C0D"/>
    <w:rsid w:val="0070517F"/>
    <w:rsid w:val="007060BA"/>
    <w:rsid w:val="00707222"/>
    <w:rsid w:val="007073A7"/>
    <w:rsid w:val="0071077B"/>
    <w:rsid w:val="00710D60"/>
    <w:rsid w:val="00710DF3"/>
    <w:rsid w:val="00710DF8"/>
    <w:rsid w:val="007118BA"/>
    <w:rsid w:val="00712906"/>
    <w:rsid w:val="00713327"/>
    <w:rsid w:val="00714765"/>
    <w:rsid w:val="00714874"/>
    <w:rsid w:val="00714F23"/>
    <w:rsid w:val="00714F6D"/>
    <w:rsid w:val="00714F9A"/>
    <w:rsid w:val="00716737"/>
    <w:rsid w:val="00716DC9"/>
    <w:rsid w:val="00717251"/>
    <w:rsid w:val="00717AFD"/>
    <w:rsid w:val="00720585"/>
    <w:rsid w:val="00720A39"/>
    <w:rsid w:val="00720C77"/>
    <w:rsid w:val="00720CA9"/>
    <w:rsid w:val="007220C4"/>
    <w:rsid w:val="007220FE"/>
    <w:rsid w:val="00722F2E"/>
    <w:rsid w:val="00723208"/>
    <w:rsid w:val="00723336"/>
    <w:rsid w:val="007245E1"/>
    <w:rsid w:val="00724C69"/>
    <w:rsid w:val="00724DFB"/>
    <w:rsid w:val="00724EF4"/>
    <w:rsid w:val="0072522B"/>
    <w:rsid w:val="007254F4"/>
    <w:rsid w:val="00726532"/>
    <w:rsid w:val="0072722B"/>
    <w:rsid w:val="0072739F"/>
    <w:rsid w:val="00727699"/>
    <w:rsid w:val="00727C88"/>
    <w:rsid w:val="007305BA"/>
    <w:rsid w:val="00730E41"/>
    <w:rsid w:val="007311AD"/>
    <w:rsid w:val="007312CF"/>
    <w:rsid w:val="0073164C"/>
    <w:rsid w:val="00731C12"/>
    <w:rsid w:val="00731DA2"/>
    <w:rsid w:val="00731FD9"/>
    <w:rsid w:val="007321A0"/>
    <w:rsid w:val="00732F48"/>
    <w:rsid w:val="00733275"/>
    <w:rsid w:val="007337E1"/>
    <w:rsid w:val="0073413F"/>
    <w:rsid w:val="00734DB9"/>
    <w:rsid w:val="00735018"/>
    <w:rsid w:val="00736E3F"/>
    <w:rsid w:val="00737032"/>
    <w:rsid w:val="007375C6"/>
    <w:rsid w:val="00737830"/>
    <w:rsid w:val="00737CDD"/>
    <w:rsid w:val="00740104"/>
    <w:rsid w:val="00740175"/>
    <w:rsid w:val="007401CC"/>
    <w:rsid w:val="00740FF6"/>
    <w:rsid w:val="00741246"/>
    <w:rsid w:val="007412AE"/>
    <w:rsid w:val="00741453"/>
    <w:rsid w:val="007415A3"/>
    <w:rsid w:val="00741F41"/>
    <w:rsid w:val="00742817"/>
    <w:rsid w:val="00742884"/>
    <w:rsid w:val="0074488C"/>
    <w:rsid w:val="00744920"/>
    <w:rsid w:val="00744DD3"/>
    <w:rsid w:val="007466CD"/>
    <w:rsid w:val="007469B2"/>
    <w:rsid w:val="00747424"/>
    <w:rsid w:val="00747551"/>
    <w:rsid w:val="00747A0D"/>
    <w:rsid w:val="00747EB2"/>
    <w:rsid w:val="0075094D"/>
    <w:rsid w:val="00750E8C"/>
    <w:rsid w:val="00750F5A"/>
    <w:rsid w:val="007513E8"/>
    <w:rsid w:val="00751529"/>
    <w:rsid w:val="0075183A"/>
    <w:rsid w:val="00751992"/>
    <w:rsid w:val="00751F99"/>
    <w:rsid w:val="0075260D"/>
    <w:rsid w:val="00752B92"/>
    <w:rsid w:val="00752CD4"/>
    <w:rsid w:val="00752D62"/>
    <w:rsid w:val="007535CE"/>
    <w:rsid w:val="0075366F"/>
    <w:rsid w:val="00753B36"/>
    <w:rsid w:val="00753D44"/>
    <w:rsid w:val="00753EB8"/>
    <w:rsid w:val="0075421F"/>
    <w:rsid w:val="007542FA"/>
    <w:rsid w:val="007549F5"/>
    <w:rsid w:val="00754DBD"/>
    <w:rsid w:val="00755C6A"/>
    <w:rsid w:val="00755D68"/>
    <w:rsid w:val="00756262"/>
    <w:rsid w:val="007567B8"/>
    <w:rsid w:val="007568B0"/>
    <w:rsid w:val="00756C14"/>
    <w:rsid w:val="00757693"/>
    <w:rsid w:val="007579E0"/>
    <w:rsid w:val="00757A09"/>
    <w:rsid w:val="00757AD6"/>
    <w:rsid w:val="007600D2"/>
    <w:rsid w:val="007616C8"/>
    <w:rsid w:val="00761B70"/>
    <w:rsid w:val="0076330D"/>
    <w:rsid w:val="007634D5"/>
    <w:rsid w:val="00763A59"/>
    <w:rsid w:val="00764C91"/>
    <w:rsid w:val="00765028"/>
    <w:rsid w:val="0076514A"/>
    <w:rsid w:val="00765766"/>
    <w:rsid w:val="00765F32"/>
    <w:rsid w:val="00766E78"/>
    <w:rsid w:val="00767EC3"/>
    <w:rsid w:val="00770085"/>
    <w:rsid w:val="00770430"/>
    <w:rsid w:val="00770C05"/>
    <w:rsid w:val="00770F85"/>
    <w:rsid w:val="00771E8D"/>
    <w:rsid w:val="00772AD1"/>
    <w:rsid w:val="00773827"/>
    <w:rsid w:val="007739C1"/>
    <w:rsid w:val="0077429D"/>
    <w:rsid w:val="0077467A"/>
    <w:rsid w:val="00774A3E"/>
    <w:rsid w:val="007753B8"/>
    <w:rsid w:val="007755B4"/>
    <w:rsid w:val="0077594F"/>
    <w:rsid w:val="00775D7C"/>
    <w:rsid w:val="0077606D"/>
    <w:rsid w:val="00776269"/>
    <w:rsid w:val="007765CA"/>
    <w:rsid w:val="00776C5D"/>
    <w:rsid w:val="00776F04"/>
    <w:rsid w:val="00777A33"/>
    <w:rsid w:val="007801DE"/>
    <w:rsid w:val="00780BFF"/>
    <w:rsid w:val="007810F6"/>
    <w:rsid w:val="00781385"/>
    <w:rsid w:val="00781689"/>
    <w:rsid w:val="007817F7"/>
    <w:rsid w:val="00781B3D"/>
    <w:rsid w:val="00781F9C"/>
    <w:rsid w:val="00782BE0"/>
    <w:rsid w:val="00782BF5"/>
    <w:rsid w:val="00782F5A"/>
    <w:rsid w:val="0078395B"/>
    <w:rsid w:val="00783A51"/>
    <w:rsid w:val="00784580"/>
    <w:rsid w:val="00784D07"/>
    <w:rsid w:val="00784FAF"/>
    <w:rsid w:val="0078511D"/>
    <w:rsid w:val="00785249"/>
    <w:rsid w:val="00785714"/>
    <w:rsid w:val="00785BE3"/>
    <w:rsid w:val="00786106"/>
    <w:rsid w:val="0078646C"/>
    <w:rsid w:val="007866FA"/>
    <w:rsid w:val="00786A9B"/>
    <w:rsid w:val="00786BF6"/>
    <w:rsid w:val="0078763D"/>
    <w:rsid w:val="007908FF"/>
    <w:rsid w:val="00792080"/>
    <w:rsid w:val="00792924"/>
    <w:rsid w:val="0079396B"/>
    <w:rsid w:val="0079417D"/>
    <w:rsid w:val="00794CFB"/>
    <w:rsid w:val="007953D3"/>
    <w:rsid w:val="00795691"/>
    <w:rsid w:val="00795DAB"/>
    <w:rsid w:val="007965EE"/>
    <w:rsid w:val="007971A4"/>
    <w:rsid w:val="007973F9"/>
    <w:rsid w:val="00797AA8"/>
    <w:rsid w:val="007A042C"/>
    <w:rsid w:val="007A0CF5"/>
    <w:rsid w:val="007A0E64"/>
    <w:rsid w:val="007A0ECB"/>
    <w:rsid w:val="007A1D71"/>
    <w:rsid w:val="007A2112"/>
    <w:rsid w:val="007A2298"/>
    <w:rsid w:val="007A2ED2"/>
    <w:rsid w:val="007A3124"/>
    <w:rsid w:val="007A37FC"/>
    <w:rsid w:val="007A3984"/>
    <w:rsid w:val="007A3A19"/>
    <w:rsid w:val="007A3D1A"/>
    <w:rsid w:val="007A3EBC"/>
    <w:rsid w:val="007A475A"/>
    <w:rsid w:val="007A51B4"/>
    <w:rsid w:val="007A524C"/>
    <w:rsid w:val="007A5523"/>
    <w:rsid w:val="007A632D"/>
    <w:rsid w:val="007A6656"/>
    <w:rsid w:val="007A7217"/>
    <w:rsid w:val="007A784A"/>
    <w:rsid w:val="007A79CE"/>
    <w:rsid w:val="007B0E4F"/>
    <w:rsid w:val="007B1315"/>
    <w:rsid w:val="007B1B8C"/>
    <w:rsid w:val="007B1E0D"/>
    <w:rsid w:val="007B2196"/>
    <w:rsid w:val="007B2E85"/>
    <w:rsid w:val="007B32FE"/>
    <w:rsid w:val="007B3597"/>
    <w:rsid w:val="007B3C0D"/>
    <w:rsid w:val="007B3FF4"/>
    <w:rsid w:val="007B4064"/>
    <w:rsid w:val="007B5065"/>
    <w:rsid w:val="007B5FA0"/>
    <w:rsid w:val="007B612F"/>
    <w:rsid w:val="007B65BD"/>
    <w:rsid w:val="007B6E57"/>
    <w:rsid w:val="007B72D0"/>
    <w:rsid w:val="007B75B5"/>
    <w:rsid w:val="007C0A33"/>
    <w:rsid w:val="007C0A93"/>
    <w:rsid w:val="007C0B87"/>
    <w:rsid w:val="007C1187"/>
    <w:rsid w:val="007C13BF"/>
    <w:rsid w:val="007C1556"/>
    <w:rsid w:val="007C157C"/>
    <w:rsid w:val="007C1677"/>
    <w:rsid w:val="007C194B"/>
    <w:rsid w:val="007C1CCF"/>
    <w:rsid w:val="007C2230"/>
    <w:rsid w:val="007C3218"/>
    <w:rsid w:val="007C32D4"/>
    <w:rsid w:val="007C38B1"/>
    <w:rsid w:val="007C3B20"/>
    <w:rsid w:val="007C4531"/>
    <w:rsid w:val="007C4B28"/>
    <w:rsid w:val="007C4CAA"/>
    <w:rsid w:val="007C5B0F"/>
    <w:rsid w:val="007C6092"/>
    <w:rsid w:val="007C645D"/>
    <w:rsid w:val="007C6905"/>
    <w:rsid w:val="007C6DA0"/>
    <w:rsid w:val="007C7CCC"/>
    <w:rsid w:val="007C7E23"/>
    <w:rsid w:val="007D0309"/>
    <w:rsid w:val="007D03F2"/>
    <w:rsid w:val="007D0615"/>
    <w:rsid w:val="007D10D2"/>
    <w:rsid w:val="007D1147"/>
    <w:rsid w:val="007D17D5"/>
    <w:rsid w:val="007D1F0A"/>
    <w:rsid w:val="007D22CF"/>
    <w:rsid w:val="007D24E5"/>
    <w:rsid w:val="007D2872"/>
    <w:rsid w:val="007D2B0E"/>
    <w:rsid w:val="007D3239"/>
    <w:rsid w:val="007D3BCA"/>
    <w:rsid w:val="007D4296"/>
    <w:rsid w:val="007D465C"/>
    <w:rsid w:val="007D4685"/>
    <w:rsid w:val="007D4E14"/>
    <w:rsid w:val="007D50F2"/>
    <w:rsid w:val="007D5180"/>
    <w:rsid w:val="007D5966"/>
    <w:rsid w:val="007D5DAB"/>
    <w:rsid w:val="007D5E4F"/>
    <w:rsid w:val="007D6355"/>
    <w:rsid w:val="007D6724"/>
    <w:rsid w:val="007D6857"/>
    <w:rsid w:val="007D6B21"/>
    <w:rsid w:val="007E07E4"/>
    <w:rsid w:val="007E1C62"/>
    <w:rsid w:val="007E1FE4"/>
    <w:rsid w:val="007E224C"/>
    <w:rsid w:val="007E2840"/>
    <w:rsid w:val="007E2B9F"/>
    <w:rsid w:val="007E3020"/>
    <w:rsid w:val="007E3BBB"/>
    <w:rsid w:val="007E3D5E"/>
    <w:rsid w:val="007E3FFC"/>
    <w:rsid w:val="007E42EA"/>
    <w:rsid w:val="007E457D"/>
    <w:rsid w:val="007E5431"/>
    <w:rsid w:val="007E549A"/>
    <w:rsid w:val="007E5729"/>
    <w:rsid w:val="007E6C79"/>
    <w:rsid w:val="007E6CF5"/>
    <w:rsid w:val="007E6FDB"/>
    <w:rsid w:val="007E745C"/>
    <w:rsid w:val="007E74CB"/>
    <w:rsid w:val="007E7B73"/>
    <w:rsid w:val="007E7ED8"/>
    <w:rsid w:val="007E7FE5"/>
    <w:rsid w:val="007F0359"/>
    <w:rsid w:val="007F1AB3"/>
    <w:rsid w:val="007F1B33"/>
    <w:rsid w:val="007F2037"/>
    <w:rsid w:val="007F2576"/>
    <w:rsid w:val="007F2DE3"/>
    <w:rsid w:val="007F2E9D"/>
    <w:rsid w:val="007F3102"/>
    <w:rsid w:val="007F369F"/>
    <w:rsid w:val="007F380D"/>
    <w:rsid w:val="007F4EE2"/>
    <w:rsid w:val="007F5263"/>
    <w:rsid w:val="007F59E4"/>
    <w:rsid w:val="007F5D67"/>
    <w:rsid w:val="007F5E76"/>
    <w:rsid w:val="007F7A40"/>
    <w:rsid w:val="007F7D9A"/>
    <w:rsid w:val="00800010"/>
    <w:rsid w:val="00800B95"/>
    <w:rsid w:val="00800E8D"/>
    <w:rsid w:val="00802373"/>
    <w:rsid w:val="008026E1"/>
    <w:rsid w:val="00802899"/>
    <w:rsid w:val="00802DF7"/>
    <w:rsid w:val="00802FC1"/>
    <w:rsid w:val="00803443"/>
    <w:rsid w:val="0080352C"/>
    <w:rsid w:val="00803E69"/>
    <w:rsid w:val="00803FF8"/>
    <w:rsid w:val="00805212"/>
    <w:rsid w:val="008053C8"/>
    <w:rsid w:val="00805536"/>
    <w:rsid w:val="0080607C"/>
    <w:rsid w:val="00810249"/>
    <w:rsid w:val="00810C69"/>
    <w:rsid w:val="00811660"/>
    <w:rsid w:val="00811DE7"/>
    <w:rsid w:val="00812A0D"/>
    <w:rsid w:val="00813051"/>
    <w:rsid w:val="00813297"/>
    <w:rsid w:val="008135D8"/>
    <w:rsid w:val="00813954"/>
    <w:rsid w:val="00813A4E"/>
    <w:rsid w:val="00814687"/>
    <w:rsid w:val="00814B3D"/>
    <w:rsid w:val="008159CF"/>
    <w:rsid w:val="00815E3C"/>
    <w:rsid w:val="00816051"/>
    <w:rsid w:val="00816B16"/>
    <w:rsid w:val="00816E2B"/>
    <w:rsid w:val="00817116"/>
    <w:rsid w:val="0082039F"/>
    <w:rsid w:val="008203F8"/>
    <w:rsid w:val="008214D5"/>
    <w:rsid w:val="008217C5"/>
    <w:rsid w:val="008218F4"/>
    <w:rsid w:val="00821A39"/>
    <w:rsid w:val="00821DB8"/>
    <w:rsid w:val="00821ECB"/>
    <w:rsid w:val="0082269C"/>
    <w:rsid w:val="00822708"/>
    <w:rsid w:val="00822F8D"/>
    <w:rsid w:val="008231AD"/>
    <w:rsid w:val="00823FAA"/>
    <w:rsid w:val="008243F1"/>
    <w:rsid w:val="008266EC"/>
    <w:rsid w:val="00827047"/>
    <w:rsid w:val="008275A4"/>
    <w:rsid w:val="00827C3F"/>
    <w:rsid w:val="008307D0"/>
    <w:rsid w:val="008314E6"/>
    <w:rsid w:val="0083168D"/>
    <w:rsid w:val="008317B3"/>
    <w:rsid w:val="00831980"/>
    <w:rsid w:val="00831CCB"/>
    <w:rsid w:val="00831F4D"/>
    <w:rsid w:val="0083218A"/>
    <w:rsid w:val="00832B12"/>
    <w:rsid w:val="0083340E"/>
    <w:rsid w:val="00833C13"/>
    <w:rsid w:val="00833DA9"/>
    <w:rsid w:val="00835053"/>
    <w:rsid w:val="00835658"/>
    <w:rsid w:val="00835FD8"/>
    <w:rsid w:val="00835FF3"/>
    <w:rsid w:val="00836105"/>
    <w:rsid w:val="00836744"/>
    <w:rsid w:val="00836817"/>
    <w:rsid w:val="00836A86"/>
    <w:rsid w:val="00836B4E"/>
    <w:rsid w:val="00837BC7"/>
    <w:rsid w:val="00837D34"/>
    <w:rsid w:val="00840089"/>
    <w:rsid w:val="00840670"/>
    <w:rsid w:val="00840A53"/>
    <w:rsid w:val="00840D03"/>
    <w:rsid w:val="00841068"/>
    <w:rsid w:val="00841B45"/>
    <w:rsid w:val="00841BD9"/>
    <w:rsid w:val="00841EFC"/>
    <w:rsid w:val="0084244B"/>
    <w:rsid w:val="0084263A"/>
    <w:rsid w:val="0084288F"/>
    <w:rsid w:val="00843139"/>
    <w:rsid w:val="008433DE"/>
    <w:rsid w:val="00843627"/>
    <w:rsid w:val="00843B11"/>
    <w:rsid w:val="00843B52"/>
    <w:rsid w:val="00843C14"/>
    <w:rsid w:val="00844466"/>
    <w:rsid w:val="008447B3"/>
    <w:rsid w:val="0084581A"/>
    <w:rsid w:val="00845964"/>
    <w:rsid w:val="0084615E"/>
    <w:rsid w:val="00846520"/>
    <w:rsid w:val="0084696E"/>
    <w:rsid w:val="00846E15"/>
    <w:rsid w:val="00846ED3"/>
    <w:rsid w:val="0084713C"/>
    <w:rsid w:val="00847E7E"/>
    <w:rsid w:val="008502A1"/>
    <w:rsid w:val="008509D6"/>
    <w:rsid w:val="00850F05"/>
    <w:rsid w:val="008510CA"/>
    <w:rsid w:val="00851E0F"/>
    <w:rsid w:val="00852ED1"/>
    <w:rsid w:val="00853325"/>
    <w:rsid w:val="008533D3"/>
    <w:rsid w:val="00853528"/>
    <w:rsid w:val="00853707"/>
    <w:rsid w:val="00854214"/>
    <w:rsid w:val="00854255"/>
    <w:rsid w:val="0085437F"/>
    <w:rsid w:val="00854705"/>
    <w:rsid w:val="008554AD"/>
    <w:rsid w:val="00856377"/>
    <w:rsid w:val="008565C9"/>
    <w:rsid w:val="00856989"/>
    <w:rsid w:val="008605B7"/>
    <w:rsid w:val="008606E0"/>
    <w:rsid w:val="00860B5D"/>
    <w:rsid w:val="00860D13"/>
    <w:rsid w:val="008613D4"/>
    <w:rsid w:val="00861456"/>
    <w:rsid w:val="008617EA"/>
    <w:rsid w:val="00861C61"/>
    <w:rsid w:val="00861C87"/>
    <w:rsid w:val="008629F1"/>
    <w:rsid w:val="00862A68"/>
    <w:rsid w:val="00863041"/>
    <w:rsid w:val="00863155"/>
    <w:rsid w:val="00864081"/>
    <w:rsid w:val="008649ED"/>
    <w:rsid w:val="00865B2B"/>
    <w:rsid w:val="00867025"/>
    <w:rsid w:val="0086752B"/>
    <w:rsid w:val="00867771"/>
    <w:rsid w:val="0087051A"/>
    <w:rsid w:val="008706F1"/>
    <w:rsid w:val="00870749"/>
    <w:rsid w:val="00870947"/>
    <w:rsid w:val="00870CE6"/>
    <w:rsid w:val="0087204E"/>
    <w:rsid w:val="00872AFD"/>
    <w:rsid w:val="00873A91"/>
    <w:rsid w:val="00873C64"/>
    <w:rsid w:val="00873EC3"/>
    <w:rsid w:val="008742E2"/>
    <w:rsid w:val="0087443C"/>
    <w:rsid w:val="00874586"/>
    <w:rsid w:val="00874EA4"/>
    <w:rsid w:val="00874FF7"/>
    <w:rsid w:val="008754D0"/>
    <w:rsid w:val="008758EB"/>
    <w:rsid w:val="00875A9D"/>
    <w:rsid w:val="00875C61"/>
    <w:rsid w:val="0087644F"/>
    <w:rsid w:val="008766A1"/>
    <w:rsid w:val="00876C32"/>
    <w:rsid w:val="00876DC5"/>
    <w:rsid w:val="00876E70"/>
    <w:rsid w:val="00877296"/>
    <w:rsid w:val="00877456"/>
    <w:rsid w:val="0087796B"/>
    <w:rsid w:val="00877FAB"/>
    <w:rsid w:val="00880552"/>
    <w:rsid w:val="00881E4E"/>
    <w:rsid w:val="00882F21"/>
    <w:rsid w:val="008833FF"/>
    <w:rsid w:val="00883B1A"/>
    <w:rsid w:val="00883F1C"/>
    <w:rsid w:val="008846BD"/>
    <w:rsid w:val="00884C71"/>
    <w:rsid w:val="00885493"/>
    <w:rsid w:val="00885735"/>
    <w:rsid w:val="008859B7"/>
    <w:rsid w:val="00885C67"/>
    <w:rsid w:val="0088610F"/>
    <w:rsid w:val="00886B95"/>
    <w:rsid w:val="00886F0A"/>
    <w:rsid w:val="00887876"/>
    <w:rsid w:val="008878C6"/>
    <w:rsid w:val="00887C03"/>
    <w:rsid w:val="00890DED"/>
    <w:rsid w:val="00891164"/>
    <w:rsid w:val="008912AD"/>
    <w:rsid w:val="00891B69"/>
    <w:rsid w:val="00891E4B"/>
    <w:rsid w:val="00892024"/>
    <w:rsid w:val="00892185"/>
    <w:rsid w:val="00892707"/>
    <w:rsid w:val="00892995"/>
    <w:rsid w:val="00892C81"/>
    <w:rsid w:val="00893F0D"/>
    <w:rsid w:val="008940C3"/>
    <w:rsid w:val="00894558"/>
    <w:rsid w:val="008953A2"/>
    <w:rsid w:val="00895425"/>
    <w:rsid w:val="00895DCB"/>
    <w:rsid w:val="00896168"/>
    <w:rsid w:val="00896736"/>
    <w:rsid w:val="008968DB"/>
    <w:rsid w:val="00897158"/>
    <w:rsid w:val="00897260"/>
    <w:rsid w:val="00897CD1"/>
    <w:rsid w:val="008A04BE"/>
    <w:rsid w:val="008A091D"/>
    <w:rsid w:val="008A0E4D"/>
    <w:rsid w:val="008A0F4D"/>
    <w:rsid w:val="008A1198"/>
    <w:rsid w:val="008A1729"/>
    <w:rsid w:val="008A1D27"/>
    <w:rsid w:val="008A1D36"/>
    <w:rsid w:val="008A235D"/>
    <w:rsid w:val="008A244A"/>
    <w:rsid w:val="008A2766"/>
    <w:rsid w:val="008A31BD"/>
    <w:rsid w:val="008A3472"/>
    <w:rsid w:val="008A3A08"/>
    <w:rsid w:val="008A3FE3"/>
    <w:rsid w:val="008A49D6"/>
    <w:rsid w:val="008A5FEB"/>
    <w:rsid w:val="008A6499"/>
    <w:rsid w:val="008A6784"/>
    <w:rsid w:val="008A6D5D"/>
    <w:rsid w:val="008A7160"/>
    <w:rsid w:val="008A77D4"/>
    <w:rsid w:val="008B01EB"/>
    <w:rsid w:val="008B0465"/>
    <w:rsid w:val="008B0CF1"/>
    <w:rsid w:val="008B104E"/>
    <w:rsid w:val="008B11A4"/>
    <w:rsid w:val="008B11F5"/>
    <w:rsid w:val="008B1D83"/>
    <w:rsid w:val="008B2147"/>
    <w:rsid w:val="008B2601"/>
    <w:rsid w:val="008B2CF6"/>
    <w:rsid w:val="008B2E60"/>
    <w:rsid w:val="008B37CC"/>
    <w:rsid w:val="008B471A"/>
    <w:rsid w:val="008B4A26"/>
    <w:rsid w:val="008B4E3F"/>
    <w:rsid w:val="008B515A"/>
    <w:rsid w:val="008B553C"/>
    <w:rsid w:val="008B588D"/>
    <w:rsid w:val="008B5989"/>
    <w:rsid w:val="008B63C9"/>
    <w:rsid w:val="008B6CE6"/>
    <w:rsid w:val="008B721A"/>
    <w:rsid w:val="008B7461"/>
    <w:rsid w:val="008B767C"/>
    <w:rsid w:val="008C006E"/>
    <w:rsid w:val="008C1575"/>
    <w:rsid w:val="008C19E0"/>
    <w:rsid w:val="008C1B9B"/>
    <w:rsid w:val="008C2F49"/>
    <w:rsid w:val="008C334D"/>
    <w:rsid w:val="008C3624"/>
    <w:rsid w:val="008C40A0"/>
    <w:rsid w:val="008C41E5"/>
    <w:rsid w:val="008C4489"/>
    <w:rsid w:val="008C47FA"/>
    <w:rsid w:val="008C4E21"/>
    <w:rsid w:val="008C51C0"/>
    <w:rsid w:val="008C5511"/>
    <w:rsid w:val="008C5D95"/>
    <w:rsid w:val="008C6B0E"/>
    <w:rsid w:val="008C6B76"/>
    <w:rsid w:val="008D0147"/>
    <w:rsid w:val="008D050D"/>
    <w:rsid w:val="008D126C"/>
    <w:rsid w:val="008D21BF"/>
    <w:rsid w:val="008D24A5"/>
    <w:rsid w:val="008D34E6"/>
    <w:rsid w:val="008D399B"/>
    <w:rsid w:val="008D3A0A"/>
    <w:rsid w:val="008D3A91"/>
    <w:rsid w:val="008D3C9A"/>
    <w:rsid w:val="008D4A94"/>
    <w:rsid w:val="008D5498"/>
    <w:rsid w:val="008D5CF7"/>
    <w:rsid w:val="008D5D4F"/>
    <w:rsid w:val="008D6564"/>
    <w:rsid w:val="008D670F"/>
    <w:rsid w:val="008D6852"/>
    <w:rsid w:val="008D6A89"/>
    <w:rsid w:val="008D6D4B"/>
    <w:rsid w:val="008D75A4"/>
    <w:rsid w:val="008D75D5"/>
    <w:rsid w:val="008E0698"/>
    <w:rsid w:val="008E12A2"/>
    <w:rsid w:val="008E18EC"/>
    <w:rsid w:val="008E2133"/>
    <w:rsid w:val="008E247E"/>
    <w:rsid w:val="008E30C4"/>
    <w:rsid w:val="008E45CB"/>
    <w:rsid w:val="008E4D49"/>
    <w:rsid w:val="008E4DC1"/>
    <w:rsid w:val="008E5BC2"/>
    <w:rsid w:val="008E5C9E"/>
    <w:rsid w:val="008E5DFA"/>
    <w:rsid w:val="008E5F9E"/>
    <w:rsid w:val="008E638A"/>
    <w:rsid w:val="008E69D3"/>
    <w:rsid w:val="008E6C57"/>
    <w:rsid w:val="008E6DDE"/>
    <w:rsid w:val="008E6E5B"/>
    <w:rsid w:val="008E70DE"/>
    <w:rsid w:val="008F34DD"/>
    <w:rsid w:val="008F36F1"/>
    <w:rsid w:val="008F3FAC"/>
    <w:rsid w:val="008F455E"/>
    <w:rsid w:val="008F4F92"/>
    <w:rsid w:val="008F504B"/>
    <w:rsid w:val="008F66E5"/>
    <w:rsid w:val="008F68D0"/>
    <w:rsid w:val="008F6FC6"/>
    <w:rsid w:val="008F7178"/>
    <w:rsid w:val="008F7772"/>
    <w:rsid w:val="008F7883"/>
    <w:rsid w:val="008F7ED1"/>
    <w:rsid w:val="00901556"/>
    <w:rsid w:val="00901E35"/>
    <w:rsid w:val="00903196"/>
    <w:rsid w:val="00903477"/>
    <w:rsid w:val="009035DD"/>
    <w:rsid w:val="009038FD"/>
    <w:rsid w:val="00903C24"/>
    <w:rsid w:val="00904A45"/>
    <w:rsid w:val="009053D5"/>
    <w:rsid w:val="00905DB5"/>
    <w:rsid w:val="009064A7"/>
    <w:rsid w:val="009069D8"/>
    <w:rsid w:val="00906A23"/>
    <w:rsid w:val="00906A8A"/>
    <w:rsid w:val="00907076"/>
    <w:rsid w:val="0090719D"/>
    <w:rsid w:val="00907A3F"/>
    <w:rsid w:val="00907F0D"/>
    <w:rsid w:val="009106F0"/>
    <w:rsid w:val="009113DA"/>
    <w:rsid w:val="009113FE"/>
    <w:rsid w:val="00911FAB"/>
    <w:rsid w:val="00912093"/>
    <w:rsid w:val="00913213"/>
    <w:rsid w:val="009138B1"/>
    <w:rsid w:val="009147B4"/>
    <w:rsid w:val="00914C38"/>
    <w:rsid w:val="009159A6"/>
    <w:rsid w:val="009161D0"/>
    <w:rsid w:val="009166ED"/>
    <w:rsid w:val="00917D5F"/>
    <w:rsid w:val="009201B3"/>
    <w:rsid w:val="00923814"/>
    <w:rsid w:val="009238AB"/>
    <w:rsid w:val="0092488F"/>
    <w:rsid w:val="009249B8"/>
    <w:rsid w:val="00925245"/>
    <w:rsid w:val="00926401"/>
    <w:rsid w:val="0092641D"/>
    <w:rsid w:val="00926757"/>
    <w:rsid w:val="00927218"/>
    <w:rsid w:val="00927B6B"/>
    <w:rsid w:val="00927C9A"/>
    <w:rsid w:val="00927DF0"/>
    <w:rsid w:val="009303C8"/>
    <w:rsid w:val="009306A3"/>
    <w:rsid w:val="00930DBA"/>
    <w:rsid w:val="00930F0F"/>
    <w:rsid w:val="009315E6"/>
    <w:rsid w:val="009318BF"/>
    <w:rsid w:val="00931B62"/>
    <w:rsid w:val="009323F5"/>
    <w:rsid w:val="009324E8"/>
    <w:rsid w:val="009327C5"/>
    <w:rsid w:val="0093289E"/>
    <w:rsid w:val="00932FF5"/>
    <w:rsid w:val="0093326D"/>
    <w:rsid w:val="009333FD"/>
    <w:rsid w:val="0093483B"/>
    <w:rsid w:val="009368F6"/>
    <w:rsid w:val="009375C2"/>
    <w:rsid w:val="00937765"/>
    <w:rsid w:val="009378D2"/>
    <w:rsid w:val="00937F87"/>
    <w:rsid w:val="009400DC"/>
    <w:rsid w:val="00940F04"/>
    <w:rsid w:val="00941324"/>
    <w:rsid w:val="00941A68"/>
    <w:rsid w:val="00941D5F"/>
    <w:rsid w:val="00942416"/>
    <w:rsid w:val="00942C14"/>
    <w:rsid w:val="00943119"/>
    <w:rsid w:val="009435CC"/>
    <w:rsid w:val="00943688"/>
    <w:rsid w:val="00943DC1"/>
    <w:rsid w:val="00944257"/>
    <w:rsid w:val="00944949"/>
    <w:rsid w:val="00944E3B"/>
    <w:rsid w:val="0094619D"/>
    <w:rsid w:val="00946B90"/>
    <w:rsid w:val="0094740C"/>
    <w:rsid w:val="00947DA3"/>
    <w:rsid w:val="00950978"/>
    <w:rsid w:val="00950B41"/>
    <w:rsid w:val="00951DC8"/>
    <w:rsid w:val="00951E7A"/>
    <w:rsid w:val="00952325"/>
    <w:rsid w:val="009523CD"/>
    <w:rsid w:val="009544FD"/>
    <w:rsid w:val="0095453D"/>
    <w:rsid w:val="00954AE7"/>
    <w:rsid w:val="00954FD3"/>
    <w:rsid w:val="009551B8"/>
    <w:rsid w:val="00955D0B"/>
    <w:rsid w:val="0095683A"/>
    <w:rsid w:val="00956BEB"/>
    <w:rsid w:val="00960B2C"/>
    <w:rsid w:val="00960C68"/>
    <w:rsid w:val="00960FF1"/>
    <w:rsid w:val="0096158D"/>
    <w:rsid w:val="00961B5B"/>
    <w:rsid w:val="00961DB2"/>
    <w:rsid w:val="0096292E"/>
    <w:rsid w:val="00963C04"/>
    <w:rsid w:val="00963F9E"/>
    <w:rsid w:val="009655D9"/>
    <w:rsid w:val="0096579A"/>
    <w:rsid w:val="009659CB"/>
    <w:rsid w:val="00966411"/>
    <w:rsid w:val="0096692E"/>
    <w:rsid w:val="0096701B"/>
    <w:rsid w:val="00967515"/>
    <w:rsid w:val="00967AD1"/>
    <w:rsid w:val="00970432"/>
    <w:rsid w:val="00970615"/>
    <w:rsid w:val="0097156E"/>
    <w:rsid w:val="0097165D"/>
    <w:rsid w:val="00971C2C"/>
    <w:rsid w:val="00971C46"/>
    <w:rsid w:val="00971D3E"/>
    <w:rsid w:val="00972580"/>
    <w:rsid w:val="00972E32"/>
    <w:rsid w:val="009730A7"/>
    <w:rsid w:val="009731A0"/>
    <w:rsid w:val="009731C8"/>
    <w:rsid w:val="00973C28"/>
    <w:rsid w:val="00974474"/>
    <w:rsid w:val="00974A7E"/>
    <w:rsid w:val="009750F2"/>
    <w:rsid w:val="00975E5E"/>
    <w:rsid w:val="00976342"/>
    <w:rsid w:val="009767F0"/>
    <w:rsid w:val="00976B73"/>
    <w:rsid w:val="00976BF2"/>
    <w:rsid w:val="00976E2D"/>
    <w:rsid w:val="0097710E"/>
    <w:rsid w:val="00977389"/>
    <w:rsid w:val="00977573"/>
    <w:rsid w:val="00977802"/>
    <w:rsid w:val="009778DC"/>
    <w:rsid w:val="009800C7"/>
    <w:rsid w:val="0098119A"/>
    <w:rsid w:val="00981943"/>
    <w:rsid w:val="00981F1C"/>
    <w:rsid w:val="009828D0"/>
    <w:rsid w:val="009836A9"/>
    <w:rsid w:val="00984E63"/>
    <w:rsid w:val="00985254"/>
    <w:rsid w:val="0098570B"/>
    <w:rsid w:val="00985933"/>
    <w:rsid w:val="00985C3E"/>
    <w:rsid w:val="0098638E"/>
    <w:rsid w:val="0098642F"/>
    <w:rsid w:val="00986479"/>
    <w:rsid w:val="0098661C"/>
    <w:rsid w:val="00986827"/>
    <w:rsid w:val="0098693B"/>
    <w:rsid w:val="00986B50"/>
    <w:rsid w:val="00986D5F"/>
    <w:rsid w:val="00986F36"/>
    <w:rsid w:val="00987414"/>
    <w:rsid w:val="009909F9"/>
    <w:rsid w:val="009915F7"/>
    <w:rsid w:val="009923D3"/>
    <w:rsid w:val="00992ACF"/>
    <w:rsid w:val="00992DAC"/>
    <w:rsid w:val="009931A1"/>
    <w:rsid w:val="009937EB"/>
    <w:rsid w:val="00995AF7"/>
    <w:rsid w:val="00996E00"/>
    <w:rsid w:val="0099789E"/>
    <w:rsid w:val="0099796A"/>
    <w:rsid w:val="00997B27"/>
    <w:rsid w:val="009A0142"/>
    <w:rsid w:val="009A0C62"/>
    <w:rsid w:val="009A0C6A"/>
    <w:rsid w:val="009A0F73"/>
    <w:rsid w:val="009A0FE9"/>
    <w:rsid w:val="009A1535"/>
    <w:rsid w:val="009A1873"/>
    <w:rsid w:val="009A1CF7"/>
    <w:rsid w:val="009A1FB0"/>
    <w:rsid w:val="009A2966"/>
    <w:rsid w:val="009A2C8E"/>
    <w:rsid w:val="009A2EE0"/>
    <w:rsid w:val="009A5789"/>
    <w:rsid w:val="009A5A73"/>
    <w:rsid w:val="009A61EE"/>
    <w:rsid w:val="009A6C90"/>
    <w:rsid w:val="009A6FC1"/>
    <w:rsid w:val="009B13EB"/>
    <w:rsid w:val="009B1576"/>
    <w:rsid w:val="009B1CC7"/>
    <w:rsid w:val="009B1F62"/>
    <w:rsid w:val="009B2254"/>
    <w:rsid w:val="009B23BD"/>
    <w:rsid w:val="009B3BB8"/>
    <w:rsid w:val="009B3C6A"/>
    <w:rsid w:val="009B3F81"/>
    <w:rsid w:val="009B4015"/>
    <w:rsid w:val="009B4E5E"/>
    <w:rsid w:val="009B5E05"/>
    <w:rsid w:val="009B5F7D"/>
    <w:rsid w:val="009B639E"/>
    <w:rsid w:val="009B6485"/>
    <w:rsid w:val="009B66C1"/>
    <w:rsid w:val="009B697B"/>
    <w:rsid w:val="009B6EC8"/>
    <w:rsid w:val="009B6FF2"/>
    <w:rsid w:val="009B72A0"/>
    <w:rsid w:val="009B76DC"/>
    <w:rsid w:val="009C026D"/>
    <w:rsid w:val="009C11AF"/>
    <w:rsid w:val="009C12C5"/>
    <w:rsid w:val="009C1758"/>
    <w:rsid w:val="009C1AAB"/>
    <w:rsid w:val="009C1AD0"/>
    <w:rsid w:val="009C1BA2"/>
    <w:rsid w:val="009C2F74"/>
    <w:rsid w:val="009C3B1B"/>
    <w:rsid w:val="009C3E67"/>
    <w:rsid w:val="009C3E6E"/>
    <w:rsid w:val="009C479F"/>
    <w:rsid w:val="009C5109"/>
    <w:rsid w:val="009C51DF"/>
    <w:rsid w:val="009C58A0"/>
    <w:rsid w:val="009C7155"/>
    <w:rsid w:val="009C7343"/>
    <w:rsid w:val="009C782F"/>
    <w:rsid w:val="009C793A"/>
    <w:rsid w:val="009C7C03"/>
    <w:rsid w:val="009D03CC"/>
    <w:rsid w:val="009D0CA0"/>
    <w:rsid w:val="009D15D7"/>
    <w:rsid w:val="009D1C84"/>
    <w:rsid w:val="009D220F"/>
    <w:rsid w:val="009D306A"/>
    <w:rsid w:val="009D3228"/>
    <w:rsid w:val="009D38C3"/>
    <w:rsid w:val="009D3D74"/>
    <w:rsid w:val="009D4002"/>
    <w:rsid w:val="009D4590"/>
    <w:rsid w:val="009D4698"/>
    <w:rsid w:val="009D4711"/>
    <w:rsid w:val="009D4A1B"/>
    <w:rsid w:val="009D56D3"/>
    <w:rsid w:val="009D57A7"/>
    <w:rsid w:val="009D587A"/>
    <w:rsid w:val="009D6034"/>
    <w:rsid w:val="009D67AF"/>
    <w:rsid w:val="009D6E93"/>
    <w:rsid w:val="009D71FE"/>
    <w:rsid w:val="009D7449"/>
    <w:rsid w:val="009D7CDD"/>
    <w:rsid w:val="009D7D7B"/>
    <w:rsid w:val="009E075C"/>
    <w:rsid w:val="009E1121"/>
    <w:rsid w:val="009E1986"/>
    <w:rsid w:val="009E19A4"/>
    <w:rsid w:val="009E1C13"/>
    <w:rsid w:val="009E211B"/>
    <w:rsid w:val="009E223F"/>
    <w:rsid w:val="009E29B2"/>
    <w:rsid w:val="009E317C"/>
    <w:rsid w:val="009E37BB"/>
    <w:rsid w:val="009E3B87"/>
    <w:rsid w:val="009E410A"/>
    <w:rsid w:val="009E491A"/>
    <w:rsid w:val="009E4A3D"/>
    <w:rsid w:val="009E4CB2"/>
    <w:rsid w:val="009E4CC8"/>
    <w:rsid w:val="009E4F74"/>
    <w:rsid w:val="009E526B"/>
    <w:rsid w:val="009E5A8E"/>
    <w:rsid w:val="009E6116"/>
    <w:rsid w:val="009E7A2E"/>
    <w:rsid w:val="009E7DFC"/>
    <w:rsid w:val="009E7E6E"/>
    <w:rsid w:val="009F06D0"/>
    <w:rsid w:val="009F14D1"/>
    <w:rsid w:val="009F1C70"/>
    <w:rsid w:val="009F1FE2"/>
    <w:rsid w:val="009F21AA"/>
    <w:rsid w:val="009F2302"/>
    <w:rsid w:val="009F2A96"/>
    <w:rsid w:val="009F2AD1"/>
    <w:rsid w:val="009F2B2F"/>
    <w:rsid w:val="009F2DC1"/>
    <w:rsid w:val="009F3369"/>
    <w:rsid w:val="009F4110"/>
    <w:rsid w:val="009F48B9"/>
    <w:rsid w:val="009F4D8A"/>
    <w:rsid w:val="009F5D6D"/>
    <w:rsid w:val="009F6BF8"/>
    <w:rsid w:val="009F7B42"/>
    <w:rsid w:val="00A006C1"/>
    <w:rsid w:val="00A0075D"/>
    <w:rsid w:val="00A0079C"/>
    <w:rsid w:val="00A0085F"/>
    <w:rsid w:val="00A00933"/>
    <w:rsid w:val="00A01380"/>
    <w:rsid w:val="00A01451"/>
    <w:rsid w:val="00A01A66"/>
    <w:rsid w:val="00A021EC"/>
    <w:rsid w:val="00A02644"/>
    <w:rsid w:val="00A039FE"/>
    <w:rsid w:val="00A04BA7"/>
    <w:rsid w:val="00A04CF6"/>
    <w:rsid w:val="00A055EE"/>
    <w:rsid w:val="00A05A53"/>
    <w:rsid w:val="00A062ED"/>
    <w:rsid w:val="00A069C1"/>
    <w:rsid w:val="00A06E6A"/>
    <w:rsid w:val="00A074BE"/>
    <w:rsid w:val="00A07E5B"/>
    <w:rsid w:val="00A100DE"/>
    <w:rsid w:val="00A105FC"/>
    <w:rsid w:val="00A108C2"/>
    <w:rsid w:val="00A10BEE"/>
    <w:rsid w:val="00A10D2B"/>
    <w:rsid w:val="00A11817"/>
    <w:rsid w:val="00A11DBF"/>
    <w:rsid w:val="00A11F59"/>
    <w:rsid w:val="00A1238B"/>
    <w:rsid w:val="00A1395B"/>
    <w:rsid w:val="00A13A33"/>
    <w:rsid w:val="00A13A8B"/>
    <w:rsid w:val="00A147EA"/>
    <w:rsid w:val="00A1488E"/>
    <w:rsid w:val="00A149F1"/>
    <w:rsid w:val="00A14D08"/>
    <w:rsid w:val="00A15257"/>
    <w:rsid w:val="00A15F7B"/>
    <w:rsid w:val="00A16208"/>
    <w:rsid w:val="00A1634E"/>
    <w:rsid w:val="00A163C1"/>
    <w:rsid w:val="00A16858"/>
    <w:rsid w:val="00A17964"/>
    <w:rsid w:val="00A206EB"/>
    <w:rsid w:val="00A20E52"/>
    <w:rsid w:val="00A21586"/>
    <w:rsid w:val="00A2179F"/>
    <w:rsid w:val="00A21F74"/>
    <w:rsid w:val="00A2205D"/>
    <w:rsid w:val="00A22411"/>
    <w:rsid w:val="00A22617"/>
    <w:rsid w:val="00A2270A"/>
    <w:rsid w:val="00A2290F"/>
    <w:rsid w:val="00A23B97"/>
    <w:rsid w:val="00A2417B"/>
    <w:rsid w:val="00A24D45"/>
    <w:rsid w:val="00A253C3"/>
    <w:rsid w:val="00A255CF"/>
    <w:rsid w:val="00A26286"/>
    <w:rsid w:val="00A262DE"/>
    <w:rsid w:val="00A269DC"/>
    <w:rsid w:val="00A27437"/>
    <w:rsid w:val="00A27622"/>
    <w:rsid w:val="00A27E38"/>
    <w:rsid w:val="00A3047B"/>
    <w:rsid w:val="00A31758"/>
    <w:rsid w:val="00A31C7A"/>
    <w:rsid w:val="00A32111"/>
    <w:rsid w:val="00A32716"/>
    <w:rsid w:val="00A328E5"/>
    <w:rsid w:val="00A32C9E"/>
    <w:rsid w:val="00A3343B"/>
    <w:rsid w:val="00A339EC"/>
    <w:rsid w:val="00A33B80"/>
    <w:rsid w:val="00A3409A"/>
    <w:rsid w:val="00A365BF"/>
    <w:rsid w:val="00A36A00"/>
    <w:rsid w:val="00A36A02"/>
    <w:rsid w:val="00A37F92"/>
    <w:rsid w:val="00A40110"/>
    <w:rsid w:val="00A4044E"/>
    <w:rsid w:val="00A40B40"/>
    <w:rsid w:val="00A40EBB"/>
    <w:rsid w:val="00A41057"/>
    <w:rsid w:val="00A41449"/>
    <w:rsid w:val="00A414DB"/>
    <w:rsid w:val="00A414F2"/>
    <w:rsid w:val="00A42ACB"/>
    <w:rsid w:val="00A42D05"/>
    <w:rsid w:val="00A42E00"/>
    <w:rsid w:val="00A43403"/>
    <w:rsid w:val="00A435EB"/>
    <w:rsid w:val="00A437CC"/>
    <w:rsid w:val="00A43B76"/>
    <w:rsid w:val="00A44277"/>
    <w:rsid w:val="00A44280"/>
    <w:rsid w:val="00A44E42"/>
    <w:rsid w:val="00A44E77"/>
    <w:rsid w:val="00A45151"/>
    <w:rsid w:val="00A45332"/>
    <w:rsid w:val="00A45458"/>
    <w:rsid w:val="00A455C0"/>
    <w:rsid w:val="00A457C1"/>
    <w:rsid w:val="00A45958"/>
    <w:rsid w:val="00A45B22"/>
    <w:rsid w:val="00A45E08"/>
    <w:rsid w:val="00A46ECD"/>
    <w:rsid w:val="00A47126"/>
    <w:rsid w:val="00A4730F"/>
    <w:rsid w:val="00A504C8"/>
    <w:rsid w:val="00A506B2"/>
    <w:rsid w:val="00A51A73"/>
    <w:rsid w:val="00A53DB6"/>
    <w:rsid w:val="00A53F0A"/>
    <w:rsid w:val="00A5421E"/>
    <w:rsid w:val="00A54731"/>
    <w:rsid w:val="00A549C1"/>
    <w:rsid w:val="00A54B09"/>
    <w:rsid w:val="00A553D3"/>
    <w:rsid w:val="00A55640"/>
    <w:rsid w:val="00A557C0"/>
    <w:rsid w:val="00A558D9"/>
    <w:rsid w:val="00A5590D"/>
    <w:rsid w:val="00A5608A"/>
    <w:rsid w:val="00A56DF9"/>
    <w:rsid w:val="00A56F23"/>
    <w:rsid w:val="00A5753D"/>
    <w:rsid w:val="00A575BD"/>
    <w:rsid w:val="00A57817"/>
    <w:rsid w:val="00A5787D"/>
    <w:rsid w:val="00A60E5C"/>
    <w:rsid w:val="00A62A35"/>
    <w:rsid w:val="00A62B95"/>
    <w:rsid w:val="00A63394"/>
    <w:rsid w:val="00A638DF"/>
    <w:rsid w:val="00A63986"/>
    <w:rsid w:val="00A65830"/>
    <w:rsid w:val="00A66374"/>
    <w:rsid w:val="00A66CBB"/>
    <w:rsid w:val="00A67E0E"/>
    <w:rsid w:val="00A67EA4"/>
    <w:rsid w:val="00A70127"/>
    <w:rsid w:val="00A707B2"/>
    <w:rsid w:val="00A70BEA"/>
    <w:rsid w:val="00A70D94"/>
    <w:rsid w:val="00A70EA9"/>
    <w:rsid w:val="00A70F87"/>
    <w:rsid w:val="00A71005"/>
    <w:rsid w:val="00A7181D"/>
    <w:rsid w:val="00A71CE6"/>
    <w:rsid w:val="00A72ABE"/>
    <w:rsid w:val="00A7327F"/>
    <w:rsid w:val="00A741F0"/>
    <w:rsid w:val="00A75428"/>
    <w:rsid w:val="00A755C5"/>
    <w:rsid w:val="00A75A64"/>
    <w:rsid w:val="00A76DD5"/>
    <w:rsid w:val="00A76DEB"/>
    <w:rsid w:val="00A77209"/>
    <w:rsid w:val="00A772C3"/>
    <w:rsid w:val="00A8054F"/>
    <w:rsid w:val="00A81A3A"/>
    <w:rsid w:val="00A81DDE"/>
    <w:rsid w:val="00A823F4"/>
    <w:rsid w:val="00A83018"/>
    <w:rsid w:val="00A83082"/>
    <w:rsid w:val="00A83682"/>
    <w:rsid w:val="00A838D3"/>
    <w:rsid w:val="00A83918"/>
    <w:rsid w:val="00A844E6"/>
    <w:rsid w:val="00A84C6F"/>
    <w:rsid w:val="00A85603"/>
    <w:rsid w:val="00A86B6D"/>
    <w:rsid w:val="00A86C46"/>
    <w:rsid w:val="00A86CEA"/>
    <w:rsid w:val="00A86D03"/>
    <w:rsid w:val="00A87649"/>
    <w:rsid w:val="00A879A5"/>
    <w:rsid w:val="00A87AF0"/>
    <w:rsid w:val="00A87C3C"/>
    <w:rsid w:val="00A87CA6"/>
    <w:rsid w:val="00A907DB"/>
    <w:rsid w:val="00A90C57"/>
    <w:rsid w:val="00A91618"/>
    <w:rsid w:val="00A91BAE"/>
    <w:rsid w:val="00A928E3"/>
    <w:rsid w:val="00A92EB7"/>
    <w:rsid w:val="00A9314D"/>
    <w:rsid w:val="00A931D9"/>
    <w:rsid w:val="00A9396F"/>
    <w:rsid w:val="00A9643F"/>
    <w:rsid w:val="00A97190"/>
    <w:rsid w:val="00A977A4"/>
    <w:rsid w:val="00A97B5E"/>
    <w:rsid w:val="00A97BB0"/>
    <w:rsid w:val="00AA0547"/>
    <w:rsid w:val="00AA0A70"/>
    <w:rsid w:val="00AA0B3A"/>
    <w:rsid w:val="00AA0B81"/>
    <w:rsid w:val="00AA146B"/>
    <w:rsid w:val="00AA1B5A"/>
    <w:rsid w:val="00AA1F89"/>
    <w:rsid w:val="00AA2C03"/>
    <w:rsid w:val="00AA2C83"/>
    <w:rsid w:val="00AA3568"/>
    <w:rsid w:val="00AA3CE2"/>
    <w:rsid w:val="00AA3F34"/>
    <w:rsid w:val="00AA4331"/>
    <w:rsid w:val="00AA4593"/>
    <w:rsid w:val="00AA4B57"/>
    <w:rsid w:val="00AA5473"/>
    <w:rsid w:val="00AA60C6"/>
    <w:rsid w:val="00AA6364"/>
    <w:rsid w:val="00AA653F"/>
    <w:rsid w:val="00AA6F4E"/>
    <w:rsid w:val="00AA702A"/>
    <w:rsid w:val="00AA71BC"/>
    <w:rsid w:val="00AB0482"/>
    <w:rsid w:val="00AB0748"/>
    <w:rsid w:val="00AB1516"/>
    <w:rsid w:val="00AB1EE6"/>
    <w:rsid w:val="00AB2353"/>
    <w:rsid w:val="00AB314D"/>
    <w:rsid w:val="00AB3A17"/>
    <w:rsid w:val="00AB3E7E"/>
    <w:rsid w:val="00AB3F0F"/>
    <w:rsid w:val="00AB4A35"/>
    <w:rsid w:val="00AB50C8"/>
    <w:rsid w:val="00AB54CA"/>
    <w:rsid w:val="00AB572A"/>
    <w:rsid w:val="00AB5E07"/>
    <w:rsid w:val="00AB6EA4"/>
    <w:rsid w:val="00AB73D1"/>
    <w:rsid w:val="00AB7511"/>
    <w:rsid w:val="00AC1374"/>
    <w:rsid w:val="00AC2AF5"/>
    <w:rsid w:val="00AC2C23"/>
    <w:rsid w:val="00AC3895"/>
    <w:rsid w:val="00AC3BC8"/>
    <w:rsid w:val="00AC4A0D"/>
    <w:rsid w:val="00AC512B"/>
    <w:rsid w:val="00AC5C65"/>
    <w:rsid w:val="00AC5F11"/>
    <w:rsid w:val="00AC5F55"/>
    <w:rsid w:val="00AC6BEF"/>
    <w:rsid w:val="00AC6C25"/>
    <w:rsid w:val="00AC70F6"/>
    <w:rsid w:val="00AC729C"/>
    <w:rsid w:val="00AC73B4"/>
    <w:rsid w:val="00AD03A2"/>
    <w:rsid w:val="00AD068E"/>
    <w:rsid w:val="00AD2B61"/>
    <w:rsid w:val="00AD2EFF"/>
    <w:rsid w:val="00AD339F"/>
    <w:rsid w:val="00AD399D"/>
    <w:rsid w:val="00AD3A48"/>
    <w:rsid w:val="00AD4371"/>
    <w:rsid w:val="00AD45B7"/>
    <w:rsid w:val="00AD465B"/>
    <w:rsid w:val="00AD5023"/>
    <w:rsid w:val="00AD5D8E"/>
    <w:rsid w:val="00AD611B"/>
    <w:rsid w:val="00AD6C0A"/>
    <w:rsid w:val="00AD6DF3"/>
    <w:rsid w:val="00AD6E79"/>
    <w:rsid w:val="00AD73D6"/>
    <w:rsid w:val="00AD77B1"/>
    <w:rsid w:val="00AD7865"/>
    <w:rsid w:val="00AD79CC"/>
    <w:rsid w:val="00AD7AF9"/>
    <w:rsid w:val="00AE0246"/>
    <w:rsid w:val="00AE04BE"/>
    <w:rsid w:val="00AE1057"/>
    <w:rsid w:val="00AE11F8"/>
    <w:rsid w:val="00AE38B2"/>
    <w:rsid w:val="00AE3973"/>
    <w:rsid w:val="00AE3D98"/>
    <w:rsid w:val="00AE40B0"/>
    <w:rsid w:val="00AE416A"/>
    <w:rsid w:val="00AE4C1E"/>
    <w:rsid w:val="00AE5233"/>
    <w:rsid w:val="00AE6366"/>
    <w:rsid w:val="00AE66B0"/>
    <w:rsid w:val="00AE6D2F"/>
    <w:rsid w:val="00AE72D2"/>
    <w:rsid w:val="00AE77D6"/>
    <w:rsid w:val="00AE7D70"/>
    <w:rsid w:val="00AF088F"/>
    <w:rsid w:val="00AF0B1A"/>
    <w:rsid w:val="00AF1E36"/>
    <w:rsid w:val="00AF35E5"/>
    <w:rsid w:val="00AF3DD1"/>
    <w:rsid w:val="00AF429C"/>
    <w:rsid w:val="00AF42A7"/>
    <w:rsid w:val="00AF44C5"/>
    <w:rsid w:val="00AF47D5"/>
    <w:rsid w:val="00AF5115"/>
    <w:rsid w:val="00AF55C7"/>
    <w:rsid w:val="00B00096"/>
    <w:rsid w:val="00B00C86"/>
    <w:rsid w:val="00B00E24"/>
    <w:rsid w:val="00B01226"/>
    <w:rsid w:val="00B0172E"/>
    <w:rsid w:val="00B01AC1"/>
    <w:rsid w:val="00B01B43"/>
    <w:rsid w:val="00B01F4E"/>
    <w:rsid w:val="00B02741"/>
    <w:rsid w:val="00B02A76"/>
    <w:rsid w:val="00B03709"/>
    <w:rsid w:val="00B0390F"/>
    <w:rsid w:val="00B040F3"/>
    <w:rsid w:val="00B041F2"/>
    <w:rsid w:val="00B0440C"/>
    <w:rsid w:val="00B04431"/>
    <w:rsid w:val="00B044C7"/>
    <w:rsid w:val="00B045A7"/>
    <w:rsid w:val="00B04678"/>
    <w:rsid w:val="00B053ED"/>
    <w:rsid w:val="00B054A0"/>
    <w:rsid w:val="00B0567C"/>
    <w:rsid w:val="00B05973"/>
    <w:rsid w:val="00B06037"/>
    <w:rsid w:val="00B062AB"/>
    <w:rsid w:val="00B069B8"/>
    <w:rsid w:val="00B06A42"/>
    <w:rsid w:val="00B06C3A"/>
    <w:rsid w:val="00B06D26"/>
    <w:rsid w:val="00B071EB"/>
    <w:rsid w:val="00B07267"/>
    <w:rsid w:val="00B07575"/>
    <w:rsid w:val="00B0771F"/>
    <w:rsid w:val="00B07BDE"/>
    <w:rsid w:val="00B07E76"/>
    <w:rsid w:val="00B07FEB"/>
    <w:rsid w:val="00B10CB8"/>
    <w:rsid w:val="00B11867"/>
    <w:rsid w:val="00B11913"/>
    <w:rsid w:val="00B11A83"/>
    <w:rsid w:val="00B120FB"/>
    <w:rsid w:val="00B12E15"/>
    <w:rsid w:val="00B12FFF"/>
    <w:rsid w:val="00B130D8"/>
    <w:rsid w:val="00B1329E"/>
    <w:rsid w:val="00B13799"/>
    <w:rsid w:val="00B13D68"/>
    <w:rsid w:val="00B13EC3"/>
    <w:rsid w:val="00B142DC"/>
    <w:rsid w:val="00B1513B"/>
    <w:rsid w:val="00B16A76"/>
    <w:rsid w:val="00B16C9D"/>
    <w:rsid w:val="00B17458"/>
    <w:rsid w:val="00B20217"/>
    <w:rsid w:val="00B20253"/>
    <w:rsid w:val="00B20784"/>
    <w:rsid w:val="00B20CD5"/>
    <w:rsid w:val="00B2172B"/>
    <w:rsid w:val="00B218B6"/>
    <w:rsid w:val="00B229C0"/>
    <w:rsid w:val="00B23367"/>
    <w:rsid w:val="00B23436"/>
    <w:rsid w:val="00B24348"/>
    <w:rsid w:val="00B24377"/>
    <w:rsid w:val="00B24886"/>
    <w:rsid w:val="00B258FF"/>
    <w:rsid w:val="00B259EC"/>
    <w:rsid w:val="00B26136"/>
    <w:rsid w:val="00B26162"/>
    <w:rsid w:val="00B26680"/>
    <w:rsid w:val="00B267C7"/>
    <w:rsid w:val="00B27168"/>
    <w:rsid w:val="00B27183"/>
    <w:rsid w:val="00B272D1"/>
    <w:rsid w:val="00B277EE"/>
    <w:rsid w:val="00B27AB1"/>
    <w:rsid w:val="00B27B25"/>
    <w:rsid w:val="00B3018C"/>
    <w:rsid w:val="00B309C4"/>
    <w:rsid w:val="00B30A24"/>
    <w:rsid w:val="00B30B67"/>
    <w:rsid w:val="00B30DA3"/>
    <w:rsid w:val="00B31054"/>
    <w:rsid w:val="00B310B1"/>
    <w:rsid w:val="00B314F9"/>
    <w:rsid w:val="00B3154B"/>
    <w:rsid w:val="00B31D97"/>
    <w:rsid w:val="00B32F85"/>
    <w:rsid w:val="00B33591"/>
    <w:rsid w:val="00B33D35"/>
    <w:rsid w:val="00B3431F"/>
    <w:rsid w:val="00B34336"/>
    <w:rsid w:val="00B3476B"/>
    <w:rsid w:val="00B34E09"/>
    <w:rsid w:val="00B35934"/>
    <w:rsid w:val="00B35FCA"/>
    <w:rsid w:val="00B366FA"/>
    <w:rsid w:val="00B37B30"/>
    <w:rsid w:val="00B40386"/>
    <w:rsid w:val="00B403EB"/>
    <w:rsid w:val="00B40B3D"/>
    <w:rsid w:val="00B410AD"/>
    <w:rsid w:val="00B4125C"/>
    <w:rsid w:val="00B41538"/>
    <w:rsid w:val="00B41932"/>
    <w:rsid w:val="00B41A0D"/>
    <w:rsid w:val="00B41D6D"/>
    <w:rsid w:val="00B428FC"/>
    <w:rsid w:val="00B42A58"/>
    <w:rsid w:val="00B42FF2"/>
    <w:rsid w:val="00B433C8"/>
    <w:rsid w:val="00B434FD"/>
    <w:rsid w:val="00B44105"/>
    <w:rsid w:val="00B44444"/>
    <w:rsid w:val="00B448D3"/>
    <w:rsid w:val="00B45392"/>
    <w:rsid w:val="00B4543C"/>
    <w:rsid w:val="00B45B85"/>
    <w:rsid w:val="00B45E40"/>
    <w:rsid w:val="00B462E5"/>
    <w:rsid w:val="00B46F9F"/>
    <w:rsid w:val="00B47916"/>
    <w:rsid w:val="00B479AC"/>
    <w:rsid w:val="00B47F59"/>
    <w:rsid w:val="00B50951"/>
    <w:rsid w:val="00B50A02"/>
    <w:rsid w:val="00B51535"/>
    <w:rsid w:val="00B51C14"/>
    <w:rsid w:val="00B52CA4"/>
    <w:rsid w:val="00B52EF4"/>
    <w:rsid w:val="00B52F1A"/>
    <w:rsid w:val="00B53132"/>
    <w:rsid w:val="00B53B91"/>
    <w:rsid w:val="00B53E45"/>
    <w:rsid w:val="00B54004"/>
    <w:rsid w:val="00B54EE5"/>
    <w:rsid w:val="00B55C32"/>
    <w:rsid w:val="00B55CFA"/>
    <w:rsid w:val="00B56A5E"/>
    <w:rsid w:val="00B56D0E"/>
    <w:rsid w:val="00B56EA5"/>
    <w:rsid w:val="00B57CB4"/>
    <w:rsid w:val="00B57EA5"/>
    <w:rsid w:val="00B6280F"/>
    <w:rsid w:val="00B62F46"/>
    <w:rsid w:val="00B63CB4"/>
    <w:rsid w:val="00B63D22"/>
    <w:rsid w:val="00B63E25"/>
    <w:rsid w:val="00B64D6B"/>
    <w:rsid w:val="00B65233"/>
    <w:rsid w:val="00B667FC"/>
    <w:rsid w:val="00B66931"/>
    <w:rsid w:val="00B66A1A"/>
    <w:rsid w:val="00B66F87"/>
    <w:rsid w:val="00B6737C"/>
    <w:rsid w:val="00B6740A"/>
    <w:rsid w:val="00B677FB"/>
    <w:rsid w:val="00B6792F"/>
    <w:rsid w:val="00B67E7E"/>
    <w:rsid w:val="00B70AC0"/>
    <w:rsid w:val="00B712DA"/>
    <w:rsid w:val="00B71660"/>
    <w:rsid w:val="00B716A8"/>
    <w:rsid w:val="00B72415"/>
    <w:rsid w:val="00B7268E"/>
    <w:rsid w:val="00B73A64"/>
    <w:rsid w:val="00B74204"/>
    <w:rsid w:val="00B744FA"/>
    <w:rsid w:val="00B74AEA"/>
    <w:rsid w:val="00B74C52"/>
    <w:rsid w:val="00B757A2"/>
    <w:rsid w:val="00B7624F"/>
    <w:rsid w:val="00B763F4"/>
    <w:rsid w:val="00B76DE2"/>
    <w:rsid w:val="00B76EBA"/>
    <w:rsid w:val="00B77892"/>
    <w:rsid w:val="00B77C7E"/>
    <w:rsid w:val="00B8034F"/>
    <w:rsid w:val="00B80D55"/>
    <w:rsid w:val="00B814A6"/>
    <w:rsid w:val="00B82184"/>
    <w:rsid w:val="00B821D0"/>
    <w:rsid w:val="00B8231C"/>
    <w:rsid w:val="00B82C64"/>
    <w:rsid w:val="00B82F7E"/>
    <w:rsid w:val="00B82F84"/>
    <w:rsid w:val="00B8368A"/>
    <w:rsid w:val="00B83B32"/>
    <w:rsid w:val="00B83F34"/>
    <w:rsid w:val="00B84BAA"/>
    <w:rsid w:val="00B859D1"/>
    <w:rsid w:val="00B85CBB"/>
    <w:rsid w:val="00B86574"/>
    <w:rsid w:val="00B86AF7"/>
    <w:rsid w:val="00B86FC9"/>
    <w:rsid w:val="00B90155"/>
    <w:rsid w:val="00B90379"/>
    <w:rsid w:val="00B91092"/>
    <w:rsid w:val="00B9161A"/>
    <w:rsid w:val="00B916E1"/>
    <w:rsid w:val="00B9181B"/>
    <w:rsid w:val="00B918FA"/>
    <w:rsid w:val="00B91F88"/>
    <w:rsid w:val="00B92703"/>
    <w:rsid w:val="00B92C30"/>
    <w:rsid w:val="00B93322"/>
    <w:rsid w:val="00B933B1"/>
    <w:rsid w:val="00B94024"/>
    <w:rsid w:val="00B94608"/>
    <w:rsid w:val="00B946CF"/>
    <w:rsid w:val="00B947EB"/>
    <w:rsid w:val="00B94B72"/>
    <w:rsid w:val="00B94DD1"/>
    <w:rsid w:val="00B94EB9"/>
    <w:rsid w:val="00B94F79"/>
    <w:rsid w:val="00B94FBD"/>
    <w:rsid w:val="00B957AB"/>
    <w:rsid w:val="00B95E6C"/>
    <w:rsid w:val="00B95EF4"/>
    <w:rsid w:val="00B95FA2"/>
    <w:rsid w:val="00B96E3B"/>
    <w:rsid w:val="00B97317"/>
    <w:rsid w:val="00B97648"/>
    <w:rsid w:val="00B977D8"/>
    <w:rsid w:val="00B9799A"/>
    <w:rsid w:val="00BA02C8"/>
    <w:rsid w:val="00BA079F"/>
    <w:rsid w:val="00BA0A26"/>
    <w:rsid w:val="00BA0BA3"/>
    <w:rsid w:val="00BA0F0E"/>
    <w:rsid w:val="00BA13CD"/>
    <w:rsid w:val="00BA1575"/>
    <w:rsid w:val="00BA2250"/>
    <w:rsid w:val="00BA230E"/>
    <w:rsid w:val="00BA2312"/>
    <w:rsid w:val="00BA2D46"/>
    <w:rsid w:val="00BA2EEB"/>
    <w:rsid w:val="00BA3A0C"/>
    <w:rsid w:val="00BA3CD6"/>
    <w:rsid w:val="00BA485E"/>
    <w:rsid w:val="00BA5069"/>
    <w:rsid w:val="00BA562A"/>
    <w:rsid w:val="00BA5AC5"/>
    <w:rsid w:val="00BA6038"/>
    <w:rsid w:val="00BA62FA"/>
    <w:rsid w:val="00BA66B2"/>
    <w:rsid w:val="00BA6B47"/>
    <w:rsid w:val="00BA6B66"/>
    <w:rsid w:val="00BA6D24"/>
    <w:rsid w:val="00BA6D92"/>
    <w:rsid w:val="00BA6EF3"/>
    <w:rsid w:val="00BA7452"/>
    <w:rsid w:val="00BA783A"/>
    <w:rsid w:val="00BA7EE5"/>
    <w:rsid w:val="00BB0198"/>
    <w:rsid w:val="00BB01B7"/>
    <w:rsid w:val="00BB0E2B"/>
    <w:rsid w:val="00BB15D8"/>
    <w:rsid w:val="00BB183F"/>
    <w:rsid w:val="00BB1E19"/>
    <w:rsid w:val="00BB2474"/>
    <w:rsid w:val="00BB30DB"/>
    <w:rsid w:val="00BB3184"/>
    <w:rsid w:val="00BB35FD"/>
    <w:rsid w:val="00BB4373"/>
    <w:rsid w:val="00BB48FF"/>
    <w:rsid w:val="00BB4BD7"/>
    <w:rsid w:val="00BB4C03"/>
    <w:rsid w:val="00BB4EB4"/>
    <w:rsid w:val="00BB5604"/>
    <w:rsid w:val="00BB5814"/>
    <w:rsid w:val="00BB5D59"/>
    <w:rsid w:val="00BB60A3"/>
    <w:rsid w:val="00BB7CCA"/>
    <w:rsid w:val="00BB7D19"/>
    <w:rsid w:val="00BB7F70"/>
    <w:rsid w:val="00BC0088"/>
    <w:rsid w:val="00BC0D2A"/>
    <w:rsid w:val="00BC1151"/>
    <w:rsid w:val="00BC13E2"/>
    <w:rsid w:val="00BC184B"/>
    <w:rsid w:val="00BC198C"/>
    <w:rsid w:val="00BC1C5E"/>
    <w:rsid w:val="00BC1EEB"/>
    <w:rsid w:val="00BC278B"/>
    <w:rsid w:val="00BC2A98"/>
    <w:rsid w:val="00BC321D"/>
    <w:rsid w:val="00BC33D1"/>
    <w:rsid w:val="00BC45F8"/>
    <w:rsid w:val="00BC4A45"/>
    <w:rsid w:val="00BC50E1"/>
    <w:rsid w:val="00BC529F"/>
    <w:rsid w:val="00BC536E"/>
    <w:rsid w:val="00BC553B"/>
    <w:rsid w:val="00BC6279"/>
    <w:rsid w:val="00BC6361"/>
    <w:rsid w:val="00BC6599"/>
    <w:rsid w:val="00BC66D7"/>
    <w:rsid w:val="00BC6AD1"/>
    <w:rsid w:val="00BC73CA"/>
    <w:rsid w:val="00BD00A7"/>
    <w:rsid w:val="00BD0D13"/>
    <w:rsid w:val="00BD0DAC"/>
    <w:rsid w:val="00BD12B2"/>
    <w:rsid w:val="00BD22ED"/>
    <w:rsid w:val="00BD2378"/>
    <w:rsid w:val="00BD23F3"/>
    <w:rsid w:val="00BD2890"/>
    <w:rsid w:val="00BD2C61"/>
    <w:rsid w:val="00BD3307"/>
    <w:rsid w:val="00BD42E6"/>
    <w:rsid w:val="00BD4382"/>
    <w:rsid w:val="00BD4AF5"/>
    <w:rsid w:val="00BD4DAC"/>
    <w:rsid w:val="00BD4FDD"/>
    <w:rsid w:val="00BD579F"/>
    <w:rsid w:val="00BD5964"/>
    <w:rsid w:val="00BD5BE9"/>
    <w:rsid w:val="00BD62A7"/>
    <w:rsid w:val="00BD633A"/>
    <w:rsid w:val="00BD6836"/>
    <w:rsid w:val="00BD68F8"/>
    <w:rsid w:val="00BD6AE7"/>
    <w:rsid w:val="00BD7331"/>
    <w:rsid w:val="00BD7564"/>
    <w:rsid w:val="00BE1D2E"/>
    <w:rsid w:val="00BE1F6F"/>
    <w:rsid w:val="00BE2149"/>
    <w:rsid w:val="00BE216C"/>
    <w:rsid w:val="00BE23C4"/>
    <w:rsid w:val="00BE3A5A"/>
    <w:rsid w:val="00BE446C"/>
    <w:rsid w:val="00BE4A1E"/>
    <w:rsid w:val="00BE4AC9"/>
    <w:rsid w:val="00BE5581"/>
    <w:rsid w:val="00BE5A1D"/>
    <w:rsid w:val="00BE6038"/>
    <w:rsid w:val="00BE6536"/>
    <w:rsid w:val="00BE675D"/>
    <w:rsid w:val="00BE6CC0"/>
    <w:rsid w:val="00BE6DDD"/>
    <w:rsid w:val="00BE7C03"/>
    <w:rsid w:val="00BE7C69"/>
    <w:rsid w:val="00BF025F"/>
    <w:rsid w:val="00BF0883"/>
    <w:rsid w:val="00BF0A9F"/>
    <w:rsid w:val="00BF11DD"/>
    <w:rsid w:val="00BF21BD"/>
    <w:rsid w:val="00BF244D"/>
    <w:rsid w:val="00BF297A"/>
    <w:rsid w:val="00BF326F"/>
    <w:rsid w:val="00BF3B12"/>
    <w:rsid w:val="00BF405A"/>
    <w:rsid w:val="00BF45F8"/>
    <w:rsid w:val="00BF4ADA"/>
    <w:rsid w:val="00BF4CC1"/>
    <w:rsid w:val="00BF50EC"/>
    <w:rsid w:val="00BF51F6"/>
    <w:rsid w:val="00BF5401"/>
    <w:rsid w:val="00BF575E"/>
    <w:rsid w:val="00BF5A08"/>
    <w:rsid w:val="00BF6AC7"/>
    <w:rsid w:val="00BF75AB"/>
    <w:rsid w:val="00C0019D"/>
    <w:rsid w:val="00C00294"/>
    <w:rsid w:val="00C004B6"/>
    <w:rsid w:val="00C013F8"/>
    <w:rsid w:val="00C01B52"/>
    <w:rsid w:val="00C0270F"/>
    <w:rsid w:val="00C027EC"/>
    <w:rsid w:val="00C02E23"/>
    <w:rsid w:val="00C02FAD"/>
    <w:rsid w:val="00C0308A"/>
    <w:rsid w:val="00C03BDB"/>
    <w:rsid w:val="00C05297"/>
    <w:rsid w:val="00C0578D"/>
    <w:rsid w:val="00C05AA2"/>
    <w:rsid w:val="00C05E76"/>
    <w:rsid w:val="00C0622A"/>
    <w:rsid w:val="00C062BF"/>
    <w:rsid w:val="00C0639D"/>
    <w:rsid w:val="00C06A92"/>
    <w:rsid w:val="00C107E7"/>
    <w:rsid w:val="00C124D2"/>
    <w:rsid w:val="00C126B7"/>
    <w:rsid w:val="00C12D2C"/>
    <w:rsid w:val="00C133E0"/>
    <w:rsid w:val="00C1385C"/>
    <w:rsid w:val="00C14ABD"/>
    <w:rsid w:val="00C14D88"/>
    <w:rsid w:val="00C15638"/>
    <w:rsid w:val="00C15777"/>
    <w:rsid w:val="00C1606B"/>
    <w:rsid w:val="00C162E3"/>
    <w:rsid w:val="00C167D8"/>
    <w:rsid w:val="00C16EA5"/>
    <w:rsid w:val="00C17059"/>
    <w:rsid w:val="00C178C0"/>
    <w:rsid w:val="00C17B89"/>
    <w:rsid w:val="00C20259"/>
    <w:rsid w:val="00C20546"/>
    <w:rsid w:val="00C205F2"/>
    <w:rsid w:val="00C20615"/>
    <w:rsid w:val="00C20E4E"/>
    <w:rsid w:val="00C210A3"/>
    <w:rsid w:val="00C217AC"/>
    <w:rsid w:val="00C22C31"/>
    <w:rsid w:val="00C230C9"/>
    <w:rsid w:val="00C231DF"/>
    <w:rsid w:val="00C2377D"/>
    <w:rsid w:val="00C2442C"/>
    <w:rsid w:val="00C24A10"/>
    <w:rsid w:val="00C24CE4"/>
    <w:rsid w:val="00C25376"/>
    <w:rsid w:val="00C25A02"/>
    <w:rsid w:val="00C2684C"/>
    <w:rsid w:val="00C26893"/>
    <w:rsid w:val="00C26C6F"/>
    <w:rsid w:val="00C26E05"/>
    <w:rsid w:val="00C27605"/>
    <w:rsid w:val="00C27CEF"/>
    <w:rsid w:val="00C30794"/>
    <w:rsid w:val="00C31C95"/>
    <w:rsid w:val="00C31EEB"/>
    <w:rsid w:val="00C32C73"/>
    <w:rsid w:val="00C32EB3"/>
    <w:rsid w:val="00C3390D"/>
    <w:rsid w:val="00C34900"/>
    <w:rsid w:val="00C34B76"/>
    <w:rsid w:val="00C34CEE"/>
    <w:rsid w:val="00C3502F"/>
    <w:rsid w:val="00C354C2"/>
    <w:rsid w:val="00C357F5"/>
    <w:rsid w:val="00C358CE"/>
    <w:rsid w:val="00C35E55"/>
    <w:rsid w:val="00C365B5"/>
    <w:rsid w:val="00C37848"/>
    <w:rsid w:val="00C379C9"/>
    <w:rsid w:val="00C37D0B"/>
    <w:rsid w:val="00C40B2E"/>
    <w:rsid w:val="00C41076"/>
    <w:rsid w:val="00C41ADA"/>
    <w:rsid w:val="00C41C36"/>
    <w:rsid w:val="00C42346"/>
    <w:rsid w:val="00C42355"/>
    <w:rsid w:val="00C42AFC"/>
    <w:rsid w:val="00C42D62"/>
    <w:rsid w:val="00C4397E"/>
    <w:rsid w:val="00C43AE7"/>
    <w:rsid w:val="00C44164"/>
    <w:rsid w:val="00C44D73"/>
    <w:rsid w:val="00C452D8"/>
    <w:rsid w:val="00C45F5B"/>
    <w:rsid w:val="00C46B7C"/>
    <w:rsid w:val="00C46DCD"/>
    <w:rsid w:val="00C47F09"/>
    <w:rsid w:val="00C506AB"/>
    <w:rsid w:val="00C50F31"/>
    <w:rsid w:val="00C51290"/>
    <w:rsid w:val="00C5151D"/>
    <w:rsid w:val="00C515BD"/>
    <w:rsid w:val="00C515E0"/>
    <w:rsid w:val="00C51E07"/>
    <w:rsid w:val="00C52A08"/>
    <w:rsid w:val="00C52B7C"/>
    <w:rsid w:val="00C52D15"/>
    <w:rsid w:val="00C53276"/>
    <w:rsid w:val="00C5359B"/>
    <w:rsid w:val="00C542DB"/>
    <w:rsid w:val="00C54FCA"/>
    <w:rsid w:val="00C5551F"/>
    <w:rsid w:val="00C55799"/>
    <w:rsid w:val="00C55AB5"/>
    <w:rsid w:val="00C55B9A"/>
    <w:rsid w:val="00C55C03"/>
    <w:rsid w:val="00C55F2E"/>
    <w:rsid w:val="00C56D24"/>
    <w:rsid w:val="00C57230"/>
    <w:rsid w:val="00C57600"/>
    <w:rsid w:val="00C57724"/>
    <w:rsid w:val="00C5773B"/>
    <w:rsid w:val="00C603C8"/>
    <w:rsid w:val="00C610E2"/>
    <w:rsid w:val="00C6116E"/>
    <w:rsid w:val="00C613BF"/>
    <w:rsid w:val="00C616FC"/>
    <w:rsid w:val="00C6189F"/>
    <w:rsid w:val="00C61DEF"/>
    <w:rsid w:val="00C625B6"/>
    <w:rsid w:val="00C62B74"/>
    <w:rsid w:val="00C62F9D"/>
    <w:rsid w:val="00C6307B"/>
    <w:rsid w:val="00C633A7"/>
    <w:rsid w:val="00C634AE"/>
    <w:rsid w:val="00C63714"/>
    <w:rsid w:val="00C63D13"/>
    <w:rsid w:val="00C648CF"/>
    <w:rsid w:val="00C64A4F"/>
    <w:rsid w:val="00C64B80"/>
    <w:rsid w:val="00C65777"/>
    <w:rsid w:val="00C65A2C"/>
    <w:rsid w:val="00C669FC"/>
    <w:rsid w:val="00C66CF0"/>
    <w:rsid w:val="00C67255"/>
    <w:rsid w:val="00C67260"/>
    <w:rsid w:val="00C674C1"/>
    <w:rsid w:val="00C67D56"/>
    <w:rsid w:val="00C70700"/>
    <w:rsid w:val="00C70858"/>
    <w:rsid w:val="00C70964"/>
    <w:rsid w:val="00C7111C"/>
    <w:rsid w:val="00C712D3"/>
    <w:rsid w:val="00C71A7D"/>
    <w:rsid w:val="00C71CE3"/>
    <w:rsid w:val="00C720DC"/>
    <w:rsid w:val="00C727E8"/>
    <w:rsid w:val="00C738BE"/>
    <w:rsid w:val="00C73DFF"/>
    <w:rsid w:val="00C73EE9"/>
    <w:rsid w:val="00C73FF0"/>
    <w:rsid w:val="00C75A18"/>
    <w:rsid w:val="00C75F24"/>
    <w:rsid w:val="00C7613C"/>
    <w:rsid w:val="00C7705C"/>
    <w:rsid w:val="00C77633"/>
    <w:rsid w:val="00C77778"/>
    <w:rsid w:val="00C77ED9"/>
    <w:rsid w:val="00C77F5F"/>
    <w:rsid w:val="00C800B4"/>
    <w:rsid w:val="00C80732"/>
    <w:rsid w:val="00C80D7B"/>
    <w:rsid w:val="00C80F91"/>
    <w:rsid w:val="00C80FE2"/>
    <w:rsid w:val="00C818E9"/>
    <w:rsid w:val="00C82161"/>
    <w:rsid w:val="00C823C3"/>
    <w:rsid w:val="00C82D22"/>
    <w:rsid w:val="00C842D7"/>
    <w:rsid w:val="00C848EB"/>
    <w:rsid w:val="00C84958"/>
    <w:rsid w:val="00C84FC0"/>
    <w:rsid w:val="00C857BF"/>
    <w:rsid w:val="00C85BC4"/>
    <w:rsid w:val="00C85D1B"/>
    <w:rsid w:val="00C8615F"/>
    <w:rsid w:val="00C86E3E"/>
    <w:rsid w:val="00C87242"/>
    <w:rsid w:val="00C87368"/>
    <w:rsid w:val="00C878C6"/>
    <w:rsid w:val="00C87B50"/>
    <w:rsid w:val="00C87E73"/>
    <w:rsid w:val="00C9056D"/>
    <w:rsid w:val="00C910FD"/>
    <w:rsid w:val="00C922F2"/>
    <w:rsid w:val="00C92464"/>
    <w:rsid w:val="00C926F0"/>
    <w:rsid w:val="00C92904"/>
    <w:rsid w:val="00C92BC4"/>
    <w:rsid w:val="00C92F11"/>
    <w:rsid w:val="00C93486"/>
    <w:rsid w:val="00C9405B"/>
    <w:rsid w:val="00C94167"/>
    <w:rsid w:val="00C9436F"/>
    <w:rsid w:val="00C94460"/>
    <w:rsid w:val="00C94D4C"/>
    <w:rsid w:val="00C95243"/>
    <w:rsid w:val="00C9546B"/>
    <w:rsid w:val="00C956D3"/>
    <w:rsid w:val="00C959D7"/>
    <w:rsid w:val="00C95A75"/>
    <w:rsid w:val="00C95D18"/>
    <w:rsid w:val="00C96A52"/>
    <w:rsid w:val="00C96F44"/>
    <w:rsid w:val="00C97BD3"/>
    <w:rsid w:val="00C97E3D"/>
    <w:rsid w:val="00CA019C"/>
    <w:rsid w:val="00CA0513"/>
    <w:rsid w:val="00CA09D8"/>
    <w:rsid w:val="00CA0E2D"/>
    <w:rsid w:val="00CA0EAF"/>
    <w:rsid w:val="00CA112B"/>
    <w:rsid w:val="00CA215A"/>
    <w:rsid w:val="00CA284D"/>
    <w:rsid w:val="00CA2B0F"/>
    <w:rsid w:val="00CA32BD"/>
    <w:rsid w:val="00CA386A"/>
    <w:rsid w:val="00CA3980"/>
    <w:rsid w:val="00CA3B37"/>
    <w:rsid w:val="00CA3C82"/>
    <w:rsid w:val="00CA4C28"/>
    <w:rsid w:val="00CA4D43"/>
    <w:rsid w:val="00CA67D3"/>
    <w:rsid w:val="00CA6834"/>
    <w:rsid w:val="00CA6C00"/>
    <w:rsid w:val="00CA702D"/>
    <w:rsid w:val="00CA73B4"/>
    <w:rsid w:val="00CA75B2"/>
    <w:rsid w:val="00CA7638"/>
    <w:rsid w:val="00CA76FC"/>
    <w:rsid w:val="00CA771D"/>
    <w:rsid w:val="00CA7D48"/>
    <w:rsid w:val="00CB00F6"/>
    <w:rsid w:val="00CB08F5"/>
    <w:rsid w:val="00CB0A51"/>
    <w:rsid w:val="00CB1160"/>
    <w:rsid w:val="00CB1759"/>
    <w:rsid w:val="00CB2529"/>
    <w:rsid w:val="00CB252F"/>
    <w:rsid w:val="00CB28BC"/>
    <w:rsid w:val="00CB2DC2"/>
    <w:rsid w:val="00CB35BA"/>
    <w:rsid w:val="00CB3A3C"/>
    <w:rsid w:val="00CB3DA8"/>
    <w:rsid w:val="00CB3E78"/>
    <w:rsid w:val="00CB4DD1"/>
    <w:rsid w:val="00CB556E"/>
    <w:rsid w:val="00CB5934"/>
    <w:rsid w:val="00CB5E90"/>
    <w:rsid w:val="00CB65DF"/>
    <w:rsid w:val="00CB69E6"/>
    <w:rsid w:val="00CB73AE"/>
    <w:rsid w:val="00CB7B72"/>
    <w:rsid w:val="00CB7FC7"/>
    <w:rsid w:val="00CC0248"/>
    <w:rsid w:val="00CC0279"/>
    <w:rsid w:val="00CC0AF1"/>
    <w:rsid w:val="00CC0B8F"/>
    <w:rsid w:val="00CC0FAE"/>
    <w:rsid w:val="00CC12F9"/>
    <w:rsid w:val="00CC1692"/>
    <w:rsid w:val="00CC1AFD"/>
    <w:rsid w:val="00CC1DFA"/>
    <w:rsid w:val="00CC4E07"/>
    <w:rsid w:val="00CC4F5A"/>
    <w:rsid w:val="00CC535A"/>
    <w:rsid w:val="00CC5416"/>
    <w:rsid w:val="00CC54B2"/>
    <w:rsid w:val="00CC55BD"/>
    <w:rsid w:val="00CC5F2B"/>
    <w:rsid w:val="00CC67A5"/>
    <w:rsid w:val="00CC7058"/>
    <w:rsid w:val="00CC764F"/>
    <w:rsid w:val="00CC7B46"/>
    <w:rsid w:val="00CC7C41"/>
    <w:rsid w:val="00CD00F2"/>
    <w:rsid w:val="00CD0636"/>
    <w:rsid w:val="00CD0E91"/>
    <w:rsid w:val="00CD1266"/>
    <w:rsid w:val="00CD19E6"/>
    <w:rsid w:val="00CD2071"/>
    <w:rsid w:val="00CD24B1"/>
    <w:rsid w:val="00CD265A"/>
    <w:rsid w:val="00CD298F"/>
    <w:rsid w:val="00CD2B99"/>
    <w:rsid w:val="00CD31D4"/>
    <w:rsid w:val="00CD43B4"/>
    <w:rsid w:val="00CD45AA"/>
    <w:rsid w:val="00CD4862"/>
    <w:rsid w:val="00CD49E8"/>
    <w:rsid w:val="00CD6D99"/>
    <w:rsid w:val="00CD71E5"/>
    <w:rsid w:val="00CD76EF"/>
    <w:rsid w:val="00CE0778"/>
    <w:rsid w:val="00CE07ED"/>
    <w:rsid w:val="00CE07FD"/>
    <w:rsid w:val="00CE118B"/>
    <w:rsid w:val="00CE1530"/>
    <w:rsid w:val="00CE18FB"/>
    <w:rsid w:val="00CE195C"/>
    <w:rsid w:val="00CE1EB1"/>
    <w:rsid w:val="00CE1F1B"/>
    <w:rsid w:val="00CE23E2"/>
    <w:rsid w:val="00CE29CA"/>
    <w:rsid w:val="00CE2C60"/>
    <w:rsid w:val="00CE2D0F"/>
    <w:rsid w:val="00CE3421"/>
    <w:rsid w:val="00CE39FB"/>
    <w:rsid w:val="00CE49C4"/>
    <w:rsid w:val="00CE5012"/>
    <w:rsid w:val="00CE5863"/>
    <w:rsid w:val="00CE5B6B"/>
    <w:rsid w:val="00CE60D2"/>
    <w:rsid w:val="00CE69D5"/>
    <w:rsid w:val="00CE6D3D"/>
    <w:rsid w:val="00CE7A92"/>
    <w:rsid w:val="00CF0188"/>
    <w:rsid w:val="00CF0248"/>
    <w:rsid w:val="00CF05B0"/>
    <w:rsid w:val="00CF06B3"/>
    <w:rsid w:val="00CF0F84"/>
    <w:rsid w:val="00CF1472"/>
    <w:rsid w:val="00CF1F7C"/>
    <w:rsid w:val="00CF254E"/>
    <w:rsid w:val="00CF3AB6"/>
    <w:rsid w:val="00CF430C"/>
    <w:rsid w:val="00CF4F11"/>
    <w:rsid w:val="00CF4FA0"/>
    <w:rsid w:val="00CF5B23"/>
    <w:rsid w:val="00CF6372"/>
    <w:rsid w:val="00CF68C7"/>
    <w:rsid w:val="00CF7066"/>
    <w:rsid w:val="00CF78BF"/>
    <w:rsid w:val="00CF793C"/>
    <w:rsid w:val="00D00EF9"/>
    <w:rsid w:val="00D018AE"/>
    <w:rsid w:val="00D02084"/>
    <w:rsid w:val="00D02ACD"/>
    <w:rsid w:val="00D02C82"/>
    <w:rsid w:val="00D02DBF"/>
    <w:rsid w:val="00D03600"/>
    <w:rsid w:val="00D0387F"/>
    <w:rsid w:val="00D0493B"/>
    <w:rsid w:val="00D04B9F"/>
    <w:rsid w:val="00D04D12"/>
    <w:rsid w:val="00D05395"/>
    <w:rsid w:val="00D056A3"/>
    <w:rsid w:val="00D061AE"/>
    <w:rsid w:val="00D06D11"/>
    <w:rsid w:val="00D11433"/>
    <w:rsid w:val="00D115AF"/>
    <w:rsid w:val="00D1194C"/>
    <w:rsid w:val="00D12359"/>
    <w:rsid w:val="00D13093"/>
    <w:rsid w:val="00D132B3"/>
    <w:rsid w:val="00D13BB3"/>
    <w:rsid w:val="00D140FA"/>
    <w:rsid w:val="00D1466A"/>
    <w:rsid w:val="00D1475D"/>
    <w:rsid w:val="00D14DFA"/>
    <w:rsid w:val="00D15390"/>
    <w:rsid w:val="00D15A71"/>
    <w:rsid w:val="00D15B8F"/>
    <w:rsid w:val="00D15EA0"/>
    <w:rsid w:val="00D162D2"/>
    <w:rsid w:val="00D1690D"/>
    <w:rsid w:val="00D17C15"/>
    <w:rsid w:val="00D20067"/>
    <w:rsid w:val="00D20BE9"/>
    <w:rsid w:val="00D21666"/>
    <w:rsid w:val="00D218B0"/>
    <w:rsid w:val="00D22B0E"/>
    <w:rsid w:val="00D22FDF"/>
    <w:rsid w:val="00D242F1"/>
    <w:rsid w:val="00D24334"/>
    <w:rsid w:val="00D24340"/>
    <w:rsid w:val="00D25425"/>
    <w:rsid w:val="00D257B6"/>
    <w:rsid w:val="00D25B35"/>
    <w:rsid w:val="00D27354"/>
    <w:rsid w:val="00D307DF"/>
    <w:rsid w:val="00D30F85"/>
    <w:rsid w:val="00D31309"/>
    <w:rsid w:val="00D31CEF"/>
    <w:rsid w:val="00D31D0B"/>
    <w:rsid w:val="00D31EED"/>
    <w:rsid w:val="00D320FE"/>
    <w:rsid w:val="00D3212C"/>
    <w:rsid w:val="00D33372"/>
    <w:rsid w:val="00D342F4"/>
    <w:rsid w:val="00D343C8"/>
    <w:rsid w:val="00D344A0"/>
    <w:rsid w:val="00D35B88"/>
    <w:rsid w:val="00D35E38"/>
    <w:rsid w:val="00D37BF9"/>
    <w:rsid w:val="00D37EDD"/>
    <w:rsid w:val="00D40373"/>
    <w:rsid w:val="00D40FF7"/>
    <w:rsid w:val="00D413DE"/>
    <w:rsid w:val="00D416CA"/>
    <w:rsid w:val="00D422F4"/>
    <w:rsid w:val="00D4258D"/>
    <w:rsid w:val="00D42671"/>
    <w:rsid w:val="00D429D2"/>
    <w:rsid w:val="00D42CE8"/>
    <w:rsid w:val="00D42F3D"/>
    <w:rsid w:val="00D43943"/>
    <w:rsid w:val="00D43BB6"/>
    <w:rsid w:val="00D44603"/>
    <w:rsid w:val="00D449F6"/>
    <w:rsid w:val="00D45AE5"/>
    <w:rsid w:val="00D45C50"/>
    <w:rsid w:val="00D45E35"/>
    <w:rsid w:val="00D472BF"/>
    <w:rsid w:val="00D4737F"/>
    <w:rsid w:val="00D476E6"/>
    <w:rsid w:val="00D4784D"/>
    <w:rsid w:val="00D501C2"/>
    <w:rsid w:val="00D509FF"/>
    <w:rsid w:val="00D51247"/>
    <w:rsid w:val="00D5163E"/>
    <w:rsid w:val="00D51886"/>
    <w:rsid w:val="00D51896"/>
    <w:rsid w:val="00D52414"/>
    <w:rsid w:val="00D52A9C"/>
    <w:rsid w:val="00D52DF9"/>
    <w:rsid w:val="00D53419"/>
    <w:rsid w:val="00D537FC"/>
    <w:rsid w:val="00D53DAA"/>
    <w:rsid w:val="00D544D1"/>
    <w:rsid w:val="00D5450B"/>
    <w:rsid w:val="00D5497F"/>
    <w:rsid w:val="00D549E3"/>
    <w:rsid w:val="00D551A7"/>
    <w:rsid w:val="00D551B8"/>
    <w:rsid w:val="00D552E2"/>
    <w:rsid w:val="00D56355"/>
    <w:rsid w:val="00D56872"/>
    <w:rsid w:val="00D56F59"/>
    <w:rsid w:val="00D57526"/>
    <w:rsid w:val="00D57682"/>
    <w:rsid w:val="00D57712"/>
    <w:rsid w:val="00D5782F"/>
    <w:rsid w:val="00D57867"/>
    <w:rsid w:val="00D578D9"/>
    <w:rsid w:val="00D57D19"/>
    <w:rsid w:val="00D60B26"/>
    <w:rsid w:val="00D61407"/>
    <w:rsid w:val="00D61705"/>
    <w:rsid w:val="00D61F08"/>
    <w:rsid w:val="00D62C0F"/>
    <w:rsid w:val="00D63E92"/>
    <w:rsid w:val="00D63EC8"/>
    <w:rsid w:val="00D64219"/>
    <w:rsid w:val="00D64F76"/>
    <w:rsid w:val="00D65178"/>
    <w:rsid w:val="00D658F0"/>
    <w:rsid w:val="00D65C1F"/>
    <w:rsid w:val="00D65F24"/>
    <w:rsid w:val="00D66984"/>
    <w:rsid w:val="00D673CE"/>
    <w:rsid w:val="00D67600"/>
    <w:rsid w:val="00D67A06"/>
    <w:rsid w:val="00D70B2E"/>
    <w:rsid w:val="00D70BC0"/>
    <w:rsid w:val="00D726A2"/>
    <w:rsid w:val="00D729D6"/>
    <w:rsid w:val="00D72DE6"/>
    <w:rsid w:val="00D73A8A"/>
    <w:rsid w:val="00D73D51"/>
    <w:rsid w:val="00D74121"/>
    <w:rsid w:val="00D74634"/>
    <w:rsid w:val="00D746A9"/>
    <w:rsid w:val="00D751A9"/>
    <w:rsid w:val="00D75C78"/>
    <w:rsid w:val="00D75DE4"/>
    <w:rsid w:val="00D7659B"/>
    <w:rsid w:val="00D76CAF"/>
    <w:rsid w:val="00D77714"/>
    <w:rsid w:val="00D77B50"/>
    <w:rsid w:val="00D8096A"/>
    <w:rsid w:val="00D80C30"/>
    <w:rsid w:val="00D8150F"/>
    <w:rsid w:val="00D822FA"/>
    <w:rsid w:val="00D824E8"/>
    <w:rsid w:val="00D82625"/>
    <w:rsid w:val="00D83B88"/>
    <w:rsid w:val="00D840FE"/>
    <w:rsid w:val="00D84C45"/>
    <w:rsid w:val="00D84FD2"/>
    <w:rsid w:val="00D85035"/>
    <w:rsid w:val="00D86251"/>
    <w:rsid w:val="00D86445"/>
    <w:rsid w:val="00D8696C"/>
    <w:rsid w:val="00D86CAB"/>
    <w:rsid w:val="00D876D4"/>
    <w:rsid w:val="00D87A8E"/>
    <w:rsid w:val="00D87D3C"/>
    <w:rsid w:val="00D87FD0"/>
    <w:rsid w:val="00D907FE"/>
    <w:rsid w:val="00D9098B"/>
    <w:rsid w:val="00D91009"/>
    <w:rsid w:val="00D91472"/>
    <w:rsid w:val="00D917AD"/>
    <w:rsid w:val="00D91CF7"/>
    <w:rsid w:val="00D921E4"/>
    <w:rsid w:val="00D9253E"/>
    <w:rsid w:val="00D9275A"/>
    <w:rsid w:val="00D93426"/>
    <w:rsid w:val="00D94552"/>
    <w:rsid w:val="00D94A1C"/>
    <w:rsid w:val="00D94B49"/>
    <w:rsid w:val="00D94DCC"/>
    <w:rsid w:val="00D95366"/>
    <w:rsid w:val="00D954A2"/>
    <w:rsid w:val="00D95996"/>
    <w:rsid w:val="00D96FFF"/>
    <w:rsid w:val="00D97309"/>
    <w:rsid w:val="00DA0FEA"/>
    <w:rsid w:val="00DA1542"/>
    <w:rsid w:val="00DA1630"/>
    <w:rsid w:val="00DA1B28"/>
    <w:rsid w:val="00DA1D4D"/>
    <w:rsid w:val="00DA1E75"/>
    <w:rsid w:val="00DA1EDB"/>
    <w:rsid w:val="00DA1FBB"/>
    <w:rsid w:val="00DA2812"/>
    <w:rsid w:val="00DA3953"/>
    <w:rsid w:val="00DA4272"/>
    <w:rsid w:val="00DA4681"/>
    <w:rsid w:val="00DA5EA6"/>
    <w:rsid w:val="00DA629D"/>
    <w:rsid w:val="00DA6881"/>
    <w:rsid w:val="00DA6C2C"/>
    <w:rsid w:val="00DB0161"/>
    <w:rsid w:val="00DB14FC"/>
    <w:rsid w:val="00DB197C"/>
    <w:rsid w:val="00DB2FFF"/>
    <w:rsid w:val="00DB3AEB"/>
    <w:rsid w:val="00DB3B83"/>
    <w:rsid w:val="00DB480F"/>
    <w:rsid w:val="00DB4BA1"/>
    <w:rsid w:val="00DB4C11"/>
    <w:rsid w:val="00DB4CFE"/>
    <w:rsid w:val="00DB5098"/>
    <w:rsid w:val="00DB5C75"/>
    <w:rsid w:val="00DB63F4"/>
    <w:rsid w:val="00DB6A08"/>
    <w:rsid w:val="00DB703A"/>
    <w:rsid w:val="00DB7D67"/>
    <w:rsid w:val="00DC0087"/>
    <w:rsid w:val="00DC0642"/>
    <w:rsid w:val="00DC0B64"/>
    <w:rsid w:val="00DC12B1"/>
    <w:rsid w:val="00DC1641"/>
    <w:rsid w:val="00DC1D65"/>
    <w:rsid w:val="00DC2104"/>
    <w:rsid w:val="00DC2232"/>
    <w:rsid w:val="00DC23EC"/>
    <w:rsid w:val="00DC2403"/>
    <w:rsid w:val="00DC3419"/>
    <w:rsid w:val="00DC3559"/>
    <w:rsid w:val="00DC38CA"/>
    <w:rsid w:val="00DC3D84"/>
    <w:rsid w:val="00DC3DA4"/>
    <w:rsid w:val="00DC468F"/>
    <w:rsid w:val="00DC46BB"/>
    <w:rsid w:val="00DC4741"/>
    <w:rsid w:val="00DC48DA"/>
    <w:rsid w:val="00DC5393"/>
    <w:rsid w:val="00DC705D"/>
    <w:rsid w:val="00DC7104"/>
    <w:rsid w:val="00DC71A8"/>
    <w:rsid w:val="00DC78B0"/>
    <w:rsid w:val="00DD01EA"/>
    <w:rsid w:val="00DD0CB3"/>
    <w:rsid w:val="00DD0E9D"/>
    <w:rsid w:val="00DD1010"/>
    <w:rsid w:val="00DD1573"/>
    <w:rsid w:val="00DD1698"/>
    <w:rsid w:val="00DD19D1"/>
    <w:rsid w:val="00DD1AFE"/>
    <w:rsid w:val="00DD1C96"/>
    <w:rsid w:val="00DD1F27"/>
    <w:rsid w:val="00DD2439"/>
    <w:rsid w:val="00DD2B3D"/>
    <w:rsid w:val="00DD31F4"/>
    <w:rsid w:val="00DD3AFA"/>
    <w:rsid w:val="00DD3D08"/>
    <w:rsid w:val="00DD46E3"/>
    <w:rsid w:val="00DD471F"/>
    <w:rsid w:val="00DD4C5F"/>
    <w:rsid w:val="00DD4F50"/>
    <w:rsid w:val="00DD5CC4"/>
    <w:rsid w:val="00DD5E82"/>
    <w:rsid w:val="00DD5EBE"/>
    <w:rsid w:val="00DD5EC1"/>
    <w:rsid w:val="00DD6218"/>
    <w:rsid w:val="00DD642A"/>
    <w:rsid w:val="00DD6AD5"/>
    <w:rsid w:val="00DD6EBE"/>
    <w:rsid w:val="00DE0224"/>
    <w:rsid w:val="00DE08D0"/>
    <w:rsid w:val="00DE1106"/>
    <w:rsid w:val="00DE12D4"/>
    <w:rsid w:val="00DE143C"/>
    <w:rsid w:val="00DE1496"/>
    <w:rsid w:val="00DE1C92"/>
    <w:rsid w:val="00DE20F0"/>
    <w:rsid w:val="00DE2CFE"/>
    <w:rsid w:val="00DE2FEA"/>
    <w:rsid w:val="00DE3081"/>
    <w:rsid w:val="00DE4697"/>
    <w:rsid w:val="00DE4B9C"/>
    <w:rsid w:val="00DE4DF0"/>
    <w:rsid w:val="00DE571D"/>
    <w:rsid w:val="00DE57F6"/>
    <w:rsid w:val="00DE6215"/>
    <w:rsid w:val="00DE6594"/>
    <w:rsid w:val="00DE65D9"/>
    <w:rsid w:val="00DE6648"/>
    <w:rsid w:val="00DE69B4"/>
    <w:rsid w:val="00DE6C62"/>
    <w:rsid w:val="00DE6E80"/>
    <w:rsid w:val="00DE777E"/>
    <w:rsid w:val="00DE790F"/>
    <w:rsid w:val="00DF09AA"/>
    <w:rsid w:val="00DF154F"/>
    <w:rsid w:val="00DF16A6"/>
    <w:rsid w:val="00DF19FF"/>
    <w:rsid w:val="00DF29C6"/>
    <w:rsid w:val="00DF2F26"/>
    <w:rsid w:val="00DF3433"/>
    <w:rsid w:val="00DF42BC"/>
    <w:rsid w:val="00DF43EA"/>
    <w:rsid w:val="00DF49A1"/>
    <w:rsid w:val="00DF4CC4"/>
    <w:rsid w:val="00DF57F2"/>
    <w:rsid w:val="00DF6268"/>
    <w:rsid w:val="00DF67AD"/>
    <w:rsid w:val="00DF7256"/>
    <w:rsid w:val="00DF7B5A"/>
    <w:rsid w:val="00DF7D1B"/>
    <w:rsid w:val="00DF7FD9"/>
    <w:rsid w:val="00E00F64"/>
    <w:rsid w:val="00E00FD7"/>
    <w:rsid w:val="00E018C4"/>
    <w:rsid w:val="00E01EE5"/>
    <w:rsid w:val="00E02A73"/>
    <w:rsid w:val="00E02F85"/>
    <w:rsid w:val="00E031BD"/>
    <w:rsid w:val="00E039A0"/>
    <w:rsid w:val="00E04240"/>
    <w:rsid w:val="00E04252"/>
    <w:rsid w:val="00E04B37"/>
    <w:rsid w:val="00E04BF3"/>
    <w:rsid w:val="00E0508E"/>
    <w:rsid w:val="00E051BA"/>
    <w:rsid w:val="00E05C32"/>
    <w:rsid w:val="00E05D52"/>
    <w:rsid w:val="00E062C8"/>
    <w:rsid w:val="00E06460"/>
    <w:rsid w:val="00E06A9D"/>
    <w:rsid w:val="00E06D75"/>
    <w:rsid w:val="00E06E61"/>
    <w:rsid w:val="00E0703C"/>
    <w:rsid w:val="00E07820"/>
    <w:rsid w:val="00E0793D"/>
    <w:rsid w:val="00E07B28"/>
    <w:rsid w:val="00E07E7C"/>
    <w:rsid w:val="00E10147"/>
    <w:rsid w:val="00E10370"/>
    <w:rsid w:val="00E1096B"/>
    <w:rsid w:val="00E11A49"/>
    <w:rsid w:val="00E11B33"/>
    <w:rsid w:val="00E11CC9"/>
    <w:rsid w:val="00E1242D"/>
    <w:rsid w:val="00E12647"/>
    <w:rsid w:val="00E1362F"/>
    <w:rsid w:val="00E1416F"/>
    <w:rsid w:val="00E14633"/>
    <w:rsid w:val="00E1577D"/>
    <w:rsid w:val="00E158F4"/>
    <w:rsid w:val="00E15B82"/>
    <w:rsid w:val="00E16D03"/>
    <w:rsid w:val="00E16E60"/>
    <w:rsid w:val="00E17D34"/>
    <w:rsid w:val="00E17EC1"/>
    <w:rsid w:val="00E2019F"/>
    <w:rsid w:val="00E20F9B"/>
    <w:rsid w:val="00E21F83"/>
    <w:rsid w:val="00E21FD7"/>
    <w:rsid w:val="00E22380"/>
    <w:rsid w:val="00E22851"/>
    <w:rsid w:val="00E22D1C"/>
    <w:rsid w:val="00E2305D"/>
    <w:rsid w:val="00E23251"/>
    <w:rsid w:val="00E23AC3"/>
    <w:rsid w:val="00E23D7D"/>
    <w:rsid w:val="00E248D3"/>
    <w:rsid w:val="00E24EDC"/>
    <w:rsid w:val="00E25353"/>
    <w:rsid w:val="00E26900"/>
    <w:rsid w:val="00E27019"/>
    <w:rsid w:val="00E27870"/>
    <w:rsid w:val="00E2787E"/>
    <w:rsid w:val="00E30395"/>
    <w:rsid w:val="00E30A9E"/>
    <w:rsid w:val="00E31649"/>
    <w:rsid w:val="00E332FE"/>
    <w:rsid w:val="00E33C04"/>
    <w:rsid w:val="00E34024"/>
    <w:rsid w:val="00E3444E"/>
    <w:rsid w:val="00E35735"/>
    <w:rsid w:val="00E35F41"/>
    <w:rsid w:val="00E3607B"/>
    <w:rsid w:val="00E36250"/>
    <w:rsid w:val="00E363E0"/>
    <w:rsid w:val="00E36A70"/>
    <w:rsid w:val="00E36C87"/>
    <w:rsid w:val="00E373B7"/>
    <w:rsid w:val="00E37584"/>
    <w:rsid w:val="00E377C9"/>
    <w:rsid w:val="00E379B5"/>
    <w:rsid w:val="00E37B63"/>
    <w:rsid w:val="00E37CE3"/>
    <w:rsid w:val="00E408AA"/>
    <w:rsid w:val="00E41FE5"/>
    <w:rsid w:val="00E42200"/>
    <w:rsid w:val="00E42507"/>
    <w:rsid w:val="00E43191"/>
    <w:rsid w:val="00E43E27"/>
    <w:rsid w:val="00E43E9E"/>
    <w:rsid w:val="00E45198"/>
    <w:rsid w:val="00E45A93"/>
    <w:rsid w:val="00E46147"/>
    <w:rsid w:val="00E46153"/>
    <w:rsid w:val="00E46453"/>
    <w:rsid w:val="00E46F43"/>
    <w:rsid w:val="00E47054"/>
    <w:rsid w:val="00E47177"/>
    <w:rsid w:val="00E472F9"/>
    <w:rsid w:val="00E47327"/>
    <w:rsid w:val="00E47F03"/>
    <w:rsid w:val="00E50B45"/>
    <w:rsid w:val="00E50BA5"/>
    <w:rsid w:val="00E50F9F"/>
    <w:rsid w:val="00E515BE"/>
    <w:rsid w:val="00E517C9"/>
    <w:rsid w:val="00E51865"/>
    <w:rsid w:val="00E51895"/>
    <w:rsid w:val="00E526AF"/>
    <w:rsid w:val="00E52981"/>
    <w:rsid w:val="00E5335E"/>
    <w:rsid w:val="00E53686"/>
    <w:rsid w:val="00E53D4F"/>
    <w:rsid w:val="00E5447B"/>
    <w:rsid w:val="00E54B62"/>
    <w:rsid w:val="00E54F23"/>
    <w:rsid w:val="00E557CB"/>
    <w:rsid w:val="00E560C6"/>
    <w:rsid w:val="00E567B0"/>
    <w:rsid w:val="00E56BC2"/>
    <w:rsid w:val="00E56E6E"/>
    <w:rsid w:val="00E60626"/>
    <w:rsid w:val="00E60972"/>
    <w:rsid w:val="00E60B6A"/>
    <w:rsid w:val="00E60B8A"/>
    <w:rsid w:val="00E6286E"/>
    <w:rsid w:val="00E62896"/>
    <w:rsid w:val="00E62E26"/>
    <w:rsid w:val="00E63CE0"/>
    <w:rsid w:val="00E63E45"/>
    <w:rsid w:val="00E63F9D"/>
    <w:rsid w:val="00E64729"/>
    <w:rsid w:val="00E64BAD"/>
    <w:rsid w:val="00E64E24"/>
    <w:rsid w:val="00E653D1"/>
    <w:rsid w:val="00E655FB"/>
    <w:rsid w:val="00E65EFE"/>
    <w:rsid w:val="00E6669C"/>
    <w:rsid w:val="00E67198"/>
    <w:rsid w:val="00E67976"/>
    <w:rsid w:val="00E7029D"/>
    <w:rsid w:val="00E70A9A"/>
    <w:rsid w:val="00E70AE5"/>
    <w:rsid w:val="00E70B1A"/>
    <w:rsid w:val="00E7126B"/>
    <w:rsid w:val="00E715E3"/>
    <w:rsid w:val="00E71C40"/>
    <w:rsid w:val="00E72B18"/>
    <w:rsid w:val="00E72D4C"/>
    <w:rsid w:val="00E73405"/>
    <w:rsid w:val="00E74B9B"/>
    <w:rsid w:val="00E74E26"/>
    <w:rsid w:val="00E75CE2"/>
    <w:rsid w:val="00E75EB6"/>
    <w:rsid w:val="00E760EC"/>
    <w:rsid w:val="00E773EB"/>
    <w:rsid w:val="00E8004D"/>
    <w:rsid w:val="00E803CB"/>
    <w:rsid w:val="00E8074D"/>
    <w:rsid w:val="00E80F9F"/>
    <w:rsid w:val="00E810C5"/>
    <w:rsid w:val="00E816EB"/>
    <w:rsid w:val="00E81969"/>
    <w:rsid w:val="00E8207A"/>
    <w:rsid w:val="00E824BF"/>
    <w:rsid w:val="00E82588"/>
    <w:rsid w:val="00E837EA"/>
    <w:rsid w:val="00E85209"/>
    <w:rsid w:val="00E852B4"/>
    <w:rsid w:val="00E85A45"/>
    <w:rsid w:val="00E85DDD"/>
    <w:rsid w:val="00E86E60"/>
    <w:rsid w:val="00E90033"/>
    <w:rsid w:val="00E90187"/>
    <w:rsid w:val="00E908B2"/>
    <w:rsid w:val="00E91612"/>
    <w:rsid w:val="00E91B0A"/>
    <w:rsid w:val="00E91B35"/>
    <w:rsid w:val="00E92D42"/>
    <w:rsid w:val="00E92EBE"/>
    <w:rsid w:val="00E935D8"/>
    <w:rsid w:val="00E93E79"/>
    <w:rsid w:val="00E93FF4"/>
    <w:rsid w:val="00E940E4"/>
    <w:rsid w:val="00E948F2"/>
    <w:rsid w:val="00E94C71"/>
    <w:rsid w:val="00E94FCB"/>
    <w:rsid w:val="00E95AC1"/>
    <w:rsid w:val="00E95B09"/>
    <w:rsid w:val="00E9601D"/>
    <w:rsid w:val="00E964BE"/>
    <w:rsid w:val="00E96922"/>
    <w:rsid w:val="00E97489"/>
    <w:rsid w:val="00E97970"/>
    <w:rsid w:val="00E97C88"/>
    <w:rsid w:val="00EA0627"/>
    <w:rsid w:val="00EA0B81"/>
    <w:rsid w:val="00EA0B90"/>
    <w:rsid w:val="00EA16D3"/>
    <w:rsid w:val="00EA1A3D"/>
    <w:rsid w:val="00EA1D16"/>
    <w:rsid w:val="00EA22FE"/>
    <w:rsid w:val="00EA232D"/>
    <w:rsid w:val="00EA2F13"/>
    <w:rsid w:val="00EA3153"/>
    <w:rsid w:val="00EA38E4"/>
    <w:rsid w:val="00EA3CE7"/>
    <w:rsid w:val="00EA3D7F"/>
    <w:rsid w:val="00EA45C9"/>
    <w:rsid w:val="00EA4611"/>
    <w:rsid w:val="00EA48A1"/>
    <w:rsid w:val="00EA4C25"/>
    <w:rsid w:val="00EA63B9"/>
    <w:rsid w:val="00EA6B67"/>
    <w:rsid w:val="00EA70D1"/>
    <w:rsid w:val="00EA7576"/>
    <w:rsid w:val="00EA7CFE"/>
    <w:rsid w:val="00EA7F40"/>
    <w:rsid w:val="00EB041E"/>
    <w:rsid w:val="00EB0C67"/>
    <w:rsid w:val="00EB149B"/>
    <w:rsid w:val="00EB184F"/>
    <w:rsid w:val="00EB259F"/>
    <w:rsid w:val="00EB30C8"/>
    <w:rsid w:val="00EB3196"/>
    <w:rsid w:val="00EB31D1"/>
    <w:rsid w:val="00EB34A6"/>
    <w:rsid w:val="00EB35B5"/>
    <w:rsid w:val="00EB3FD1"/>
    <w:rsid w:val="00EB45B8"/>
    <w:rsid w:val="00EB4D66"/>
    <w:rsid w:val="00EB5075"/>
    <w:rsid w:val="00EB56E2"/>
    <w:rsid w:val="00EB60DC"/>
    <w:rsid w:val="00EB6D88"/>
    <w:rsid w:val="00EB725B"/>
    <w:rsid w:val="00EB7639"/>
    <w:rsid w:val="00EB7CDD"/>
    <w:rsid w:val="00EC00A5"/>
    <w:rsid w:val="00EC0DD5"/>
    <w:rsid w:val="00EC1DC6"/>
    <w:rsid w:val="00EC3117"/>
    <w:rsid w:val="00EC3855"/>
    <w:rsid w:val="00EC3E97"/>
    <w:rsid w:val="00EC3F01"/>
    <w:rsid w:val="00EC4148"/>
    <w:rsid w:val="00EC4223"/>
    <w:rsid w:val="00EC46C5"/>
    <w:rsid w:val="00EC4DAA"/>
    <w:rsid w:val="00EC4E6A"/>
    <w:rsid w:val="00EC506E"/>
    <w:rsid w:val="00EC53C6"/>
    <w:rsid w:val="00EC59A7"/>
    <w:rsid w:val="00EC5B8F"/>
    <w:rsid w:val="00EC5F74"/>
    <w:rsid w:val="00EC66B3"/>
    <w:rsid w:val="00EC670A"/>
    <w:rsid w:val="00EC6818"/>
    <w:rsid w:val="00EC6C5E"/>
    <w:rsid w:val="00EC729F"/>
    <w:rsid w:val="00EC7D12"/>
    <w:rsid w:val="00EC7DEE"/>
    <w:rsid w:val="00ED003F"/>
    <w:rsid w:val="00ED0ACF"/>
    <w:rsid w:val="00ED135C"/>
    <w:rsid w:val="00ED1BFB"/>
    <w:rsid w:val="00ED1D5A"/>
    <w:rsid w:val="00ED211D"/>
    <w:rsid w:val="00ED23B1"/>
    <w:rsid w:val="00ED273D"/>
    <w:rsid w:val="00ED2E64"/>
    <w:rsid w:val="00ED362B"/>
    <w:rsid w:val="00ED4852"/>
    <w:rsid w:val="00ED49A2"/>
    <w:rsid w:val="00ED4A35"/>
    <w:rsid w:val="00ED5534"/>
    <w:rsid w:val="00ED58D8"/>
    <w:rsid w:val="00ED5A26"/>
    <w:rsid w:val="00ED5A69"/>
    <w:rsid w:val="00ED5D71"/>
    <w:rsid w:val="00ED5F62"/>
    <w:rsid w:val="00ED624A"/>
    <w:rsid w:val="00ED6D12"/>
    <w:rsid w:val="00ED71BC"/>
    <w:rsid w:val="00ED7396"/>
    <w:rsid w:val="00ED79DA"/>
    <w:rsid w:val="00ED7C0D"/>
    <w:rsid w:val="00ED7D3F"/>
    <w:rsid w:val="00EE1415"/>
    <w:rsid w:val="00EE15C4"/>
    <w:rsid w:val="00EE1A92"/>
    <w:rsid w:val="00EE1FF2"/>
    <w:rsid w:val="00EE2399"/>
    <w:rsid w:val="00EE240D"/>
    <w:rsid w:val="00EE34FF"/>
    <w:rsid w:val="00EE36E2"/>
    <w:rsid w:val="00EE379D"/>
    <w:rsid w:val="00EE40BF"/>
    <w:rsid w:val="00EE46B7"/>
    <w:rsid w:val="00EE4BEC"/>
    <w:rsid w:val="00EE503E"/>
    <w:rsid w:val="00EE5BB7"/>
    <w:rsid w:val="00EE5FC0"/>
    <w:rsid w:val="00EE6ACE"/>
    <w:rsid w:val="00EF0076"/>
    <w:rsid w:val="00EF100B"/>
    <w:rsid w:val="00EF1A49"/>
    <w:rsid w:val="00EF20AD"/>
    <w:rsid w:val="00EF21AD"/>
    <w:rsid w:val="00EF2CAF"/>
    <w:rsid w:val="00EF2FC0"/>
    <w:rsid w:val="00EF3304"/>
    <w:rsid w:val="00EF364C"/>
    <w:rsid w:val="00EF3841"/>
    <w:rsid w:val="00EF385B"/>
    <w:rsid w:val="00EF395A"/>
    <w:rsid w:val="00EF3DCA"/>
    <w:rsid w:val="00EF3E66"/>
    <w:rsid w:val="00EF4516"/>
    <w:rsid w:val="00EF4A18"/>
    <w:rsid w:val="00EF4AFE"/>
    <w:rsid w:val="00EF510E"/>
    <w:rsid w:val="00EF5BCC"/>
    <w:rsid w:val="00EF5D13"/>
    <w:rsid w:val="00EF606C"/>
    <w:rsid w:val="00EF60A9"/>
    <w:rsid w:val="00EF61D6"/>
    <w:rsid w:val="00EF6C37"/>
    <w:rsid w:val="00EF6D1E"/>
    <w:rsid w:val="00EF7002"/>
    <w:rsid w:val="00EF73DF"/>
    <w:rsid w:val="00EF76ED"/>
    <w:rsid w:val="00EF77DF"/>
    <w:rsid w:val="00EF7BB4"/>
    <w:rsid w:val="00EF7C4B"/>
    <w:rsid w:val="00F00811"/>
    <w:rsid w:val="00F00A45"/>
    <w:rsid w:val="00F018F9"/>
    <w:rsid w:val="00F020B9"/>
    <w:rsid w:val="00F02499"/>
    <w:rsid w:val="00F02CEF"/>
    <w:rsid w:val="00F03478"/>
    <w:rsid w:val="00F034C5"/>
    <w:rsid w:val="00F03D6E"/>
    <w:rsid w:val="00F04828"/>
    <w:rsid w:val="00F05192"/>
    <w:rsid w:val="00F052D5"/>
    <w:rsid w:val="00F066DE"/>
    <w:rsid w:val="00F0691E"/>
    <w:rsid w:val="00F06BE8"/>
    <w:rsid w:val="00F07175"/>
    <w:rsid w:val="00F07A01"/>
    <w:rsid w:val="00F10184"/>
    <w:rsid w:val="00F102DA"/>
    <w:rsid w:val="00F107CE"/>
    <w:rsid w:val="00F1097F"/>
    <w:rsid w:val="00F10B29"/>
    <w:rsid w:val="00F10C7A"/>
    <w:rsid w:val="00F113B9"/>
    <w:rsid w:val="00F118DE"/>
    <w:rsid w:val="00F119A4"/>
    <w:rsid w:val="00F12155"/>
    <w:rsid w:val="00F12549"/>
    <w:rsid w:val="00F12690"/>
    <w:rsid w:val="00F12BDE"/>
    <w:rsid w:val="00F130C2"/>
    <w:rsid w:val="00F14A51"/>
    <w:rsid w:val="00F14BA0"/>
    <w:rsid w:val="00F16A19"/>
    <w:rsid w:val="00F17518"/>
    <w:rsid w:val="00F1773B"/>
    <w:rsid w:val="00F17CB1"/>
    <w:rsid w:val="00F200C9"/>
    <w:rsid w:val="00F200CD"/>
    <w:rsid w:val="00F20732"/>
    <w:rsid w:val="00F20880"/>
    <w:rsid w:val="00F21402"/>
    <w:rsid w:val="00F21C90"/>
    <w:rsid w:val="00F221F6"/>
    <w:rsid w:val="00F2252B"/>
    <w:rsid w:val="00F22B18"/>
    <w:rsid w:val="00F239AF"/>
    <w:rsid w:val="00F23DAB"/>
    <w:rsid w:val="00F23DB3"/>
    <w:rsid w:val="00F23FEE"/>
    <w:rsid w:val="00F24196"/>
    <w:rsid w:val="00F242AF"/>
    <w:rsid w:val="00F248E3"/>
    <w:rsid w:val="00F24EB3"/>
    <w:rsid w:val="00F25508"/>
    <w:rsid w:val="00F25F25"/>
    <w:rsid w:val="00F26BCF"/>
    <w:rsid w:val="00F26CB4"/>
    <w:rsid w:val="00F27734"/>
    <w:rsid w:val="00F27784"/>
    <w:rsid w:val="00F30146"/>
    <w:rsid w:val="00F30B6B"/>
    <w:rsid w:val="00F30D12"/>
    <w:rsid w:val="00F3113C"/>
    <w:rsid w:val="00F3197B"/>
    <w:rsid w:val="00F319CC"/>
    <w:rsid w:val="00F31C8B"/>
    <w:rsid w:val="00F33621"/>
    <w:rsid w:val="00F33ABB"/>
    <w:rsid w:val="00F33E81"/>
    <w:rsid w:val="00F3470D"/>
    <w:rsid w:val="00F34854"/>
    <w:rsid w:val="00F34C02"/>
    <w:rsid w:val="00F34E4B"/>
    <w:rsid w:val="00F34FEE"/>
    <w:rsid w:val="00F35EBA"/>
    <w:rsid w:val="00F3636B"/>
    <w:rsid w:val="00F369DC"/>
    <w:rsid w:val="00F3767F"/>
    <w:rsid w:val="00F37A56"/>
    <w:rsid w:val="00F4062D"/>
    <w:rsid w:val="00F40930"/>
    <w:rsid w:val="00F4115D"/>
    <w:rsid w:val="00F413EB"/>
    <w:rsid w:val="00F418C2"/>
    <w:rsid w:val="00F41D66"/>
    <w:rsid w:val="00F42099"/>
    <w:rsid w:val="00F43904"/>
    <w:rsid w:val="00F43F88"/>
    <w:rsid w:val="00F44189"/>
    <w:rsid w:val="00F443EB"/>
    <w:rsid w:val="00F44924"/>
    <w:rsid w:val="00F4519D"/>
    <w:rsid w:val="00F4548F"/>
    <w:rsid w:val="00F4555E"/>
    <w:rsid w:val="00F455CC"/>
    <w:rsid w:val="00F45B4C"/>
    <w:rsid w:val="00F46104"/>
    <w:rsid w:val="00F46F64"/>
    <w:rsid w:val="00F46FD2"/>
    <w:rsid w:val="00F47122"/>
    <w:rsid w:val="00F47D63"/>
    <w:rsid w:val="00F47FC0"/>
    <w:rsid w:val="00F50D2B"/>
    <w:rsid w:val="00F5168C"/>
    <w:rsid w:val="00F516D6"/>
    <w:rsid w:val="00F51EA8"/>
    <w:rsid w:val="00F525B2"/>
    <w:rsid w:val="00F52809"/>
    <w:rsid w:val="00F534AA"/>
    <w:rsid w:val="00F541FC"/>
    <w:rsid w:val="00F547AB"/>
    <w:rsid w:val="00F54A23"/>
    <w:rsid w:val="00F54D5C"/>
    <w:rsid w:val="00F55018"/>
    <w:rsid w:val="00F566BB"/>
    <w:rsid w:val="00F57A94"/>
    <w:rsid w:val="00F60DF5"/>
    <w:rsid w:val="00F610D1"/>
    <w:rsid w:val="00F61E2E"/>
    <w:rsid w:val="00F61E47"/>
    <w:rsid w:val="00F62667"/>
    <w:rsid w:val="00F626A8"/>
    <w:rsid w:val="00F628C0"/>
    <w:rsid w:val="00F63168"/>
    <w:rsid w:val="00F632D0"/>
    <w:rsid w:val="00F63381"/>
    <w:rsid w:val="00F634B6"/>
    <w:rsid w:val="00F63BDA"/>
    <w:rsid w:val="00F64145"/>
    <w:rsid w:val="00F65746"/>
    <w:rsid w:val="00F659CA"/>
    <w:rsid w:val="00F660EC"/>
    <w:rsid w:val="00F66A2F"/>
    <w:rsid w:val="00F66C42"/>
    <w:rsid w:val="00F66C65"/>
    <w:rsid w:val="00F66D2B"/>
    <w:rsid w:val="00F673AD"/>
    <w:rsid w:val="00F6743F"/>
    <w:rsid w:val="00F67965"/>
    <w:rsid w:val="00F67975"/>
    <w:rsid w:val="00F679DF"/>
    <w:rsid w:val="00F703FB"/>
    <w:rsid w:val="00F71562"/>
    <w:rsid w:val="00F715EF"/>
    <w:rsid w:val="00F72289"/>
    <w:rsid w:val="00F72F3D"/>
    <w:rsid w:val="00F72F67"/>
    <w:rsid w:val="00F731E8"/>
    <w:rsid w:val="00F73AA6"/>
    <w:rsid w:val="00F73E7A"/>
    <w:rsid w:val="00F7517F"/>
    <w:rsid w:val="00F758EE"/>
    <w:rsid w:val="00F75C7C"/>
    <w:rsid w:val="00F76051"/>
    <w:rsid w:val="00F76C5E"/>
    <w:rsid w:val="00F77169"/>
    <w:rsid w:val="00F77340"/>
    <w:rsid w:val="00F77C61"/>
    <w:rsid w:val="00F803D1"/>
    <w:rsid w:val="00F80D8C"/>
    <w:rsid w:val="00F81CC6"/>
    <w:rsid w:val="00F81D1E"/>
    <w:rsid w:val="00F81F43"/>
    <w:rsid w:val="00F825F4"/>
    <w:rsid w:val="00F83711"/>
    <w:rsid w:val="00F83E06"/>
    <w:rsid w:val="00F84368"/>
    <w:rsid w:val="00F844F2"/>
    <w:rsid w:val="00F849EB"/>
    <w:rsid w:val="00F85D82"/>
    <w:rsid w:val="00F864B2"/>
    <w:rsid w:val="00F86792"/>
    <w:rsid w:val="00F868CA"/>
    <w:rsid w:val="00F86ED0"/>
    <w:rsid w:val="00F86F3A"/>
    <w:rsid w:val="00F874C9"/>
    <w:rsid w:val="00F878FB"/>
    <w:rsid w:val="00F87B63"/>
    <w:rsid w:val="00F87D21"/>
    <w:rsid w:val="00F87FA0"/>
    <w:rsid w:val="00F909D9"/>
    <w:rsid w:val="00F90E24"/>
    <w:rsid w:val="00F919D6"/>
    <w:rsid w:val="00F91D9C"/>
    <w:rsid w:val="00F921F5"/>
    <w:rsid w:val="00F92884"/>
    <w:rsid w:val="00F93621"/>
    <w:rsid w:val="00F941C4"/>
    <w:rsid w:val="00F95067"/>
    <w:rsid w:val="00F95778"/>
    <w:rsid w:val="00F96261"/>
    <w:rsid w:val="00F96821"/>
    <w:rsid w:val="00F96C18"/>
    <w:rsid w:val="00F97450"/>
    <w:rsid w:val="00F97AF9"/>
    <w:rsid w:val="00F97BED"/>
    <w:rsid w:val="00F97DFA"/>
    <w:rsid w:val="00F97F2D"/>
    <w:rsid w:val="00FA0361"/>
    <w:rsid w:val="00FA0A00"/>
    <w:rsid w:val="00FA0D70"/>
    <w:rsid w:val="00FA0E0D"/>
    <w:rsid w:val="00FA1EAB"/>
    <w:rsid w:val="00FA2354"/>
    <w:rsid w:val="00FA34F0"/>
    <w:rsid w:val="00FA38FC"/>
    <w:rsid w:val="00FA392F"/>
    <w:rsid w:val="00FA3C9C"/>
    <w:rsid w:val="00FA3FD8"/>
    <w:rsid w:val="00FA45F5"/>
    <w:rsid w:val="00FA4914"/>
    <w:rsid w:val="00FA4DEB"/>
    <w:rsid w:val="00FA5D46"/>
    <w:rsid w:val="00FA5D67"/>
    <w:rsid w:val="00FA5F60"/>
    <w:rsid w:val="00FA64D3"/>
    <w:rsid w:val="00FA6624"/>
    <w:rsid w:val="00FA67BB"/>
    <w:rsid w:val="00FA7E80"/>
    <w:rsid w:val="00FB04B2"/>
    <w:rsid w:val="00FB04DB"/>
    <w:rsid w:val="00FB1CAD"/>
    <w:rsid w:val="00FB1DA7"/>
    <w:rsid w:val="00FB2533"/>
    <w:rsid w:val="00FB25E6"/>
    <w:rsid w:val="00FB2CAE"/>
    <w:rsid w:val="00FB2F53"/>
    <w:rsid w:val="00FB30AA"/>
    <w:rsid w:val="00FB317A"/>
    <w:rsid w:val="00FB39BF"/>
    <w:rsid w:val="00FB3B67"/>
    <w:rsid w:val="00FB434F"/>
    <w:rsid w:val="00FB43E2"/>
    <w:rsid w:val="00FB4617"/>
    <w:rsid w:val="00FB47C2"/>
    <w:rsid w:val="00FB4A32"/>
    <w:rsid w:val="00FB4C0A"/>
    <w:rsid w:val="00FB5203"/>
    <w:rsid w:val="00FB5342"/>
    <w:rsid w:val="00FB5523"/>
    <w:rsid w:val="00FB6490"/>
    <w:rsid w:val="00FB6AAD"/>
    <w:rsid w:val="00FB75F4"/>
    <w:rsid w:val="00FC1C3E"/>
    <w:rsid w:val="00FC1CEB"/>
    <w:rsid w:val="00FC1EA9"/>
    <w:rsid w:val="00FC225C"/>
    <w:rsid w:val="00FC22B5"/>
    <w:rsid w:val="00FC2852"/>
    <w:rsid w:val="00FC2E90"/>
    <w:rsid w:val="00FC3176"/>
    <w:rsid w:val="00FC3A81"/>
    <w:rsid w:val="00FC3B93"/>
    <w:rsid w:val="00FC3D49"/>
    <w:rsid w:val="00FC41F2"/>
    <w:rsid w:val="00FC566E"/>
    <w:rsid w:val="00FC56C4"/>
    <w:rsid w:val="00FC5775"/>
    <w:rsid w:val="00FC5B29"/>
    <w:rsid w:val="00FC616C"/>
    <w:rsid w:val="00FC72AB"/>
    <w:rsid w:val="00FC77D6"/>
    <w:rsid w:val="00FC7A0C"/>
    <w:rsid w:val="00FC7A21"/>
    <w:rsid w:val="00FD0033"/>
    <w:rsid w:val="00FD0196"/>
    <w:rsid w:val="00FD03C9"/>
    <w:rsid w:val="00FD0998"/>
    <w:rsid w:val="00FD19A5"/>
    <w:rsid w:val="00FD272C"/>
    <w:rsid w:val="00FD27EC"/>
    <w:rsid w:val="00FD2C9C"/>
    <w:rsid w:val="00FD464C"/>
    <w:rsid w:val="00FD4BA4"/>
    <w:rsid w:val="00FD4CF7"/>
    <w:rsid w:val="00FD51D5"/>
    <w:rsid w:val="00FD5641"/>
    <w:rsid w:val="00FD6138"/>
    <w:rsid w:val="00FD62DB"/>
    <w:rsid w:val="00FD64F5"/>
    <w:rsid w:val="00FD6944"/>
    <w:rsid w:val="00FD6CB7"/>
    <w:rsid w:val="00FD7593"/>
    <w:rsid w:val="00FD78C6"/>
    <w:rsid w:val="00FD7943"/>
    <w:rsid w:val="00FD7AD8"/>
    <w:rsid w:val="00FD7E43"/>
    <w:rsid w:val="00FE026A"/>
    <w:rsid w:val="00FE06FA"/>
    <w:rsid w:val="00FE196F"/>
    <w:rsid w:val="00FE2259"/>
    <w:rsid w:val="00FE2A31"/>
    <w:rsid w:val="00FE2D94"/>
    <w:rsid w:val="00FE2DDC"/>
    <w:rsid w:val="00FE2FE7"/>
    <w:rsid w:val="00FE34CB"/>
    <w:rsid w:val="00FE3512"/>
    <w:rsid w:val="00FE49AF"/>
    <w:rsid w:val="00FE4B2D"/>
    <w:rsid w:val="00FE4E92"/>
    <w:rsid w:val="00FE5D6E"/>
    <w:rsid w:val="00FE5FFB"/>
    <w:rsid w:val="00FE6096"/>
    <w:rsid w:val="00FE6862"/>
    <w:rsid w:val="00FE69B3"/>
    <w:rsid w:val="00FE6A75"/>
    <w:rsid w:val="00FE6B7D"/>
    <w:rsid w:val="00FE6CD9"/>
    <w:rsid w:val="00FE7325"/>
    <w:rsid w:val="00FE7E14"/>
    <w:rsid w:val="00FF04F0"/>
    <w:rsid w:val="00FF075C"/>
    <w:rsid w:val="00FF0FC5"/>
    <w:rsid w:val="00FF123B"/>
    <w:rsid w:val="00FF1319"/>
    <w:rsid w:val="00FF1395"/>
    <w:rsid w:val="00FF139F"/>
    <w:rsid w:val="00FF1E02"/>
    <w:rsid w:val="00FF24E4"/>
    <w:rsid w:val="00FF25B3"/>
    <w:rsid w:val="00FF25C0"/>
    <w:rsid w:val="00FF32E5"/>
    <w:rsid w:val="00FF37D7"/>
    <w:rsid w:val="00FF3B72"/>
    <w:rsid w:val="00FF41F2"/>
    <w:rsid w:val="00FF469B"/>
    <w:rsid w:val="00FF49CB"/>
    <w:rsid w:val="00FF4C0D"/>
    <w:rsid w:val="00FF57BF"/>
    <w:rsid w:val="00FF588A"/>
    <w:rsid w:val="00FF5DF6"/>
    <w:rsid w:val="00FF6162"/>
    <w:rsid w:val="00FF61A8"/>
    <w:rsid w:val="00FF6397"/>
    <w:rsid w:val="00FF6D4A"/>
    <w:rsid w:val="00FF7450"/>
    <w:rsid w:val="00FF7E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3688"/>
  <w15:docId w15:val="{89F30F67-8A0A-4433-91C6-B78D3E70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3F2"/>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qFormat/>
    <w:rsid w:val="000C5465"/>
    <w:pPr>
      <w:keepNext/>
      <w:pBdr>
        <w:top w:val="double" w:sz="6" w:space="0" w:color="auto" w:shadow="1"/>
        <w:left w:val="double" w:sz="6" w:space="0" w:color="auto" w:shadow="1"/>
        <w:bottom w:val="double" w:sz="6" w:space="0" w:color="auto" w:shadow="1"/>
        <w:right w:val="double" w:sz="6" w:space="0" w:color="auto" w:shadow="1"/>
      </w:pBdr>
      <w:spacing w:line="280" w:lineRule="atLeast"/>
      <w:ind w:left="1134" w:right="1106"/>
      <w:jc w:val="center"/>
      <w:outlineLvl w:val="0"/>
    </w:pPr>
    <w:rPr>
      <w:b/>
      <w:bCs/>
      <w:sz w:val="24"/>
      <w:szCs w:val="24"/>
    </w:rPr>
  </w:style>
  <w:style w:type="paragraph" w:styleId="Titre2">
    <w:name w:val="heading 2"/>
    <w:basedOn w:val="Normal"/>
    <w:next w:val="Normal"/>
    <w:qFormat/>
    <w:rsid w:val="000C5465"/>
    <w:pPr>
      <w:keepNext/>
      <w:outlineLvl w:val="1"/>
    </w:pPr>
    <w:rPr>
      <w:b/>
      <w:bCs/>
      <w:sz w:val="28"/>
      <w:szCs w:val="28"/>
      <w:u w:val="single"/>
    </w:rPr>
  </w:style>
  <w:style w:type="paragraph" w:styleId="Titre3">
    <w:name w:val="heading 3"/>
    <w:basedOn w:val="Normal"/>
    <w:next w:val="Normal"/>
    <w:qFormat/>
    <w:rsid w:val="000C5465"/>
    <w:pPr>
      <w:keepNext/>
      <w:numPr>
        <w:numId w:val="1"/>
      </w:numPr>
      <w:spacing w:line="280" w:lineRule="atLeast"/>
      <w:outlineLvl w:val="2"/>
    </w:pPr>
    <w:rPr>
      <w:b/>
      <w:bCs/>
      <w:u w:val="single"/>
    </w:rPr>
  </w:style>
  <w:style w:type="paragraph" w:styleId="Titre4">
    <w:name w:val="heading 4"/>
    <w:basedOn w:val="Normal"/>
    <w:next w:val="Normal"/>
    <w:qFormat/>
    <w:rsid w:val="000C5465"/>
    <w:pPr>
      <w:keepNext/>
      <w:numPr>
        <w:numId w:val="2"/>
      </w:numPr>
      <w:spacing w:line="280" w:lineRule="atLeast"/>
      <w:outlineLvl w:val="3"/>
    </w:pPr>
    <w:rPr>
      <w:b/>
      <w:bCs/>
      <w:u w:val="single"/>
    </w:rPr>
  </w:style>
  <w:style w:type="paragraph" w:styleId="Titre5">
    <w:name w:val="heading 5"/>
    <w:basedOn w:val="Normal"/>
    <w:next w:val="Normal"/>
    <w:qFormat/>
    <w:rsid w:val="000C5465"/>
    <w:pPr>
      <w:keepNext/>
      <w:pBdr>
        <w:top w:val="double" w:sz="6" w:space="0" w:color="auto" w:shadow="1"/>
        <w:left w:val="double" w:sz="6" w:space="0" w:color="auto" w:shadow="1"/>
        <w:bottom w:val="double" w:sz="6" w:space="0" w:color="auto" w:shadow="1"/>
        <w:right w:val="double" w:sz="6" w:space="0" w:color="auto" w:shadow="1"/>
      </w:pBdr>
      <w:spacing w:line="280" w:lineRule="atLeast"/>
      <w:ind w:left="1134" w:right="1106"/>
      <w:outlineLvl w:val="4"/>
    </w:pPr>
    <w:rPr>
      <w:b/>
      <w:bCs/>
      <w:sz w:val="32"/>
      <w:szCs w:val="32"/>
    </w:rPr>
  </w:style>
  <w:style w:type="paragraph" w:styleId="Titre6">
    <w:name w:val="heading 6"/>
    <w:basedOn w:val="Normal"/>
    <w:next w:val="Normal"/>
    <w:qFormat/>
    <w:rsid w:val="000C5465"/>
    <w:pPr>
      <w:keepNext/>
      <w:numPr>
        <w:numId w:val="3"/>
      </w:numPr>
      <w:spacing w:line="280" w:lineRule="atLeast"/>
      <w:outlineLvl w:val="5"/>
    </w:pPr>
    <w:rPr>
      <w:b/>
      <w:bCs/>
      <w:u w:val="single"/>
    </w:rPr>
  </w:style>
  <w:style w:type="paragraph" w:styleId="Titre7">
    <w:name w:val="heading 7"/>
    <w:basedOn w:val="Normal"/>
    <w:next w:val="Normal"/>
    <w:qFormat/>
    <w:rsid w:val="000C5465"/>
    <w:pPr>
      <w:keepNext/>
      <w:pBdr>
        <w:top w:val="double" w:sz="6" w:space="11" w:color="auto" w:shadow="1"/>
        <w:left w:val="double" w:sz="6" w:space="0" w:color="auto" w:shadow="1"/>
        <w:bottom w:val="double" w:sz="6" w:space="11" w:color="auto" w:shadow="1"/>
        <w:right w:val="double" w:sz="6" w:space="0" w:color="auto" w:shadow="1"/>
      </w:pBdr>
      <w:ind w:left="1134" w:right="1106"/>
      <w:jc w:val="center"/>
      <w:outlineLvl w:val="6"/>
    </w:pPr>
    <w:rPr>
      <w:b/>
      <w:bCs/>
    </w:rPr>
  </w:style>
  <w:style w:type="paragraph" w:styleId="Titre8">
    <w:name w:val="heading 8"/>
    <w:basedOn w:val="Normal"/>
    <w:next w:val="Normal"/>
    <w:qFormat/>
    <w:rsid w:val="000C5465"/>
    <w:pPr>
      <w:keepNext/>
      <w:jc w:val="center"/>
      <w:outlineLvl w:val="7"/>
    </w:pPr>
    <w:rPr>
      <w:b/>
      <w:bCs/>
      <w:sz w:val="28"/>
      <w:szCs w:val="28"/>
    </w:rPr>
  </w:style>
  <w:style w:type="paragraph" w:styleId="Titre9">
    <w:name w:val="heading 9"/>
    <w:basedOn w:val="Normal"/>
    <w:next w:val="Normal"/>
    <w:qFormat/>
    <w:rsid w:val="000C5465"/>
    <w:pPr>
      <w:keepNext/>
      <w:spacing w:line="280" w:lineRule="atLeast"/>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Car Car,Note de bas de page Car Car Car Car Car Car Car Car Car,Note de bas de page Car Car Car Car Car Car Car Car,Note de bas de page Car Car Car Car"/>
    <w:basedOn w:val="Normal"/>
    <w:link w:val="NotedebasdepageCar"/>
    <w:qFormat/>
    <w:rsid w:val="008A244A"/>
    <w:pPr>
      <w:spacing w:line="240" w:lineRule="auto"/>
    </w:pPr>
    <w:rPr>
      <w:sz w:val="18"/>
      <w:szCs w:val="18"/>
    </w:rPr>
  </w:style>
  <w:style w:type="character" w:styleId="Appelnotedebasdep">
    <w:name w:val="footnote reference"/>
    <w:aliases w:val="fr,Footnote Reference Number,Footnote Reference_LVL6,Footnote Reference_LVL61,Footnote Reference_LVL62,Footnote Reference_LVL63,Footnote Reference_LVL64,Footnote symbol,Footnote reference number,Fußnotenzeichen3,Char1"/>
    <w:basedOn w:val="Policepardfaut"/>
    <w:qFormat/>
    <w:rsid w:val="000C5465"/>
    <w:rPr>
      <w:rFonts w:ascii="Arial" w:hAnsi="Arial"/>
      <w:position w:val="6"/>
      <w:sz w:val="14"/>
      <w:szCs w:val="14"/>
    </w:rPr>
  </w:style>
  <w:style w:type="paragraph" w:styleId="En-tte">
    <w:name w:val="header"/>
    <w:basedOn w:val="Normal"/>
    <w:rsid w:val="000C5465"/>
    <w:pPr>
      <w:tabs>
        <w:tab w:val="center" w:pos="4536"/>
        <w:tab w:val="right" w:pos="9072"/>
      </w:tabs>
    </w:pPr>
  </w:style>
  <w:style w:type="paragraph" w:styleId="Pieddepage">
    <w:name w:val="footer"/>
    <w:basedOn w:val="Normal"/>
    <w:rsid w:val="000C5465"/>
    <w:pPr>
      <w:tabs>
        <w:tab w:val="center" w:pos="4536"/>
        <w:tab w:val="right" w:pos="9072"/>
      </w:tabs>
    </w:pPr>
  </w:style>
  <w:style w:type="paragraph" w:styleId="Textedebulles">
    <w:name w:val="Balloon Text"/>
    <w:basedOn w:val="Normal"/>
    <w:semiHidden/>
    <w:rsid w:val="000C5465"/>
    <w:rPr>
      <w:rFonts w:ascii="Tahoma" w:hAnsi="Tahoma" w:cs="Tahoma"/>
      <w:sz w:val="16"/>
      <w:szCs w:val="16"/>
    </w:rPr>
  </w:style>
  <w:style w:type="paragraph" w:styleId="TM1">
    <w:name w:val="toc 1"/>
    <w:basedOn w:val="Normal"/>
    <w:next w:val="Normal"/>
    <w:autoRedefine/>
    <w:semiHidden/>
    <w:rsid w:val="000C5465"/>
    <w:pPr>
      <w:spacing w:before="120"/>
    </w:pPr>
    <w:rPr>
      <w:rFonts w:ascii="Times New Roman" w:hAnsi="Times New Roman" w:cs="Times New Roman"/>
      <w:b/>
      <w:bCs/>
      <w:i/>
      <w:iCs/>
      <w:sz w:val="24"/>
      <w:szCs w:val="24"/>
    </w:rPr>
  </w:style>
  <w:style w:type="paragraph" w:styleId="TM2">
    <w:name w:val="toc 2"/>
    <w:basedOn w:val="Normal"/>
    <w:next w:val="Normal"/>
    <w:autoRedefine/>
    <w:semiHidden/>
    <w:rsid w:val="000C5465"/>
    <w:pPr>
      <w:spacing w:before="120"/>
      <w:ind w:left="200"/>
    </w:pPr>
    <w:rPr>
      <w:rFonts w:ascii="Times New Roman" w:hAnsi="Times New Roman" w:cs="Times New Roman"/>
      <w:b/>
      <w:bCs/>
    </w:rPr>
  </w:style>
  <w:style w:type="paragraph" w:styleId="TM3">
    <w:name w:val="toc 3"/>
    <w:basedOn w:val="Normal"/>
    <w:next w:val="Normal"/>
    <w:autoRedefine/>
    <w:semiHidden/>
    <w:rsid w:val="000C5465"/>
    <w:pPr>
      <w:spacing w:before="240" w:after="120"/>
      <w:ind w:left="403"/>
    </w:pPr>
    <w:rPr>
      <w:b/>
      <w:bCs/>
    </w:rPr>
  </w:style>
  <w:style w:type="paragraph" w:styleId="TM4">
    <w:name w:val="toc 4"/>
    <w:basedOn w:val="Normal"/>
    <w:next w:val="Normal"/>
    <w:autoRedefine/>
    <w:semiHidden/>
    <w:rsid w:val="000C5465"/>
    <w:pPr>
      <w:ind w:left="600"/>
    </w:pPr>
    <w:rPr>
      <w:rFonts w:ascii="Times New Roman" w:hAnsi="Times New Roman" w:cs="Times New Roman"/>
    </w:rPr>
  </w:style>
  <w:style w:type="paragraph" w:styleId="TM5">
    <w:name w:val="toc 5"/>
    <w:basedOn w:val="Normal"/>
    <w:next w:val="Normal"/>
    <w:autoRedefine/>
    <w:semiHidden/>
    <w:rsid w:val="000C5465"/>
    <w:pPr>
      <w:ind w:left="800"/>
    </w:pPr>
    <w:rPr>
      <w:rFonts w:ascii="Times New Roman" w:hAnsi="Times New Roman" w:cs="Times New Roman"/>
    </w:rPr>
  </w:style>
  <w:style w:type="paragraph" w:styleId="TM6">
    <w:name w:val="toc 6"/>
    <w:basedOn w:val="Normal"/>
    <w:next w:val="Normal"/>
    <w:autoRedefine/>
    <w:semiHidden/>
    <w:rsid w:val="000C5465"/>
    <w:pPr>
      <w:tabs>
        <w:tab w:val="right" w:leader="dot" w:pos="9344"/>
      </w:tabs>
      <w:ind w:left="1000"/>
    </w:pPr>
    <w:rPr>
      <w:noProof/>
      <w:sz w:val="18"/>
      <w:szCs w:val="18"/>
    </w:rPr>
  </w:style>
  <w:style w:type="paragraph" w:styleId="TM7">
    <w:name w:val="toc 7"/>
    <w:basedOn w:val="Normal"/>
    <w:next w:val="Normal"/>
    <w:autoRedefine/>
    <w:semiHidden/>
    <w:rsid w:val="000C5465"/>
    <w:pPr>
      <w:ind w:left="1200"/>
    </w:pPr>
    <w:rPr>
      <w:rFonts w:ascii="Times New Roman" w:hAnsi="Times New Roman" w:cs="Times New Roman"/>
    </w:rPr>
  </w:style>
  <w:style w:type="paragraph" w:styleId="TM8">
    <w:name w:val="toc 8"/>
    <w:basedOn w:val="Normal"/>
    <w:next w:val="Normal"/>
    <w:autoRedefine/>
    <w:semiHidden/>
    <w:rsid w:val="000C5465"/>
    <w:pPr>
      <w:ind w:left="1400"/>
    </w:pPr>
    <w:rPr>
      <w:rFonts w:ascii="Times New Roman" w:hAnsi="Times New Roman" w:cs="Times New Roman"/>
    </w:rPr>
  </w:style>
  <w:style w:type="paragraph" w:styleId="TM9">
    <w:name w:val="toc 9"/>
    <w:basedOn w:val="Normal"/>
    <w:next w:val="Normal"/>
    <w:autoRedefine/>
    <w:semiHidden/>
    <w:rsid w:val="000C5465"/>
    <w:pPr>
      <w:ind w:left="1600"/>
    </w:pPr>
    <w:rPr>
      <w:sz w:val="18"/>
      <w:szCs w:val="18"/>
    </w:rPr>
  </w:style>
  <w:style w:type="paragraph" w:styleId="Retraitcorpsdetexte">
    <w:name w:val="Body Text Indent"/>
    <w:basedOn w:val="Normal"/>
    <w:rsid w:val="000C5465"/>
    <w:pPr>
      <w:ind w:left="1413" w:hanging="705"/>
    </w:pPr>
    <w:rPr>
      <w:snapToGrid w:val="0"/>
    </w:rPr>
  </w:style>
  <w:style w:type="paragraph" w:styleId="Normalcentr">
    <w:name w:val="Block Text"/>
    <w:basedOn w:val="Normal"/>
    <w:rsid w:val="000C5465"/>
    <w:pPr>
      <w:pBdr>
        <w:top w:val="double" w:sz="6" w:space="11" w:color="auto" w:shadow="1"/>
        <w:left w:val="double" w:sz="6" w:space="0" w:color="auto" w:shadow="1"/>
        <w:bottom w:val="double" w:sz="6" w:space="11" w:color="auto" w:shadow="1"/>
        <w:right w:val="double" w:sz="6" w:space="0" w:color="auto" w:shadow="1"/>
      </w:pBdr>
      <w:ind w:left="851" w:right="849"/>
      <w:jc w:val="center"/>
    </w:pPr>
    <w:rPr>
      <w:b/>
      <w:bCs/>
      <w:sz w:val="32"/>
      <w:szCs w:val="32"/>
    </w:rPr>
  </w:style>
  <w:style w:type="paragraph" w:styleId="NormalWeb">
    <w:name w:val="Normal (Web)"/>
    <w:basedOn w:val="Normal"/>
    <w:uiPriority w:val="99"/>
    <w:rsid w:val="00D531E8"/>
    <w:pPr>
      <w:spacing w:before="100" w:beforeAutospacing="1" w:after="100" w:afterAutospacing="1" w:line="240" w:lineRule="auto"/>
    </w:pPr>
    <w:rPr>
      <w:rFonts w:ascii="Times New Roman" w:hAnsi="Times New Roman" w:cs="Times New Roman"/>
      <w:sz w:val="24"/>
      <w:szCs w:val="24"/>
    </w:rPr>
  </w:style>
  <w:style w:type="table" w:styleId="Grilledutableau">
    <w:name w:val="Table Grid"/>
    <w:basedOn w:val="TableauNormal"/>
    <w:rsid w:val="00317E4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F659CA"/>
    <w:rPr>
      <w:color w:val="0000FF"/>
      <w:u w:val="single"/>
    </w:rPr>
  </w:style>
  <w:style w:type="paragraph" w:customStyle="1" w:styleId="CarCarCarCarCarCarCarCarCarCarCarCarCarCarCarCar">
    <w:name w:val="Car Car Car Car Car Car Car Car Car Car Car Car Car Car Car Car"/>
    <w:basedOn w:val="Normal"/>
    <w:rsid w:val="00BD3307"/>
    <w:pPr>
      <w:spacing w:line="240" w:lineRule="exact"/>
    </w:pPr>
    <w:rPr>
      <w:rFonts w:ascii="Verdana" w:hAnsi="Verdana" w:cs="Times New Roman"/>
      <w:sz w:val="24"/>
      <w:szCs w:val="24"/>
      <w:lang w:val="nl-BE"/>
    </w:rPr>
  </w:style>
  <w:style w:type="paragraph" w:customStyle="1" w:styleId="CarCar">
    <w:name w:val="Car Car"/>
    <w:basedOn w:val="Normal"/>
    <w:rsid w:val="00DD4F50"/>
    <w:pPr>
      <w:spacing w:line="240" w:lineRule="exact"/>
    </w:pPr>
    <w:rPr>
      <w:rFonts w:ascii="Verdana" w:hAnsi="Verdana" w:cs="Times New Roman"/>
      <w:sz w:val="24"/>
      <w:szCs w:val="24"/>
      <w:lang w:val="nl-BE"/>
    </w:rPr>
  </w:style>
  <w:style w:type="character" w:styleId="Lienhypertextesuivivisit">
    <w:name w:val="FollowedHyperlink"/>
    <w:basedOn w:val="Policepardfaut"/>
    <w:rsid w:val="00100C5D"/>
    <w:rPr>
      <w:color w:val="800080"/>
      <w:u w:val="single"/>
    </w:rPr>
  </w:style>
  <w:style w:type="character" w:customStyle="1" w:styleId="verdana11rouge1">
    <w:name w:val="verdana11rouge1"/>
    <w:basedOn w:val="Policepardfaut"/>
    <w:rsid w:val="001A37CE"/>
    <w:rPr>
      <w:rFonts w:ascii="Verdana" w:hAnsi="Verdana" w:hint="default"/>
      <w:color w:val="AF0C1F"/>
      <w:sz w:val="17"/>
      <w:szCs w:val="17"/>
    </w:rPr>
  </w:style>
  <w:style w:type="paragraph" w:customStyle="1" w:styleId="Car">
    <w:name w:val="Car"/>
    <w:basedOn w:val="Normal"/>
    <w:rsid w:val="001230DF"/>
    <w:pPr>
      <w:spacing w:line="240" w:lineRule="exact"/>
    </w:pPr>
    <w:rPr>
      <w:rFonts w:ascii="Verdana" w:hAnsi="Verdana" w:cs="Times New Roman"/>
      <w:sz w:val="24"/>
      <w:szCs w:val="24"/>
      <w:lang w:val="nl-BE"/>
    </w:rPr>
  </w:style>
  <w:style w:type="character" w:styleId="lev">
    <w:name w:val="Strong"/>
    <w:basedOn w:val="Policepardfaut"/>
    <w:qFormat/>
    <w:rsid w:val="00424A39"/>
    <w:rPr>
      <w:b/>
      <w:bCs/>
    </w:rPr>
  </w:style>
  <w:style w:type="paragraph" w:customStyle="1" w:styleId="CarCarCar">
    <w:name w:val="Car Car Car"/>
    <w:basedOn w:val="Normal"/>
    <w:rsid w:val="007866FA"/>
    <w:pPr>
      <w:spacing w:line="240" w:lineRule="exact"/>
    </w:pPr>
    <w:rPr>
      <w:rFonts w:ascii="Verdana" w:hAnsi="Verdana" w:cs="Times New Roman"/>
      <w:sz w:val="24"/>
      <w:szCs w:val="24"/>
      <w:lang w:val="nl-BE"/>
    </w:rPr>
  </w:style>
  <w:style w:type="paragraph" w:customStyle="1" w:styleId="CarCarCarCar">
    <w:name w:val="Car Car Car Car"/>
    <w:basedOn w:val="Normal"/>
    <w:rsid w:val="00F03478"/>
    <w:pPr>
      <w:spacing w:line="240" w:lineRule="exact"/>
    </w:pPr>
    <w:rPr>
      <w:rFonts w:ascii="Verdana" w:hAnsi="Verdana" w:cs="Times New Roman"/>
      <w:sz w:val="24"/>
      <w:szCs w:val="24"/>
      <w:lang w:val="nl-BE"/>
    </w:rPr>
  </w:style>
  <w:style w:type="paragraph" w:customStyle="1" w:styleId="CarCarCarCarCarCarCarCarCarCarCarCarCar">
    <w:name w:val="Car Car Car Car Car Car Car Car Car Car Car Car Car"/>
    <w:basedOn w:val="Normal"/>
    <w:rsid w:val="002B4DA5"/>
    <w:pPr>
      <w:spacing w:line="240" w:lineRule="exact"/>
    </w:pPr>
    <w:rPr>
      <w:rFonts w:ascii="Verdana" w:hAnsi="Verdana" w:cs="Times New Roman"/>
      <w:sz w:val="24"/>
      <w:szCs w:val="24"/>
      <w:lang w:val="nl-BE"/>
    </w:rPr>
  </w:style>
  <w:style w:type="character" w:styleId="Marquedecommentaire">
    <w:name w:val="annotation reference"/>
    <w:basedOn w:val="Policepardfaut"/>
    <w:semiHidden/>
    <w:rsid w:val="00EA3153"/>
    <w:rPr>
      <w:sz w:val="16"/>
      <w:szCs w:val="16"/>
    </w:rPr>
  </w:style>
  <w:style w:type="paragraph" w:styleId="Commentaire">
    <w:name w:val="annotation text"/>
    <w:basedOn w:val="Normal"/>
    <w:link w:val="CommentaireCar"/>
    <w:semiHidden/>
    <w:rsid w:val="00EA3153"/>
  </w:style>
  <w:style w:type="paragraph" w:styleId="Objetducommentaire">
    <w:name w:val="annotation subject"/>
    <w:basedOn w:val="Commentaire"/>
    <w:next w:val="Commentaire"/>
    <w:semiHidden/>
    <w:rsid w:val="00EA3153"/>
    <w:rPr>
      <w:b/>
      <w:bCs/>
    </w:rPr>
  </w:style>
  <w:style w:type="paragraph" w:customStyle="1" w:styleId="CarCarCarCarCarCarCarCarCarCar">
    <w:name w:val="Car Car Car Car Car Car Car Car Car Car"/>
    <w:basedOn w:val="Normal"/>
    <w:rsid w:val="0068384C"/>
    <w:pPr>
      <w:spacing w:line="240" w:lineRule="exact"/>
    </w:pPr>
    <w:rPr>
      <w:rFonts w:ascii="Verdana" w:hAnsi="Verdana" w:cs="Times New Roman"/>
      <w:sz w:val="24"/>
      <w:szCs w:val="24"/>
      <w:lang w:val="nl-BE"/>
    </w:rPr>
  </w:style>
  <w:style w:type="paragraph" w:customStyle="1" w:styleId="CarCarCarCarCarCarCarCarCarCarCarCarCarCarCarCarCarCar">
    <w:name w:val="Car Car Car Car Car Car Car Car Car Car Car Car Car Car Car Car Car Car"/>
    <w:basedOn w:val="Normal"/>
    <w:rsid w:val="00C84958"/>
    <w:pPr>
      <w:spacing w:line="240" w:lineRule="exact"/>
    </w:pPr>
    <w:rPr>
      <w:rFonts w:ascii="Verdana" w:hAnsi="Verdana" w:cs="Times New Roman"/>
      <w:sz w:val="24"/>
      <w:szCs w:val="24"/>
      <w:lang w:val="nl-BE"/>
    </w:rPr>
  </w:style>
  <w:style w:type="paragraph" w:customStyle="1" w:styleId="CarCarCarCarCarCarCarCarCarCarCarCarCarCarCarCarCarCarCarCarCarCarCarCarCarCarCarCarCarCarCarCarCarCarCarCar">
    <w:name w:val="Car Car Car Car Car Car Car Car Car Car Car Car Car Car Car Car Car Car Car Car Car Car Car Car Car Car Car Car Car Car Car Car Car Car Car Car"/>
    <w:basedOn w:val="Normal"/>
    <w:rsid w:val="00B27183"/>
    <w:pPr>
      <w:spacing w:line="240" w:lineRule="exact"/>
    </w:pPr>
    <w:rPr>
      <w:rFonts w:ascii="Verdana" w:hAnsi="Verdana" w:cs="Times New Roman"/>
      <w:sz w:val="24"/>
      <w:szCs w:val="24"/>
      <w:lang w:val="nl-BE"/>
    </w:rPr>
  </w:style>
  <w:style w:type="paragraph" w:customStyle="1" w:styleId="Default">
    <w:name w:val="Default"/>
    <w:rsid w:val="00141938"/>
    <w:pPr>
      <w:autoSpaceDE w:val="0"/>
      <w:autoSpaceDN w:val="0"/>
      <w:adjustRightInd w:val="0"/>
    </w:pPr>
    <w:rPr>
      <w:rFonts w:ascii="Century Schoolbook" w:hAnsi="Century Schoolbook" w:cs="Century Schoolbook"/>
      <w:color w:val="000000"/>
      <w:sz w:val="24"/>
      <w:szCs w:val="24"/>
    </w:rPr>
  </w:style>
  <w:style w:type="paragraph" w:customStyle="1" w:styleId="CarCarCarCarCarCarCarCarCarCarCarCarCarCarCarCarCarCarCarCarCarCarCarCarCarCarCarCarCarCarCarCarCarCarCarCar1">
    <w:name w:val="Car Car Car Car Car Car Car Car Car Car Car Car Car Car Car Car Car Car Car Car Car Car Car Car Car Car Car Car Car Car Car Car Car Car Car Car1"/>
    <w:basedOn w:val="Normal"/>
    <w:rsid w:val="002249E6"/>
    <w:pPr>
      <w:spacing w:line="240" w:lineRule="exact"/>
    </w:pPr>
    <w:rPr>
      <w:rFonts w:ascii="Verdana" w:hAnsi="Verdana" w:cs="Times New Roman"/>
      <w:sz w:val="24"/>
      <w:szCs w:val="24"/>
      <w:lang w:val="nl-BE"/>
    </w:rPr>
  </w:style>
  <w:style w:type="paragraph" w:customStyle="1" w:styleId="CarCarCarCarCarCarCarCarCarCarCarCarCarCarCarCarCarCar1Car">
    <w:name w:val="Car Car Car Car Car Car Car Car Car Car Car Car Car Car Car Car Car Car1 Car"/>
    <w:basedOn w:val="Normal"/>
    <w:rsid w:val="00816051"/>
    <w:pPr>
      <w:spacing w:line="240" w:lineRule="exact"/>
    </w:pPr>
    <w:rPr>
      <w:rFonts w:ascii="Verdana" w:hAnsi="Verdana" w:cs="Times New Roman"/>
      <w:sz w:val="24"/>
      <w:szCs w:val="24"/>
      <w:lang w:val="nl-BE"/>
    </w:rPr>
  </w:style>
  <w:style w:type="paragraph" w:styleId="Paragraphedeliste">
    <w:name w:val="List Paragraph"/>
    <w:aliases w:val="Paragraphe EI,Paragraphe de liste1,EC,List Paragraph_Sections"/>
    <w:basedOn w:val="Normal"/>
    <w:link w:val="ParagraphedelisteCar"/>
    <w:uiPriority w:val="34"/>
    <w:qFormat/>
    <w:rsid w:val="00F566BB"/>
    <w:pPr>
      <w:ind w:left="708"/>
    </w:pPr>
  </w:style>
  <w:style w:type="paragraph" w:customStyle="1" w:styleId="CarCarCarCarCarCarCarCarCarCarCarCarCarCarCar">
    <w:name w:val="Car Car Car Car Car Car Car Car Car Car Car Car Car Car Car"/>
    <w:basedOn w:val="Normal"/>
    <w:rsid w:val="005F2444"/>
    <w:pPr>
      <w:spacing w:line="240" w:lineRule="exact"/>
    </w:pPr>
    <w:rPr>
      <w:rFonts w:ascii="Verdana" w:hAnsi="Verdana" w:cs="Times New Roman"/>
      <w:sz w:val="24"/>
      <w:szCs w:val="24"/>
      <w:lang w:val="nl-BE"/>
    </w:rPr>
  </w:style>
  <w:style w:type="character" w:customStyle="1" w:styleId="ParagraphedelisteCar">
    <w:name w:val="Paragraphe de liste Car"/>
    <w:aliases w:val="Paragraphe EI Car,Paragraphe de liste1 Car,EC Car,List Paragraph_Sections Car"/>
    <w:basedOn w:val="Policepardfaut"/>
    <w:link w:val="Paragraphedeliste"/>
    <w:uiPriority w:val="34"/>
    <w:rsid w:val="00EF76ED"/>
    <w:rPr>
      <w:rFonts w:ascii="Arial" w:hAnsi="Arial" w:cs="Arial"/>
    </w:rPr>
  </w:style>
  <w:style w:type="paragraph" w:customStyle="1" w:styleId="par">
    <w:name w:val="par"/>
    <w:basedOn w:val="Normal"/>
    <w:link w:val="parCar"/>
    <w:qFormat/>
    <w:rsid w:val="00FF6D4A"/>
    <w:rPr>
      <w:snapToGrid w:val="0"/>
    </w:rPr>
  </w:style>
  <w:style w:type="character" w:customStyle="1" w:styleId="parCar">
    <w:name w:val="par Car"/>
    <w:basedOn w:val="Policepardfaut"/>
    <w:link w:val="par"/>
    <w:rsid w:val="00FF6D4A"/>
    <w:rPr>
      <w:rFonts w:ascii="Arial" w:hAnsi="Arial" w:cs="Arial"/>
      <w:snapToGrid w:val="0"/>
    </w:rPr>
  </w:style>
  <w:style w:type="paragraph" w:customStyle="1" w:styleId="Pardfaut">
    <w:name w:val="Par défaut"/>
    <w:rsid w:val="00E515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Mentionnonrsolue">
    <w:name w:val="Unresolved Mention"/>
    <w:basedOn w:val="Policepardfaut"/>
    <w:uiPriority w:val="99"/>
    <w:semiHidden/>
    <w:unhideWhenUsed/>
    <w:rsid w:val="002A0303"/>
    <w:rPr>
      <w:color w:val="605E5C"/>
      <w:shd w:val="clear" w:color="auto" w:fill="E1DFDD"/>
    </w:rPr>
  </w:style>
  <w:style w:type="character" w:customStyle="1" w:styleId="NotedebasdepageCar">
    <w:name w:val="Note de bas de page Car"/>
    <w:aliases w:val="Note de bas de page Car Car Car,Note de bas de page Car Car Car Car Car Car Car Car Car Car,Note de bas de page Car Car Car Car Car Car Car Car Car1,Note de bas de page Car Car Car Car Car"/>
    <w:basedOn w:val="Policepardfaut"/>
    <w:link w:val="Notedebasdepage"/>
    <w:rsid w:val="007415A3"/>
    <w:rPr>
      <w:rFonts w:ascii="Arial" w:hAnsi="Arial" w:cs="Arial"/>
      <w:sz w:val="18"/>
      <w:szCs w:val="18"/>
    </w:rPr>
  </w:style>
  <w:style w:type="paragraph" w:customStyle="1" w:styleId="xmsonormal">
    <w:name w:val="x_msonormal"/>
    <w:basedOn w:val="Normal"/>
    <w:rsid w:val="0048245E"/>
    <w:pPr>
      <w:spacing w:line="240" w:lineRule="auto"/>
    </w:pPr>
    <w:rPr>
      <w:rFonts w:ascii="Calibri" w:hAnsi="Calibri" w:cs="Calibri"/>
    </w:rPr>
  </w:style>
  <w:style w:type="paragraph" w:customStyle="1" w:styleId="Style1">
    <w:name w:val="Style1"/>
    <w:basedOn w:val="Normal"/>
    <w:link w:val="Style1Car"/>
    <w:qFormat/>
    <w:rsid w:val="00FE2FE7"/>
    <w:pPr>
      <w:numPr>
        <w:numId w:val="8"/>
      </w:numPr>
      <w:tabs>
        <w:tab w:val="clear" w:pos="4188"/>
        <w:tab w:val="num" w:pos="709"/>
      </w:tabs>
      <w:spacing w:line="240" w:lineRule="atLeast"/>
    </w:pPr>
    <w:rPr>
      <w:b/>
      <w:bCs/>
      <w:snapToGrid w:val="0"/>
    </w:rPr>
  </w:style>
  <w:style w:type="paragraph" w:styleId="Titre">
    <w:name w:val="Title"/>
    <w:basedOn w:val="Normal"/>
    <w:next w:val="Normal"/>
    <w:link w:val="TitreCar"/>
    <w:qFormat/>
    <w:rsid w:val="00FB47C2"/>
    <w:pPr>
      <w:spacing w:line="240" w:lineRule="auto"/>
      <w:contextualSpacing/>
    </w:pPr>
    <w:rPr>
      <w:rFonts w:asciiTheme="majorHAnsi" w:eastAsiaTheme="majorEastAsia" w:hAnsiTheme="majorHAnsi" w:cstheme="majorBidi"/>
      <w:spacing w:val="-10"/>
      <w:kern w:val="28"/>
      <w:sz w:val="56"/>
      <w:szCs w:val="56"/>
    </w:rPr>
  </w:style>
  <w:style w:type="character" w:customStyle="1" w:styleId="Style1Car">
    <w:name w:val="Style1 Car"/>
    <w:basedOn w:val="Policepardfaut"/>
    <w:link w:val="Style1"/>
    <w:rsid w:val="00FE2FE7"/>
    <w:rPr>
      <w:rFonts w:asciiTheme="minorHAnsi" w:eastAsiaTheme="minorHAnsi" w:hAnsiTheme="minorHAnsi" w:cstheme="minorBidi"/>
      <w:b/>
      <w:bCs/>
      <w:snapToGrid w:val="0"/>
      <w:sz w:val="22"/>
      <w:szCs w:val="22"/>
      <w:lang w:eastAsia="en-US"/>
    </w:rPr>
  </w:style>
  <w:style w:type="character" w:customStyle="1" w:styleId="TitreCar">
    <w:name w:val="Titre Car"/>
    <w:basedOn w:val="Policepardfaut"/>
    <w:link w:val="Titre"/>
    <w:rsid w:val="00FB47C2"/>
    <w:rPr>
      <w:rFonts w:asciiTheme="majorHAnsi" w:eastAsiaTheme="majorEastAsia" w:hAnsiTheme="majorHAnsi" w:cstheme="majorBidi"/>
      <w:spacing w:val="-10"/>
      <w:kern w:val="28"/>
      <w:sz w:val="56"/>
      <w:szCs w:val="56"/>
    </w:rPr>
  </w:style>
  <w:style w:type="paragraph" w:styleId="Rvision">
    <w:name w:val="Revision"/>
    <w:hidden/>
    <w:uiPriority w:val="99"/>
    <w:semiHidden/>
    <w:rsid w:val="0035344C"/>
    <w:rPr>
      <w:rFonts w:ascii="Arial" w:hAnsi="Arial" w:cs="Arial"/>
    </w:rPr>
  </w:style>
  <w:style w:type="character" w:customStyle="1" w:styleId="CommentaireCar">
    <w:name w:val="Commentaire Car"/>
    <w:basedOn w:val="Policepardfaut"/>
    <w:link w:val="Commentaire"/>
    <w:semiHidden/>
    <w:rsid w:val="00BD2C61"/>
    <w:rPr>
      <w:rFonts w:asciiTheme="minorHAnsi" w:eastAsiaTheme="minorHAnsi" w:hAnsiTheme="minorHAnsi" w:cstheme="minorBidi"/>
      <w:sz w:val="22"/>
      <w:szCs w:val="22"/>
      <w:lang w:eastAsia="en-US"/>
    </w:rPr>
  </w:style>
  <w:style w:type="paragraph" w:styleId="Sansinterligne">
    <w:name w:val="No Spacing"/>
    <w:uiPriority w:val="1"/>
    <w:qFormat/>
    <w:rsid w:val="008A6499"/>
    <w:rPr>
      <w:rFonts w:asciiTheme="minorHAnsi" w:eastAsiaTheme="minorHAnsi" w:hAnsiTheme="minorHAnsi" w:cstheme="minorBidi"/>
      <w:sz w:val="22"/>
      <w:szCs w:val="22"/>
      <w:lang w:eastAsia="en-US"/>
    </w:rPr>
  </w:style>
  <w:style w:type="character" w:customStyle="1" w:styleId="ts-alignment-element">
    <w:name w:val="ts-alignment-element"/>
    <w:basedOn w:val="Policepardfaut"/>
    <w:rsid w:val="00A45458"/>
  </w:style>
  <w:style w:type="character" w:customStyle="1" w:styleId="ts-alignment-element-highlighted">
    <w:name w:val="ts-alignment-element-highlighted"/>
    <w:basedOn w:val="Policepardfaut"/>
    <w:rsid w:val="00A4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528">
      <w:bodyDiv w:val="1"/>
      <w:marLeft w:val="0"/>
      <w:marRight w:val="0"/>
      <w:marTop w:val="0"/>
      <w:marBottom w:val="0"/>
      <w:divBdr>
        <w:top w:val="none" w:sz="0" w:space="0" w:color="auto"/>
        <w:left w:val="none" w:sz="0" w:space="0" w:color="auto"/>
        <w:bottom w:val="none" w:sz="0" w:space="0" w:color="auto"/>
        <w:right w:val="none" w:sz="0" w:space="0" w:color="auto"/>
      </w:divBdr>
    </w:div>
    <w:div w:id="64034993">
      <w:bodyDiv w:val="1"/>
      <w:marLeft w:val="0"/>
      <w:marRight w:val="0"/>
      <w:marTop w:val="0"/>
      <w:marBottom w:val="0"/>
      <w:divBdr>
        <w:top w:val="none" w:sz="0" w:space="0" w:color="auto"/>
        <w:left w:val="none" w:sz="0" w:space="0" w:color="auto"/>
        <w:bottom w:val="none" w:sz="0" w:space="0" w:color="auto"/>
        <w:right w:val="none" w:sz="0" w:space="0" w:color="auto"/>
      </w:divBdr>
    </w:div>
    <w:div w:id="92826023">
      <w:bodyDiv w:val="1"/>
      <w:marLeft w:val="0"/>
      <w:marRight w:val="0"/>
      <w:marTop w:val="0"/>
      <w:marBottom w:val="0"/>
      <w:divBdr>
        <w:top w:val="none" w:sz="0" w:space="0" w:color="auto"/>
        <w:left w:val="none" w:sz="0" w:space="0" w:color="auto"/>
        <w:bottom w:val="none" w:sz="0" w:space="0" w:color="auto"/>
        <w:right w:val="none" w:sz="0" w:space="0" w:color="auto"/>
      </w:divBdr>
    </w:div>
    <w:div w:id="110127945">
      <w:bodyDiv w:val="1"/>
      <w:marLeft w:val="0"/>
      <w:marRight w:val="0"/>
      <w:marTop w:val="0"/>
      <w:marBottom w:val="0"/>
      <w:divBdr>
        <w:top w:val="none" w:sz="0" w:space="0" w:color="auto"/>
        <w:left w:val="none" w:sz="0" w:space="0" w:color="auto"/>
        <w:bottom w:val="none" w:sz="0" w:space="0" w:color="auto"/>
        <w:right w:val="none" w:sz="0" w:space="0" w:color="auto"/>
      </w:divBdr>
    </w:div>
    <w:div w:id="130172802">
      <w:bodyDiv w:val="1"/>
      <w:marLeft w:val="0"/>
      <w:marRight w:val="0"/>
      <w:marTop w:val="0"/>
      <w:marBottom w:val="0"/>
      <w:divBdr>
        <w:top w:val="none" w:sz="0" w:space="0" w:color="auto"/>
        <w:left w:val="none" w:sz="0" w:space="0" w:color="auto"/>
        <w:bottom w:val="none" w:sz="0" w:space="0" w:color="auto"/>
        <w:right w:val="none" w:sz="0" w:space="0" w:color="auto"/>
      </w:divBdr>
    </w:div>
    <w:div w:id="161824237">
      <w:bodyDiv w:val="1"/>
      <w:marLeft w:val="0"/>
      <w:marRight w:val="0"/>
      <w:marTop w:val="0"/>
      <w:marBottom w:val="0"/>
      <w:divBdr>
        <w:top w:val="none" w:sz="0" w:space="0" w:color="auto"/>
        <w:left w:val="none" w:sz="0" w:space="0" w:color="auto"/>
        <w:bottom w:val="none" w:sz="0" w:space="0" w:color="auto"/>
        <w:right w:val="none" w:sz="0" w:space="0" w:color="auto"/>
      </w:divBdr>
    </w:div>
    <w:div w:id="229586430">
      <w:bodyDiv w:val="1"/>
      <w:marLeft w:val="0"/>
      <w:marRight w:val="0"/>
      <w:marTop w:val="0"/>
      <w:marBottom w:val="0"/>
      <w:divBdr>
        <w:top w:val="none" w:sz="0" w:space="0" w:color="auto"/>
        <w:left w:val="none" w:sz="0" w:space="0" w:color="auto"/>
        <w:bottom w:val="none" w:sz="0" w:space="0" w:color="auto"/>
        <w:right w:val="none" w:sz="0" w:space="0" w:color="auto"/>
      </w:divBdr>
    </w:div>
    <w:div w:id="234559420">
      <w:bodyDiv w:val="1"/>
      <w:marLeft w:val="0"/>
      <w:marRight w:val="0"/>
      <w:marTop w:val="0"/>
      <w:marBottom w:val="0"/>
      <w:divBdr>
        <w:top w:val="none" w:sz="0" w:space="0" w:color="auto"/>
        <w:left w:val="none" w:sz="0" w:space="0" w:color="auto"/>
        <w:bottom w:val="none" w:sz="0" w:space="0" w:color="auto"/>
        <w:right w:val="none" w:sz="0" w:space="0" w:color="auto"/>
      </w:divBdr>
    </w:div>
    <w:div w:id="280574998">
      <w:bodyDiv w:val="1"/>
      <w:marLeft w:val="0"/>
      <w:marRight w:val="0"/>
      <w:marTop w:val="0"/>
      <w:marBottom w:val="0"/>
      <w:divBdr>
        <w:top w:val="none" w:sz="0" w:space="0" w:color="auto"/>
        <w:left w:val="none" w:sz="0" w:space="0" w:color="auto"/>
        <w:bottom w:val="none" w:sz="0" w:space="0" w:color="auto"/>
        <w:right w:val="none" w:sz="0" w:space="0" w:color="auto"/>
      </w:divBdr>
      <w:divsChild>
        <w:div w:id="467893714">
          <w:marLeft w:val="0"/>
          <w:marRight w:val="0"/>
          <w:marTop w:val="0"/>
          <w:marBottom w:val="0"/>
          <w:divBdr>
            <w:top w:val="none" w:sz="0" w:space="0" w:color="auto"/>
            <w:left w:val="none" w:sz="0" w:space="0" w:color="auto"/>
            <w:bottom w:val="none" w:sz="0" w:space="0" w:color="auto"/>
            <w:right w:val="none" w:sz="0" w:space="0" w:color="auto"/>
          </w:divBdr>
          <w:divsChild>
            <w:div w:id="693118015">
              <w:marLeft w:val="0"/>
              <w:marRight w:val="0"/>
              <w:marTop w:val="0"/>
              <w:marBottom w:val="0"/>
              <w:divBdr>
                <w:top w:val="none" w:sz="0" w:space="0" w:color="auto"/>
                <w:left w:val="none" w:sz="0" w:space="0" w:color="auto"/>
                <w:bottom w:val="none" w:sz="0" w:space="0" w:color="auto"/>
                <w:right w:val="none" w:sz="0" w:space="0" w:color="auto"/>
              </w:divBdr>
              <w:divsChild>
                <w:div w:id="1963805255">
                  <w:marLeft w:val="0"/>
                  <w:marRight w:val="0"/>
                  <w:marTop w:val="0"/>
                  <w:marBottom w:val="0"/>
                  <w:divBdr>
                    <w:top w:val="none" w:sz="0" w:space="0" w:color="auto"/>
                    <w:left w:val="none" w:sz="0" w:space="0" w:color="auto"/>
                    <w:bottom w:val="none" w:sz="0" w:space="0" w:color="auto"/>
                    <w:right w:val="none" w:sz="0" w:space="0" w:color="auto"/>
                  </w:divBdr>
                  <w:divsChild>
                    <w:div w:id="1336302304">
                      <w:marLeft w:val="0"/>
                      <w:marRight w:val="0"/>
                      <w:marTop w:val="0"/>
                      <w:marBottom w:val="0"/>
                      <w:divBdr>
                        <w:top w:val="none" w:sz="0" w:space="0" w:color="auto"/>
                        <w:left w:val="none" w:sz="0" w:space="0" w:color="auto"/>
                        <w:bottom w:val="none" w:sz="0" w:space="0" w:color="auto"/>
                        <w:right w:val="none" w:sz="0" w:space="0" w:color="auto"/>
                      </w:divBdr>
                      <w:divsChild>
                        <w:div w:id="1958484442">
                          <w:marLeft w:val="0"/>
                          <w:marRight w:val="0"/>
                          <w:marTop w:val="0"/>
                          <w:marBottom w:val="0"/>
                          <w:divBdr>
                            <w:top w:val="none" w:sz="0" w:space="0" w:color="auto"/>
                            <w:left w:val="none" w:sz="0" w:space="0" w:color="auto"/>
                            <w:bottom w:val="none" w:sz="0" w:space="0" w:color="auto"/>
                            <w:right w:val="none" w:sz="0" w:space="0" w:color="auto"/>
                          </w:divBdr>
                          <w:divsChild>
                            <w:div w:id="574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595161">
      <w:bodyDiv w:val="1"/>
      <w:marLeft w:val="0"/>
      <w:marRight w:val="0"/>
      <w:marTop w:val="0"/>
      <w:marBottom w:val="0"/>
      <w:divBdr>
        <w:top w:val="none" w:sz="0" w:space="0" w:color="auto"/>
        <w:left w:val="none" w:sz="0" w:space="0" w:color="auto"/>
        <w:bottom w:val="none" w:sz="0" w:space="0" w:color="auto"/>
        <w:right w:val="none" w:sz="0" w:space="0" w:color="auto"/>
      </w:divBdr>
    </w:div>
    <w:div w:id="315232135">
      <w:bodyDiv w:val="1"/>
      <w:marLeft w:val="0"/>
      <w:marRight w:val="0"/>
      <w:marTop w:val="0"/>
      <w:marBottom w:val="0"/>
      <w:divBdr>
        <w:top w:val="none" w:sz="0" w:space="0" w:color="auto"/>
        <w:left w:val="none" w:sz="0" w:space="0" w:color="auto"/>
        <w:bottom w:val="none" w:sz="0" w:space="0" w:color="auto"/>
        <w:right w:val="none" w:sz="0" w:space="0" w:color="auto"/>
      </w:divBdr>
    </w:div>
    <w:div w:id="362944963">
      <w:bodyDiv w:val="1"/>
      <w:marLeft w:val="0"/>
      <w:marRight w:val="0"/>
      <w:marTop w:val="0"/>
      <w:marBottom w:val="0"/>
      <w:divBdr>
        <w:top w:val="none" w:sz="0" w:space="0" w:color="auto"/>
        <w:left w:val="none" w:sz="0" w:space="0" w:color="auto"/>
        <w:bottom w:val="none" w:sz="0" w:space="0" w:color="auto"/>
        <w:right w:val="none" w:sz="0" w:space="0" w:color="auto"/>
      </w:divBdr>
    </w:div>
    <w:div w:id="387845048">
      <w:bodyDiv w:val="1"/>
      <w:marLeft w:val="0"/>
      <w:marRight w:val="0"/>
      <w:marTop w:val="0"/>
      <w:marBottom w:val="0"/>
      <w:divBdr>
        <w:top w:val="none" w:sz="0" w:space="0" w:color="auto"/>
        <w:left w:val="none" w:sz="0" w:space="0" w:color="auto"/>
        <w:bottom w:val="none" w:sz="0" w:space="0" w:color="auto"/>
        <w:right w:val="none" w:sz="0" w:space="0" w:color="auto"/>
      </w:divBdr>
    </w:div>
    <w:div w:id="392893957">
      <w:bodyDiv w:val="1"/>
      <w:marLeft w:val="0"/>
      <w:marRight w:val="0"/>
      <w:marTop w:val="0"/>
      <w:marBottom w:val="0"/>
      <w:divBdr>
        <w:top w:val="none" w:sz="0" w:space="0" w:color="auto"/>
        <w:left w:val="none" w:sz="0" w:space="0" w:color="auto"/>
        <w:bottom w:val="none" w:sz="0" w:space="0" w:color="auto"/>
        <w:right w:val="none" w:sz="0" w:space="0" w:color="auto"/>
      </w:divBdr>
    </w:div>
    <w:div w:id="407119394">
      <w:bodyDiv w:val="1"/>
      <w:marLeft w:val="0"/>
      <w:marRight w:val="0"/>
      <w:marTop w:val="0"/>
      <w:marBottom w:val="0"/>
      <w:divBdr>
        <w:top w:val="none" w:sz="0" w:space="0" w:color="auto"/>
        <w:left w:val="none" w:sz="0" w:space="0" w:color="auto"/>
        <w:bottom w:val="none" w:sz="0" w:space="0" w:color="auto"/>
        <w:right w:val="none" w:sz="0" w:space="0" w:color="auto"/>
      </w:divBdr>
    </w:div>
    <w:div w:id="422923660">
      <w:bodyDiv w:val="1"/>
      <w:marLeft w:val="0"/>
      <w:marRight w:val="0"/>
      <w:marTop w:val="0"/>
      <w:marBottom w:val="0"/>
      <w:divBdr>
        <w:top w:val="none" w:sz="0" w:space="0" w:color="auto"/>
        <w:left w:val="none" w:sz="0" w:space="0" w:color="auto"/>
        <w:bottom w:val="none" w:sz="0" w:space="0" w:color="auto"/>
        <w:right w:val="none" w:sz="0" w:space="0" w:color="auto"/>
      </w:divBdr>
    </w:div>
    <w:div w:id="432744090">
      <w:bodyDiv w:val="1"/>
      <w:marLeft w:val="0"/>
      <w:marRight w:val="0"/>
      <w:marTop w:val="0"/>
      <w:marBottom w:val="0"/>
      <w:divBdr>
        <w:top w:val="none" w:sz="0" w:space="0" w:color="auto"/>
        <w:left w:val="none" w:sz="0" w:space="0" w:color="auto"/>
        <w:bottom w:val="none" w:sz="0" w:space="0" w:color="auto"/>
        <w:right w:val="none" w:sz="0" w:space="0" w:color="auto"/>
      </w:divBdr>
    </w:div>
    <w:div w:id="435560683">
      <w:bodyDiv w:val="1"/>
      <w:marLeft w:val="0"/>
      <w:marRight w:val="0"/>
      <w:marTop w:val="0"/>
      <w:marBottom w:val="0"/>
      <w:divBdr>
        <w:top w:val="none" w:sz="0" w:space="0" w:color="auto"/>
        <w:left w:val="none" w:sz="0" w:space="0" w:color="auto"/>
        <w:bottom w:val="none" w:sz="0" w:space="0" w:color="auto"/>
        <w:right w:val="none" w:sz="0" w:space="0" w:color="auto"/>
      </w:divBdr>
    </w:div>
    <w:div w:id="442655865">
      <w:bodyDiv w:val="1"/>
      <w:marLeft w:val="0"/>
      <w:marRight w:val="0"/>
      <w:marTop w:val="0"/>
      <w:marBottom w:val="0"/>
      <w:divBdr>
        <w:top w:val="none" w:sz="0" w:space="0" w:color="auto"/>
        <w:left w:val="none" w:sz="0" w:space="0" w:color="auto"/>
        <w:bottom w:val="none" w:sz="0" w:space="0" w:color="auto"/>
        <w:right w:val="none" w:sz="0" w:space="0" w:color="auto"/>
      </w:divBdr>
      <w:divsChild>
        <w:div w:id="1905986268">
          <w:marLeft w:val="0"/>
          <w:marRight w:val="0"/>
          <w:marTop w:val="0"/>
          <w:marBottom w:val="0"/>
          <w:divBdr>
            <w:top w:val="double" w:sz="4" w:space="6" w:color="auto"/>
            <w:left w:val="double" w:sz="4" w:space="4" w:color="auto"/>
            <w:bottom w:val="double" w:sz="4" w:space="4" w:color="auto"/>
            <w:right w:val="double" w:sz="4" w:space="2" w:color="auto"/>
          </w:divBdr>
        </w:div>
      </w:divsChild>
    </w:div>
    <w:div w:id="497035814">
      <w:bodyDiv w:val="1"/>
      <w:marLeft w:val="0"/>
      <w:marRight w:val="0"/>
      <w:marTop w:val="0"/>
      <w:marBottom w:val="0"/>
      <w:divBdr>
        <w:top w:val="none" w:sz="0" w:space="0" w:color="auto"/>
        <w:left w:val="none" w:sz="0" w:space="0" w:color="auto"/>
        <w:bottom w:val="none" w:sz="0" w:space="0" w:color="auto"/>
        <w:right w:val="none" w:sz="0" w:space="0" w:color="auto"/>
      </w:divBdr>
    </w:div>
    <w:div w:id="535656271">
      <w:bodyDiv w:val="1"/>
      <w:marLeft w:val="0"/>
      <w:marRight w:val="0"/>
      <w:marTop w:val="0"/>
      <w:marBottom w:val="0"/>
      <w:divBdr>
        <w:top w:val="none" w:sz="0" w:space="0" w:color="auto"/>
        <w:left w:val="none" w:sz="0" w:space="0" w:color="auto"/>
        <w:bottom w:val="none" w:sz="0" w:space="0" w:color="auto"/>
        <w:right w:val="none" w:sz="0" w:space="0" w:color="auto"/>
      </w:divBdr>
    </w:div>
    <w:div w:id="564805399">
      <w:bodyDiv w:val="1"/>
      <w:marLeft w:val="0"/>
      <w:marRight w:val="0"/>
      <w:marTop w:val="0"/>
      <w:marBottom w:val="0"/>
      <w:divBdr>
        <w:top w:val="none" w:sz="0" w:space="0" w:color="auto"/>
        <w:left w:val="none" w:sz="0" w:space="0" w:color="auto"/>
        <w:bottom w:val="none" w:sz="0" w:space="0" w:color="auto"/>
        <w:right w:val="none" w:sz="0" w:space="0" w:color="auto"/>
      </w:divBdr>
    </w:div>
    <w:div w:id="615333756">
      <w:bodyDiv w:val="1"/>
      <w:marLeft w:val="0"/>
      <w:marRight w:val="0"/>
      <w:marTop w:val="0"/>
      <w:marBottom w:val="0"/>
      <w:divBdr>
        <w:top w:val="none" w:sz="0" w:space="0" w:color="auto"/>
        <w:left w:val="none" w:sz="0" w:space="0" w:color="auto"/>
        <w:bottom w:val="none" w:sz="0" w:space="0" w:color="auto"/>
        <w:right w:val="none" w:sz="0" w:space="0" w:color="auto"/>
      </w:divBdr>
    </w:div>
    <w:div w:id="624970014">
      <w:bodyDiv w:val="1"/>
      <w:marLeft w:val="0"/>
      <w:marRight w:val="0"/>
      <w:marTop w:val="0"/>
      <w:marBottom w:val="0"/>
      <w:divBdr>
        <w:top w:val="none" w:sz="0" w:space="0" w:color="auto"/>
        <w:left w:val="none" w:sz="0" w:space="0" w:color="auto"/>
        <w:bottom w:val="none" w:sz="0" w:space="0" w:color="auto"/>
        <w:right w:val="none" w:sz="0" w:space="0" w:color="auto"/>
      </w:divBdr>
    </w:div>
    <w:div w:id="634529342">
      <w:bodyDiv w:val="1"/>
      <w:marLeft w:val="0"/>
      <w:marRight w:val="0"/>
      <w:marTop w:val="0"/>
      <w:marBottom w:val="0"/>
      <w:divBdr>
        <w:top w:val="none" w:sz="0" w:space="0" w:color="auto"/>
        <w:left w:val="none" w:sz="0" w:space="0" w:color="auto"/>
        <w:bottom w:val="none" w:sz="0" w:space="0" w:color="auto"/>
        <w:right w:val="none" w:sz="0" w:space="0" w:color="auto"/>
      </w:divBdr>
    </w:div>
    <w:div w:id="636104785">
      <w:bodyDiv w:val="1"/>
      <w:marLeft w:val="0"/>
      <w:marRight w:val="0"/>
      <w:marTop w:val="0"/>
      <w:marBottom w:val="0"/>
      <w:divBdr>
        <w:top w:val="none" w:sz="0" w:space="0" w:color="auto"/>
        <w:left w:val="none" w:sz="0" w:space="0" w:color="auto"/>
        <w:bottom w:val="none" w:sz="0" w:space="0" w:color="auto"/>
        <w:right w:val="none" w:sz="0" w:space="0" w:color="auto"/>
      </w:divBdr>
    </w:div>
    <w:div w:id="666443032">
      <w:bodyDiv w:val="1"/>
      <w:marLeft w:val="0"/>
      <w:marRight w:val="0"/>
      <w:marTop w:val="0"/>
      <w:marBottom w:val="0"/>
      <w:divBdr>
        <w:top w:val="none" w:sz="0" w:space="0" w:color="auto"/>
        <w:left w:val="none" w:sz="0" w:space="0" w:color="auto"/>
        <w:bottom w:val="none" w:sz="0" w:space="0" w:color="auto"/>
        <w:right w:val="none" w:sz="0" w:space="0" w:color="auto"/>
      </w:divBdr>
    </w:div>
    <w:div w:id="681665060">
      <w:bodyDiv w:val="1"/>
      <w:marLeft w:val="0"/>
      <w:marRight w:val="0"/>
      <w:marTop w:val="0"/>
      <w:marBottom w:val="0"/>
      <w:divBdr>
        <w:top w:val="none" w:sz="0" w:space="0" w:color="auto"/>
        <w:left w:val="none" w:sz="0" w:space="0" w:color="auto"/>
        <w:bottom w:val="none" w:sz="0" w:space="0" w:color="auto"/>
        <w:right w:val="none" w:sz="0" w:space="0" w:color="auto"/>
      </w:divBdr>
    </w:div>
    <w:div w:id="767775392">
      <w:bodyDiv w:val="1"/>
      <w:marLeft w:val="0"/>
      <w:marRight w:val="0"/>
      <w:marTop w:val="0"/>
      <w:marBottom w:val="0"/>
      <w:divBdr>
        <w:top w:val="none" w:sz="0" w:space="0" w:color="auto"/>
        <w:left w:val="none" w:sz="0" w:space="0" w:color="auto"/>
        <w:bottom w:val="none" w:sz="0" w:space="0" w:color="auto"/>
        <w:right w:val="none" w:sz="0" w:space="0" w:color="auto"/>
      </w:divBdr>
      <w:divsChild>
        <w:div w:id="1307197019">
          <w:marLeft w:val="0"/>
          <w:marRight w:val="0"/>
          <w:marTop w:val="0"/>
          <w:marBottom w:val="0"/>
          <w:divBdr>
            <w:top w:val="double" w:sz="4" w:space="6" w:color="auto"/>
            <w:left w:val="double" w:sz="4" w:space="4" w:color="auto"/>
            <w:bottom w:val="double" w:sz="4" w:space="4" w:color="auto"/>
            <w:right w:val="double" w:sz="4" w:space="2" w:color="auto"/>
          </w:divBdr>
        </w:div>
      </w:divsChild>
    </w:div>
    <w:div w:id="770197195">
      <w:bodyDiv w:val="1"/>
      <w:marLeft w:val="0"/>
      <w:marRight w:val="0"/>
      <w:marTop w:val="0"/>
      <w:marBottom w:val="0"/>
      <w:divBdr>
        <w:top w:val="none" w:sz="0" w:space="0" w:color="auto"/>
        <w:left w:val="none" w:sz="0" w:space="0" w:color="auto"/>
        <w:bottom w:val="none" w:sz="0" w:space="0" w:color="auto"/>
        <w:right w:val="none" w:sz="0" w:space="0" w:color="auto"/>
      </w:divBdr>
    </w:div>
    <w:div w:id="777063753">
      <w:bodyDiv w:val="1"/>
      <w:marLeft w:val="0"/>
      <w:marRight w:val="0"/>
      <w:marTop w:val="0"/>
      <w:marBottom w:val="0"/>
      <w:divBdr>
        <w:top w:val="none" w:sz="0" w:space="0" w:color="auto"/>
        <w:left w:val="none" w:sz="0" w:space="0" w:color="auto"/>
        <w:bottom w:val="none" w:sz="0" w:space="0" w:color="auto"/>
        <w:right w:val="none" w:sz="0" w:space="0" w:color="auto"/>
      </w:divBdr>
    </w:div>
    <w:div w:id="784734057">
      <w:bodyDiv w:val="1"/>
      <w:marLeft w:val="0"/>
      <w:marRight w:val="0"/>
      <w:marTop w:val="0"/>
      <w:marBottom w:val="0"/>
      <w:divBdr>
        <w:top w:val="none" w:sz="0" w:space="0" w:color="auto"/>
        <w:left w:val="none" w:sz="0" w:space="0" w:color="auto"/>
        <w:bottom w:val="none" w:sz="0" w:space="0" w:color="auto"/>
        <w:right w:val="none" w:sz="0" w:space="0" w:color="auto"/>
      </w:divBdr>
    </w:div>
    <w:div w:id="788355093">
      <w:bodyDiv w:val="1"/>
      <w:marLeft w:val="0"/>
      <w:marRight w:val="0"/>
      <w:marTop w:val="0"/>
      <w:marBottom w:val="0"/>
      <w:divBdr>
        <w:top w:val="none" w:sz="0" w:space="0" w:color="auto"/>
        <w:left w:val="none" w:sz="0" w:space="0" w:color="auto"/>
        <w:bottom w:val="none" w:sz="0" w:space="0" w:color="auto"/>
        <w:right w:val="none" w:sz="0" w:space="0" w:color="auto"/>
      </w:divBdr>
    </w:div>
    <w:div w:id="808211526">
      <w:bodyDiv w:val="1"/>
      <w:marLeft w:val="0"/>
      <w:marRight w:val="0"/>
      <w:marTop w:val="0"/>
      <w:marBottom w:val="0"/>
      <w:divBdr>
        <w:top w:val="none" w:sz="0" w:space="0" w:color="auto"/>
        <w:left w:val="none" w:sz="0" w:space="0" w:color="auto"/>
        <w:bottom w:val="none" w:sz="0" w:space="0" w:color="auto"/>
        <w:right w:val="none" w:sz="0" w:space="0" w:color="auto"/>
      </w:divBdr>
    </w:div>
    <w:div w:id="899557019">
      <w:bodyDiv w:val="1"/>
      <w:marLeft w:val="0"/>
      <w:marRight w:val="0"/>
      <w:marTop w:val="0"/>
      <w:marBottom w:val="0"/>
      <w:divBdr>
        <w:top w:val="none" w:sz="0" w:space="0" w:color="auto"/>
        <w:left w:val="none" w:sz="0" w:space="0" w:color="auto"/>
        <w:bottom w:val="none" w:sz="0" w:space="0" w:color="auto"/>
        <w:right w:val="none" w:sz="0" w:space="0" w:color="auto"/>
      </w:divBdr>
    </w:div>
    <w:div w:id="913322999">
      <w:bodyDiv w:val="1"/>
      <w:marLeft w:val="0"/>
      <w:marRight w:val="0"/>
      <w:marTop w:val="0"/>
      <w:marBottom w:val="0"/>
      <w:divBdr>
        <w:top w:val="none" w:sz="0" w:space="0" w:color="auto"/>
        <w:left w:val="none" w:sz="0" w:space="0" w:color="auto"/>
        <w:bottom w:val="none" w:sz="0" w:space="0" w:color="auto"/>
        <w:right w:val="none" w:sz="0" w:space="0" w:color="auto"/>
      </w:divBdr>
    </w:div>
    <w:div w:id="975833683">
      <w:bodyDiv w:val="1"/>
      <w:marLeft w:val="0"/>
      <w:marRight w:val="0"/>
      <w:marTop w:val="0"/>
      <w:marBottom w:val="0"/>
      <w:divBdr>
        <w:top w:val="none" w:sz="0" w:space="0" w:color="auto"/>
        <w:left w:val="none" w:sz="0" w:space="0" w:color="auto"/>
        <w:bottom w:val="none" w:sz="0" w:space="0" w:color="auto"/>
        <w:right w:val="none" w:sz="0" w:space="0" w:color="auto"/>
      </w:divBdr>
    </w:div>
    <w:div w:id="1000544270">
      <w:bodyDiv w:val="1"/>
      <w:marLeft w:val="0"/>
      <w:marRight w:val="0"/>
      <w:marTop w:val="0"/>
      <w:marBottom w:val="0"/>
      <w:divBdr>
        <w:top w:val="none" w:sz="0" w:space="0" w:color="auto"/>
        <w:left w:val="none" w:sz="0" w:space="0" w:color="auto"/>
        <w:bottom w:val="none" w:sz="0" w:space="0" w:color="auto"/>
        <w:right w:val="none" w:sz="0" w:space="0" w:color="auto"/>
      </w:divBdr>
    </w:div>
    <w:div w:id="1051929862">
      <w:bodyDiv w:val="1"/>
      <w:marLeft w:val="0"/>
      <w:marRight w:val="0"/>
      <w:marTop w:val="0"/>
      <w:marBottom w:val="0"/>
      <w:divBdr>
        <w:top w:val="none" w:sz="0" w:space="0" w:color="auto"/>
        <w:left w:val="none" w:sz="0" w:space="0" w:color="auto"/>
        <w:bottom w:val="none" w:sz="0" w:space="0" w:color="auto"/>
        <w:right w:val="none" w:sz="0" w:space="0" w:color="auto"/>
      </w:divBdr>
    </w:div>
    <w:div w:id="1085492922">
      <w:bodyDiv w:val="1"/>
      <w:marLeft w:val="0"/>
      <w:marRight w:val="0"/>
      <w:marTop w:val="0"/>
      <w:marBottom w:val="0"/>
      <w:divBdr>
        <w:top w:val="none" w:sz="0" w:space="0" w:color="auto"/>
        <w:left w:val="none" w:sz="0" w:space="0" w:color="auto"/>
        <w:bottom w:val="none" w:sz="0" w:space="0" w:color="auto"/>
        <w:right w:val="none" w:sz="0" w:space="0" w:color="auto"/>
      </w:divBdr>
    </w:div>
    <w:div w:id="1094545966">
      <w:bodyDiv w:val="1"/>
      <w:marLeft w:val="0"/>
      <w:marRight w:val="0"/>
      <w:marTop w:val="0"/>
      <w:marBottom w:val="0"/>
      <w:divBdr>
        <w:top w:val="none" w:sz="0" w:space="0" w:color="auto"/>
        <w:left w:val="none" w:sz="0" w:space="0" w:color="auto"/>
        <w:bottom w:val="none" w:sz="0" w:space="0" w:color="auto"/>
        <w:right w:val="none" w:sz="0" w:space="0" w:color="auto"/>
      </w:divBdr>
    </w:div>
    <w:div w:id="1112820127">
      <w:bodyDiv w:val="1"/>
      <w:marLeft w:val="0"/>
      <w:marRight w:val="0"/>
      <w:marTop w:val="0"/>
      <w:marBottom w:val="0"/>
      <w:divBdr>
        <w:top w:val="none" w:sz="0" w:space="0" w:color="auto"/>
        <w:left w:val="none" w:sz="0" w:space="0" w:color="auto"/>
        <w:bottom w:val="none" w:sz="0" w:space="0" w:color="auto"/>
        <w:right w:val="none" w:sz="0" w:space="0" w:color="auto"/>
      </w:divBdr>
    </w:div>
    <w:div w:id="1133786734">
      <w:bodyDiv w:val="1"/>
      <w:marLeft w:val="0"/>
      <w:marRight w:val="0"/>
      <w:marTop w:val="0"/>
      <w:marBottom w:val="0"/>
      <w:divBdr>
        <w:top w:val="none" w:sz="0" w:space="0" w:color="auto"/>
        <w:left w:val="none" w:sz="0" w:space="0" w:color="auto"/>
        <w:bottom w:val="none" w:sz="0" w:space="0" w:color="auto"/>
        <w:right w:val="none" w:sz="0" w:space="0" w:color="auto"/>
      </w:divBdr>
      <w:divsChild>
        <w:div w:id="907612903">
          <w:marLeft w:val="0"/>
          <w:marRight w:val="0"/>
          <w:marTop w:val="0"/>
          <w:marBottom w:val="0"/>
          <w:divBdr>
            <w:top w:val="none" w:sz="0" w:space="0" w:color="auto"/>
            <w:left w:val="none" w:sz="0" w:space="0" w:color="auto"/>
            <w:bottom w:val="none" w:sz="0" w:space="0" w:color="auto"/>
            <w:right w:val="none" w:sz="0" w:space="0" w:color="auto"/>
          </w:divBdr>
          <w:divsChild>
            <w:div w:id="559482425">
              <w:marLeft w:val="0"/>
              <w:marRight w:val="0"/>
              <w:marTop w:val="0"/>
              <w:marBottom w:val="0"/>
              <w:divBdr>
                <w:top w:val="none" w:sz="0" w:space="0" w:color="auto"/>
                <w:left w:val="none" w:sz="0" w:space="0" w:color="auto"/>
                <w:bottom w:val="none" w:sz="0" w:space="0" w:color="auto"/>
                <w:right w:val="none" w:sz="0" w:space="0" w:color="auto"/>
              </w:divBdr>
              <w:divsChild>
                <w:div w:id="1271086572">
                  <w:marLeft w:val="0"/>
                  <w:marRight w:val="0"/>
                  <w:marTop w:val="0"/>
                  <w:marBottom w:val="0"/>
                  <w:divBdr>
                    <w:top w:val="none" w:sz="0" w:space="0" w:color="auto"/>
                    <w:left w:val="none" w:sz="0" w:space="0" w:color="auto"/>
                    <w:bottom w:val="none" w:sz="0" w:space="0" w:color="auto"/>
                    <w:right w:val="none" w:sz="0" w:space="0" w:color="auto"/>
                  </w:divBdr>
                  <w:divsChild>
                    <w:div w:id="865140761">
                      <w:marLeft w:val="0"/>
                      <w:marRight w:val="0"/>
                      <w:marTop w:val="0"/>
                      <w:marBottom w:val="0"/>
                      <w:divBdr>
                        <w:top w:val="none" w:sz="0" w:space="0" w:color="auto"/>
                        <w:left w:val="none" w:sz="0" w:space="0" w:color="auto"/>
                        <w:bottom w:val="none" w:sz="0" w:space="0" w:color="auto"/>
                        <w:right w:val="none" w:sz="0" w:space="0" w:color="auto"/>
                      </w:divBdr>
                      <w:divsChild>
                        <w:div w:id="25523146">
                          <w:marLeft w:val="0"/>
                          <w:marRight w:val="0"/>
                          <w:marTop w:val="0"/>
                          <w:marBottom w:val="0"/>
                          <w:divBdr>
                            <w:top w:val="none" w:sz="0" w:space="0" w:color="auto"/>
                            <w:left w:val="none" w:sz="0" w:space="0" w:color="auto"/>
                            <w:bottom w:val="none" w:sz="0" w:space="0" w:color="auto"/>
                            <w:right w:val="none" w:sz="0" w:space="0" w:color="auto"/>
                          </w:divBdr>
                          <w:divsChild>
                            <w:div w:id="1502433836">
                              <w:marLeft w:val="0"/>
                              <w:marRight w:val="0"/>
                              <w:marTop w:val="0"/>
                              <w:marBottom w:val="0"/>
                              <w:divBdr>
                                <w:top w:val="none" w:sz="0" w:space="0" w:color="auto"/>
                                <w:left w:val="none" w:sz="0" w:space="0" w:color="auto"/>
                                <w:bottom w:val="none" w:sz="0" w:space="0" w:color="auto"/>
                                <w:right w:val="none" w:sz="0" w:space="0" w:color="auto"/>
                              </w:divBdr>
                              <w:divsChild>
                                <w:div w:id="1468357807">
                                  <w:marLeft w:val="0"/>
                                  <w:marRight w:val="0"/>
                                  <w:marTop w:val="0"/>
                                  <w:marBottom w:val="0"/>
                                  <w:divBdr>
                                    <w:top w:val="none" w:sz="0" w:space="0" w:color="auto"/>
                                    <w:left w:val="none" w:sz="0" w:space="0" w:color="auto"/>
                                    <w:bottom w:val="none" w:sz="0" w:space="0" w:color="auto"/>
                                    <w:right w:val="none" w:sz="0" w:space="0" w:color="auto"/>
                                  </w:divBdr>
                                  <w:divsChild>
                                    <w:div w:id="731274098">
                                      <w:marLeft w:val="0"/>
                                      <w:marRight w:val="0"/>
                                      <w:marTop w:val="0"/>
                                      <w:marBottom w:val="0"/>
                                      <w:divBdr>
                                        <w:top w:val="none" w:sz="0" w:space="0" w:color="auto"/>
                                        <w:left w:val="none" w:sz="0" w:space="0" w:color="auto"/>
                                        <w:bottom w:val="none" w:sz="0" w:space="0" w:color="auto"/>
                                        <w:right w:val="none" w:sz="0" w:space="0" w:color="auto"/>
                                      </w:divBdr>
                                      <w:divsChild>
                                        <w:div w:id="1208029730">
                                          <w:marLeft w:val="0"/>
                                          <w:marRight w:val="0"/>
                                          <w:marTop w:val="0"/>
                                          <w:marBottom w:val="0"/>
                                          <w:divBdr>
                                            <w:top w:val="none" w:sz="0" w:space="0" w:color="auto"/>
                                            <w:left w:val="none" w:sz="0" w:space="0" w:color="auto"/>
                                            <w:bottom w:val="none" w:sz="0" w:space="0" w:color="auto"/>
                                            <w:right w:val="none" w:sz="0" w:space="0" w:color="auto"/>
                                          </w:divBdr>
                                          <w:divsChild>
                                            <w:div w:id="1496340114">
                                              <w:marLeft w:val="0"/>
                                              <w:marRight w:val="0"/>
                                              <w:marTop w:val="0"/>
                                              <w:marBottom w:val="0"/>
                                              <w:divBdr>
                                                <w:top w:val="none" w:sz="0" w:space="0" w:color="auto"/>
                                                <w:left w:val="none" w:sz="0" w:space="0" w:color="auto"/>
                                                <w:bottom w:val="none" w:sz="0" w:space="0" w:color="auto"/>
                                                <w:right w:val="none" w:sz="0" w:space="0" w:color="auto"/>
                                              </w:divBdr>
                                              <w:divsChild>
                                                <w:div w:id="997658357">
                                                  <w:marLeft w:val="0"/>
                                                  <w:marRight w:val="0"/>
                                                  <w:marTop w:val="0"/>
                                                  <w:marBottom w:val="0"/>
                                                  <w:divBdr>
                                                    <w:top w:val="none" w:sz="0" w:space="0" w:color="auto"/>
                                                    <w:left w:val="none" w:sz="0" w:space="0" w:color="auto"/>
                                                    <w:bottom w:val="none" w:sz="0" w:space="0" w:color="auto"/>
                                                    <w:right w:val="none" w:sz="0" w:space="0" w:color="auto"/>
                                                  </w:divBdr>
                                                  <w:divsChild>
                                                    <w:div w:id="451630911">
                                                      <w:marLeft w:val="0"/>
                                                      <w:marRight w:val="0"/>
                                                      <w:marTop w:val="0"/>
                                                      <w:marBottom w:val="0"/>
                                                      <w:divBdr>
                                                        <w:top w:val="none" w:sz="0" w:space="0" w:color="auto"/>
                                                        <w:left w:val="none" w:sz="0" w:space="0" w:color="auto"/>
                                                        <w:bottom w:val="none" w:sz="0" w:space="0" w:color="auto"/>
                                                        <w:right w:val="none" w:sz="0" w:space="0" w:color="auto"/>
                                                      </w:divBdr>
                                                      <w:divsChild>
                                                        <w:div w:id="2017728070">
                                                          <w:marLeft w:val="0"/>
                                                          <w:marRight w:val="0"/>
                                                          <w:marTop w:val="0"/>
                                                          <w:marBottom w:val="0"/>
                                                          <w:divBdr>
                                                            <w:top w:val="none" w:sz="0" w:space="0" w:color="auto"/>
                                                            <w:left w:val="none" w:sz="0" w:space="0" w:color="auto"/>
                                                            <w:bottom w:val="none" w:sz="0" w:space="0" w:color="auto"/>
                                                            <w:right w:val="none" w:sz="0" w:space="0" w:color="auto"/>
                                                          </w:divBdr>
                                                          <w:divsChild>
                                                            <w:div w:id="16262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7841008">
      <w:bodyDiv w:val="1"/>
      <w:marLeft w:val="0"/>
      <w:marRight w:val="0"/>
      <w:marTop w:val="0"/>
      <w:marBottom w:val="0"/>
      <w:divBdr>
        <w:top w:val="none" w:sz="0" w:space="0" w:color="auto"/>
        <w:left w:val="none" w:sz="0" w:space="0" w:color="auto"/>
        <w:bottom w:val="none" w:sz="0" w:space="0" w:color="auto"/>
        <w:right w:val="none" w:sz="0" w:space="0" w:color="auto"/>
      </w:divBdr>
    </w:div>
    <w:div w:id="1157843298">
      <w:bodyDiv w:val="1"/>
      <w:marLeft w:val="0"/>
      <w:marRight w:val="0"/>
      <w:marTop w:val="0"/>
      <w:marBottom w:val="0"/>
      <w:divBdr>
        <w:top w:val="none" w:sz="0" w:space="0" w:color="auto"/>
        <w:left w:val="none" w:sz="0" w:space="0" w:color="auto"/>
        <w:bottom w:val="none" w:sz="0" w:space="0" w:color="auto"/>
        <w:right w:val="none" w:sz="0" w:space="0" w:color="auto"/>
      </w:divBdr>
    </w:div>
    <w:div w:id="1162621856">
      <w:bodyDiv w:val="1"/>
      <w:marLeft w:val="0"/>
      <w:marRight w:val="0"/>
      <w:marTop w:val="0"/>
      <w:marBottom w:val="0"/>
      <w:divBdr>
        <w:top w:val="none" w:sz="0" w:space="0" w:color="auto"/>
        <w:left w:val="none" w:sz="0" w:space="0" w:color="auto"/>
        <w:bottom w:val="none" w:sz="0" w:space="0" w:color="auto"/>
        <w:right w:val="none" w:sz="0" w:space="0" w:color="auto"/>
      </w:divBdr>
      <w:divsChild>
        <w:div w:id="1995336109">
          <w:marLeft w:val="0"/>
          <w:marRight w:val="0"/>
          <w:marTop w:val="0"/>
          <w:marBottom w:val="0"/>
          <w:divBdr>
            <w:top w:val="none" w:sz="0" w:space="0" w:color="auto"/>
            <w:left w:val="none" w:sz="0" w:space="0" w:color="auto"/>
            <w:bottom w:val="none" w:sz="0" w:space="0" w:color="auto"/>
            <w:right w:val="none" w:sz="0" w:space="0" w:color="auto"/>
          </w:divBdr>
          <w:divsChild>
            <w:div w:id="69430186">
              <w:marLeft w:val="0"/>
              <w:marRight w:val="0"/>
              <w:marTop w:val="0"/>
              <w:marBottom w:val="0"/>
              <w:divBdr>
                <w:top w:val="none" w:sz="0" w:space="0" w:color="auto"/>
                <w:left w:val="none" w:sz="0" w:space="0" w:color="auto"/>
                <w:bottom w:val="none" w:sz="0" w:space="0" w:color="auto"/>
                <w:right w:val="none" w:sz="0" w:space="0" w:color="auto"/>
              </w:divBdr>
              <w:divsChild>
                <w:div w:id="444354479">
                  <w:marLeft w:val="0"/>
                  <w:marRight w:val="0"/>
                  <w:marTop w:val="0"/>
                  <w:marBottom w:val="0"/>
                  <w:divBdr>
                    <w:top w:val="none" w:sz="0" w:space="0" w:color="auto"/>
                    <w:left w:val="none" w:sz="0" w:space="0" w:color="auto"/>
                    <w:bottom w:val="none" w:sz="0" w:space="0" w:color="auto"/>
                    <w:right w:val="none" w:sz="0" w:space="0" w:color="auto"/>
                  </w:divBdr>
                  <w:divsChild>
                    <w:div w:id="617568126">
                      <w:marLeft w:val="0"/>
                      <w:marRight w:val="0"/>
                      <w:marTop w:val="0"/>
                      <w:marBottom w:val="0"/>
                      <w:divBdr>
                        <w:top w:val="none" w:sz="0" w:space="0" w:color="auto"/>
                        <w:left w:val="none" w:sz="0" w:space="0" w:color="auto"/>
                        <w:bottom w:val="none" w:sz="0" w:space="0" w:color="auto"/>
                        <w:right w:val="none" w:sz="0" w:space="0" w:color="auto"/>
                      </w:divBdr>
                      <w:divsChild>
                        <w:div w:id="1907955778">
                          <w:marLeft w:val="0"/>
                          <w:marRight w:val="0"/>
                          <w:marTop w:val="0"/>
                          <w:marBottom w:val="0"/>
                          <w:divBdr>
                            <w:top w:val="none" w:sz="0" w:space="0" w:color="auto"/>
                            <w:left w:val="none" w:sz="0" w:space="0" w:color="auto"/>
                            <w:bottom w:val="none" w:sz="0" w:space="0" w:color="auto"/>
                            <w:right w:val="none" w:sz="0" w:space="0" w:color="auto"/>
                          </w:divBdr>
                          <w:divsChild>
                            <w:div w:id="683438778">
                              <w:marLeft w:val="0"/>
                              <w:marRight w:val="0"/>
                              <w:marTop w:val="0"/>
                              <w:marBottom w:val="0"/>
                              <w:divBdr>
                                <w:top w:val="none" w:sz="0" w:space="0" w:color="auto"/>
                                <w:left w:val="none" w:sz="0" w:space="0" w:color="auto"/>
                                <w:bottom w:val="none" w:sz="0" w:space="0" w:color="auto"/>
                                <w:right w:val="none" w:sz="0" w:space="0" w:color="auto"/>
                              </w:divBdr>
                              <w:divsChild>
                                <w:div w:id="1676029876">
                                  <w:marLeft w:val="0"/>
                                  <w:marRight w:val="0"/>
                                  <w:marTop w:val="0"/>
                                  <w:marBottom w:val="0"/>
                                  <w:divBdr>
                                    <w:top w:val="none" w:sz="0" w:space="0" w:color="auto"/>
                                    <w:left w:val="none" w:sz="0" w:space="0" w:color="auto"/>
                                    <w:bottom w:val="none" w:sz="0" w:space="0" w:color="auto"/>
                                    <w:right w:val="none" w:sz="0" w:space="0" w:color="auto"/>
                                  </w:divBdr>
                                  <w:divsChild>
                                    <w:div w:id="1173571825">
                                      <w:marLeft w:val="0"/>
                                      <w:marRight w:val="0"/>
                                      <w:marTop w:val="0"/>
                                      <w:marBottom w:val="0"/>
                                      <w:divBdr>
                                        <w:top w:val="none" w:sz="0" w:space="0" w:color="auto"/>
                                        <w:left w:val="none" w:sz="0" w:space="0" w:color="auto"/>
                                        <w:bottom w:val="none" w:sz="0" w:space="0" w:color="auto"/>
                                        <w:right w:val="none" w:sz="0" w:space="0" w:color="auto"/>
                                      </w:divBdr>
                                      <w:divsChild>
                                        <w:div w:id="747116627">
                                          <w:marLeft w:val="0"/>
                                          <w:marRight w:val="0"/>
                                          <w:marTop w:val="0"/>
                                          <w:marBottom w:val="0"/>
                                          <w:divBdr>
                                            <w:top w:val="none" w:sz="0" w:space="0" w:color="auto"/>
                                            <w:left w:val="none" w:sz="0" w:space="0" w:color="auto"/>
                                            <w:bottom w:val="none" w:sz="0" w:space="0" w:color="auto"/>
                                            <w:right w:val="none" w:sz="0" w:space="0" w:color="auto"/>
                                          </w:divBdr>
                                          <w:divsChild>
                                            <w:div w:id="987442460">
                                              <w:marLeft w:val="0"/>
                                              <w:marRight w:val="0"/>
                                              <w:marTop w:val="0"/>
                                              <w:marBottom w:val="0"/>
                                              <w:divBdr>
                                                <w:top w:val="none" w:sz="0" w:space="0" w:color="auto"/>
                                                <w:left w:val="none" w:sz="0" w:space="0" w:color="auto"/>
                                                <w:bottom w:val="none" w:sz="0" w:space="0" w:color="auto"/>
                                                <w:right w:val="none" w:sz="0" w:space="0" w:color="auto"/>
                                              </w:divBdr>
                                              <w:divsChild>
                                                <w:div w:id="1180588283">
                                                  <w:marLeft w:val="0"/>
                                                  <w:marRight w:val="0"/>
                                                  <w:marTop w:val="0"/>
                                                  <w:marBottom w:val="0"/>
                                                  <w:divBdr>
                                                    <w:top w:val="none" w:sz="0" w:space="0" w:color="auto"/>
                                                    <w:left w:val="none" w:sz="0" w:space="0" w:color="auto"/>
                                                    <w:bottom w:val="none" w:sz="0" w:space="0" w:color="auto"/>
                                                    <w:right w:val="none" w:sz="0" w:space="0" w:color="auto"/>
                                                  </w:divBdr>
                                                  <w:divsChild>
                                                    <w:div w:id="1409692884">
                                                      <w:marLeft w:val="0"/>
                                                      <w:marRight w:val="0"/>
                                                      <w:marTop w:val="0"/>
                                                      <w:marBottom w:val="0"/>
                                                      <w:divBdr>
                                                        <w:top w:val="none" w:sz="0" w:space="0" w:color="auto"/>
                                                        <w:left w:val="none" w:sz="0" w:space="0" w:color="auto"/>
                                                        <w:bottom w:val="none" w:sz="0" w:space="0" w:color="auto"/>
                                                        <w:right w:val="none" w:sz="0" w:space="0" w:color="auto"/>
                                                      </w:divBdr>
                                                      <w:divsChild>
                                                        <w:div w:id="1213616536">
                                                          <w:marLeft w:val="0"/>
                                                          <w:marRight w:val="0"/>
                                                          <w:marTop w:val="0"/>
                                                          <w:marBottom w:val="0"/>
                                                          <w:divBdr>
                                                            <w:top w:val="none" w:sz="0" w:space="0" w:color="auto"/>
                                                            <w:left w:val="none" w:sz="0" w:space="0" w:color="auto"/>
                                                            <w:bottom w:val="none" w:sz="0" w:space="0" w:color="auto"/>
                                                            <w:right w:val="none" w:sz="0" w:space="0" w:color="auto"/>
                                                          </w:divBdr>
                                                          <w:divsChild>
                                                            <w:div w:id="10347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6038921">
      <w:bodyDiv w:val="1"/>
      <w:marLeft w:val="0"/>
      <w:marRight w:val="0"/>
      <w:marTop w:val="0"/>
      <w:marBottom w:val="0"/>
      <w:divBdr>
        <w:top w:val="none" w:sz="0" w:space="0" w:color="auto"/>
        <w:left w:val="none" w:sz="0" w:space="0" w:color="auto"/>
        <w:bottom w:val="none" w:sz="0" w:space="0" w:color="auto"/>
        <w:right w:val="none" w:sz="0" w:space="0" w:color="auto"/>
      </w:divBdr>
    </w:div>
    <w:div w:id="1278953274">
      <w:bodyDiv w:val="1"/>
      <w:marLeft w:val="0"/>
      <w:marRight w:val="0"/>
      <w:marTop w:val="0"/>
      <w:marBottom w:val="0"/>
      <w:divBdr>
        <w:top w:val="none" w:sz="0" w:space="0" w:color="auto"/>
        <w:left w:val="none" w:sz="0" w:space="0" w:color="auto"/>
        <w:bottom w:val="none" w:sz="0" w:space="0" w:color="auto"/>
        <w:right w:val="none" w:sz="0" w:space="0" w:color="auto"/>
      </w:divBdr>
    </w:div>
    <w:div w:id="1306205785">
      <w:bodyDiv w:val="1"/>
      <w:marLeft w:val="0"/>
      <w:marRight w:val="0"/>
      <w:marTop w:val="0"/>
      <w:marBottom w:val="0"/>
      <w:divBdr>
        <w:top w:val="none" w:sz="0" w:space="0" w:color="auto"/>
        <w:left w:val="none" w:sz="0" w:space="0" w:color="auto"/>
        <w:bottom w:val="none" w:sz="0" w:space="0" w:color="auto"/>
        <w:right w:val="none" w:sz="0" w:space="0" w:color="auto"/>
      </w:divBdr>
    </w:div>
    <w:div w:id="1352562925">
      <w:bodyDiv w:val="1"/>
      <w:marLeft w:val="0"/>
      <w:marRight w:val="0"/>
      <w:marTop w:val="0"/>
      <w:marBottom w:val="0"/>
      <w:divBdr>
        <w:top w:val="none" w:sz="0" w:space="0" w:color="auto"/>
        <w:left w:val="none" w:sz="0" w:space="0" w:color="auto"/>
        <w:bottom w:val="none" w:sz="0" w:space="0" w:color="auto"/>
        <w:right w:val="none" w:sz="0" w:space="0" w:color="auto"/>
      </w:divBdr>
    </w:div>
    <w:div w:id="1394549124">
      <w:bodyDiv w:val="1"/>
      <w:marLeft w:val="0"/>
      <w:marRight w:val="0"/>
      <w:marTop w:val="0"/>
      <w:marBottom w:val="0"/>
      <w:divBdr>
        <w:top w:val="none" w:sz="0" w:space="0" w:color="auto"/>
        <w:left w:val="none" w:sz="0" w:space="0" w:color="auto"/>
        <w:bottom w:val="none" w:sz="0" w:space="0" w:color="auto"/>
        <w:right w:val="none" w:sz="0" w:space="0" w:color="auto"/>
      </w:divBdr>
    </w:div>
    <w:div w:id="1410613488">
      <w:bodyDiv w:val="1"/>
      <w:marLeft w:val="0"/>
      <w:marRight w:val="0"/>
      <w:marTop w:val="0"/>
      <w:marBottom w:val="0"/>
      <w:divBdr>
        <w:top w:val="none" w:sz="0" w:space="0" w:color="auto"/>
        <w:left w:val="none" w:sz="0" w:space="0" w:color="auto"/>
        <w:bottom w:val="none" w:sz="0" w:space="0" w:color="auto"/>
        <w:right w:val="none" w:sz="0" w:space="0" w:color="auto"/>
      </w:divBdr>
    </w:div>
    <w:div w:id="1411271306">
      <w:bodyDiv w:val="1"/>
      <w:marLeft w:val="0"/>
      <w:marRight w:val="0"/>
      <w:marTop w:val="0"/>
      <w:marBottom w:val="0"/>
      <w:divBdr>
        <w:top w:val="none" w:sz="0" w:space="0" w:color="auto"/>
        <w:left w:val="none" w:sz="0" w:space="0" w:color="auto"/>
        <w:bottom w:val="none" w:sz="0" w:space="0" w:color="auto"/>
        <w:right w:val="none" w:sz="0" w:space="0" w:color="auto"/>
      </w:divBdr>
    </w:div>
    <w:div w:id="1415669195">
      <w:bodyDiv w:val="1"/>
      <w:marLeft w:val="0"/>
      <w:marRight w:val="0"/>
      <w:marTop w:val="0"/>
      <w:marBottom w:val="0"/>
      <w:divBdr>
        <w:top w:val="none" w:sz="0" w:space="0" w:color="auto"/>
        <w:left w:val="none" w:sz="0" w:space="0" w:color="auto"/>
        <w:bottom w:val="none" w:sz="0" w:space="0" w:color="auto"/>
        <w:right w:val="none" w:sz="0" w:space="0" w:color="auto"/>
      </w:divBdr>
    </w:div>
    <w:div w:id="1471047133">
      <w:bodyDiv w:val="1"/>
      <w:marLeft w:val="0"/>
      <w:marRight w:val="0"/>
      <w:marTop w:val="0"/>
      <w:marBottom w:val="0"/>
      <w:divBdr>
        <w:top w:val="none" w:sz="0" w:space="0" w:color="auto"/>
        <w:left w:val="none" w:sz="0" w:space="0" w:color="auto"/>
        <w:bottom w:val="none" w:sz="0" w:space="0" w:color="auto"/>
        <w:right w:val="none" w:sz="0" w:space="0" w:color="auto"/>
      </w:divBdr>
    </w:div>
    <w:div w:id="1492023823">
      <w:bodyDiv w:val="1"/>
      <w:marLeft w:val="0"/>
      <w:marRight w:val="0"/>
      <w:marTop w:val="0"/>
      <w:marBottom w:val="0"/>
      <w:divBdr>
        <w:top w:val="none" w:sz="0" w:space="0" w:color="auto"/>
        <w:left w:val="none" w:sz="0" w:space="0" w:color="auto"/>
        <w:bottom w:val="none" w:sz="0" w:space="0" w:color="auto"/>
        <w:right w:val="none" w:sz="0" w:space="0" w:color="auto"/>
      </w:divBdr>
    </w:div>
    <w:div w:id="1503623112">
      <w:bodyDiv w:val="1"/>
      <w:marLeft w:val="0"/>
      <w:marRight w:val="0"/>
      <w:marTop w:val="0"/>
      <w:marBottom w:val="0"/>
      <w:divBdr>
        <w:top w:val="none" w:sz="0" w:space="0" w:color="auto"/>
        <w:left w:val="none" w:sz="0" w:space="0" w:color="auto"/>
        <w:bottom w:val="none" w:sz="0" w:space="0" w:color="auto"/>
        <w:right w:val="none" w:sz="0" w:space="0" w:color="auto"/>
      </w:divBdr>
    </w:div>
    <w:div w:id="1506894649">
      <w:bodyDiv w:val="1"/>
      <w:marLeft w:val="0"/>
      <w:marRight w:val="0"/>
      <w:marTop w:val="0"/>
      <w:marBottom w:val="0"/>
      <w:divBdr>
        <w:top w:val="none" w:sz="0" w:space="0" w:color="auto"/>
        <w:left w:val="none" w:sz="0" w:space="0" w:color="auto"/>
        <w:bottom w:val="none" w:sz="0" w:space="0" w:color="auto"/>
        <w:right w:val="none" w:sz="0" w:space="0" w:color="auto"/>
      </w:divBdr>
    </w:div>
    <w:div w:id="1575819218">
      <w:bodyDiv w:val="1"/>
      <w:marLeft w:val="0"/>
      <w:marRight w:val="0"/>
      <w:marTop w:val="0"/>
      <w:marBottom w:val="0"/>
      <w:divBdr>
        <w:top w:val="none" w:sz="0" w:space="0" w:color="auto"/>
        <w:left w:val="none" w:sz="0" w:space="0" w:color="auto"/>
        <w:bottom w:val="none" w:sz="0" w:space="0" w:color="auto"/>
        <w:right w:val="none" w:sz="0" w:space="0" w:color="auto"/>
      </w:divBdr>
    </w:div>
    <w:div w:id="1582325868">
      <w:bodyDiv w:val="1"/>
      <w:marLeft w:val="0"/>
      <w:marRight w:val="0"/>
      <w:marTop w:val="0"/>
      <w:marBottom w:val="0"/>
      <w:divBdr>
        <w:top w:val="none" w:sz="0" w:space="0" w:color="auto"/>
        <w:left w:val="none" w:sz="0" w:space="0" w:color="auto"/>
        <w:bottom w:val="none" w:sz="0" w:space="0" w:color="auto"/>
        <w:right w:val="none" w:sz="0" w:space="0" w:color="auto"/>
      </w:divBdr>
    </w:div>
    <w:div w:id="1650787719">
      <w:bodyDiv w:val="1"/>
      <w:marLeft w:val="0"/>
      <w:marRight w:val="0"/>
      <w:marTop w:val="0"/>
      <w:marBottom w:val="0"/>
      <w:divBdr>
        <w:top w:val="none" w:sz="0" w:space="0" w:color="auto"/>
        <w:left w:val="none" w:sz="0" w:space="0" w:color="auto"/>
        <w:bottom w:val="none" w:sz="0" w:space="0" w:color="auto"/>
        <w:right w:val="none" w:sz="0" w:space="0" w:color="auto"/>
      </w:divBdr>
    </w:div>
    <w:div w:id="1662080805">
      <w:bodyDiv w:val="1"/>
      <w:marLeft w:val="0"/>
      <w:marRight w:val="0"/>
      <w:marTop w:val="0"/>
      <w:marBottom w:val="0"/>
      <w:divBdr>
        <w:top w:val="none" w:sz="0" w:space="0" w:color="auto"/>
        <w:left w:val="none" w:sz="0" w:space="0" w:color="auto"/>
        <w:bottom w:val="none" w:sz="0" w:space="0" w:color="auto"/>
        <w:right w:val="none" w:sz="0" w:space="0" w:color="auto"/>
      </w:divBdr>
    </w:div>
    <w:div w:id="1696079707">
      <w:bodyDiv w:val="1"/>
      <w:marLeft w:val="0"/>
      <w:marRight w:val="0"/>
      <w:marTop w:val="0"/>
      <w:marBottom w:val="0"/>
      <w:divBdr>
        <w:top w:val="none" w:sz="0" w:space="0" w:color="auto"/>
        <w:left w:val="none" w:sz="0" w:space="0" w:color="auto"/>
        <w:bottom w:val="none" w:sz="0" w:space="0" w:color="auto"/>
        <w:right w:val="none" w:sz="0" w:space="0" w:color="auto"/>
      </w:divBdr>
    </w:div>
    <w:div w:id="1722244402">
      <w:bodyDiv w:val="1"/>
      <w:marLeft w:val="0"/>
      <w:marRight w:val="0"/>
      <w:marTop w:val="0"/>
      <w:marBottom w:val="0"/>
      <w:divBdr>
        <w:top w:val="none" w:sz="0" w:space="0" w:color="auto"/>
        <w:left w:val="none" w:sz="0" w:space="0" w:color="auto"/>
        <w:bottom w:val="none" w:sz="0" w:space="0" w:color="auto"/>
        <w:right w:val="none" w:sz="0" w:space="0" w:color="auto"/>
      </w:divBdr>
    </w:div>
    <w:div w:id="1747338470">
      <w:bodyDiv w:val="1"/>
      <w:marLeft w:val="0"/>
      <w:marRight w:val="0"/>
      <w:marTop w:val="0"/>
      <w:marBottom w:val="0"/>
      <w:divBdr>
        <w:top w:val="none" w:sz="0" w:space="0" w:color="auto"/>
        <w:left w:val="none" w:sz="0" w:space="0" w:color="auto"/>
        <w:bottom w:val="none" w:sz="0" w:space="0" w:color="auto"/>
        <w:right w:val="none" w:sz="0" w:space="0" w:color="auto"/>
      </w:divBdr>
      <w:divsChild>
        <w:div w:id="395975684">
          <w:marLeft w:val="0"/>
          <w:marRight w:val="0"/>
          <w:marTop w:val="0"/>
          <w:marBottom w:val="0"/>
          <w:divBdr>
            <w:top w:val="none" w:sz="0" w:space="0" w:color="auto"/>
            <w:left w:val="none" w:sz="0" w:space="0" w:color="auto"/>
            <w:bottom w:val="none" w:sz="0" w:space="0" w:color="auto"/>
            <w:right w:val="none" w:sz="0" w:space="0" w:color="auto"/>
          </w:divBdr>
          <w:divsChild>
            <w:div w:id="418479106">
              <w:marLeft w:val="0"/>
              <w:marRight w:val="0"/>
              <w:marTop w:val="0"/>
              <w:marBottom w:val="0"/>
              <w:divBdr>
                <w:top w:val="none" w:sz="0" w:space="0" w:color="auto"/>
                <w:left w:val="none" w:sz="0" w:space="0" w:color="auto"/>
                <w:bottom w:val="none" w:sz="0" w:space="0" w:color="auto"/>
                <w:right w:val="none" w:sz="0" w:space="0" w:color="auto"/>
              </w:divBdr>
              <w:divsChild>
                <w:div w:id="1722944233">
                  <w:marLeft w:val="0"/>
                  <w:marRight w:val="0"/>
                  <w:marTop w:val="0"/>
                  <w:marBottom w:val="0"/>
                  <w:divBdr>
                    <w:top w:val="none" w:sz="0" w:space="0" w:color="auto"/>
                    <w:left w:val="none" w:sz="0" w:space="0" w:color="auto"/>
                    <w:bottom w:val="none" w:sz="0" w:space="0" w:color="auto"/>
                    <w:right w:val="none" w:sz="0" w:space="0" w:color="auto"/>
                  </w:divBdr>
                  <w:divsChild>
                    <w:div w:id="393620686">
                      <w:marLeft w:val="0"/>
                      <w:marRight w:val="0"/>
                      <w:marTop w:val="0"/>
                      <w:marBottom w:val="0"/>
                      <w:divBdr>
                        <w:top w:val="none" w:sz="0" w:space="0" w:color="auto"/>
                        <w:left w:val="none" w:sz="0" w:space="0" w:color="auto"/>
                        <w:bottom w:val="none" w:sz="0" w:space="0" w:color="auto"/>
                        <w:right w:val="none" w:sz="0" w:space="0" w:color="auto"/>
                      </w:divBdr>
                      <w:divsChild>
                        <w:div w:id="1506164137">
                          <w:marLeft w:val="0"/>
                          <w:marRight w:val="0"/>
                          <w:marTop w:val="0"/>
                          <w:marBottom w:val="0"/>
                          <w:divBdr>
                            <w:top w:val="none" w:sz="0" w:space="0" w:color="auto"/>
                            <w:left w:val="none" w:sz="0" w:space="0" w:color="auto"/>
                            <w:bottom w:val="none" w:sz="0" w:space="0" w:color="auto"/>
                            <w:right w:val="none" w:sz="0" w:space="0" w:color="auto"/>
                          </w:divBdr>
                          <w:divsChild>
                            <w:div w:id="1452944586">
                              <w:marLeft w:val="0"/>
                              <w:marRight w:val="0"/>
                              <w:marTop w:val="0"/>
                              <w:marBottom w:val="0"/>
                              <w:divBdr>
                                <w:top w:val="none" w:sz="0" w:space="0" w:color="auto"/>
                                <w:left w:val="none" w:sz="0" w:space="0" w:color="auto"/>
                                <w:bottom w:val="none" w:sz="0" w:space="0" w:color="auto"/>
                                <w:right w:val="none" w:sz="0" w:space="0" w:color="auto"/>
                              </w:divBdr>
                              <w:divsChild>
                                <w:div w:id="1655375748">
                                  <w:marLeft w:val="0"/>
                                  <w:marRight w:val="0"/>
                                  <w:marTop w:val="0"/>
                                  <w:marBottom w:val="0"/>
                                  <w:divBdr>
                                    <w:top w:val="none" w:sz="0" w:space="0" w:color="auto"/>
                                    <w:left w:val="none" w:sz="0" w:space="0" w:color="auto"/>
                                    <w:bottom w:val="none" w:sz="0" w:space="0" w:color="auto"/>
                                    <w:right w:val="none" w:sz="0" w:space="0" w:color="auto"/>
                                  </w:divBdr>
                                  <w:divsChild>
                                    <w:div w:id="2075469596">
                                      <w:marLeft w:val="0"/>
                                      <w:marRight w:val="0"/>
                                      <w:marTop w:val="0"/>
                                      <w:marBottom w:val="0"/>
                                      <w:divBdr>
                                        <w:top w:val="none" w:sz="0" w:space="0" w:color="auto"/>
                                        <w:left w:val="none" w:sz="0" w:space="0" w:color="auto"/>
                                        <w:bottom w:val="none" w:sz="0" w:space="0" w:color="auto"/>
                                        <w:right w:val="none" w:sz="0" w:space="0" w:color="auto"/>
                                      </w:divBdr>
                                      <w:divsChild>
                                        <w:div w:id="1669937563">
                                          <w:marLeft w:val="0"/>
                                          <w:marRight w:val="0"/>
                                          <w:marTop w:val="0"/>
                                          <w:marBottom w:val="0"/>
                                          <w:divBdr>
                                            <w:top w:val="none" w:sz="0" w:space="0" w:color="auto"/>
                                            <w:left w:val="none" w:sz="0" w:space="0" w:color="auto"/>
                                            <w:bottom w:val="none" w:sz="0" w:space="0" w:color="auto"/>
                                            <w:right w:val="none" w:sz="0" w:space="0" w:color="auto"/>
                                          </w:divBdr>
                                          <w:divsChild>
                                            <w:div w:id="510070647">
                                              <w:marLeft w:val="0"/>
                                              <w:marRight w:val="0"/>
                                              <w:marTop w:val="0"/>
                                              <w:marBottom w:val="0"/>
                                              <w:divBdr>
                                                <w:top w:val="none" w:sz="0" w:space="0" w:color="auto"/>
                                                <w:left w:val="none" w:sz="0" w:space="0" w:color="auto"/>
                                                <w:bottom w:val="none" w:sz="0" w:space="0" w:color="auto"/>
                                                <w:right w:val="none" w:sz="0" w:space="0" w:color="auto"/>
                                              </w:divBdr>
                                              <w:divsChild>
                                                <w:div w:id="1284262341">
                                                  <w:marLeft w:val="0"/>
                                                  <w:marRight w:val="0"/>
                                                  <w:marTop w:val="0"/>
                                                  <w:marBottom w:val="0"/>
                                                  <w:divBdr>
                                                    <w:top w:val="none" w:sz="0" w:space="0" w:color="auto"/>
                                                    <w:left w:val="none" w:sz="0" w:space="0" w:color="auto"/>
                                                    <w:bottom w:val="none" w:sz="0" w:space="0" w:color="auto"/>
                                                    <w:right w:val="none" w:sz="0" w:space="0" w:color="auto"/>
                                                  </w:divBdr>
                                                  <w:divsChild>
                                                    <w:div w:id="658387196">
                                                      <w:marLeft w:val="0"/>
                                                      <w:marRight w:val="0"/>
                                                      <w:marTop w:val="0"/>
                                                      <w:marBottom w:val="0"/>
                                                      <w:divBdr>
                                                        <w:top w:val="none" w:sz="0" w:space="0" w:color="auto"/>
                                                        <w:left w:val="none" w:sz="0" w:space="0" w:color="auto"/>
                                                        <w:bottom w:val="none" w:sz="0" w:space="0" w:color="auto"/>
                                                        <w:right w:val="none" w:sz="0" w:space="0" w:color="auto"/>
                                                      </w:divBdr>
                                                      <w:divsChild>
                                                        <w:div w:id="345599041">
                                                          <w:marLeft w:val="0"/>
                                                          <w:marRight w:val="0"/>
                                                          <w:marTop w:val="0"/>
                                                          <w:marBottom w:val="0"/>
                                                          <w:divBdr>
                                                            <w:top w:val="none" w:sz="0" w:space="0" w:color="auto"/>
                                                            <w:left w:val="none" w:sz="0" w:space="0" w:color="auto"/>
                                                            <w:bottom w:val="none" w:sz="0" w:space="0" w:color="auto"/>
                                                            <w:right w:val="none" w:sz="0" w:space="0" w:color="auto"/>
                                                          </w:divBdr>
                                                          <w:divsChild>
                                                            <w:div w:id="5860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4426715">
      <w:bodyDiv w:val="1"/>
      <w:marLeft w:val="0"/>
      <w:marRight w:val="0"/>
      <w:marTop w:val="0"/>
      <w:marBottom w:val="0"/>
      <w:divBdr>
        <w:top w:val="none" w:sz="0" w:space="0" w:color="auto"/>
        <w:left w:val="none" w:sz="0" w:space="0" w:color="auto"/>
        <w:bottom w:val="none" w:sz="0" w:space="0" w:color="auto"/>
        <w:right w:val="none" w:sz="0" w:space="0" w:color="auto"/>
      </w:divBdr>
    </w:div>
    <w:div w:id="1783111886">
      <w:bodyDiv w:val="1"/>
      <w:marLeft w:val="0"/>
      <w:marRight w:val="0"/>
      <w:marTop w:val="0"/>
      <w:marBottom w:val="0"/>
      <w:divBdr>
        <w:top w:val="none" w:sz="0" w:space="0" w:color="auto"/>
        <w:left w:val="none" w:sz="0" w:space="0" w:color="auto"/>
        <w:bottom w:val="none" w:sz="0" w:space="0" w:color="auto"/>
        <w:right w:val="none" w:sz="0" w:space="0" w:color="auto"/>
      </w:divBdr>
    </w:div>
    <w:div w:id="1819767256">
      <w:bodyDiv w:val="1"/>
      <w:marLeft w:val="0"/>
      <w:marRight w:val="0"/>
      <w:marTop w:val="0"/>
      <w:marBottom w:val="0"/>
      <w:divBdr>
        <w:top w:val="none" w:sz="0" w:space="0" w:color="auto"/>
        <w:left w:val="none" w:sz="0" w:space="0" w:color="auto"/>
        <w:bottom w:val="none" w:sz="0" w:space="0" w:color="auto"/>
        <w:right w:val="none" w:sz="0" w:space="0" w:color="auto"/>
      </w:divBdr>
    </w:div>
    <w:div w:id="1859586371">
      <w:bodyDiv w:val="1"/>
      <w:marLeft w:val="0"/>
      <w:marRight w:val="0"/>
      <w:marTop w:val="0"/>
      <w:marBottom w:val="0"/>
      <w:divBdr>
        <w:top w:val="none" w:sz="0" w:space="0" w:color="auto"/>
        <w:left w:val="none" w:sz="0" w:space="0" w:color="auto"/>
        <w:bottom w:val="none" w:sz="0" w:space="0" w:color="auto"/>
        <w:right w:val="none" w:sz="0" w:space="0" w:color="auto"/>
      </w:divBdr>
    </w:div>
    <w:div w:id="1881939183">
      <w:bodyDiv w:val="1"/>
      <w:marLeft w:val="0"/>
      <w:marRight w:val="0"/>
      <w:marTop w:val="0"/>
      <w:marBottom w:val="0"/>
      <w:divBdr>
        <w:top w:val="none" w:sz="0" w:space="0" w:color="auto"/>
        <w:left w:val="none" w:sz="0" w:space="0" w:color="auto"/>
        <w:bottom w:val="none" w:sz="0" w:space="0" w:color="auto"/>
        <w:right w:val="none" w:sz="0" w:space="0" w:color="auto"/>
      </w:divBdr>
    </w:div>
    <w:div w:id="1911768889">
      <w:bodyDiv w:val="1"/>
      <w:marLeft w:val="0"/>
      <w:marRight w:val="0"/>
      <w:marTop w:val="0"/>
      <w:marBottom w:val="0"/>
      <w:divBdr>
        <w:top w:val="none" w:sz="0" w:space="0" w:color="auto"/>
        <w:left w:val="none" w:sz="0" w:space="0" w:color="auto"/>
        <w:bottom w:val="none" w:sz="0" w:space="0" w:color="auto"/>
        <w:right w:val="none" w:sz="0" w:space="0" w:color="auto"/>
      </w:divBdr>
    </w:div>
    <w:div w:id="1923174127">
      <w:bodyDiv w:val="1"/>
      <w:marLeft w:val="0"/>
      <w:marRight w:val="0"/>
      <w:marTop w:val="0"/>
      <w:marBottom w:val="0"/>
      <w:divBdr>
        <w:top w:val="none" w:sz="0" w:space="0" w:color="auto"/>
        <w:left w:val="none" w:sz="0" w:space="0" w:color="auto"/>
        <w:bottom w:val="none" w:sz="0" w:space="0" w:color="auto"/>
        <w:right w:val="none" w:sz="0" w:space="0" w:color="auto"/>
      </w:divBdr>
    </w:div>
    <w:div w:id="1964144727">
      <w:bodyDiv w:val="1"/>
      <w:marLeft w:val="0"/>
      <w:marRight w:val="0"/>
      <w:marTop w:val="0"/>
      <w:marBottom w:val="0"/>
      <w:divBdr>
        <w:top w:val="none" w:sz="0" w:space="0" w:color="auto"/>
        <w:left w:val="none" w:sz="0" w:space="0" w:color="auto"/>
        <w:bottom w:val="none" w:sz="0" w:space="0" w:color="auto"/>
        <w:right w:val="none" w:sz="0" w:space="0" w:color="auto"/>
      </w:divBdr>
    </w:div>
    <w:div w:id="1976135863">
      <w:bodyDiv w:val="1"/>
      <w:marLeft w:val="0"/>
      <w:marRight w:val="0"/>
      <w:marTop w:val="0"/>
      <w:marBottom w:val="0"/>
      <w:divBdr>
        <w:top w:val="none" w:sz="0" w:space="0" w:color="auto"/>
        <w:left w:val="none" w:sz="0" w:space="0" w:color="auto"/>
        <w:bottom w:val="none" w:sz="0" w:space="0" w:color="auto"/>
        <w:right w:val="none" w:sz="0" w:space="0" w:color="auto"/>
      </w:divBdr>
    </w:div>
    <w:div w:id="1982803012">
      <w:bodyDiv w:val="1"/>
      <w:marLeft w:val="0"/>
      <w:marRight w:val="0"/>
      <w:marTop w:val="0"/>
      <w:marBottom w:val="0"/>
      <w:divBdr>
        <w:top w:val="none" w:sz="0" w:space="0" w:color="auto"/>
        <w:left w:val="none" w:sz="0" w:space="0" w:color="auto"/>
        <w:bottom w:val="none" w:sz="0" w:space="0" w:color="auto"/>
        <w:right w:val="none" w:sz="0" w:space="0" w:color="auto"/>
      </w:divBdr>
    </w:div>
    <w:div w:id="1997372002">
      <w:bodyDiv w:val="1"/>
      <w:marLeft w:val="0"/>
      <w:marRight w:val="0"/>
      <w:marTop w:val="0"/>
      <w:marBottom w:val="0"/>
      <w:divBdr>
        <w:top w:val="none" w:sz="0" w:space="0" w:color="auto"/>
        <w:left w:val="none" w:sz="0" w:space="0" w:color="auto"/>
        <w:bottom w:val="none" w:sz="0" w:space="0" w:color="auto"/>
        <w:right w:val="none" w:sz="0" w:space="0" w:color="auto"/>
      </w:divBdr>
    </w:div>
    <w:div w:id="1998532723">
      <w:bodyDiv w:val="1"/>
      <w:marLeft w:val="0"/>
      <w:marRight w:val="0"/>
      <w:marTop w:val="0"/>
      <w:marBottom w:val="0"/>
      <w:divBdr>
        <w:top w:val="none" w:sz="0" w:space="0" w:color="auto"/>
        <w:left w:val="none" w:sz="0" w:space="0" w:color="auto"/>
        <w:bottom w:val="none" w:sz="0" w:space="0" w:color="auto"/>
        <w:right w:val="none" w:sz="0" w:space="0" w:color="auto"/>
      </w:divBdr>
    </w:div>
    <w:div w:id="2097550088">
      <w:bodyDiv w:val="1"/>
      <w:marLeft w:val="0"/>
      <w:marRight w:val="0"/>
      <w:marTop w:val="0"/>
      <w:marBottom w:val="0"/>
      <w:divBdr>
        <w:top w:val="none" w:sz="0" w:space="0" w:color="auto"/>
        <w:left w:val="none" w:sz="0" w:space="0" w:color="auto"/>
        <w:bottom w:val="none" w:sz="0" w:space="0" w:color="auto"/>
        <w:right w:val="none" w:sz="0" w:space="0" w:color="auto"/>
      </w:divBdr>
    </w:div>
    <w:div w:id="2116707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default/files/business_economy_euro/banking_and_finance/documents/2022-suitability-appropriateness-assessments-consultation-document_en.pdf" TargetMode="External"/><Relationship Id="rId2" Type="http://schemas.openxmlformats.org/officeDocument/2006/relationships/hyperlink" Target="https://ec.europa.eu/info/consultations/finance-2022-suitability-appropriateness-assessments_en" TargetMode="External"/><Relationship Id="rId1" Type="http://schemas.openxmlformats.org/officeDocument/2006/relationships/hyperlink" Target="https://www.esma.europa.eu/sites/default/files/library/esma35-43-869-_fr_on_guidelines_on_suitability.pdf" TargetMode="External"/><Relationship Id="rId6" Type="http://schemas.openxmlformats.org/officeDocument/2006/relationships/hyperlink" Target="https://eur-lex.europa.eu/legal-content/EN/ALL/?uri=CELEX:32021R1253" TargetMode="External"/><Relationship Id="rId5" Type="http://schemas.openxmlformats.org/officeDocument/2006/relationships/hyperlink" Target="https://eur-lex.europa.eu/legal-content/EN/TXT/?uri=CELEX:32017R0565" TargetMode="External"/><Relationship Id="rId4" Type="http://schemas.openxmlformats.org/officeDocument/2006/relationships/hyperlink" Target="https://ec.europa.eu/info/sites/default/files/business_economy_euro/banking_and_finance/documents/2021-retail-investment-strategy-consultation-docu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33;sar%20Lakits\Documents\Mod&#232;les%20Office%20personnalis&#233;s\Mod&#232;le%20CR%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Word" ma:contentTypeID="0x0101003C79CFFF4B5C42CFBF3E958612ADA9A300FF278770609E4E3DBAD07D763F702F6E0066E58F88F570974BB70395742E89D8C4" ma:contentTypeVersion="10" ma:contentTypeDescription="Document au format .Docx" ma:contentTypeScope="" ma:versionID="40ebb8b958f5d8d0513f88c96fbc512f">
  <xsd:schema xmlns:xsd="http://www.w3.org/2001/XMLSchema" xmlns:xs="http://www.w3.org/2001/XMLSchema" xmlns:p="http://schemas.microsoft.com/office/2006/metadata/properties" xmlns:ns2="2f2c228b-9c1e-46ca-bae4-d89b7cbb1aac" xmlns:ns3="9e6e7d10-fed7-407e-9c0c-568ff998e3b1" xmlns:ns4="47FACB7D-FEC6-4522-A081-EE382F42DACF" targetNamespace="http://schemas.microsoft.com/office/2006/metadata/properties" ma:root="true" ma:fieldsID="6304c6150c01422321cd1900607107a1" ns2:_="" ns3:_="" ns4:_="">
    <xsd:import namespace="2f2c228b-9c1e-46ca-bae4-d89b7cbb1aac"/>
    <xsd:import namespace="9e6e7d10-fed7-407e-9c0c-568ff998e3b1"/>
    <xsd:import namespace="47FACB7D-FEC6-4522-A081-EE382F42DACF"/>
    <xsd:element name="properties">
      <xsd:complexType>
        <xsd:sequence>
          <xsd:element name="documentManagement">
            <xsd:complexType>
              <xsd:all>
                <xsd:element ref="ns2:_dlc_DocId" minOccurs="0"/>
                <xsd:element ref="ns2:_dlc_DocIdUrl" minOccurs="0"/>
                <xsd:element ref="ns2:_dlc_DocIdPersistId" minOccurs="0"/>
                <xsd:element ref="ns3:FlagChrono" minOccurs="0"/>
                <xsd:element ref="ns3:Type_docFBFTaxHTField0" minOccurs="0"/>
                <xsd:element ref="ns3:Destination_docFBFTaxHTField0" minOccurs="0"/>
                <xsd:element ref="ns3:Source_docFBFTaxHTField0" minOccurs="0"/>
                <xsd:element ref="ns3:Theme_docFBFTaxHTField0" minOccurs="0"/>
                <xsd:element ref="ns3:Position" minOccurs="0"/>
                <xsd:element ref="ns3:Date_du_document"/>
                <xsd:element ref="ns3:Auteur"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c228b-9c1e-46ca-bae4-d89b7cbb1aa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6e7d10-fed7-407e-9c0c-568ff998e3b1" elementFormDefault="qualified">
    <xsd:import namespace="http://schemas.microsoft.com/office/2006/documentManagement/types"/>
    <xsd:import namespace="http://schemas.microsoft.com/office/infopath/2007/PartnerControls"/>
    <xsd:element name="FlagChrono" ma:index="11" nillable="true" ma:displayName="Nom du document" ma:internalName="FlagChrono">
      <xsd:simpleType>
        <xsd:restriction base="dms:Text">
          <xsd:maxLength value="255"/>
        </xsd:restriction>
      </xsd:simpleType>
    </xsd:element>
    <xsd:element name="Type_docFBFTaxHTField0" ma:index="12" nillable="true" ma:taxonomy="true" ma:internalName="Type_docFBFTaxHTField0" ma:taxonomyFieldName="Type_docFBF" ma:displayName="Type" ma:fieldId="{7731117e-801e-4d7c-a9e5-621edca36438}" ma:sspId="380fdde9-80c6-49ce-b025-9a22ec97f8d5" ma:termSetId="e1595945-9332-4534-bb97-7ac4ca55f5fd" ma:anchorId="00000000-0000-0000-0000-000000000000" ma:open="false" ma:isKeyword="false">
      <xsd:complexType>
        <xsd:sequence>
          <xsd:element ref="pc:Terms" minOccurs="0" maxOccurs="1"/>
        </xsd:sequence>
      </xsd:complexType>
    </xsd:element>
    <xsd:element name="Destination_docFBFTaxHTField0" ma:index="14" nillable="true" ma:taxonomy="true" ma:internalName="Destination_docFBFTaxHTField0" ma:taxonomyFieldName="Destination_docFBF" ma:displayName="Destination" ma:fieldId="{c07b9c17-0389-4faf-a859-563b2b1c1754}" ma:sspId="380fdde9-80c6-49ce-b025-9a22ec97f8d5" ma:termSetId="6dfb751e-6b65-40c0-ba0e-52df074bfaec" ma:anchorId="00000000-0000-0000-0000-000000000000" ma:open="false" ma:isKeyword="false">
      <xsd:complexType>
        <xsd:sequence>
          <xsd:element ref="pc:Terms" minOccurs="0" maxOccurs="1"/>
        </xsd:sequence>
      </xsd:complexType>
    </xsd:element>
    <xsd:element name="Source_docFBFTaxHTField0" ma:index="16" nillable="true" ma:taxonomy="true" ma:internalName="Source_docFBFTaxHTField0" ma:taxonomyFieldName="Source_docFBF" ma:displayName="Source" ma:fieldId="{fbcdecc4-fc2d-4ca5-ba48-da0e686bdfcb}" ma:sspId="380fdde9-80c6-49ce-b025-9a22ec97f8d5" ma:termSetId="b2899185-813f-4f02-bc83-9d1b9348ec36" ma:anchorId="00000000-0000-0000-0000-000000000000" ma:open="false" ma:isKeyword="false">
      <xsd:complexType>
        <xsd:sequence>
          <xsd:element ref="pc:Terms" minOccurs="0" maxOccurs="1"/>
        </xsd:sequence>
      </xsd:complexType>
    </xsd:element>
    <xsd:element name="Theme_docFBFTaxHTField0" ma:index="18" nillable="true" ma:taxonomy="true" ma:internalName="Theme_docFBFTaxHTField0" ma:taxonomyFieldName="Theme_docFBF" ma:displayName="Thème" ma:fieldId="{bba149cf-f7cb-484e-a57c-16c312b5412f}" ma:sspId="380fdde9-80c6-49ce-b025-9a22ec97f8d5" ma:termSetId="1908658b-373e-4251-8a22-7d7d4cbae502" ma:anchorId="00000000-0000-0000-0000-000000000000" ma:open="false" ma:isKeyword="false">
      <xsd:complexType>
        <xsd:sequence>
          <xsd:element ref="pc:Terms" minOccurs="0" maxOccurs="1"/>
        </xsd:sequence>
      </xsd:complexType>
    </xsd:element>
    <xsd:element name="Position" ma:index="20" nillable="true" ma:displayName="Position" ma:internalName="Position">
      <xsd:simpleType>
        <xsd:restriction base="dms:Text">
          <xsd:maxLength value="255"/>
        </xsd:restriction>
      </xsd:simpleType>
    </xsd:element>
    <xsd:element name="Date_du_document" ma:index="21" ma:displayName="Date du document" ma:default="[today]" ma:format="DateOnly" ma:internalName="Date_du_document">
      <xsd:simpleType>
        <xsd:restriction base="dms:DateTime"/>
      </xsd:simpleType>
    </xsd:element>
    <xsd:element name="Auteur" ma:index="22" nillable="true" ma:displayName="Auteur" ma:internalName="Aut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ACB7D-FEC6-4522-A081-EE382F42DACF" elementFormDefault="qualified">
    <xsd:import namespace="http://schemas.microsoft.com/office/2006/documentManagement/types"/>
    <xsd:import namespace="http://schemas.microsoft.com/office/infopath/2007/PartnerControls"/>
    <xsd:element name="TaxCatchAll" ma:index="24" nillable="true" ma:displayName="Taxonomy Catch All Column" ma:description="" ma:hidden="true" ma:list="c6fade2a-3546-4c80-be6e-f1da25ffba33" ma:internalName="TaxCatchAll" ma:showField="CatchAllData" ma:web="24e7bef1-dfd4-4a02-9e90-8d558f5792b1">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c6fade2a-3546-4c80-be6e-f1da25ffba33" ma:internalName="TaxCatchAllLabel" ma:readOnly="true" ma:showField="CatchAllDataLabel" ma:web="24e7bef1-dfd4-4a02-9e90-8d558f579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Libell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80fdde9-80c6-49ce-b025-9a22ec97f8d5" ContentTypeId="0x0101003C79CFFF4B5C42CFBF3E958612ADA9A300FF278770609E4E3DBAD07D763F702F6E"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osition xmlns="9e6e7d10-fed7-407e-9c0c-568ff998e3b1" xsi:nil="true"/>
    <Source_docFBFTaxHTField0 xmlns="9e6e7d10-fed7-407e-9c0c-568ff998e3b1">
      <Terms xmlns="http://schemas.microsoft.com/office/infopath/2007/PartnerControls"/>
    </Source_docFBFTaxHTField0>
    <Auteur xmlns="9e6e7d10-fed7-407e-9c0c-568ff998e3b1" xsi:nil="true"/>
    <TaxCatchAll xmlns="47FACB7D-FEC6-4522-A081-EE382F42DACF"/>
    <Destination_docFBFTaxHTField0 xmlns="9e6e7d10-fed7-407e-9c0c-568ff998e3b1">
      <Terms xmlns="http://schemas.microsoft.com/office/infopath/2007/PartnerControls"/>
    </Destination_docFBFTaxHTField0>
    <Theme_docFBFTaxHTField0 xmlns="9e6e7d10-fed7-407e-9c0c-568ff998e3b1">
      <Terms xmlns="http://schemas.microsoft.com/office/infopath/2007/PartnerControls"/>
    </Theme_docFBFTaxHTField0>
    <Type_docFBFTaxHTField0 xmlns="9e6e7d10-fed7-407e-9c0c-568ff998e3b1">
      <Terms xmlns="http://schemas.microsoft.com/office/infopath/2007/PartnerControls"/>
    </Type_docFBFTaxHTField0>
    <FlagChrono xmlns="9e6e7d10-fed7-407e-9c0c-568ff998e3b1">Réponse consultation ESMA sur Suitability v20220422</FlagChrono>
    <Date_du_document xmlns="9e6e7d10-fed7-407e-9c0c-568ff998e3b1">2022-04-20T12:01:19+00:00</Date_du_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AF6A0-EBA9-4CF3-92A8-139BC28C4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c228b-9c1e-46ca-bae4-d89b7cbb1aac"/>
    <ds:schemaRef ds:uri="9e6e7d10-fed7-407e-9c0c-568ff998e3b1"/>
    <ds:schemaRef ds:uri="47FACB7D-FEC6-4522-A081-EE382F42D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42984-D6FC-461A-85E5-D035238EA501}">
  <ds:schemaRefs>
    <ds:schemaRef ds:uri="Microsoft.SharePoint.Taxonomy.ContentTypeSync"/>
  </ds:schemaRefs>
</ds:datastoreItem>
</file>

<file path=customXml/itemProps3.xml><?xml version="1.0" encoding="utf-8"?>
<ds:datastoreItem xmlns:ds="http://schemas.openxmlformats.org/officeDocument/2006/customXml" ds:itemID="{302855B7-F06D-4008-9167-A0B6A586B093}">
  <ds:schemaRefs>
    <ds:schemaRef ds:uri="http://schemas.microsoft.com/sharepoint/events"/>
  </ds:schemaRefs>
</ds:datastoreItem>
</file>

<file path=customXml/itemProps4.xml><?xml version="1.0" encoding="utf-8"?>
<ds:datastoreItem xmlns:ds="http://schemas.openxmlformats.org/officeDocument/2006/customXml" ds:itemID="{EDFA6F37-F34D-43B1-9574-63C0B13F2C32}">
  <ds:schemaRefs>
    <ds:schemaRef ds:uri="http://schemas.openxmlformats.org/officeDocument/2006/bibliography"/>
  </ds:schemaRefs>
</ds:datastoreItem>
</file>

<file path=customXml/itemProps5.xml><?xml version="1.0" encoding="utf-8"?>
<ds:datastoreItem xmlns:ds="http://schemas.openxmlformats.org/officeDocument/2006/customXml" ds:itemID="{C0EF9328-391E-47CA-8843-A1B3D5577BDB}">
  <ds:schemaRefs>
    <ds:schemaRef ds:uri="http://schemas.microsoft.com/office/2006/metadata/properties"/>
    <ds:schemaRef ds:uri="http://schemas.microsoft.com/office/infopath/2007/PartnerControls"/>
    <ds:schemaRef ds:uri="9e6e7d10-fed7-407e-9c0c-568ff998e3b1"/>
    <ds:schemaRef ds:uri="47FACB7D-FEC6-4522-A081-EE382F42DACF"/>
  </ds:schemaRefs>
</ds:datastoreItem>
</file>

<file path=customXml/itemProps6.xml><?xml version="1.0" encoding="utf-8"?>
<ds:datastoreItem xmlns:ds="http://schemas.openxmlformats.org/officeDocument/2006/customXml" ds:itemID="{99777BE8-C5DC-47A1-B7B3-6CCB2FFC6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CR </Template>
  <TotalTime>11</TotalTime>
  <Pages>16</Pages>
  <Words>9001</Words>
  <Characters>49508</Characters>
  <Application>Microsoft Office Word</Application>
  <DocSecurity>0</DocSecurity>
  <Lines>412</Lines>
  <Paragraphs>116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AMAFI</Company>
  <LinksUpToDate>false</LinksUpToDate>
  <CharactersWithSpaces>58393</CharactersWithSpaces>
  <SharedDoc>false</SharedDoc>
  <HLinks>
    <vt:vector size="6" baseType="variant">
      <vt:variant>
        <vt:i4>5111924</vt:i4>
      </vt:variant>
      <vt:variant>
        <vt:i4>0</vt:i4>
      </vt:variant>
      <vt:variant>
        <vt:i4>0</vt:i4>
      </vt:variant>
      <vt:variant>
        <vt:i4>5</vt:i4>
      </vt:variant>
      <vt:variant>
        <vt:lpwstr>http://www.amafi.fr/index.php?option=com_content&amp;task=blogsection&amp;id=7&amp;Itemid=30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AMAFI_SITE@arrowco.onmicrosoft.com;afischmeister@amafi.fr</dc:creator>
  <cp:keywords/>
  <dc:description/>
  <cp:lastModifiedBy>Raoult, Nicolas</cp:lastModifiedBy>
  <cp:revision>2</cp:revision>
  <cp:lastPrinted>2022-03-30T07:21:00Z</cp:lastPrinted>
  <dcterms:created xsi:type="dcterms:W3CDTF">2022-04-26T16:19:00Z</dcterms:created>
  <dcterms:modified xsi:type="dcterms:W3CDTF">2022-04-26T16:19:00Z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0x0101003C79CFFF4B5C42CFBF3E958612ADA9A300FF278770609E4E3DBAD07D763F702F6E0066E58F88F570974BB70395742E89D8C4</vt:lpwstr>
  </property>
  <property fmtid="{D5CDD505-2E9C-101B-9397-08002B2CF9AE}" pid="3" name="Destination_docFBF">
    <vt:lpwstr/>
  </property>
  <property fmtid="{D5CDD505-2E9C-101B-9397-08002B2CF9AE}" pid="4" name="Source_docFBF">
    <vt:lpwstr/>
  </property>
  <property fmtid="{D5CDD505-2E9C-101B-9397-08002B2CF9AE}" pid="5" name="Theme_docFBF">
    <vt:lpwstr/>
  </property>
  <property fmtid="{D5CDD505-2E9C-101B-9397-08002B2CF9AE}" pid="6" name="Type_docFBF">
    <vt:lpwstr/>
  </property>
</Properties>
</file>