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633DB1B6" w14:textId="28EEF853" w:rsidR="00C2682A" w:rsidRPr="00AB6D88" w:rsidRDefault="00AE180F" w:rsidP="00FA5524">
                <w:pPr>
                  <w:rPr>
                    <w:rStyle w:val="PlaceholderText"/>
                    <w:rFonts w:cs="Arial"/>
                  </w:rPr>
                </w:pPr>
                <w:r>
                  <w:rPr>
                    <w:rStyle w:val="PlaceholderText"/>
                    <w:rFonts w:cs="Arial"/>
                  </w:rPr>
                  <w:t>ISO/TC68/AG2</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486506C4" w:rsidR="00C2682A" w:rsidRPr="00AB6D88" w:rsidRDefault="00EA00F5"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E180F">
                  <w:rPr>
                    <w:rFonts w:cs="Arial"/>
                  </w:rPr>
                  <w:t>Non-financial counterparty</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4BD68813"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2DFCDB66" w:rsidR="00C2682A" w:rsidRPr="00AB6D88" w:rsidRDefault="00AE180F" w:rsidP="00FA5524">
                <w:pPr>
                  <w:rPr>
                    <w:rFonts w:cs="Arial"/>
                  </w:rPr>
                </w:pPr>
                <w:r>
                  <w:rPr>
                    <w:rFonts w:cs="Arial"/>
                  </w:rPr>
                  <w:t>International</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671C3480" w14:textId="77777777" w:rsidR="00AE180F" w:rsidRPr="003460A5" w:rsidRDefault="00AE180F" w:rsidP="00811C57">
      <w:pPr>
        <w:shd w:val="clear" w:color="auto" w:fill="FFFFFF"/>
        <w:spacing w:before="100" w:beforeAutospacing="1" w:after="100"/>
        <w:jc w:val="both"/>
      </w:pPr>
      <w:permStart w:id="124340805" w:edGrp="everyone"/>
      <w:r w:rsidRPr="003460A5">
        <w:t xml:space="preserve">With a view to cater for broader crypto-asset identification, TC 68 has published a new standard (ISO 24165) for a Digital Token Identifier (DTI). The DTI is intended to cover representation of tokenized financial instruments, e-money tokens as well as other digital assets such as cryptocurrencies, virtual currencies, utility tokens, </w:t>
      </w:r>
      <w:proofErr w:type="spellStart"/>
      <w:r w:rsidRPr="003460A5">
        <w:t>stablecoins</w:t>
      </w:r>
      <w:proofErr w:type="spellEnd"/>
      <w:r w:rsidRPr="003460A5">
        <w:t>, etc. The data elements of a DTI used to uniquely identify a digital token are based on objective and publicly verifiable technical characteristics of the digital token. Inclusion in the registry and the issuance of a DTI guarantees the existence of the token and its 1:1 relationship to its identifier in all circumstances, including after complex events such as forks on a blockchain. Such identification will be clearly distinguished from the existing ISO 4217, the standard for the representation of fiat currencies. ISO 24165 has two parts: Part 1 addresses the method for registration and assignment, while Part 2 determines the data elements required for registration. A</w:t>
      </w:r>
      <w:r>
        <w:t>n</w:t>
      </w:r>
      <w:r w:rsidRPr="003460A5">
        <w:t xml:space="preserve"> </w:t>
      </w:r>
      <w:r>
        <w:t xml:space="preserve">ISO </w:t>
      </w:r>
      <w:r w:rsidRPr="003460A5">
        <w:t>Registration Authority (DTI Foundation) is responsible for the issuance and management of DTIs.</w:t>
      </w:r>
    </w:p>
    <w:p w14:paraId="647B3618" w14:textId="77777777" w:rsidR="00AE180F" w:rsidRDefault="00AE180F" w:rsidP="00CC59BB">
      <w:r w:rsidRPr="003460A5">
        <w:t>The design of the DTI explicitly caters for consistency with the International Securities Identification Number (ISIN) standard (ISO 6166) which has been used for 40 years to uniquely identify financial and referential instruments and which is already embedded within the existing regulatory regime. In the 2021 revision of ISO 6166 standard, language was introduced to make explicit that ISINs are assigned irrespective of the technology used, including tokenized instruments. The data elements of an ISIN used to uniquely identify the instrument are based on the characteristics of the asset, making the ISIN and DTI complementary to each other – DTI for guaranteed uniqueness based on objective and verifiable technical data and ISIN for asset identification. By including the CFI</w:t>
      </w:r>
      <w:r>
        <w:t xml:space="preserve"> </w:t>
      </w:r>
      <w:r w:rsidRPr="003460A5">
        <w:t>- Classification of Financial Instruments (ISO 10962) and the FISN - Financial Instrument Short Name (ISO 18774) in the dataset accompanying the ISIN, two additional standards are part of the overall model classifying and describing the instruments on asset level.  An ISO Registration Authority (Association of National Numbering Agencies - ANNA) is responsible for oversight of implementation and adoption of the ISIN, with assignment undertaken by a federated model of National Numbering Agencies. ISIN is part of several European regulations already.</w:t>
      </w:r>
    </w:p>
    <w:permEnd w:id="124340805"/>
    <w:p w14:paraId="059016CF" w14:textId="74D68362"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59A0405A" w14:textId="0A61B9B2" w:rsidR="00CC59BB" w:rsidRDefault="00CC59BB" w:rsidP="00CC59BB">
      <w:permStart w:id="1947404220" w:edGrp="everyone"/>
      <w:r>
        <w:t>TYPE YOUR TEXT HERE</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0D2F37D3" w14:textId="77777777" w:rsidR="00CC59BB" w:rsidRDefault="00CC59BB" w:rsidP="00CC59BB">
      <w:permStart w:id="2005885194" w:edGrp="everyone"/>
      <w:r>
        <w:t>TYPE YOUR TEXT HERE</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lastRenderedPageBreak/>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23D7346A" w14:textId="77777777" w:rsidR="00CC59BB" w:rsidRDefault="00CC59BB" w:rsidP="00CC59BB">
      <w:permStart w:id="864513806" w:edGrp="everyone"/>
      <w:r>
        <w:t>TYPE YOUR TEXT HERE</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2E916F10" w14:textId="77777777" w:rsidR="00CC59BB" w:rsidRDefault="00CC59BB" w:rsidP="00CC59BB">
      <w:permStart w:id="1293775397" w:edGrp="everyone"/>
      <w:r>
        <w:t>TYPE YOUR TEXT HERE</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10AE453" w14:textId="77777777" w:rsidR="00CC59BB" w:rsidRDefault="00CC59BB" w:rsidP="00CC59BB">
      <w:permStart w:id="1076438526" w:edGrp="everyone"/>
      <w:r>
        <w:t>TYPE YOUR TEXT HERE</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lastRenderedPageBreak/>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0D1A6398" w:rsidR="00CC59BB" w:rsidRDefault="00AE180F" w:rsidP="00CC59BB">
      <w:permStart w:id="1673160559" w:edGrp="everyone"/>
      <w:r w:rsidRPr="003460A5">
        <w:t xml:space="preserve">In addition to the ISIN (ISO 6166) as well as CFI (Classification of Financial Instruments – ISO 10962) and the FISN (Financial Instrument Short Name – ISO 18774), which </w:t>
      </w:r>
      <w:r>
        <w:t>are</w:t>
      </w:r>
      <w:r w:rsidRPr="003460A5">
        <w:t xml:space="preserve"> already embedded within the existing regulatory regime, the DTI (ISO 24165) can identify the specific chain where the DLT financial instrument is priced or traded. This can aid market transparency for DLT financial instruments that trade on multiple chains, by enabling market participants to perform chain-level analysis such as which chain contains the best prices or highest trading volumes. </w:t>
      </w:r>
      <w:r>
        <w:t xml:space="preserve">A DTI can also represent a group of functionally fungible tokens </w:t>
      </w:r>
      <w:proofErr w:type="gramStart"/>
      <w:r>
        <w:t>in order to</w:t>
      </w:r>
      <w:proofErr w:type="gramEnd"/>
      <w:r>
        <w:t xml:space="preserve"> assist with aggregation of DLT token data across multiple chains.</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77777777" w:rsidR="00CC59BB" w:rsidRDefault="00CC59BB" w:rsidP="00CC59BB">
      <w:permStart w:id="1628839836" w:edGrp="everyone"/>
      <w:r>
        <w:t>TYPE YOUR TEXT HERE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lastRenderedPageBreak/>
        <w:t>&lt;ESMA_QUESTION_DLTP_15&gt;</w:t>
      </w:r>
    </w:p>
    <w:p w14:paraId="2CF74206" w14:textId="77777777" w:rsidR="00CC59BB" w:rsidRDefault="00CC59BB" w:rsidP="00CC59BB">
      <w:permStart w:id="1530005966" w:edGrp="everyone"/>
      <w:r>
        <w:t>TYPE YOUR TEXT HERE</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77777777" w:rsidR="00CC59BB" w:rsidRDefault="00CC59BB" w:rsidP="00CC59BB">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4DCE5838" w14:textId="77777777" w:rsidR="00CC59BB" w:rsidRDefault="00CC59BB" w:rsidP="00CC59BB">
      <w:permStart w:id="1367754514" w:edGrp="everyone"/>
      <w:r>
        <w:t>TYPE YOUR TEXT HERE</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lastRenderedPageBreak/>
        <w:t>Do you agree with the approach indicated in the above paragraph? Please justify your answer.</w:t>
      </w:r>
    </w:p>
    <w:p w14:paraId="4165C891" w14:textId="77777777" w:rsidR="00CC59BB" w:rsidRDefault="00CC59BB" w:rsidP="00CC59BB">
      <w:r>
        <w:t>&lt;ESMA_QUESTION_DLTP_22&gt;</w:t>
      </w:r>
    </w:p>
    <w:p w14:paraId="78CC4A39" w14:textId="77777777" w:rsidR="00CC59BB" w:rsidRDefault="00CC59BB" w:rsidP="00CC59BB">
      <w:permStart w:id="1310265670" w:edGrp="everyone"/>
      <w:r>
        <w:t>TYPE YOUR TEXT HERE</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77777777" w:rsidR="00CC59BB" w:rsidRDefault="00CC59BB" w:rsidP="00CC59BB">
      <w:permStart w:id="1711693936" w:edGrp="everyone"/>
      <w:r>
        <w:t>TYPE YOUR TEXT HERE</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 xml:space="preserve">Transmission of an order (Fields 25-27): Is it necessary to amend the current fields for the application in the context of a DLT environment? Do you expect any </w:t>
      </w:r>
      <w:r w:rsidRPr="00185ADA">
        <w:lastRenderedPageBreak/>
        <w:t>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6F84A3B" w14:textId="77777777" w:rsidR="00CC59BB" w:rsidRDefault="00CC59BB" w:rsidP="00CC59BB">
      <w:permStart w:id="2035771818" w:edGrp="everyone"/>
      <w:r>
        <w:lastRenderedPageBreak/>
        <w:t>TYPE YOUR TEXT HERE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77777777" w:rsidR="00CC59BB" w:rsidRDefault="00CC59BB" w:rsidP="00CC59BB">
      <w:permStart w:id="1801348191" w:edGrp="everyone"/>
      <w:r>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77777777" w:rsidR="00CC59BB" w:rsidRDefault="00CC59BB" w:rsidP="00CC59BB">
      <w:permStart w:id="1328882998" w:edGrp="everyone"/>
      <w:r>
        <w:t>TYPE YOUR TEXT HERE</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77777777" w:rsidR="00CC59BB" w:rsidRDefault="00CC59BB" w:rsidP="00CC59BB">
      <w:permStart w:id="792208080" w:edGrp="everyone"/>
      <w:r>
        <w:t>TYPE YOUR TEXT HERE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2A33DACD" w14:textId="189E8D11" w:rsidR="00CC59BB" w:rsidRDefault="00AE180F" w:rsidP="00CC59BB">
      <w:permStart w:id="1618555889" w:edGrp="everyone"/>
      <w:r w:rsidRPr="003460A5">
        <w:t xml:space="preserve">The addition of the DTI (whether in the General fields section or in a different section) </w:t>
      </w:r>
      <w:r>
        <w:t>would add value</w:t>
      </w:r>
      <w:r w:rsidRPr="003460A5">
        <w:t xml:space="preserve"> as described in </w:t>
      </w:r>
      <w:r>
        <w:t xml:space="preserve">our responses to </w:t>
      </w:r>
      <w:r w:rsidRPr="003460A5">
        <w:t>Q44</w:t>
      </w:r>
      <w:r>
        <w:t xml:space="preserve"> and Q45</w:t>
      </w:r>
      <w:r w:rsidRPr="003460A5">
        <w:t xml:space="preserve">. In the 2021 revision of ISO 6166 standard, language was introduced to make explicit that ISINs are assigned irrespective of the technology used, including tokenized instruments. As such, the use of ISIN in its current form will enable the identification of the digital asset such as security tokens. The DTI record already contains fields to link the DTI to external identifiers such as the ISIN and the DTI Foundation will include the corresponding ISIN within these fields. </w:t>
      </w:r>
      <w:r>
        <w:t xml:space="preserve">Both ISO Registration Authorities for the two standards cooperate to provide alignment for the provision of a complete and complementary picture at all levels for different kinds of digital </w:t>
      </w:r>
      <w:proofErr w:type="gramStart"/>
      <w:r>
        <w:t>assets.</w:t>
      </w:r>
      <w:permEnd w:id="1618555889"/>
      <w:r w:rsidR="00CC59BB">
        <w:t>&lt;</w:t>
      </w:r>
      <w:proofErr w:type="gramEnd"/>
      <w:r w:rsidR="00CC59BB">
        <w: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23C91F46" w14:textId="77777777" w:rsidR="00AE180F" w:rsidRPr="003460A5" w:rsidRDefault="00AE180F" w:rsidP="00AE180F">
      <w:pPr>
        <w:spacing w:before="100" w:beforeAutospacing="1" w:after="100"/>
        <w:ind w:left="720"/>
        <w:jc w:val="both"/>
      </w:pPr>
      <w:permStart w:id="682117515" w:edGrp="everyone"/>
      <w:r w:rsidRPr="003460A5">
        <w:lastRenderedPageBreak/>
        <w:t>The ISIN and DTI are complementary to each other: DTI for guaranteed uniqueness based on objective and verifiable technical data and ISIN for asset identification. The addition of the DTI in combination with the ISIN provides the benefits described below:</w:t>
      </w:r>
    </w:p>
    <w:p w14:paraId="75C175A0" w14:textId="77777777" w:rsidR="00AE180F" w:rsidRPr="003460A5" w:rsidRDefault="00AE180F" w:rsidP="00AE180F">
      <w:pPr>
        <w:numPr>
          <w:ilvl w:val="1"/>
          <w:numId w:val="38"/>
        </w:numPr>
        <w:shd w:val="clear" w:color="auto" w:fill="FFFFFF"/>
        <w:spacing w:before="100" w:beforeAutospacing="1" w:after="100" w:afterAutospacing="1"/>
        <w:jc w:val="both"/>
      </w:pPr>
      <w:r w:rsidRPr="003460A5">
        <w:t>In the case of a fork on the blockchain containing the DLT financial instrument, each fork will contain its own copy of the original token representing the DLT financial instrument. The DTI provides the ability to uniquely identify which copy of the token represents the DLT financial instrument. The ISIN continues to identify the asset as now.</w:t>
      </w:r>
    </w:p>
    <w:p w14:paraId="19CA79FB" w14:textId="77777777" w:rsidR="00AE180F" w:rsidRPr="003460A5" w:rsidRDefault="00AE180F" w:rsidP="00AE180F">
      <w:pPr>
        <w:numPr>
          <w:ilvl w:val="1"/>
          <w:numId w:val="38"/>
        </w:numPr>
        <w:shd w:val="clear" w:color="auto" w:fill="FFFFFF"/>
        <w:spacing w:before="100" w:beforeAutospacing="1" w:after="100" w:afterAutospacing="1"/>
        <w:jc w:val="both"/>
      </w:pPr>
      <w:r w:rsidRPr="003460A5">
        <w:t xml:space="preserve">In the case of the same DLT financial instrument trading on multiple blockchains, the addition of the DTI enables market participants to identify the specific chain associated with any price or trade and therefore enhances market transparency by enabling analysis of best prices per chain. Regulators will also be able to </w:t>
      </w:r>
      <w:proofErr w:type="gramStart"/>
      <w:r w:rsidRPr="003460A5">
        <w:t>take into account</w:t>
      </w:r>
      <w:proofErr w:type="gramEnd"/>
      <w:r w:rsidRPr="003460A5">
        <w:t xml:space="preserve"> the chain where a given trade occurred when performing their market abuse monitoring function.</w:t>
      </w:r>
    </w:p>
    <w:p w14:paraId="07B65998" w14:textId="77777777" w:rsidR="00AE180F" w:rsidRDefault="00AE180F" w:rsidP="00AE180F">
      <w:pPr>
        <w:numPr>
          <w:ilvl w:val="1"/>
          <w:numId w:val="38"/>
        </w:numPr>
        <w:shd w:val="clear" w:color="auto" w:fill="FFFFFF"/>
        <w:spacing w:before="100" w:beforeAutospacing="1" w:after="100" w:afterAutospacing="1"/>
        <w:jc w:val="both"/>
      </w:pPr>
      <w:r>
        <w:t>Where DLT financial instruments on different chains are deemed to be functionally fungible, a</w:t>
      </w:r>
      <w:r w:rsidRPr="00440C2F">
        <w:t xml:space="preserve"> DTI can also </w:t>
      </w:r>
      <w:r>
        <w:t xml:space="preserve">be issued to </w:t>
      </w:r>
      <w:r w:rsidRPr="00440C2F">
        <w:t xml:space="preserve">represent </w:t>
      </w:r>
      <w:r>
        <w:t xml:space="preserve">a </w:t>
      </w:r>
      <w:r w:rsidRPr="00440C2F">
        <w:t xml:space="preserve">group </w:t>
      </w:r>
      <w:r>
        <w:t>of DLT financial instruments. The DTI in this case can enhance market transparency by enabling</w:t>
      </w:r>
      <w:r w:rsidRPr="00440C2F">
        <w:t xml:space="preserve"> aggregation of </w:t>
      </w:r>
      <w:r>
        <w:t xml:space="preserve">the order and market </w:t>
      </w:r>
      <w:r w:rsidRPr="00440C2F">
        <w:t>data across multiple chains</w:t>
      </w:r>
      <w:r>
        <w:t xml:space="preserve"> and across the functionally fungible DLT financial instruments</w:t>
      </w:r>
      <w:r w:rsidRPr="00440C2F">
        <w:t>.</w:t>
      </w:r>
    </w:p>
    <w:p w14:paraId="7997D3AA" w14:textId="77777777" w:rsidR="00AE180F" w:rsidRPr="003460A5" w:rsidRDefault="00AE180F" w:rsidP="00AE180F">
      <w:pPr>
        <w:numPr>
          <w:ilvl w:val="1"/>
          <w:numId w:val="38"/>
        </w:numPr>
        <w:shd w:val="clear" w:color="auto" w:fill="FFFFFF"/>
        <w:spacing w:before="100" w:beforeAutospacing="1" w:after="100" w:afterAutospacing="1"/>
        <w:jc w:val="both"/>
      </w:pPr>
      <w:r w:rsidRPr="003460A5">
        <w:t xml:space="preserve">ISIN is already a part of the regulatory regime and used by market participants in their systems as a key standard and will therefore serve as a consistent asset level identifier. </w:t>
      </w:r>
    </w:p>
    <w:p w14:paraId="50A00A7B" w14:textId="77777777" w:rsidR="00AE180F" w:rsidRDefault="00AE180F" w:rsidP="00AE180F">
      <w:pPr>
        <w:numPr>
          <w:ilvl w:val="1"/>
          <w:numId w:val="38"/>
        </w:numPr>
        <w:shd w:val="clear" w:color="auto" w:fill="FFFFFF"/>
        <w:spacing w:before="100" w:beforeAutospacing="1" w:after="100" w:afterAutospacing="1"/>
        <w:jc w:val="both"/>
      </w:pPr>
      <w:r w:rsidRPr="003460A5">
        <w:t>Through the complementary use of two ISO standards maintained by two RAs it would be possible to cover all relevant elements of a tokenized security and other digital assets</w:t>
      </w:r>
      <w:r>
        <w:t>.</w:t>
      </w:r>
    </w:p>
    <w:p w14:paraId="26BEF5EA" w14:textId="77777777" w:rsidR="00AE180F" w:rsidRPr="003460A5" w:rsidRDefault="00AE180F" w:rsidP="00AE180F">
      <w:pPr>
        <w:spacing w:before="100" w:beforeAutospacing="1" w:after="100"/>
        <w:ind w:left="720"/>
        <w:jc w:val="both"/>
      </w:pPr>
      <w:r w:rsidRPr="00F65A9E">
        <w:t xml:space="preserve">Therefore, in addition to the instances already cited by ESMA in this consultation, the inclusion of the DTI in </w:t>
      </w:r>
      <w:r>
        <w:t>RTS 23 and RTS 1-3</w:t>
      </w:r>
      <w:r w:rsidRPr="00F65A9E">
        <w:t xml:space="preserve"> would add value as well</w:t>
      </w:r>
      <w:r>
        <w:t>.</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05D47EEA" w14:textId="6418DC68" w:rsidR="00CC59BB" w:rsidRDefault="00AE180F" w:rsidP="00CC59BB">
      <w:permStart w:id="791900048" w:edGrp="everyone"/>
      <w:r w:rsidRPr="003460A5">
        <w:t xml:space="preserve">The addition of the DTI enables uniqueness of the DLT financial instrument to be specified at the individual DLT level. The DTI is required where the uniqueness criteria include identification of the specific chain where the DLT financial instrument is implemented, </w:t>
      </w:r>
      <w:proofErr w:type="gramStart"/>
      <w:r w:rsidRPr="003460A5">
        <w:t>priced</w:t>
      </w:r>
      <w:proofErr w:type="gramEnd"/>
      <w:r w:rsidRPr="003460A5">
        <w:t xml:space="preserve"> or traded. </w:t>
      </w:r>
      <w:r>
        <w:t xml:space="preserve">A DTI can also represent a group of functionally fungible tokens </w:t>
      </w:r>
      <w:proofErr w:type="gramStart"/>
      <w:r>
        <w:t>in order to</w:t>
      </w:r>
      <w:proofErr w:type="gramEnd"/>
      <w:r>
        <w:t xml:space="preserve"> assist with aggregation of DLT financial instrument data across multiple chains. For these reasons</w:t>
      </w:r>
      <w:r w:rsidRPr="00F65A9E">
        <w:t xml:space="preserve">, in addition to the instances already cited by ESMA in this consultation, the inclusion of the DTI in </w:t>
      </w:r>
      <w:r>
        <w:t>RTS 23 and RTS 1-3</w:t>
      </w:r>
      <w:r w:rsidRPr="00F65A9E">
        <w:t xml:space="preserve"> would add value as </w:t>
      </w:r>
      <w:proofErr w:type="gramStart"/>
      <w:r w:rsidRPr="00F65A9E">
        <w:t>well</w:t>
      </w:r>
      <w:r>
        <w:t>.</w:t>
      </w:r>
      <w:permEnd w:id="791900048"/>
      <w:r w:rsidR="00CC59BB">
        <w:t>&lt;</w:t>
      </w:r>
      <w:proofErr w:type="gramEnd"/>
      <w:r w:rsidR="00CC59BB">
        <w: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2A27C4BA" w14:textId="77777777" w:rsidR="00AE180F" w:rsidRPr="0069006A" w:rsidRDefault="00AE180F" w:rsidP="00AE180F">
      <w:pPr>
        <w:pStyle w:val="ListParagraph"/>
        <w:shd w:val="clear" w:color="auto" w:fill="FFFFFF"/>
        <w:spacing w:after="100"/>
        <w:jc w:val="both"/>
        <w:rPr>
          <w:sz w:val="22"/>
        </w:rPr>
      </w:pPr>
      <w:permStart w:id="971904602" w:edGrp="everyone"/>
      <w:r w:rsidRPr="0069006A">
        <w:rPr>
          <w:sz w:val="22"/>
        </w:rPr>
        <w:t xml:space="preserve">The ISO 20022 methodology is technology independent and it is therefore also fit for purpose </w:t>
      </w:r>
      <w:r>
        <w:rPr>
          <w:sz w:val="22"/>
        </w:rPr>
        <w:t xml:space="preserve">to be used for reporting from </w:t>
      </w:r>
      <w:r w:rsidRPr="0069006A">
        <w:rPr>
          <w:sz w:val="22"/>
        </w:rPr>
        <w:t xml:space="preserve">a DLT infrastructure. As rightly pointed out by ESMA, the common business definitions and logical construct of the ISO 20022 messages defined for </w:t>
      </w:r>
      <w:proofErr w:type="spellStart"/>
      <w:r w:rsidRPr="0069006A">
        <w:rPr>
          <w:sz w:val="22"/>
        </w:rPr>
        <w:t>MiFIR</w:t>
      </w:r>
      <w:proofErr w:type="spellEnd"/>
      <w:r w:rsidRPr="0069006A">
        <w:rPr>
          <w:sz w:val="22"/>
        </w:rPr>
        <w:t xml:space="preserve"> transaction reporting can also be implemented </w:t>
      </w:r>
      <w:r>
        <w:rPr>
          <w:sz w:val="22"/>
        </w:rPr>
        <w:t xml:space="preserve">for a </w:t>
      </w:r>
      <w:r w:rsidRPr="0069006A">
        <w:rPr>
          <w:sz w:val="22"/>
        </w:rPr>
        <w:t xml:space="preserve">DLT. This would be beneficial for the reporting firms, trading venues and the competent authorities to format their data </w:t>
      </w:r>
      <w:r>
        <w:rPr>
          <w:sz w:val="22"/>
        </w:rPr>
        <w:t xml:space="preserve">using the </w:t>
      </w:r>
      <w:r w:rsidRPr="0069006A">
        <w:rPr>
          <w:sz w:val="22"/>
        </w:rPr>
        <w:t>same structure.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3E3ED373" w14:textId="77777777" w:rsidR="00AE180F" w:rsidRDefault="00AE180F" w:rsidP="00AE180F">
      <w:pPr>
        <w:pStyle w:val="ListParagraph"/>
        <w:shd w:val="clear" w:color="auto" w:fill="FFFFFF"/>
        <w:spacing w:after="100"/>
        <w:jc w:val="both"/>
        <w:rPr>
          <w:rFonts w:cstheme="minorHAnsi"/>
          <w:sz w:val="22"/>
        </w:rPr>
      </w:pPr>
      <w:permStart w:id="1801152938" w:edGrp="everyone"/>
      <w:r w:rsidRPr="003460A5">
        <w:rPr>
          <w:rFonts w:cstheme="minorHAnsi"/>
          <w:sz w:val="22"/>
        </w:rPr>
        <w:t>The scope of both the DTI and ISIN includes identification of e-money tokens. Therefore, where settlement is not in fiat currency (ISO 4217) and is instead in in e-money token, the DTI and ISIN can be used in a complementary manner instead of ISO 4217 to uniquely identify the specific e-money token used in the settlement process, in the same manner as described for other tokenized financial and referential instruments.</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lastRenderedPageBreak/>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201B2F27" w14:textId="77777777" w:rsidR="00AE180F" w:rsidRDefault="00AE180F" w:rsidP="00AE180F">
      <w:pPr>
        <w:pStyle w:val="ListParagraph"/>
        <w:shd w:val="clear" w:color="auto" w:fill="FFFFFF"/>
        <w:spacing w:after="100"/>
        <w:jc w:val="both"/>
        <w:rPr>
          <w:rFonts w:cstheme="minorHAnsi"/>
          <w:sz w:val="22"/>
        </w:rPr>
      </w:pPr>
      <w:permStart w:id="1528003884" w:edGrp="everyone"/>
      <w:r w:rsidRPr="0069006A">
        <w:rPr>
          <w:rFonts w:cstheme="minorHAnsi"/>
          <w:sz w:val="22"/>
        </w:rPr>
        <w:t>As stated in our response to Q48, the ISO 20022 standard is technology independent. The SAG believes that</w:t>
      </w:r>
      <w:r>
        <w:rPr>
          <w:rFonts w:cstheme="minorHAnsi"/>
          <w:sz w:val="22"/>
        </w:rPr>
        <w:t xml:space="preserve"> it</w:t>
      </w:r>
      <w:r w:rsidRPr="0069006A">
        <w:rPr>
          <w:rFonts w:cstheme="minorHAnsi"/>
          <w:sz w:val="22"/>
        </w:rPr>
        <w:t xml:space="preserve"> is technically feasible to store the transaction details according to the ISO 20022 specifications in a DLT environment like in any other technical environment</w:t>
      </w:r>
      <w:r w:rsidRPr="003460A5">
        <w:rPr>
          <w:rFonts w:cstheme="minorHAnsi"/>
          <w:sz w:val="22"/>
        </w:rPr>
        <w:t>.</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3A659409" w14:textId="07226057" w:rsidR="00CC59BB" w:rsidRDefault="00AE180F" w:rsidP="00CC59BB">
      <w:permStart w:id="553465930" w:edGrp="everyone"/>
      <w:r w:rsidRPr="00F6105C">
        <w:rPr>
          <w:rFonts w:cstheme="minorHAnsi"/>
          <w:sz w:val="22"/>
        </w:rPr>
        <w:t>Please see our response to Q53</w:t>
      </w:r>
      <w:permEnd w:id="553465930"/>
      <w:r w:rsidR="00CC59BB">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73DB74B4" w14:textId="7A957F3E" w:rsidR="00CC59BB" w:rsidRDefault="00AE180F" w:rsidP="00CC59BB">
      <w:permStart w:id="504120578" w:edGrp="everyone"/>
      <w:r w:rsidRPr="00F6105C">
        <w:rPr>
          <w:rFonts w:cstheme="minorHAnsi"/>
          <w:sz w:val="22"/>
        </w:rPr>
        <w:t>Please see our response to Q53</w:t>
      </w:r>
      <w:permEnd w:id="504120578"/>
      <w:r w:rsidR="00CC59BB">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3AA3BA27" w14:textId="35229D9F" w:rsidR="00CC59BB" w:rsidRDefault="00AE180F" w:rsidP="00CC59BB">
      <w:permStart w:id="1798071605" w:edGrp="everyone"/>
      <w:r w:rsidRPr="00F6105C">
        <w:rPr>
          <w:rFonts w:cstheme="minorHAnsi"/>
          <w:sz w:val="22"/>
        </w:rPr>
        <w:t>The SAG does not see any issue with</w:t>
      </w:r>
      <w:r>
        <w:rPr>
          <w:rFonts w:cstheme="minorHAnsi"/>
          <w:sz w:val="22"/>
        </w:rPr>
        <w:t xml:space="preserve"> obtaining and accessing </w:t>
      </w:r>
      <w:r w:rsidRPr="00F6105C">
        <w:rPr>
          <w:rFonts w:cstheme="minorHAnsi"/>
          <w:sz w:val="22"/>
        </w:rPr>
        <w:t xml:space="preserve">the data elements defined under </w:t>
      </w:r>
      <w:r>
        <w:rPr>
          <w:rFonts w:cstheme="minorHAnsi"/>
          <w:sz w:val="22"/>
        </w:rPr>
        <w:t xml:space="preserve">these </w:t>
      </w:r>
      <w:r w:rsidRPr="00F6105C">
        <w:rPr>
          <w:rFonts w:cstheme="minorHAnsi"/>
          <w:sz w:val="22"/>
        </w:rPr>
        <w:t xml:space="preserve">ISO reference data standards </w:t>
      </w:r>
      <w:r>
        <w:rPr>
          <w:rFonts w:cstheme="minorHAnsi"/>
          <w:sz w:val="22"/>
        </w:rPr>
        <w:t xml:space="preserve">for DLT </w:t>
      </w:r>
      <w:proofErr w:type="gramStart"/>
      <w:r>
        <w:rPr>
          <w:rFonts w:cstheme="minorHAnsi"/>
          <w:sz w:val="22"/>
        </w:rPr>
        <w:t>reporting</w:t>
      </w:r>
      <w:r w:rsidRPr="00F6105C">
        <w:rPr>
          <w:rFonts w:cstheme="minorHAnsi"/>
          <w:sz w:val="22"/>
        </w:rPr>
        <w:t>.</w:t>
      </w:r>
      <w:permEnd w:id="1798071605"/>
      <w:r w:rsidR="00CC59BB">
        <w:t>&lt;</w:t>
      </w:r>
      <w:proofErr w:type="gramEnd"/>
      <w:r w:rsidR="00CC59BB">
        <w: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lastRenderedPageBreak/>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36323" w14:textId="77777777" w:rsidR="00EA00F5" w:rsidRDefault="00EA00F5">
      <w:r>
        <w:separator/>
      </w:r>
    </w:p>
    <w:p w14:paraId="4B0F1732" w14:textId="77777777" w:rsidR="00EA00F5" w:rsidRDefault="00EA00F5"/>
  </w:endnote>
  <w:endnote w:type="continuationSeparator" w:id="0">
    <w:p w14:paraId="3423CA37" w14:textId="77777777" w:rsidR="00EA00F5" w:rsidRDefault="00EA00F5">
      <w:r>
        <w:continuationSeparator/>
      </w:r>
    </w:p>
    <w:p w14:paraId="5C116E0E" w14:textId="77777777" w:rsidR="00EA00F5" w:rsidRDefault="00EA00F5"/>
  </w:endnote>
  <w:endnote w:type="continuationNotice" w:id="1">
    <w:p w14:paraId="62FC4BEC" w14:textId="77777777" w:rsidR="00EA00F5" w:rsidRDefault="00EA0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A7B15"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A4DC7" w14:textId="77777777" w:rsidR="00EA00F5" w:rsidRDefault="00EA00F5">
      <w:r>
        <w:separator/>
      </w:r>
    </w:p>
    <w:p w14:paraId="0756AD9B" w14:textId="77777777" w:rsidR="00EA00F5" w:rsidRDefault="00EA00F5"/>
  </w:footnote>
  <w:footnote w:type="continuationSeparator" w:id="0">
    <w:p w14:paraId="1DF0D86E" w14:textId="77777777" w:rsidR="00EA00F5" w:rsidRDefault="00EA00F5">
      <w:r>
        <w:continuationSeparator/>
      </w:r>
    </w:p>
    <w:p w14:paraId="3BABB573" w14:textId="77777777" w:rsidR="00EA00F5" w:rsidRDefault="00EA00F5"/>
  </w:footnote>
  <w:footnote w:type="continuationNotice" w:id="1">
    <w:p w14:paraId="14380D5E" w14:textId="77777777" w:rsidR="00EA00F5" w:rsidRDefault="00EA0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54184D"/>
    <w:multiLevelType w:val="multilevel"/>
    <w:tmpl w:val="DB54B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8"/>
  </w:num>
  <w:num w:numId="29">
    <w:abstractNumId w:val="7"/>
  </w:num>
  <w:num w:numId="30">
    <w:abstractNumId w:val="2"/>
  </w:num>
  <w:num w:numId="31">
    <w:abstractNumId w:val="21"/>
  </w:num>
  <w:num w:numId="32">
    <w:abstractNumId w:val="20"/>
  </w:num>
  <w:num w:numId="33">
    <w:abstractNumId w:val="34"/>
  </w:num>
  <w:num w:numId="34">
    <w:abstractNumId w:val="33"/>
  </w:num>
  <w:num w:numId="35">
    <w:abstractNumId w:val="4"/>
  </w:num>
  <w:num w:numId="36">
    <w:abstractNumId w:val="35"/>
  </w:num>
  <w:num w:numId="37">
    <w:abstractNumId w:val="12"/>
  </w:num>
  <w:num w:numId="38">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180F"/>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340C"/>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0F5"/>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1216</Value>
      <Value>165</Value>
      <Value>484</Value>
      <Value>14</Value>
    </TaxCatchAll>
    <_dlc_DocId xmlns="20fbe147-bbda-4e53-b6b1-7e8bbff3fe19">ESMA70-460-26</_dlc_DocId>
    <_dlc_DocIdUrl xmlns="20fbe147-bbda-4e53-b6b1-7e8bbff3fe19">
      <Url>https://sherpa.esma.europa.eu/sites/MKT/SMK/_layouts/15/DocIdRedir.aspx?ID=ESMA70-460-26</Url>
      <Description>ESMA70-460-26</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2CD2EE27-6C9D-4095-B937-2F7D4E11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4342</Words>
  <Characters>24756</Characters>
  <Application>Microsoft Office Word</Application>
  <DocSecurity>8</DocSecurity>
  <Lines>206</Lines>
  <Paragraphs>58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29040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Accornero, Matteo</cp:lastModifiedBy>
  <cp:revision>3</cp:revision>
  <cp:lastPrinted>2015-02-18T11:01:00Z</cp:lastPrinted>
  <dcterms:created xsi:type="dcterms:W3CDTF">2022-01-04T07:48:00Z</dcterms:created>
  <dcterms:modified xsi:type="dcterms:W3CDTF">2022-03-03T09:05:00Z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0x01010001BD15C3986B91498E0AE644B715B9EE1B001F5A8317797F334F88F9215DEB384D7B</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ies>
</file>