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025821D6" w:rsidR="00C2682A" w:rsidRPr="00AB6D88" w:rsidRDefault="00EE72C5" w:rsidP="00FA5524">
                <w:pPr>
                  <w:rPr>
                    <w:rStyle w:val="PlaceholderText"/>
                    <w:rFonts w:cs="Arial"/>
                  </w:rPr>
                </w:pPr>
                <w:r>
                  <w:rPr>
                    <w:rStyle w:val="PlaceholderText"/>
                    <w:rFonts w:cs="Arial"/>
                  </w:rPr>
                  <w:t>FlatStone Capital Markets Inc.</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11F965D2" w:rsidR="00C2682A" w:rsidRPr="00AB6D88" w:rsidRDefault="00D06719"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72C5">
                  <w:rPr>
                    <w:rFonts w:cs="Arial"/>
                  </w:rPr>
                  <w:t>Investment Services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610A06B0" w:rsidR="00C2682A" w:rsidRPr="00AB6D88" w:rsidRDefault="00EE72C5"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5ADBF3FD" w:rsidR="00C2682A" w:rsidRPr="00AB6D88" w:rsidRDefault="00EE72C5" w:rsidP="00FA5524">
                <w:pPr>
                  <w:rPr>
                    <w:rFonts w:cs="Arial"/>
                  </w:rPr>
                </w:pPr>
                <w:r>
                  <w:rPr>
                    <w:rFonts w:cs="Arial"/>
                  </w:rPr>
                  <w:t>Other</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54C933E1" w14:textId="4983AB97" w:rsidR="00EE72C5" w:rsidRDefault="00EE72C5" w:rsidP="00EE72C5">
      <w:pPr>
        <w:rPr>
          <w:lang w:val="en-US"/>
        </w:rPr>
      </w:pPr>
      <w:permStart w:id="124340805" w:edGrp="everyone"/>
      <w:r w:rsidRPr="00EE72C5">
        <w:rPr>
          <w:lang w:val="en-US"/>
        </w:rPr>
        <w:t xml:space="preserve">FlatStone Capital Markets Inc. DBA TridentX (FlatStone or TridentX) welcomes the opportunity to provide feedback to ESMA's consultation paper on the Call for Evidence on DLT Pilot. In line with FlatStone's mission “To build a bridge between legacy and decentralized finance to fund entrepreneurs and innovators creating the future digital economy”, FlatStone's response focus on aspects relevant to the development of regulated DLT Capital Markets bridging to unregulated Cryptoassets. </w:t>
      </w:r>
    </w:p>
    <w:p w14:paraId="5B5AA6BB" w14:textId="0E214582" w:rsidR="001E560A" w:rsidRDefault="001E560A" w:rsidP="00EE72C5">
      <w:pPr>
        <w:rPr>
          <w:lang w:val="en-US"/>
        </w:rPr>
      </w:pPr>
    </w:p>
    <w:p w14:paraId="249A1DED" w14:textId="77777777" w:rsidR="001E560A" w:rsidRPr="001E560A" w:rsidRDefault="001E560A" w:rsidP="001E560A">
      <w:pPr>
        <w:rPr>
          <w:lang w:val="en-US"/>
        </w:rPr>
      </w:pPr>
      <w:r w:rsidRPr="001E560A">
        <w:rPr>
          <w:lang w:val="en-US"/>
        </w:rPr>
        <w:t xml:space="preserve">FlatStone comments represent a cross-section of the concerns expressed by many of the subject matter experts and members (the stakeholders) of the digital asset ecosystem. These members coincide in that regulators' lack of understanding of DLT and other technologies results in a blanket approach (perceived) risk that will be detrimental to digital transformation. It is our position that unless adjusted future regulation will discourage market adoption, investment, and corporate participation. </w:t>
      </w:r>
    </w:p>
    <w:p w14:paraId="477AE31D" w14:textId="77777777" w:rsidR="001E560A" w:rsidRPr="001E560A" w:rsidRDefault="001E560A" w:rsidP="001E560A">
      <w:pPr>
        <w:rPr>
          <w:lang w:val="en-US"/>
        </w:rPr>
      </w:pPr>
    </w:p>
    <w:p w14:paraId="2D743FA1" w14:textId="5067BD74" w:rsidR="001E560A" w:rsidRPr="00EE72C5" w:rsidRDefault="001E560A" w:rsidP="001E560A">
      <w:pPr>
        <w:rPr>
          <w:lang w:val="en-US"/>
        </w:rPr>
      </w:pPr>
      <w:r w:rsidRPr="001E560A">
        <w:rPr>
          <w:lang w:val="en-US"/>
        </w:rPr>
        <w:t>The ideal model eliminates arbitrary barriers of entry making, replacing them to facilitate and promote the adoption by corporate issuers, institutional investors, and end-users. We believe a simpler regulatory model could help DLT Capital markets to provide an alternative funding source for SMEs during the post-pandemic recovery</w:t>
      </w:r>
    </w:p>
    <w:p w14:paraId="45D81E33" w14:textId="77777777" w:rsidR="00EE72C5" w:rsidRPr="00EE72C5" w:rsidRDefault="00EE72C5" w:rsidP="00EE72C5">
      <w:pPr>
        <w:rPr>
          <w:lang w:val="en-US"/>
        </w:rPr>
      </w:pPr>
    </w:p>
    <w:p w14:paraId="0F0B64BF" w14:textId="77777777" w:rsidR="00EE72C5" w:rsidRPr="00EE72C5" w:rsidRDefault="00EE72C5" w:rsidP="00EE72C5">
      <w:pPr>
        <w:rPr>
          <w:lang w:val="en-US"/>
        </w:rPr>
      </w:pPr>
      <w:r w:rsidRPr="00EE72C5">
        <w:rPr>
          <w:lang w:val="en-US"/>
        </w:rPr>
        <w:t xml:space="preserve">As a result, of the ESMA regulatory framework, FlatStone will focus on responding to questions relating to RTS 1 (equity transparency). FlatStone sees the need for focused amendments to the framework where we believe that the main obstacles to meaningful regulation under MICA relate to a) the bulking of RTS2 (Non-equity transparency) into one single bucket without differentiation. The lack of recognition in the impact of the different types of infrastructure architecture namely the Decentralized ledger technology (DLT) and Distributed ledger technologies. </w:t>
      </w:r>
    </w:p>
    <w:p w14:paraId="43249B2C" w14:textId="77777777" w:rsidR="00EE72C5" w:rsidRPr="00EE72C5" w:rsidRDefault="00EE72C5" w:rsidP="00EE72C5">
      <w:pPr>
        <w:rPr>
          <w:lang w:val="en-US"/>
        </w:rPr>
      </w:pPr>
    </w:p>
    <w:p w14:paraId="6E61D221" w14:textId="77777777" w:rsidR="00EE72C5" w:rsidRPr="00EE72C5" w:rsidRDefault="00EE72C5" w:rsidP="00EE72C5">
      <w:pPr>
        <w:rPr>
          <w:lang w:val="en-US"/>
        </w:rPr>
      </w:pPr>
      <w:r w:rsidRPr="00EE72C5">
        <w:rPr>
          <w:lang w:val="en-US"/>
        </w:rPr>
        <w:t>These and other general misconceptions concerning taxonomy and infrastructure have an impact on the misalignment of the regulation and the requirements for transparency for digital crypto assets. Our response should be read with these comments in mind:</w:t>
      </w:r>
    </w:p>
    <w:p w14:paraId="39C73273" w14:textId="77777777" w:rsidR="00EE72C5" w:rsidRPr="00EE72C5" w:rsidRDefault="00EE72C5" w:rsidP="00EE72C5">
      <w:pPr>
        <w:rPr>
          <w:lang w:val="en-US"/>
        </w:rPr>
      </w:pPr>
    </w:p>
    <w:p w14:paraId="51731BEF" w14:textId="56238037" w:rsidR="00EE72C5" w:rsidRPr="00EE72C5" w:rsidRDefault="00EE72C5" w:rsidP="00EE72C5">
      <w:pPr>
        <w:numPr>
          <w:ilvl w:val="0"/>
          <w:numId w:val="38"/>
        </w:numPr>
        <w:rPr>
          <w:lang w:val="en-US"/>
        </w:rPr>
      </w:pPr>
      <w:r w:rsidRPr="00EE72C5">
        <w:rPr>
          <w:lang w:val="en-US"/>
        </w:rPr>
        <w:t>“</w:t>
      </w:r>
      <w:r w:rsidRPr="00781C20">
        <w:rPr>
          <w:b/>
          <w:bCs/>
          <w:lang w:val="en-US"/>
        </w:rPr>
        <w:t>Adoption of Digital Currencies</w:t>
      </w:r>
      <w:r w:rsidRPr="00EE72C5">
        <w:rPr>
          <w:lang w:val="en-US"/>
        </w:rPr>
        <w:t xml:space="preserve">” – </w:t>
      </w:r>
      <w:r w:rsidR="00F01501" w:rsidRPr="00F01501">
        <w:rPr>
          <w:lang w:val="en-US"/>
        </w:rPr>
        <w:t>FlatStone believes digital currencies adoption will happen as a result from the demographic shift and the massive expansion of the central bank balance sheets M2. Clearly, the cost of minting (printing) physical currency M1 exceeds the utility when demand for currency exceeds the supply required for post-pandemic recovery programs</w:t>
      </w:r>
      <w:r w:rsidRPr="00EE72C5">
        <w:rPr>
          <w:lang w:val="en-US"/>
        </w:rPr>
        <w:t>. While we support the impending issuance of Central Bank Digital Currencies (CBDCs) regulated by the Bank of International Settlements (BIS) we caution ECB against banning the public blockchain cryptocurrencies, which should be regulated by ESMA as financial contracts, and/or instruments with full legal status and legislation.</w:t>
      </w:r>
    </w:p>
    <w:p w14:paraId="480387E6" w14:textId="77777777" w:rsidR="00EE72C5" w:rsidRPr="00EE72C5" w:rsidRDefault="00EE72C5" w:rsidP="00EE72C5">
      <w:pPr>
        <w:rPr>
          <w:lang w:val="en-US"/>
        </w:rPr>
      </w:pPr>
    </w:p>
    <w:p w14:paraId="4A8167DB" w14:textId="77777777" w:rsidR="00EE72C5" w:rsidRPr="00EE72C5" w:rsidRDefault="00EE72C5" w:rsidP="00EE72C5">
      <w:pPr>
        <w:numPr>
          <w:ilvl w:val="0"/>
          <w:numId w:val="38"/>
        </w:numPr>
        <w:rPr>
          <w:lang w:val="en-US"/>
        </w:rPr>
      </w:pPr>
      <w:r w:rsidRPr="00EE72C5">
        <w:rPr>
          <w:lang w:val="en-US"/>
        </w:rPr>
        <w:t>“</w:t>
      </w:r>
      <w:r w:rsidRPr="00781C20">
        <w:rPr>
          <w:b/>
          <w:bCs/>
          <w:lang w:val="en-US"/>
        </w:rPr>
        <w:t>Bulking of Non-Equities</w:t>
      </w:r>
      <w:r w:rsidRPr="00EE72C5">
        <w:rPr>
          <w:lang w:val="en-US"/>
        </w:rPr>
        <w:t xml:space="preserve">”- FlatStone believes that it is counterproductive to not differentiate Debt capital markets (DCM) from other non-equity such as commodities derivatives within regulation RTS2. A similar problem situation presents with the widespread use of ISINs for the identification of both Equity capital markets (ECM) and multiple contracts for derivatives. The prime example is the meaning of liquidity/risk in derivatives, which differs significantly from equity and/or debt, and it is similar to most unregulated Cryptoassets as there is neither a finite pool of liquidity nor a single ‘issuer’ of financial instruments in derivatives and Cryptoassets. </w:t>
      </w:r>
    </w:p>
    <w:p w14:paraId="617A2C93" w14:textId="77777777" w:rsidR="00EE72C5" w:rsidRPr="00EE72C5" w:rsidRDefault="00EE72C5" w:rsidP="00EE72C5">
      <w:pPr>
        <w:rPr>
          <w:lang w:val="en-US"/>
        </w:rPr>
      </w:pPr>
    </w:p>
    <w:p w14:paraId="270CF273" w14:textId="77777777" w:rsidR="00EE72C5" w:rsidRPr="00EE72C5" w:rsidRDefault="00EE72C5" w:rsidP="00EE72C5">
      <w:pPr>
        <w:numPr>
          <w:ilvl w:val="0"/>
          <w:numId w:val="38"/>
        </w:numPr>
        <w:rPr>
          <w:lang w:val="en-US"/>
        </w:rPr>
      </w:pPr>
      <w:r w:rsidRPr="00EE72C5">
        <w:rPr>
          <w:lang w:val="en-US"/>
        </w:rPr>
        <w:t>“</w:t>
      </w:r>
      <w:r w:rsidRPr="00781C20">
        <w:rPr>
          <w:b/>
          <w:bCs/>
          <w:lang w:val="en-US"/>
        </w:rPr>
        <w:t>DLT Cost Compression</w:t>
      </w:r>
      <w:r w:rsidRPr="00EE72C5">
        <w:rPr>
          <w:lang w:val="en-US"/>
        </w:rPr>
        <w:t xml:space="preserve">” - The EPB DLT facilitates Levelized cost compression (LCC) reflected on lower CAPEX and OPEX requirements of virtualized or digital operations. The LCC paves the road for an accelerated digital transformation across industries. The adoption of digital Robotic </w:t>
      </w:r>
      <w:r w:rsidRPr="00EE72C5">
        <w:rPr>
          <w:lang w:val="en-US"/>
        </w:rPr>
        <w:lastRenderedPageBreak/>
        <w:t xml:space="preserve">process automation (RPA), and self-execution of predetermined workflows for complex operations and transactions (via Smart-Contracts). </w:t>
      </w:r>
    </w:p>
    <w:p w14:paraId="36BDE099" w14:textId="77777777" w:rsidR="00EE72C5" w:rsidRPr="00EE72C5" w:rsidRDefault="00EE72C5" w:rsidP="00EE72C5">
      <w:pPr>
        <w:rPr>
          <w:lang w:val="en-US"/>
        </w:rPr>
      </w:pPr>
    </w:p>
    <w:p w14:paraId="2D5E179D" w14:textId="77777777" w:rsidR="00EE72C5" w:rsidRPr="00EE72C5" w:rsidRDefault="00EE72C5" w:rsidP="00EE72C5">
      <w:pPr>
        <w:numPr>
          <w:ilvl w:val="0"/>
          <w:numId w:val="38"/>
        </w:numPr>
        <w:rPr>
          <w:lang w:val="en-US"/>
        </w:rPr>
      </w:pPr>
      <w:r w:rsidRPr="00EE72C5">
        <w:rPr>
          <w:lang w:val="en-US"/>
        </w:rPr>
        <w:t>“</w:t>
      </w:r>
      <w:r w:rsidRPr="00D06719">
        <w:rPr>
          <w:b/>
          <w:bCs/>
          <w:lang w:val="en-US"/>
        </w:rPr>
        <w:t>Education and Training</w:t>
      </w:r>
      <w:r w:rsidRPr="00EE72C5">
        <w:rPr>
          <w:lang w:val="en-US"/>
        </w:rPr>
        <w:t>”</w:t>
      </w:r>
      <w:r w:rsidRPr="00EE72C5">
        <w:rPr>
          <w:b/>
          <w:bCs/>
          <w:lang w:val="en-US"/>
        </w:rPr>
        <w:t xml:space="preserve"> </w:t>
      </w:r>
      <w:r w:rsidRPr="00EE72C5">
        <w:rPr>
          <w:lang w:val="en-US"/>
        </w:rPr>
        <w:t xml:space="preserve">- It is our position that European Supervisory Authorities (ESA's) and European Commission (EC) legislators like their global counterparts lack the competence across a Body-Of-Knowledge (BOK) to properly regulate areas of increasing technical complexity. These knowledge gaps would require immediate remedial actions for ESA's and legislators to draft legislation that both protects investors, without curving innovation and fostering competition. Only adequate skill sets are required by being trained and becoming certified. </w:t>
      </w:r>
    </w:p>
    <w:p w14:paraId="0DBCA733" w14:textId="77777777" w:rsidR="00EE72C5" w:rsidRPr="00EE72C5" w:rsidRDefault="00EE72C5" w:rsidP="00EE72C5">
      <w:pPr>
        <w:rPr>
          <w:lang w:val="en-US"/>
        </w:rPr>
      </w:pPr>
    </w:p>
    <w:p w14:paraId="1966F5BE" w14:textId="77777777" w:rsidR="00EE72C5" w:rsidRPr="00EE72C5" w:rsidRDefault="00EE72C5" w:rsidP="00EE72C5">
      <w:pPr>
        <w:numPr>
          <w:ilvl w:val="0"/>
          <w:numId w:val="38"/>
        </w:numPr>
        <w:rPr>
          <w:lang w:val="en-US"/>
        </w:rPr>
      </w:pPr>
      <w:r w:rsidRPr="00EE72C5">
        <w:rPr>
          <w:lang w:val="en-US"/>
        </w:rPr>
        <w:t>“</w:t>
      </w:r>
      <w:r w:rsidRPr="00781C20">
        <w:rPr>
          <w:b/>
          <w:bCs/>
          <w:lang w:val="en-US"/>
        </w:rPr>
        <w:t>GDRP Compliance</w:t>
      </w:r>
      <w:r w:rsidRPr="00EE72C5">
        <w:rPr>
          <w:lang w:val="en-US"/>
        </w:rPr>
        <w:t>”</w:t>
      </w:r>
      <w:r w:rsidRPr="00EE72C5">
        <w:rPr>
          <w:b/>
          <w:bCs/>
          <w:lang w:val="en-US"/>
        </w:rPr>
        <w:t xml:space="preserve"> - </w:t>
      </w:r>
      <w:r w:rsidRPr="00EE72C5">
        <w:rPr>
          <w:lang w:val="en-US"/>
        </w:rPr>
        <w:t xml:space="preserve">The recent events in the Ukraine highlight the fragility of the public infrastructure DLT and potential violation of the GDRP laws. This underlines the need for deployment of EPB DLT T1 infrastructure network(s) capable of recording and processing structured data from both on-chain and off-chain sensors from fixed Internet of Things (IoT) and mobile devices.  </w:t>
      </w:r>
    </w:p>
    <w:p w14:paraId="1DEE45EE" w14:textId="77777777" w:rsidR="00EE72C5" w:rsidRPr="00EE72C5" w:rsidRDefault="00EE72C5" w:rsidP="00EE72C5">
      <w:pPr>
        <w:rPr>
          <w:lang w:val="en-US"/>
        </w:rPr>
      </w:pPr>
    </w:p>
    <w:p w14:paraId="58FD6F03" w14:textId="77777777" w:rsidR="00EE72C5" w:rsidRPr="00EE72C5" w:rsidRDefault="00EE72C5" w:rsidP="00EE72C5">
      <w:pPr>
        <w:ind w:left="709"/>
        <w:rPr>
          <w:lang w:val="en-US"/>
        </w:rPr>
      </w:pPr>
      <w:r w:rsidRPr="00EE72C5">
        <w:rPr>
          <w:lang w:val="en-US"/>
        </w:rPr>
        <w:t xml:space="preserve">Such Encrypted structured data (ESD) processed would be capable of providing regulated access to analytical framework encrypted data transparency information enforcing privacy and compliance to GDRP, over a regulated, </w:t>
      </w:r>
      <w:proofErr w:type="gramStart"/>
      <w:r w:rsidRPr="00EE72C5">
        <w:rPr>
          <w:lang w:val="en-US"/>
        </w:rPr>
        <w:t>robust</w:t>
      </w:r>
      <w:proofErr w:type="gramEnd"/>
      <w:r w:rsidRPr="00EE72C5">
        <w:rPr>
          <w:lang w:val="en-US"/>
        </w:rPr>
        <w:t xml:space="preserve"> and scalable network capable of increasing market liquidity and protecting data. </w:t>
      </w:r>
    </w:p>
    <w:p w14:paraId="0D989EBC" w14:textId="77777777" w:rsidR="00EE72C5" w:rsidRPr="00EE72C5" w:rsidRDefault="00EE72C5" w:rsidP="00EE72C5">
      <w:pPr>
        <w:rPr>
          <w:lang w:val="en-US"/>
        </w:rPr>
      </w:pPr>
    </w:p>
    <w:p w14:paraId="330E4134" w14:textId="77777777" w:rsidR="00EE72C5" w:rsidRPr="00EE72C5" w:rsidRDefault="00EE72C5" w:rsidP="00EE72C5">
      <w:pPr>
        <w:numPr>
          <w:ilvl w:val="0"/>
          <w:numId w:val="38"/>
        </w:numPr>
        <w:rPr>
          <w:lang w:val="en-US"/>
        </w:rPr>
      </w:pPr>
      <w:r w:rsidRPr="00EE72C5">
        <w:rPr>
          <w:lang w:val="en-US"/>
        </w:rPr>
        <w:t>“</w:t>
      </w:r>
      <w:r w:rsidRPr="00D06719">
        <w:rPr>
          <w:b/>
          <w:bCs/>
          <w:lang w:val="en-US"/>
        </w:rPr>
        <w:t>Non-equity instruments segmentation</w:t>
      </w:r>
      <w:r w:rsidRPr="00EE72C5">
        <w:rPr>
          <w:lang w:val="en-US"/>
        </w:rPr>
        <w:t xml:space="preserve">” - Concerning the structure of MICA and relative to </w:t>
      </w:r>
      <w:proofErr w:type="spellStart"/>
      <w:r w:rsidRPr="00EE72C5">
        <w:rPr>
          <w:lang w:val="en-US"/>
        </w:rPr>
        <w:t>MiFIR</w:t>
      </w:r>
      <w:proofErr w:type="spellEnd"/>
      <w:r w:rsidRPr="00EE72C5">
        <w:rPr>
          <w:lang w:val="en-US"/>
        </w:rPr>
        <w:t xml:space="preserve"> proposed transparency requirements, </w:t>
      </w:r>
      <w:proofErr w:type="gramStart"/>
      <w:r w:rsidRPr="00EE72C5">
        <w:rPr>
          <w:lang w:val="en-US"/>
        </w:rPr>
        <w:t>i.e.</w:t>
      </w:r>
      <w:proofErr w:type="gramEnd"/>
      <w:r w:rsidRPr="00EE72C5">
        <w:rPr>
          <w:lang w:val="en-US"/>
        </w:rPr>
        <w:t xml:space="preserve"> equity vs non-equity instruments, we underline that debt capital markets (DCM) are different from the other such as derivatives markets, in terms of objectives, market structure and the aforementioned notion of liquidity/ risk profile. </w:t>
      </w:r>
    </w:p>
    <w:p w14:paraId="44E8367E" w14:textId="77777777" w:rsidR="00EE72C5" w:rsidRPr="00EE72C5" w:rsidRDefault="00EE72C5" w:rsidP="00EE72C5">
      <w:pPr>
        <w:rPr>
          <w:lang w:val="en-US"/>
        </w:rPr>
      </w:pPr>
    </w:p>
    <w:p w14:paraId="1B7F4802" w14:textId="77777777" w:rsidR="00EE72C5" w:rsidRPr="00EE72C5" w:rsidRDefault="00EE72C5" w:rsidP="00EE72C5">
      <w:pPr>
        <w:ind w:left="709"/>
        <w:rPr>
          <w:lang w:val="en-US"/>
        </w:rPr>
      </w:pPr>
      <w:r w:rsidRPr="00EE72C5">
        <w:rPr>
          <w:lang w:val="en-US"/>
        </w:rPr>
        <w:t>Furthermore, the differentiation between exchange-traded derivatives (ETDs), OTC derivatives, and other contracts is not granular enough. We submit that within the ‘non-equity’ bucket, ESMA should recognize the structural differences between fixed DCM and other non-equity capital markets. FlatStone addresses this by creating three categories (buckets) Equity Capital Markets (ECM), Debt Capital Markets (DCM), and Extensible capital markets (XCM) which includes ETDs, OTC, and other structured and non-structured instruments such as commodities, emission units, notes, and complex exotic financial instruments.</w:t>
      </w:r>
    </w:p>
    <w:p w14:paraId="7CFA2C18" w14:textId="77777777" w:rsidR="00EE72C5" w:rsidRPr="00EE72C5" w:rsidRDefault="00EE72C5" w:rsidP="00EE72C5">
      <w:pPr>
        <w:rPr>
          <w:lang w:val="en-US"/>
        </w:rPr>
      </w:pPr>
    </w:p>
    <w:p w14:paraId="247A9DD7" w14:textId="77777777" w:rsidR="00EE72C5" w:rsidRPr="00EE72C5" w:rsidRDefault="00EE72C5" w:rsidP="00EE72C5">
      <w:pPr>
        <w:numPr>
          <w:ilvl w:val="0"/>
          <w:numId w:val="38"/>
        </w:numPr>
        <w:rPr>
          <w:lang w:val="en-US"/>
        </w:rPr>
      </w:pPr>
      <w:r w:rsidRPr="00EE72C5">
        <w:rPr>
          <w:lang w:val="en-US"/>
        </w:rPr>
        <w:t>“</w:t>
      </w:r>
      <w:r w:rsidRPr="00781C20">
        <w:rPr>
          <w:b/>
          <w:bCs/>
          <w:lang w:val="en-US"/>
        </w:rPr>
        <w:t>Enhanced Liquidity Privacy &amp; Transparency</w:t>
      </w:r>
      <w:r w:rsidRPr="00EE72C5">
        <w:rPr>
          <w:lang w:val="en-US"/>
        </w:rPr>
        <w:t xml:space="preserve">” - As outlined by ESMA concerning transparency across the lifecycle (Pre and Post Trade) of the DLT capital markets processes can deliver both enhanced liquidity and remain in compliance with GDRP legislation. The EPB-DLT model is uniquely positioned to address ESMA call for simplifying the regime MIFID2/MIFIR while providing both meaningful transparency and useful information to end-users on the dynamics of derivatives and other capital markets.  </w:t>
      </w:r>
    </w:p>
    <w:p w14:paraId="0F06042B" w14:textId="77777777" w:rsidR="00EE72C5" w:rsidRPr="00EE72C5" w:rsidRDefault="00EE72C5" w:rsidP="00EE72C5">
      <w:pPr>
        <w:rPr>
          <w:lang w:val="en-US"/>
        </w:rPr>
      </w:pPr>
    </w:p>
    <w:p w14:paraId="74DAAEE6" w14:textId="77777777" w:rsidR="00EE72C5" w:rsidRPr="00EE72C5" w:rsidRDefault="00EE72C5" w:rsidP="00EE72C5">
      <w:pPr>
        <w:numPr>
          <w:ilvl w:val="0"/>
          <w:numId w:val="38"/>
        </w:numPr>
        <w:rPr>
          <w:lang w:val="en-US"/>
        </w:rPr>
      </w:pPr>
      <w:r w:rsidRPr="00EE72C5">
        <w:rPr>
          <w:lang w:val="en-US"/>
        </w:rPr>
        <w:t>“</w:t>
      </w:r>
      <w:r w:rsidRPr="00781C20">
        <w:rPr>
          <w:b/>
          <w:bCs/>
          <w:lang w:val="en-US"/>
        </w:rPr>
        <w:t>Environmental impact of Proof of Work</w:t>
      </w:r>
      <w:r w:rsidRPr="00EE72C5">
        <w:rPr>
          <w:lang w:val="en-US"/>
        </w:rPr>
        <w:t>”</w:t>
      </w:r>
      <w:r w:rsidRPr="00EE72C5">
        <w:rPr>
          <w:b/>
          <w:bCs/>
          <w:lang w:val="en-US"/>
        </w:rPr>
        <w:t xml:space="preserve"> - </w:t>
      </w:r>
      <w:r w:rsidRPr="00EE72C5">
        <w:rPr>
          <w:lang w:val="en-US"/>
        </w:rPr>
        <w:t xml:space="preserve">FlatStone core expertise on the energy and infrastructure sectors enables us to comment on the relevance of the European Commission Article 8 of the Taxonomy Regulation classification system of Sustainable Economic Activities on the POW infrastructure.  </w:t>
      </w:r>
    </w:p>
    <w:p w14:paraId="0474A020" w14:textId="77777777" w:rsidR="00EE72C5" w:rsidRPr="00EE72C5" w:rsidRDefault="00EE72C5" w:rsidP="00EE72C5">
      <w:pPr>
        <w:rPr>
          <w:lang w:val="en-US"/>
        </w:rPr>
      </w:pPr>
    </w:p>
    <w:p w14:paraId="092F94C4" w14:textId="77777777" w:rsidR="00EE72C5" w:rsidRPr="00EE72C5" w:rsidRDefault="00EE72C5" w:rsidP="00EE72C5">
      <w:pPr>
        <w:ind w:left="709"/>
        <w:rPr>
          <w:lang w:val="en-US"/>
        </w:rPr>
      </w:pPr>
      <w:r w:rsidRPr="00EE72C5">
        <w:rPr>
          <w:lang w:val="en-US"/>
        </w:rPr>
        <w:t>TridentX has designed climate finance solutions to fund energy transition and structured risk transfer mechanisms such as carbon credit and green bonds. Therefore, we suggest that POW regulation and taxation should contain special treatment by the Markets in Crypto-assets Regulation (MICA) and the Digital Operational Resilience Act (DORA). The Proof-of-Work (POW) public blockchains constitute an increasing source of emissions even when produced by renewable energy sources, constitute an unfair transfer of wealth from the taxpayers to the POW operators.</w:t>
      </w:r>
    </w:p>
    <w:p w14:paraId="016ACBF8" w14:textId="77777777" w:rsidR="00EE72C5" w:rsidRPr="00EE72C5" w:rsidRDefault="00EE72C5" w:rsidP="00EE72C5">
      <w:pPr>
        <w:rPr>
          <w:lang w:val="en-US"/>
        </w:rPr>
      </w:pPr>
    </w:p>
    <w:p w14:paraId="791F9560" w14:textId="77777777" w:rsidR="00EE72C5" w:rsidRPr="00EE72C5" w:rsidRDefault="00EE72C5" w:rsidP="00EE72C5">
      <w:pPr>
        <w:numPr>
          <w:ilvl w:val="0"/>
          <w:numId w:val="38"/>
        </w:numPr>
        <w:rPr>
          <w:lang w:val="en-US"/>
        </w:rPr>
      </w:pPr>
      <w:r w:rsidRPr="00EE72C5">
        <w:rPr>
          <w:lang w:val="en-US"/>
        </w:rPr>
        <w:t>“</w:t>
      </w:r>
      <w:r w:rsidRPr="00781C20">
        <w:rPr>
          <w:b/>
          <w:bCs/>
          <w:lang w:val="en-US"/>
        </w:rPr>
        <w:t>Taxation of Blockchain &amp; DLT</w:t>
      </w:r>
      <w:r w:rsidRPr="00EE72C5">
        <w:rPr>
          <w:lang w:val="en-US"/>
        </w:rPr>
        <w:t xml:space="preserve">” </w:t>
      </w:r>
      <w:r w:rsidRPr="00EE72C5">
        <w:rPr>
          <w:b/>
          <w:bCs/>
          <w:lang w:val="en-US"/>
        </w:rPr>
        <w:t>-</w:t>
      </w:r>
      <w:r w:rsidRPr="00EE72C5">
        <w:rPr>
          <w:lang w:val="en-US"/>
        </w:rPr>
        <w:t xml:space="preserve">The taxation of Blockchain &amp; DLT particularly POW is appropriate because, the construction and operation of electric grids and related infrastructure used to transmit power was and is still financed by the estate via taxation. Today, the new renewable capacity is largely financed by a combination of equity government-guaranteed debt instruments, </w:t>
      </w:r>
      <w:r w:rsidRPr="00EE72C5">
        <w:rPr>
          <w:lang w:val="en-US"/>
        </w:rPr>
        <w:lastRenderedPageBreak/>
        <w:t xml:space="preserve">and/or private investment schemes that are supported by complex tax credit incentives (credits and/or rebates) among other structured finance programs. </w:t>
      </w:r>
    </w:p>
    <w:p w14:paraId="4BB26B21" w14:textId="77777777" w:rsidR="00EE72C5" w:rsidRPr="00EE72C5" w:rsidRDefault="00EE72C5" w:rsidP="00EE72C5">
      <w:pPr>
        <w:rPr>
          <w:lang w:val="en-US"/>
        </w:rPr>
      </w:pPr>
    </w:p>
    <w:p w14:paraId="16C49B8B" w14:textId="77777777" w:rsidR="00EE72C5" w:rsidRPr="00EE72C5" w:rsidRDefault="00EE72C5" w:rsidP="00EE72C5">
      <w:pPr>
        <w:ind w:left="709"/>
        <w:rPr>
          <w:lang w:val="en-US"/>
        </w:rPr>
      </w:pPr>
      <w:r w:rsidRPr="00EE72C5">
        <w:rPr>
          <w:lang w:val="en-US"/>
        </w:rPr>
        <w:t xml:space="preserve">As the EU leads the race to decarbonize the economy by electrifying mobility there is an increasing cost of an opportunity to supply the POW for-profit mining sector at the expense of the consumers which are the taxpayers funding the public infrastructure CAPEX + OPEX. Therefore, the government has the legal right to assess the appropriate level of levies, on the industry via royalties or taxation for such POW operations. </w:t>
      </w:r>
    </w:p>
    <w:p w14:paraId="0F8FF313" w14:textId="77777777" w:rsidR="00EE72C5" w:rsidRPr="00EE72C5" w:rsidRDefault="00EE72C5" w:rsidP="00EE72C5">
      <w:pPr>
        <w:rPr>
          <w:lang w:val="en-US"/>
        </w:rPr>
      </w:pPr>
    </w:p>
    <w:p w14:paraId="206CCFA2" w14:textId="77777777" w:rsidR="00EE72C5" w:rsidRPr="00EE72C5" w:rsidRDefault="00EE72C5" w:rsidP="00EE72C5">
      <w:pPr>
        <w:ind w:left="709"/>
        <w:rPr>
          <w:lang w:val="en-US"/>
        </w:rPr>
      </w:pPr>
      <w:r w:rsidRPr="00EE72C5">
        <w:rPr>
          <w:lang w:val="en-US"/>
        </w:rPr>
        <w:t xml:space="preserve">It is our position that unless fully privately funded and operated no power consumption from the public electric utility infrastructure, all POW mining operations should pay higher industrial rates for the consumption, maintenance, and usage of such infrastructure facilitating their operations. </w:t>
      </w:r>
    </w:p>
    <w:p w14:paraId="09664861" w14:textId="77777777" w:rsidR="00EE72C5" w:rsidRPr="00EE72C5" w:rsidRDefault="00EE72C5" w:rsidP="00EE72C5">
      <w:pPr>
        <w:ind w:left="709"/>
        <w:rPr>
          <w:lang w:val="en-US"/>
        </w:rPr>
      </w:pPr>
    </w:p>
    <w:p w14:paraId="33F37280" w14:textId="77777777" w:rsidR="00EE72C5" w:rsidRPr="00EE72C5" w:rsidRDefault="00EE72C5" w:rsidP="00EE72C5">
      <w:pPr>
        <w:ind w:left="709"/>
        <w:rPr>
          <w:lang w:val="en-US"/>
        </w:rPr>
      </w:pPr>
      <w:r w:rsidRPr="00EE72C5">
        <w:rPr>
          <w:lang w:val="en-US"/>
        </w:rPr>
        <w:t>Access fees and transit levies could be imposed for the privately funded operators using the telecommunication networks, and transit fees can be imposed on those operators using PPA's to power their private networks. FCM proposes preferential taxation upward sliding schedule on income, capital gains and dividends should be considered during the transition period (±10 years) promoting and supporting the digital transformation attracting investment on robust enterprise digital infrastructure supporting the economic recovery operations.</w:t>
      </w:r>
    </w:p>
    <w:p w14:paraId="1D7C7A5C" w14:textId="77777777" w:rsidR="00EE72C5" w:rsidRPr="00EE72C5" w:rsidRDefault="00EE72C5" w:rsidP="00EE72C5">
      <w:pPr>
        <w:rPr>
          <w:lang w:val="en-US"/>
        </w:rPr>
      </w:pPr>
    </w:p>
    <w:p w14:paraId="4B6ED770" w14:textId="77777777" w:rsidR="00EE72C5" w:rsidRPr="00EE72C5" w:rsidRDefault="00EE72C5" w:rsidP="00EE72C5">
      <w:pPr>
        <w:numPr>
          <w:ilvl w:val="0"/>
          <w:numId w:val="38"/>
        </w:numPr>
        <w:rPr>
          <w:lang w:val="en-US"/>
        </w:rPr>
      </w:pPr>
      <w:r w:rsidRPr="00EE72C5">
        <w:rPr>
          <w:lang w:val="en-US"/>
        </w:rPr>
        <w:t>“</w:t>
      </w:r>
      <w:r w:rsidRPr="00781C20">
        <w:rPr>
          <w:b/>
          <w:bCs/>
          <w:lang w:val="en-US"/>
        </w:rPr>
        <w:t>Trusted Gateway Infrastructure vs Public Infrastructure</w:t>
      </w:r>
      <w:r w:rsidRPr="00EE72C5">
        <w:rPr>
          <w:lang w:val="en-US"/>
        </w:rPr>
        <w:t xml:space="preserve">”. Regulation lags behind the industry and the Regulation on Markets in Crypto-assets Regulation (MICA) would require a different framework to categorize, identify, and delineate what areas constitute risk versus the ones which constitute opportunities for the Digital Operational Resilience Act (DORA). </w:t>
      </w:r>
    </w:p>
    <w:p w14:paraId="764BD07B" w14:textId="77777777" w:rsidR="00EE72C5" w:rsidRPr="00EE72C5" w:rsidRDefault="00EE72C5" w:rsidP="00EE72C5">
      <w:pPr>
        <w:rPr>
          <w:lang w:val="en-US"/>
        </w:rPr>
      </w:pPr>
    </w:p>
    <w:p w14:paraId="5589F4FF" w14:textId="77777777" w:rsidR="00EE72C5" w:rsidRPr="00EE72C5" w:rsidRDefault="00EE72C5" w:rsidP="00EE72C5">
      <w:pPr>
        <w:ind w:left="709"/>
        <w:rPr>
          <w:lang w:val="en-US"/>
        </w:rPr>
      </w:pPr>
      <w:r w:rsidRPr="00EE72C5">
        <w:rPr>
          <w:lang w:val="en-US"/>
        </w:rPr>
        <w:t xml:space="preserve">As such we propose to delineate a clear differentiation between three broad segments of the infrastructure supporting the Decentralized Ledger Technologies. First the public blockchain infrastructure, the private permissioned blockchain infrastructure, the Enterprise purpose-built (EPB) Decentralized ledger-technology (DLT) or Trusted Gateway infrastructure. The second is the private version of the Public Blockchain (PPB), and the third is the Decentralized Autonomous Organizations (DAO) which has accumulated the bulk of the digital assets. </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25D5C45B" w14:textId="77777777" w:rsidR="001E560A" w:rsidRPr="001E560A" w:rsidRDefault="001E560A" w:rsidP="001E560A">
      <w:pPr>
        <w:rPr>
          <w:lang w:val="en-US"/>
        </w:rPr>
      </w:pPr>
      <w:permStart w:id="1947404220" w:edGrp="everyone"/>
      <w:r w:rsidRPr="001E560A">
        <w:rPr>
          <w:lang w:val="en-US"/>
        </w:rPr>
        <w:t xml:space="preserve">TridentX is a dealer and marketplace regulated in Canada fitting at least two of the three pilot categories of DLT market infrastructures (DLT MI): DLT Multilateral Trading Facilities (DLT MTF), DLT Trading and Settlement Systems (DLT TSS), and DLT Settlement Systems (DLT SS). TridentX is considering registering an EU as DLT MI and/or MTF and/or TSS soon where we might request exemptions from specific requirements in EU legislation (MiFID II, CSDR) while remaining in compliance with the conditions attached to those exemptions and compensatory measures requested by the relevant NCA. </w:t>
      </w:r>
    </w:p>
    <w:p w14:paraId="14DAA416" w14:textId="77777777" w:rsidR="001E560A" w:rsidRPr="001E560A" w:rsidRDefault="001E560A" w:rsidP="001E560A">
      <w:pPr>
        <w:rPr>
          <w:lang w:val="en-US"/>
        </w:rPr>
      </w:pPr>
    </w:p>
    <w:p w14:paraId="538E93BE" w14:textId="77777777" w:rsidR="000E4341" w:rsidRDefault="001E560A" w:rsidP="000E4341">
      <w:pPr>
        <w:rPr>
          <w:lang w:val="en-US"/>
        </w:rPr>
      </w:pPr>
      <w:r w:rsidRPr="001E560A">
        <w:rPr>
          <w:lang w:val="en-US"/>
        </w:rPr>
        <w:t>We understand that the TridentX Dealer-Marketplace model might require us to secure an exemption(s) and authorization as an investment firm (or regulated market) or can be granted to new entrants that will have to meet the relevant MiFID II/ CSDR requirements, except those for which the applicant requests, and has been granted, an exemption</w:t>
      </w:r>
      <w:r w:rsidR="000E4341">
        <w:rPr>
          <w:lang w:val="en-US"/>
        </w:rPr>
        <w:t xml:space="preserve">. </w:t>
      </w:r>
    </w:p>
    <w:p w14:paraId="28088B9C" w14:textId="77777777" w:rsidR="000E4341" w:rsidRDefault="000E4341" w:rsidP="000E4341">
      <w:pPr>
        <w:rPr>
          <w:lang w:val="en-US"/>
        </w:rPr>
      </w:pPr>
    </w:p>
    <w:p w14:paraId="22AE0B45" w14:textId="78B2C155" w:rsidR="000E4341" w:rsidRPr="000E4341" w:rsidRDefault="000E4341" w:rsidP="000E4341">
      <w:pPr>
        <w:rPr>
          <w:lang w:val="en-US"/>
        </w:rPr>
      </w:pPr>
      <w:r w:rsidRPr="000E4341">
        <w:rPr>
          <w:lang w:val="en-US"/>
        </w:rPr>
        <w:t xml:space="preserve">FlatStone has completed the regulatory process with the Canadian Securities Administrators (CSA) to operate a Canadian security token </w:t>
      </w:r>
      <w:r>
        <w:rPr>
          <w:lang w:val="en-US"/>
        </w:rPr>
        <w:t>Dealer and M</w:t>
      </w:r>
      <w:r w:rsidRPr="000E4341">
        <w:rPr>
          <w:lang w:val="en-US"/>
        </w:rPr>
        <w:t>arketplace “TridentX”. In anticipation of the licensing, our team of team subject matter experts continues to work diligently with leading companies, governments, and investors promoting the digital transformation of the capital markets.</w:t>
      </w:r>
    </w:p>
    <w:p w14:paraId="09F31216" w14:textId="7CAFD907" w:rsidR="000E4341" w:rsidRDefault="000E4341" w:rsidP="000E4341">
      <w:pPr>
        <w:rPr>
          <w:lang w:val="en-US"/>
        </w:rPr>
      </w:pPr>
      <w:r w:rsidRPr="000E4341">
        <w:rPr>
          <w:lang w:val="en-US"/>
        </w:rPr>
        <w:lastRenderedPageBreak/>
        <w:t xml:space="preserve">TridentX, is a next-generation platform for primary issuance and secondary trading of financial instruments developed on Enterprise purpose built (EPB) Decentralized ledger technology (DLT) already operating leading global capital markets including the SIX Digital Exchange in Switzerland. </w:t>
      </w:r>
    </w:p>
    <w:p w14:paraId="0125EB31" w14:textId="77777777" w:rsidR="000E4341" w:rsidRPr="000E4341" w:rsidRDefault="000E4341" w:rsidP="000E4341">
      <w:pPr>
        <w:rPr>
          <w:lang w:val="en-US"/>
        </w:rPr>
      </w:pPr>
    </w:p>
    <w:p w14:paraId="4D099C6D" w14:textId="77777777" w:rsidR="000E4341" w:rsidRPr="000E4341" w:rsidRDefault="000E4341" w:rsidP="000E4341">
      <w:pPr>
        <w:rPr>
          <w:lang w:val="en-US"/>
        </w:rPr>
      </w:pPr>
      <w:r w:rsidRPr="000E4341">
        <w:rPr>
          <w:lang w:val="en-US"/>
        </w:rPr>
        <w:t xml:space="preserve">FlatStone believes that by implementing the best industry standards and practices we can foster a more democratic financial system and inclusive capital markets during the formation stages of the new digital economic era. </w:t>
      </w:r>
    </w:p>
    <w:permEnd w:id="1947404220"/>
    <w:p w14:paraId="73D19FBF" w14:textId="04C2D18D"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20D83A2C" w14:textId="77777777" w:rsidR="00FB30BD" w:rsidRDefault="00FB30BD" w:rsidP="00FB30BD">
      <w:permStart w:id="2005885194" w:edGrp="everyone"/>
      <w:r>
        <w:t xml:space="preserve">According to the analysis and thesis for our TridentX project </w:t>
      </w:r>
      <w:proofErr w:type="gramStart"/>
      <w:r>
        <w:t>The</w:t>
      </w:r>
      <w:proofErr w:type="gramEnd"/>
      <w:r>
        <w:t xml:space="preserve"> most significant challenges identified under these reviews, result from changes in the regulatory framework and the shift in market perception of cryptocurrencies, particularly:</w:t>
      </w:r>
    </w:p>
    <w:p w14:paraId="223C7FDB" w14:textId="77777777" w:rsidR="00FB30BD" w:rsidRDefault="00FB30BD" w:rsidP="00FB30BD"/>
    <w:p w14:paraId="0601AE2F" w14:textId="4D57B5D2" w:rsidR="00FB30BD" w:rsidRDefault="00FB30BD" w:rsidP="00781C20">
      <w:pPr>
        <w:pStyle w:val="ListParagraph"/>
        <w:numPr>
          <w:ilvl w:val="0"/>
          <w:numId w:val="40"/>
        </w:numPr>
      </w:pPr>
      <w:r w:rsidRPr="00781C20">
        <w:rPr>
          <w:b/>
          <w:bCs/>
        </w:rPr>
        <w:t>Compliance</w:t>
      </w:r>
      <w:r>
        <w:t xml:space="preserve"> – As identified by a research report from Accenture on the impact of DLT on the </w:t>
      </w:r>
      <w:r w:rsidR="00145B0D">
        <w:t xml:space="preserve">Canadian </w:t>
      </w:r>
      <w:r>
        <w:t xml:space="preserve">broker dealer </w:t>
      </w:r>
      <w:proofErr w:type="gramStart"/>
      <w:r>
        <w:t>industry,  there</w:t>
      </w:r>
      <w:proofErr w:type="gramEnd"/>
      <w:r>
        <w:t xml:space="preserve"> is a growing concern amongst the members of industry related to the current regulatory regime in Canada. Such a cumbersome and fragmented regulatory framework has a negative correlation to the competitiveness, profitability, and relevance of the Canadian capital markets. </w:t>
      </w:r>
    </w:p>
    <w:p w14:paraId="0983E857" w14:textId="15093CD3" w:rsidR="00FB30BD" w:rsidRDefault="00FB30BD" w:rsidP="00781C20">
      <w:pPr>
        <w:pStyle w:val="ListParagraph"/>
        <w:numPr>
          <w:ilvl w:val="0"/>
          <w:numId w:val="40"/>
        </w:numPr>
      </w:pPr>
      <w:r w:rsidRPr="00781C20">
        <w:rPr>
          <w:b/>
          <w:bCs/>
        </w:rPr>
        <w:t>Interoperability</w:t>
      </w:r>
      <w:r>
        <w:t xml:space="preserve"> – widespread adoptions by retail and institutions is directly correlated to the marketplace interoperability between Banking sector legacy systems and decentralized fintech public infrastructure ultimately enabling cross-trading. </w:t>
      </w:r>
    </w:p>
    <w:p w14:paraId="24750BFA" w14:textId="2DC04A6F" w:rsidR="00FB30BD" w:rsidRDefault="00FB30BD" w:rsidP="00781C20">
      <w:pPr>
        <w:pStyle w:val="ListParagraph"/>
        <w:numPr>
          <w:ilvl w:val="0"/>
          <w:numId w:val="40"/>
        </w:numPr>
      </w:pPr>
      <w:r w:rsidRPr="00781C20">
        <w:rPr>
          <w:b/>
          <w:bCs/>
        </w:rPr>
        <w:t>Liquidity</w:t>
      </w:r>
      <w:r>
        <w:t xml:space="preserve"> –key to attracting participants, therefore the implementation of best practices and standards should integrate retail crowdfunding and facilitate the institutional adoption via enterprise infrastructure gateways. </w:t>
      </w:r>
    </w:p>
    <w:p w14:paraId="39593C67" w14:textId="40FCC7EC" w:rsidR="00FB30BD" w:rsidRDefault="00FB30BD" w:rsidP="00781C20">
      <w:pPr>
        <w:pStyle w:val="ListParagraph"/>
        <w:numPr>
          <w:ilvl w:val="0"/>
          <w:numId w:val="40"/>
        </w:numPr>
      </w:pPr>
      <w:r w:rsidRPr="00781C20">
        <w:rPr>
          <w:b/>
          <w:bCs/>
        </w:rPr>
        <w:t>Security</w:t>
      </w:r>
      <w:r>
        <w:t xml:space="preserve"> - The increasing cyber-security threats and operational risks, are key consideration for any marketplace, especially when the market value of cryptocurrencies crosses USD 2T. As segregated encrypted data can no longer provide risk isolation for the marketplace, risk mitigation demands security which eliminates the silo effects while facilitating the pre-trade and post-trade processes. </w:t>
      </w:r>
    </w:p>
    <w:p w14:paraId="7E6097C7" w14:textId="25838944" w:rsidR="00145B0D" w:rsidRDefault="00FB30BD" w:rsidP="00781C20">
      <w:pPr>
        <w:pStyle w:val="ListParagraph"/>
        <w:numPr>
          <w:ilvl w:val="0"/>
          <w:numId w:val="40"/>
        </w:numPr>
      </w:pPr>
      <w:r w:rsidRPr="00781C20">
        <w:rPr>
          <w:b/>
          <w:bCs/>
        </w:rPr>
        <w:t>Scalability</w:t>
      </w:r>
      <w:r>
        <w:t xml:space="preserve"> - showcases the challenges stemming from widespread usage of first and second-generation public blockchain protocols, and the lack of resilient enterprise infrastructure required for the digital transformation of the capital markets.</w:t>
      </w:r>
    </w:p>
    <w:p w14:paraId="2F6F194E" w14:textId="3031B7B0" w:rsidR="00FB30BD" w:rsidRDefault="00FB30BD" w:rsidP="00FB30BD">
      <w:r>
        <w:t xml:space="preserve"> </w:t>
      </w:r>
    </w:p>
    <w:p w14:paraId="0D2F37D3" w14:textId="113B950E" w:rsidR="00CC59BB" w:rsidRDefault="00FB30BD" w:rsidP="00FB30BD">
      <w:r>
        <w:t>These challenges showcase the Public DLT limitations and the need for reliable EPB DLT infrastructure capable of managing the increasing complexity resulting from institutional trading volume capacity expected post-adoption.</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1DE62E9C" w:rsidR="00CC59BB" w:rsidRDefault="00FB30BD" w:rsidP="00CC59BB">
      <w:permStart w:id="1235513680" w:edGrp="everyone"/>
      <w:r>
        <w:t>No, and no.</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 xml:space="preserve">Please provide an overview of how DLT securities trade in the current market structure (incl. what types of trading system are used, the relevance of secondary market </w:t>
      </w:r>
      <w:r w:rsidRPr="00185ADA">
        <w:lastRenderedPageBreak/>
        <w:t>trading)? Do you see any challenges with the current market structure following the application of the DLT Pilot?</w:t>
      </w:r>
    </w:p>
    <w:p w14:paraId="19426988" w14:textId="77777777" w:rsidR="00CC59BB" w:rsidRDefault="00CC59BB" w:rsidP="00CC59BB">
      <w:r>
        <w:t>&lt;ESMA_QUESTION_DLTP_5&gt;</w:t>
      </w:r>
    </w:p>
    <w:p w14:paraId="23D7346A" w14:textId="7DA48102" w:rsidR="00CC59BB" w:rsidRDefault="0048246F" w:rsidP="00CC59BB">
      <w:permStart w:id="864513806" w:edGrp="everyone"/>
      <w:r>
        <w:t>Today DLT Securities have a very limited trading volume based on the lack of standardized regulation and interoperability technology standards for DLT Capital Markets. The trading is happening on isolated basis and does not represent the potential of the market.</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0F91D62A" w14:textId="77777777" w:rsidR="002401DF" w:rsidRDefault="002401DF" w:rsidP="002401DF">
      <w:permStart w:id="1293775397" w:edGrp="everyone"/>
      <w:r>
        <w:t xml:space="preserve">FlatStone sees the need for focused amendments to the framework where we believe that the main obstacles to meaningful regulation under MICA relate to a) the bulking of RTS2 (Non-equity transparency) into one single bucket without differentiation. The lack of recognition in the impact of the different types of infrastructure architecture namely the Decentralized ledger technology (DLT) and Distributed ledger technologies. </w:t>
      </w:r>
    </w:p>
    <w:p w14:paraId="68D1C187" w14:textId="77777777" w:rsidR="002401DF" w:rsidRDefault="002401DF" w:rsidP="002401DF"/>
    <w:p w14:paraId="1533B847" w14:textId="77777777" w:rsidR="00B219B4" w:rsidRDefault="002401DF" w:rsidP="00B219B4">
      <w:r>
        <w:t>These and other general misconceptions concerning taxonomy and infrastructure have an impact on the misalignment of the regulation and the requirements for transparency for digital crypto assets.</w:t>
      </w:r>
      <w:r w:rsidR="00B219B4">
        <w:t xml:space="preserve"> FlatStone believes that it is counterproductive to not differentiate Debt capital markets (DCM) from other non-equity such as commodities derivatives within regulation RTS2. </w:t>
      </w:r>
    </w:p>
    <w:p w14:paraId="7C314345" w14:textId="77777777" w:rsidR="00B219B4" w:rsidRDefault="00B219B4" w:rsidP="00B219B4"/>
    <w:p w14:paraId="1C5E841E" w14:textId="08EEB936" w:rsidR="00CC59BB" w:rsidRDefault="00B219B4" w:rsidP="00CC59BB">
      <w:r>
        <w:t xml:space="preserve">A similar problem situation presents with the widespread use of ISINs for the identification of both Equity capital markets (ECM) and multiple contracts for derivatives. The prime example is the meaning of liquidity/risk in derivatives, which differs significantly from equity and/or debt, and it is </w:t>
      </w:r>
      <w:proofErr w:type="gramStart"/>
      <w:r>
        <w:t>similar to</w:t>
      </w:r>
      <w:proofErr w:type="gramEnd"/>
      <w:r>
        <w:t xml:space="preserve"> most unregulated Cryptoassets as there is neither a finite pool of liquidity nor a single ‘issuer’ of financial instruments in derivatives and Cryptoassets. </w:t>
      </w:r>
      <w:r w:rsidR="002401DF">
        <w:t xml:space="preserve"> </w:t>
      </w:r>
      <w:permEnd w:id="1293775397"/>
      <w:r w:rsidR="00CC59BB">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A5043D1" w14:textId="77777777" w:rsidR="00B219B4" w:rsidRDefault="00B219B4" w:rsidP="00B219B4">
      <w:permStart w:id="1076438526" w:edGrp="everyone"/>
      <w:r>
        <w:t>A)</w:t>
      </w:r>
      <w:r>
        <w:tab/>
        <w:t xml:space="preserve">DLT Financial Instruments could be traded on many venues Alternative Trading System (ATS) an Exchange Centralized or Decentralized, a Marketplace. </w:t>
      </w:r>
      <w:proofErr w:type="gramStart"/>
      <w:r>
        <w:t>As long as</w:t>
      </w:r>
      <w:proofErr w:type="gramEnd"/>
      <w:r>
        <w:t xml:space="preserve"> the venue supports the consensus protocol(s), and the jurisdiction has approved legislation that recognizes the DLT Financial Instruments. </w:t>
      </w:r>
    </w:p>
    <w:p w14:paraId="6446659E" w14:textId="77777777" w:rsidR="00B219B4" w:rsidRDefault="00B219B4" w:rsidP="00B219B4"/>
    <w:p w14:paraId="39E613CD" w14:textId="7BB53D2E" w:rsidR="00CC59BB" w:rsidRDefault="00B219B4" w:rsidP="00CC59BB">
      <w:r>
        <w:t>B)</w:t>
      </w:r>
      <w:r>
        <w:tab/>
        <w:t xml:space="preserve">While it would be possible for DLT Financial Instruments to trade </w:t>
      </w:r>
      <w:proofErr w:type="gramStart"/>
      <w:r>
        <w:t>Over-the-Counter</w:t>
      </w:r>
      <w:proofErr w:type="gramEnd"/>
      <w:r>
        <w:t xml:space="preserve">, this would defeat the purpose of this technology. </w:t>
      </w:r>
      <w:permEnd w:id="1076438526"/>
      <w:r w:rsidR="00CC59BB">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778980D9" w14:textId="3448DB16" w:rsidR="0050572C" w:rsidRDefault="0050572C" w:rsidP="0045064D">
      <w:pPr>
        <w:pStyle w:val="ListParagraph"/>
        <w:numPr>
          <w:ilvl w:val="0"/>
          <w:numId w:val="39"/>
        </w:numPr>
      </w:pPr>
      <w:permStart w:id="1516253385" w:edGrp="everyone"/>
      <w:r>
        <w:t xml:space="preserve"> No</w:t>
      </w:r>
    </w:p>
    <w:p w14:paraId="049192E3" w14:textId="74A4F64B" w:rsidR="00CC59BB" w:rsidRDefault="001149B2" w:rsidP="0045064D">
      <w:pPr>
        <w:pStyle w:val="ListParagraph"/>
        <w:numPr>
          <w:ilvl w:val="0"/>
          <w:numId w:val="39"/>
        </w:numPr>
      </w:pPr>
      <w:r>
        <w:t>As per above the RTS</w:t>
      </w:r>
      <w:r w:rsidR="0045064D">
        <w:t xml:space="preserve"> </w:t>
      </w:r>
      <w:r w:rsidR="0050572C">
        <w:t xml:space="preserve">1 and 2 </w:t>
      </w:r>
      <w:r>
        <w:t xml:space="preserve">regulation for a DLT venue would eliminate the option for OTC unless, in fact would only permit such under specific condition exemptions. </w:t>
      </w:r>
      <w:r w:rsidR="0050572C">
        <w:t>A DLT market would provide both transparency and privacy (</w:t>
      </w:r>
      <w:proofErr w:type="spellStart"/>
      <w:r w:rsidR="0050572C">
        <w:t>GDRP+others</w:t>
      </w:r>
      <w:proofErr w:type="spellEnd"/>
      <w:r w:rsidR="0050572C">
        <w:t>)</w:t>
      </w:r>
    </w:p>
    <w:permEnd w:id="1516253385"/>
    <w:p w14:paraId="5FBCB5E0" w14:textId="77777777" w:rsidR="00CC59BB" w:rsidRDefault="00CC59BB" w:rsidP="00CC59BB">
      <w:r>
        <w:lastRenderedPageBreak/>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43374C53" w:rsidR="00CC59BB" w:rsidRDefault="00D44432" w:rsidP="00CC59BB">
      <w:permStart w:id="869493798" w:edGrp="everyone"/>
      <w:proofErr w:type="gramStart"/>
      <w:r>
        <w:t>A)</w:t>
      </w:r>
      <w:r w:rsidR="0050572C">
        <w:t>Yes</w:t>
      </w:r>
      <w:proofErr w:type="gramEnd"/>
      <w:r w:rsidR="0050572C">
        <w:t xml:space="preserve">, </w:t>
      </w:r>
      <w:r>
        <w:t>mostly</w:t>
      </w:r>
    </w:p>
    <w:p w14:paraId="1FA20882" w14:textId="77777777" w:rsidR="00525957" w:rsidRDefault="00D44432" w:rsidP="00525957">
      <w:r>
        <w:t xml:space="preserve">B) </w:t>
      </w:r>
      <w:r w:rsidR="00525957">
        <w:t>Given our expertise on the Canadian and other regulatory frameworks, we propose a simple yet robust solution to addressing the perception of risk that regulators have about the public blockchain and decentralized finance (</w:t>
      </w:r>
      <w:proofErr w:type="spellStart"/>
      <w:r w:rsidR="00525957">
        <w:t>DeFi</w:t>
      </w:r>
      <w:proofErr w:type="spellEnd"/>
      <w:r w:rsidR="00525957">
        <w:t xml:space="preserve">).  </w:t>
      </w:r>
    </w:p>
    <w:p w14:paraId="262D37E6" w14:textId="77777777" w:rsidR="00525957" w:rsidRDefault="00525957" w:rsidP="00525957"/>
    <w:p w14:paraId="3B77ED4C" w14:textId="2FC62FC6" w:rsidR="00D44432" w:rsidRDefault="00525957" w:rsidP="00525957">
      <w:r>
        <w:t>By creating an RTS conforming to a federated consortium model, ESMA can address the regulatory concerns of the government and private sector increasing data transparency by traceability and increasing the trusted legacy model without increasing the regulatory burden across the board for DLT market infrastructure</w:t>
      </w:r>
    </w:p>
    <w:p w14:paraId="7782464D" w14:textId="77777777" w:rsidR="00D44432" w:rsidRDefault="00D44432" w:rsidP="00CC59BB"/>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13F39FB3" w14:textId="15C36B17" w:rsidR="00CC59BB" w:rsidRDefault="00525957" w:rsidP="00CC59BB">
      <w:permStart w:id="1673160559" w:edGrp="everyone"/>
      <w:proofErr w:type="gramStart"/>
      <w:r w:rsidRPr="00525957">
        <w:t>Yes</w:t>
      </w:r>
      <w:proofErr w:type="gramEnd"/>
      <w:r w:rsidRPr="00525957">
        <w:t xml:space="preserve"> Enterprise Purpose Built (EPB) DLT standards </w:t>
      </w:r>
      <w:permEnd w:id="1673160559"/>
      <w:r w:rsidR="00CC59BB">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E2AF4BB" w14:textId="05966C96" w:rsidR="00525957" w:rsidRDefault="00525957" w:rsidP="00525957">
      <w:permStart w:id="1628839836" w:edGrp="everyone"/>
      <w:proofErr w:type="gramStart"/>
      <w:r>
        <w:t>Yes</w:t>
      </w:r>
      <w:proofErr w:type="gramEnd"/>
      <w:r>
        <w:t xml:space="preserve"> as per Answer to Question 9. The FlatStone federated model incorporates a hybrid network includes public, private, and licensed enterprise participants on the regulatory framework. The regulation would then provide for the regulation of a network of nodes running on enterprise infrastructure becoming the defacto backbone of trusted-gateways connection (bridging) into the financial sector.</w:t>
      </w:r>
    </w:p>
    <w:p w14:paraId="50FB9A8D" w14:textId="77777777" w:rsidR="00525957" w:rsidRDefault="00525957" w:rsidP="00525957"/>
    <w:p w14:paraId="709AF4D0" w14:textId="5F64ED5C" w:rsidR="00CC59BB" w:rsidRDefault="00525957" w:rsidP="00525957">
      <w:r>
        <w:t>FlatStone’s model would the three types of decentralized technology the trust would seat at the inner core where the EPB is surrounded by the Private Blockchains which then are surrounded by the Public Blockchains.</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09660EE7" w14:textId="51665A6A" w:rsidR="00CC59BB" w:rsidRDefault="00D4472F" w:rsidP="00CC59BB">
      <w:permStart w:id="1550012690" w:edGrp="everyone"/>
      <w:r w:rsidRPr="00D4472F">
        <w:t xml:space="preserve">DLT securities can only be traded on compatible systems on continuous trading and/or periodic auctions </w:t>
      </w:r>
      <w:proofErr w:type="gramStart"/>
      <w:r w:rsidRPr="00D4472F">
        <w:t>similar to</w:t>
      </w:r>
      <w:proofErr w:type="gramEnd"/>
      <w:r w:rsidRPr="00D4472F">
        <w:t xml:space="preserve"> legacy electronic markets today. Refer to A7(A)</w:t>
      </w:r>
      <w:permEnd w:id="1550012690"/>
      <w:r w:rsidR="00CC59BB">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lastRenderedPageBreak/>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5935F509" w14:textId="6636AC08" w:rsidR="00CC59BB" w:rsidRDefault="00D4472F" w:rsidP="00CC59BB">
      <w:permStart w:id="1951602752" w:edGrp="everyone"/>
      <w:r w:rsidRPr="00D4472F">
        <w:t>As per the comments above the selection (choice) of protocols and applications would have a major impact on the trading of instruments. Where the EBP has an unmatched ability to trade at high frequency (HFT) and publish information according to reporting requirements according to RTS 1, and 2</w:t>
      </w:r>
      <w:permEnd w:id="1951602752"/>
      <w:r w:rsidR="00CC59BB">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311B3E37" w14:textId="52CCE731" w:rsidR="00CC59BB" w:rsidRDefault="00D4472F" w:rsidP="00CC59BB">
      <w:permStart w:id="871322226" w:edGrp="everyone"/>
      <w:r w:rsidRPr="00145B0D">
        <w:rPr>
          <w:lang w:val="es-MX"/>
        </w:rPr>
        <w:t>Yes</w:t>
      </w:r>
      <w:permEnd w:id="871322226"/>
      <w:r w:rsidR="00CC59BB">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66C9A6BF" w:rsidR="00CC59BB" w:rsidRPr="00145B0D" w:rsidRDefault="00D4472F" w:rsidP="00CC59BB">
      <w:pPr>
        <w:rPr>
          <w:lang w:val="es-MX"/>
        </w:rPr>
      </w:pPr>
      <w:permStart w:id="1530005966" w:edGrp="everyone"/>
      <w:r w:rsidRPr="00145B0D">
        <w:rPr>
          <w:lang w:val="es-MX"/>
        </w:rPr>
        <w:t>Yes</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17F6D7FB" w:rsidR="00CC59BB" w:rsidRDefault="00D4472F" w:rsidP="00CC59BB">
      <w:permStart w:id="1731550419" w:edGrp="everyone"/>
      <w:r>
        <w:t>Yes, and yes</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2A9014AC" w:rsidR="00CC59BB" w:rsidRDefault="00D4472F" w:rsidP="00CC59BB">
      <w:permStart w:id="1212295819" w:edGrp="everyone"/>
      <w:r>
        <w:t>Yes, and yes</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001B4014" w14:textId="6ACBADE0" w:rsidR="00CC59BB" w:rsidRDefault="00D4472F" w:rsidP="00CC59BB">
      <w:permStart w:id="1367754514" w:edGrp="everyone"/>
      <w:r w:rsidRPr="00D4472F">
        <w:t>Our EPB DLT is capable of sub-second consensus and near real-time reporting intervals</w:t>
      </w:r>
      <w:r>
        <w:t xml:space="preserve"> </w:t>
      </w:r>
      <w:r w:rsidR="001965B2">
        <w:t>60</w:t>
      </w:r>
      <w:r>
        <w:t xml:space="preserve"> second</w:t>
      </w:r>
      <w:r w:rsidRPr="00D4472F">
        <w:t xml:space="preserve">, other private and permissioned DLT might approach similar </w:t>
      </w:r>
      <w:r w:rsidR="001965B2">
        <w:t>several</w:t>
      </w:r>
      <w:r w:rsidRPr="00D4472F">
        <w:t xml:space="preserve"> minute reporting parameters. Public non-permissioned DLT depending on the consensus might require a significant delay for post-trade reporting times</w:t>
      </w:r>
      <w:permEnd w:id="1367754514"/>
      <w:r w:rsidR="00CC59BB">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lastRenderedPageBreak/>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3ED38D2D" w14:textId="62727B82" w:rsidR="00CC59BB" w:rsidRDefault="001965B2" w:rsidP="00CC59BB">
      <w:permStart w:id="1244420503" w:edGrp="everyone"/>
      <w:r w:rsidRPr="001965B2">
        <w:t>Yes, with Bond requiring a longer time</w:t>
      </w:r>
      <w:r>
        <w:t xml:space="preserve"> then ETF’s and tokenized shares</w:t>
      </w:r>
      <w:r w:rsidRPr="001965B2">
        <w:t xml:space="preserve"> </w:t>
      </w:r>
      <w:permEnd w:id="1244420503"/>
      <w:r w:rsidR="00CC59BB">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035EB72A" w14:textId="540D7C70" w:rsidR="00CC59BB" w:rsidRDefault="001965B2" w:rsidP="00CC59BB">
      <w:permStart w:id="356003362" w:edGrp="everyone"/>
      <w:r w:rsidRPr="001965B2">
        <w:t>Yes, on any DLT market modification and/or cancellations are particularly difficult if not impossible.  On a POW this would prove impossible if not impractical therefore there would be major challenges and implementation issues with the current fields, and flags</w:t>
      </w:r>
      <w:permEnd w:id="356003362"/>
      <w:r w:rsidR="00CC59BB">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13BA6A64" w:rsidR="00CC59BB" w:rsidRDefault="001965B2" w:rsidP="00CC59BB">
      <w:permStart w:id="780153713" w:edGrp="everyone"/>
      <w:r>
        <w:t xml:space="preserve">Yes, and </w:t>
      </w:r>
      <w:r w:rsidR="00FD3F7F">
        <w:t>no</w:t>
      </w:r>
      <w:r>
        <w:t>.</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121804DB" w:rsidR="00CC59BB" w:rsidRDefault="000D6298" w:rsidP="00CC59BB">
      <w:permStart w:id="1310265670" w:edGrp="everyone"/>
      <w:r>
        <w:t xml:space="preserve">Yes because. </w:t>
      </w:r>
      <w:r w:rsidR="00FD3F7F">
        <w:t>DLT is capable of referencing both on-chain and meta-data.</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0BFA64C6" w14:textId="212D2356" w:rsidR="00CC59BB" w:rsidRDefault="000D6298" w:rsidP="00CC59BB">
      <w:permStart w:id="1711693936" w:edGrp="everyone"/>
      <w:r w:rsidRPr="000D6298">
        <w:t xml:space="preserve">Yes, in fact, our EPB-DLT automatically generates all compliance reporting </w:t>
      </w:r>
      <w:permEnd w:id="1711693936"/>
      <w:r w:rsidR="00CC59BB">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1473E833" w:rsidR="00CC59BB" w:rsidRPr="000D6298" w:rsidRDefault="000D6298" w:rsidP="00CC59BB">
      <w:pPr>
        <w:rPr>
          <w:lang w:val="en-US"/>
        </w:rPr>
      </w:pPr>
      <w:permStart w:id="1126446852" w:edGrp="everyone"/>
      <w:proofErr w:type="gramStart"/>
      <w:r w:rsidRPr="000D6298">
        <w:rPr>
          <w:lang w:val="en-US"/>
        </w:rPr>
        <w:t>Yes</w:t>
      </w:r>
      <w:proofErr w:type="gramEnd"/>
      <w:r w:rsidRPr="000D6298">
        <w:rPr>
          <w:lang w:val="en-US"/>
        </w:rPr>
        <w:t xml:space="preserve"> refer to </w:t>
      </w:r>
      <w:r>
        <w:rPr>
          <w:lang w:val="en-US"/>
        </w:rPr>
        <w:t>Answer to Question 20</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3E211667" w:rsidR="00CC59BB" w:rsidRPr="00145B0D" w:rsidRDefault="000D6298" w:rsidP="00CC59BB">
      <w:pPr>
        <w:rPr>
          <w:lang w:val="en-US"/>
        </w:rPr>
      </w:pPr>
      <w:permStart w:id="1428125549" w:edGrp="everyone"/>
      <w:r w:rsidRPr="00145B0D">
        <w:rPr>
          <w:lang w:val="en-US"/>
        </w:rPr>
        <w:t xml:space="preserve">Yes, </w:t>
      </w:r>
      <w:proofErr w:type="gramStart"/>
      <w:r w:rsidRPr="00145B0D">
        <w:rPr>
          <w:lang w:val="en-US"/>
        </w:rPr>
        <w:t>yes</w:t>
      </w:r>
      <w:proofErr w:type="gramEnd"/>
      <w:r w:rsidRPr="00145B0D">
        <w:rPr>
          <w:lang w:val="en-US"/>
        </w:rPr>
        <w:t xml:space="preserve"> and no</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355D9EFF" w:rsidR="00CC59BB" w:rsidRDefault="000D6298" w:rsidP="00CC59BB">
      <w:permStart w:id="1672500431" w:edGrp="everyone"/>
      <w:r>
        <w:t>Yes, and yes</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2364758D" w:rsidR="00CC59BB" w:rsidRDefault="000D6298" w:rsidP="00CC59BB">
      <w:permStart w:id="165360556" w:edGrp="everyone"/>
      <w:r>
        <w:t>Yes, and yes</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11D4CB3" w:rsidR="00CC59BB" w:rsidRPr="00145B0D" w:rsidRDefault="000D6298" w:rsidP="00CC59BB">
      <w:pPr>
        <w:rPr>
          <w:lang w:val="en-US"/>
        </w:rPr>
      </w:pPr>
      <w:permStart w:id="52582415" w:edGrp="everyone"/>
      <w:r w:rsidRPr="00145B0D">
        <w:rPr>
          <w:lang w:val="en-US"/>
        </w:rPr>
        <w:t>Yes, yes and no.</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1F05CE22" w:rsidR="00CC59BB" w:rsidRPr="000D6298" w:rsidRDefault="000D6298" w:rsidP="00CC59BB">
      <w:pPr>
        <w:rPr>
          <w:lang w:val="en-US"/>
        </w:rPr>
      </w:pPr>
      <w:permStart w:id="1411343708" w:edGrp="everyone"/>
      <w:r>
        <w:rPr>
          <w:lang w:val="en-US"/>
        </w:rPr>
        <w:t>Yes</w:t>
      </w:r>
      <w:r w:rsidRPr="000D6298">
        <w:rPr>
          <w:lang w:val="en-US"/>
        </w:rPr>
        <w:t>, no, yes and n</w:t>
      </w:r>
      <w:r>
        <w:rPr>
          <w:lang w:val="en-US"/>
        </w:rPr>
        <w:t>o</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lastRenderedPageBreak/>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98C10EB" w:rsidR="00CC59BB" w:rsidRPr="001313FC" w:rsidRDefault="001313FC" w:rsidP="00CC59BB">
      <w:pPr>
        <w:rPr>
          <w:lang w:val="en-US"/>
        </w:rPr>
      </w:pPr>
      <w:permStart w:id="1079861038" w:edGrp="everyone"/>
      <w:r w:rsidRPr="001313FC">
        <w:rPr>
          <w:lang w:val="en-US"/>
        </w:rPr>
        <w:t>Yes, yes and n</w:t>
      </w:r>
      <w:r>
        <w:rPr>
          <w:lang w:val="en-US"/>
        </w:rPr>
        <w:t>o.</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562DD298" w14:textId="79D4805E" w:rsidR="00CC59BB" w:rsidRDefault="001313FC" w:rsidP="00CC59BB">
      <w:permStart w:id="277572174" w:edGrp="everyone"/>
      <w:r w:rsidRPr="001313FC">
        <w:t xml:space="preserve">ESMA reference data fields are outdated and there are better ways to capture relevant data via DLT. This is because DLT structured (encrypted) data requires fewer fields and provides more context. Yes, and </w:t>
      </w:r>
      <w:proofErr w:type="gramStart"/>
      <w:r w:rsidRPr="001313FC">
        <w:t>yes.</w:t>
      </w:r>
      <w:permEnd w:id="277572174"/>
      <w:r w:rsidR="00CC59BB">
        <w:t>&lt;</w:t>
      </w:r>
      <w:proofErr w:type="gramEnd"/>
      <w:r w:rsidR="00CC59BB">
        <w: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5500567C" w:rsidR="00CC59BB" w:rsidRPr="00145B0D" w:rsidRDefault="001313FC" w:rsidP="00CC59BB">
      <w:pPr>
        <w:rPr>
          <w:lang w:val="en-US"/>
        </w:rPr>
      </w:pPr>
      <w:permStart w:id="2035771818" w:edGrp="everyone"/>
      <w:r w:rsidRPr="00145B0D">
        <w:rPr>
          <w:lang w:val="en-US"/>
        </w:rPr>
        <w:t>Yes, yes, and no.</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0B64FF09" w:rsidR="00CC59BB" w:rsidRPr="00145B0D" w:rsidRDefault="001313FC" w:rsidP="00CC59BB">
      <w:pPr>
        <w:rPr>
          <w:lang w:val="en-US"/>
        </w:rPr>
      </w:pPr>
      <w:permStart w:id="1801348191" w:edGrp="everyone"/>
      <w:r w:rsidRPr="00145B0D">
        <w:rPr>
          <w:lang w:val="en-US"/>
        </w:rPr>
        <w:t>Yes, yes and no.</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19FA4883" w:rsidR="00CC59BB" w:rsidRPr="00145B0D" w:rsidRDefault="001313FC" w:rsidP="00CC59BB">
      <w:pPr>
        <w:rPr>
          <w:lang w:val="en-US"/>
        </w:rPr>
      </w:pPr>
      <w:permStart w:id="1818902618" w:edGrp="everyone"/>
      <w:r w:rsidRPr="00145B0D">
        <w:rPr>
          <w:lang w:val="en-US"/>
        </w:rPr>
        <w:t>Yes, yes and no.</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lastRenderedPageBreak/>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2F1284F5" w:rsidR="00CC59BB" w:rsidRPr="00145B0D" w:rsidRDefault="001313FC" w:rsidP="00CC59BB">
      <w:pPr>
        <w:rPr>
          <w:lang w:val="en-US"/>
        </w:rPr>
      </w:pPr>
      <w:permStart w:id="27881912" w:edGrp="everyone"/>
      <w:r w:rsidRPr="00145B0D">
        <w:rPr>
          <w:lang w:val="en-US"/>
        </w:rPr>
        <w:t>Yes, yes and no.</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05E103EE" w:rsidR="00CC59BB" w:rsidRDefault="001313FC" w:rsidP="00CC59BB">
      <w:permStart w:id="2072009613" w:edGrp="everyone"/>
      <w:r>
        <w:t>Definitely no.</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9E3CEA5" w:rsidR="00CC59BB" w:rsidRDefault="001313FC" w:rsidP="00CC59BB">
      <w:permStart w:id="1328882998" w:edGrp="everyone"/>
      <w:r>
        <w:t xml:space="preserve">Yes, </w:t>
      </w:r>
      <w:proofErr w:type="gramStart"/>
      <w:r>
        <w:t>yes</w:t>
      </w:r>
      <w:proofErr w:type="gramEnd"/>
      <w:r>
        <w:t xml:space="preserve"> and yes.</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6159D293" w:rsidR="00CC59BB" w:rsidRPr="00145B0D" w:rsidRDefault="001313FC" w:rsidP="00CC59BB">
      <w:pPr>
        <w:rPr>
          <w:lang w:val="en-US"/>
        </w:rPr>
      </w:pPr>
      <w:permStart w:id="561341620" w:edGrp="everyone"/>
      <w:r w:rsidRPr="00145B0D">
        <w:rPr>
          <w:lang w:val="en-US"/>
        </w:rPr>
        <w:t>Yes, yes and no.</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4CCEDD5B" w:rsidR="00CC59BB" w:rsidRDefault="003C68EA" w:rsidP="00CC59BB">
      <w:permStart w:id="1171207035" w:edGrp="everyone"/>
      <w:r>
        <w:t>Yes</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1DA2B5D8" w14:textId="192FCB4D" w:rsidR="00CC59BB" w:rsidRDefault="003C68EA" w:rsidP="00CC59BB">
      <w:permStart w:id="2087995976" w:edGrp="everyone"/>
      <w:r w:rsidRPr="003C68EA">
        <w:t xml:space="preserve">Mostly, when is routed by a node on the network </w:t>
      </w:r>
      <w:permEnd w:id="2087995976"/>
      <w:r w:rsidR="00CC59BB">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642B1A67" w14:textId="77777777" w:rsidR="003C68EA" w:rsidRDefault="003C68EA" w:rsidP="003C68EA">
      <w:permStart w:id="1036863750" w:edGrp="everyone"/>
      <w:r>
        <w:t>The phases of a DLT transaction for our EPB-DLT are:</w:t>
      </w:r>
    </w:p>
    <w:p w14:paraId="64A0C4B2" w14:textId="77777777" w:rsidR="003C68EA" w:rsidRDefault="003C68EA" w:rsidP="003C68EA"/>
    <w:p w14:paraId="06A6D45B" w14:textId="459D144F" w:rsidR="003C68EA" w:rsidRDefault="003C68EA" w:rsidP="00EE4AD9">
      <w:pPr>
        <w:pStyle w:val="ListParagraph"/>
        <w:numPr>
          <w:ilvl w:val="0"/>
          <w:numId w:val="41"/>
        </w:numPr>
      </w:pPr>
      <w:r>
        <w:lastRenderedPageBreak/>
        <w:t xml:space="preserve">Accessing the marketplace historical trades &amp; prices for digital assets. </w:t>
      </w:r>
    </w:p>
    <w:p w14:paraId="492D6BEB" w14:textId="64C1E8DF" w:rsidR="003C68EA" w:rsidRDefault="00EE4AD9" w:rsidP="00EE4AD9">
      <w:pPr>
        <w:pStyle w:val="ListParagraph"/>
        <w:numPr>
          <w:ilvl w:val="0"/>
          <w:numId w:val="41"/>
        </w:numPr>
      </w:pPr>
      <w:r>
        <w:t>Investor generates entry</w:t>
      </w:r>
      <w:r w:rsidR="003C68EA">
        <w:t xml:space="preserve"> </w:t>
      </w:r>
      <w:r>
        <w:t>on</w:t>
      </w:r>
      <w:r w:rsidR="003C68EA">
        <w:t xml:space="preserve"> order book</w:t>
      </w:r>
      <w:r>
        <w:t xml:space="preserve"> </w:t>
      </w:r>
      <w:r w:rsidR="003C68EA">
        <w:t>from assets on the marketplace.</w:t>
      </w:r>
    </w:p>
    <w:p w14:paraId="6E91ED6F" w14:textId="1B879F4C" w:rsidR="003C68EA" w:rsidRDefault="00EE4AD9" w:rsidP="00EE4AD9">
      <w:pPr>
        <w:pStyle w:val="ListParagraph"/>
        <w:numPr>
          <w:ilvl w:val="0"/>
          <w:numId w:val="41"/>
        </w:numPr>
      </w:pPr>
      <w:r>
        <w:t>Investor enters</w:t>
      </w:r>
      <w:r w:rsidR="003C68EA">
        <w:t xml:space="preserve"> bid &amp; ask orders to venue Central Limit Order Book (CLOB). </w:t>
      </w:r>
    </w:p>
    <w:p w14:paraId="6F4EBE12" w14:textId="11AC15B7" w:rsidR="003C68EA" w:rsidRDefault="003C68EA" w:rsidP="00EE4AD9">
      <w:pPr>
        <w:pStyle w:val="ListParagraph"/>
        <w:numPr>
          <w:ilvl w:val="0"/>
          <w:numId w:val="41"/>
        </w:numPr>
      </w:pPr>
      <w:r>
        <w:t>The matching engine “matches” the bid and ask for orders on the CLOB.</w:t>
      </w:r>
    </w:p>
    <w:p w14:paraId="3ADEB765" w14:textId="235488EC" w:rsidR="003C68EA" w:rsidRDefault="003C68EA" w:rsidP="00EE4AD9">
      <w:pPr>
        <w:pStyle w:val="ListParagraph"/>
        <w:numPr>
          <w:ilvl w:val="0"/>
          <w:numId w:val="41"/>
        </w:numPr>
      </w:pPr>
      <w:r>
        <w:t>The DLT reaches consensus finality via the payment vs delivery model.</w:t>
      </w:r>
    </w:p>
    <w:p w14:paraId="5C5E0D8D" w14:textId="3363EEC1" w:rsidR="003C68EA" w:rsidRDefault="003C68EA" w:rsidP="00EE4AD9">
      <w:pPr>
        <w:pStyle w:val="ListParagraph"/>
        <w:numPr>
          <w:ilvl w:val="0"/>
          <w:numId w:val="41"/>
        </w:numPr>
      </w:pPr>
      <w:r>
        <w:t>The DLT broadcast the transaction (trade and settlement) to the nodes.</w:t>
      </w:r>
    </w:p>
    <w:p w14:paraId="6590E21B" w14:textId="5D6BD554" w:rsidR="003C68EA" w:rsidRDefault="003C68EA" w:rsidP="00CC59BB"/>
    <w:p w14:paraId="0CE3D794" w14:textId="65602857" w:rsidR="003C68EA" w:rsidRDefault="003C68EA" w:rsidP="00CC59BB">
      <w:r>
        <w:t xml:space="preserve">When the counterparty nodes reached a </w:t>
      </w:r>
      <w:proofErr w:type="spellStart"/>
      <w:proofErr w:type="gramStart"/>
      <w:r>
        <w:t>consensun</w:t>
      </w:r>
      <w:proofErr w:type="spellEnd"/>
      <w:r>
        <w:t>, and</w:t>
      </w:r>
      <w:proofErr w:type="gramEnd"/>
      <w:r>
        <w:t xml:space="preserve"> is accepted by network. </w:t>
      </w:r>
    </w:p>
    <w:permEnd w:id="1036863750"/>
    <w:p w14:paraId="3AC42D8D" w14:textId="48075C46"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5F8307BA" w:rsidR="00CC59BB" w:rsidRPr="00145B0D" w:rsidRDefault="003C68EA" w:rsidP="00CC59BB">
      <w:pPr>
        <w:rPr>
          <w:lang w:val="es-MX"/>
        </w:rPr>
      </w:pPr>
      <w:permStart w:id="792208080" w:edGrp="everyone"/>
      <w:r w:rsidRPr="00145B0D">
        <w:rPr>
          <w:lang w:val="es-MX"/>
        </w:rPr>
        <w:t>No</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22E2621" w:rsidR="00CC59BB" w:rsidRPr="00145B0D" w:rsidRDefault="00DA4029" w:rsidP="00CC59BB">
      <w:pPr>
        <w:rPr>
          <w:lang w:val="en-US"/>
        </w:rPr>
      </w:pPr>
      <w:permStart w:id="1618555889" w:edGrp="everyone"/>
      <w:r w:rsidRPr="00145B0D">
        <w:rPr>
          <w:lang w:val="en-US"/>
        </w:rPr>
        <w:t>Yes, yes and no.</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10301013" w:rsidR="00CC59BB" w:rsidRPr="00DA4029" w:rsidRDefault="00DA4029" w:rsidP="00CC59BB">
      <w:pPr>
        <w:rPr>
          <w:lang w:val="en-US"/>
        </w:rPr>
      </w:pPr>
      <w:permStart w:id="682117515" w:edGrp="everyone"/>
      <w:r w:rsidRPr="00DA4029">
        <w:rPr>
          <w:lang w:val="en-US"/>
        </w:rPr>
        <w:t xml:space="preserve">No, none </w:t>
      </w:r>
      <w:r>
        <w:rPr>
          <w:lang w:val="en-US"/>
        </w:rPr>
        <w:t>our EPB-</w:t>
      </w:r>
      <w:r w:rsidRPr="00DA4029">
        <w:rPr>
          <w:lang w:val="en-US"/>
        </w:rPr>
        <w:t>DLT automates an</w:t>
      </w:r>
      <w:r>
        <w:rPr>
          <w:lang w:val="en-US"/>
        </w:rPr>
        <w:t>alytics.</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05D47EEA" w14:textId="5479EC93" w:rsidR="00CC59BB" w:rsidRDefault="00846664" w:rsidP="00CC59BB">
      <w:permStart w:id="791900048" w:edGrp="everyone"/>
      <w:r>
        <w:t>No</w:t>
      </w:r>
      <w:r w:rsidRPr="00846664">
        <w:t xml:space="preserve"> </w:t>
      </w:r>
      <w:r>
        <w:t xml:space="preserve">and </w:t>
      </w:r>
      <w:r w:rsidRPr="00846664">
        <w:t xml:space="preserve">no </w:t>
      </w:r>
      <w:permEnd w:id="791900048"/>
      <w:r w:rsidR="00CC59BB">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0F0117C9" w:rsidR="00CC59BB" w:rsidRPr="00145B0D" w:rsidRDefault="00846664" w:rsidP="00CC59BB">
      <w:pPr>
        <w:rPr>
          <w:lang w:val="en-US"/>
        </w:rPr>
      </w:pPr>
      <w:permStart w:id="1014661023" w:edGrp="everyone"/>
      <w:r w:rsidRPr="00145B0D">
        <w:rPr>
          <w:lang w:val="en-US"/>
        </w:rPr>
        <w:t>Not really</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lastRenderedPageBreak/>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0817ADED" w:rsidR="00CC59BB" w:rsidRPr="00145B0D" w:rsidRDefault="005F7E17" w:rsidP="00CC59BB">
      <w:pPr>
        <w:rPr>
          <w:lang w:val="es-MX"/>
        </w:rPr>
      </w:pPr>
      <w:permStart w:id="576151292" w:edGrp="everyone"/>
      <w:r w:rsidRPr="00145B0D">
        <w:rPr>
          <w:lang w:val="es-MX"/>
        </w:rPr>
        <w:t>Yes</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45AA9A38" w14:textId="3287E3AC" w:rsidR="00CC59BB" w:rsidRDefault="00846664" w:rsidP="00CC59BB">
      <w:permStart w:id="971904602" w:edGrp="everyone"/>
      <w:r w:rsidRPr="00846664">
        <w:t xml:space="preserve">Yes, yes, the ISO 20022 can serve as reference data, however the </w:t>
      </w:r>
      <w:proofErr w:type="gramStart"/>
      <w:r w:rsidRPr="00846664">
        <w:t>data-set</w:t>
      </w:r>
      <w:proofErr w:type="gramEnd"/>
      <w:r w:rsidRPr="00846664">
        <w:t xml:space="preserve"> might require additional information for DLT Capital Markets. </w:t>
      </w:r>
      <w:permEnd w:id="971904602"/>
      <w:r w:rsidR="00CC59BB">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658B5DA5" w:rsidR="00CC59BB" w:rsidRPr="00846664" w:rsidRDefault="00846664" w:rsidP="00CC59BB">
      <w:pPr>
        <w:rPr>
          <w:lang w:val="es-MX"/>
        </w:rPr>
      </w:pPr>
      <w:permStart w:id="857878064" w:edGrp="everyone"/>
      <w:r w:rsidRPr="00846664">
        <w:rPr>
          <w:lang w:val="es-MX"/>
        </w:rPr>
        <w:t>No, a</w:t>
      </w:r>
      <w:r>
        <w:rPr>
          <w:lang w:val="es-MX"/>
        </w:rPr>
        <w:t>nd NA</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067B4C5A" w14:textId="3C493F47" w:rsidR="00CC59BB" w:rsidRDefault="00846664" w:rsidP="00CC59BB">
      <w:permStart w:id="1801152938" w:edGrp="everyone"/>
      <w:r w:rsidRPr="00846664">
        <w:t xml:space="preserve">Our Canadian Dealer + Marketplace operates with a token </w:t>
      </w:r>
      <w:r>
        <w:t xml:space="preserve">with </w:t>
      </w:r>
      <w:r w:rsidRPr="00846664">
        <w:t>parity to CAD/USD</w:t>
      </w:r>
      <w:r>
        <w:t>T</w:t>
      </w:r>
      <w:r w:rsidRPr="00846664">
        <w:t xml:space="preserve"> and can offer EUD/X as a stable coin. The transactions would be reported on the currency of parity, not the token as the stablecoin has a fixed parity to the currency selected. Therefore, ESMA’s proposal on how to populate the currency fields when the financial instrument is priced in tokens seems </w:t>
      </w:r>
      <w:proofErr w:type="gramStart"/>
      <w:r w:rsidRPr="00846664">
        <w:t>appropriate.</w:t>
      </w:r>
      <w:permEnd w:id="1801152938"/>
      <w:r w:rsidR="00CC59BB">
        <w:t>&lt;</w:t>
      </w:r>
      <w:proofErr w:type="gramEnd"/>
      <w:r w:rsidR="00CC59BB">
        <w: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52BDADE4" w14:textId="04D74BCD" w:rsidR="00CC59BB" w:rsidRDefault="00846664" w:rsidP="00CC59BB">
      <w:permStart w:id="1767329689" w:edGrp="everyone"/>
      <w:r w:rsidRPr="00846664">
        <w:t>Yes, there is no significant difference from the regular FX Markets as the parity is</w:t>
      </w:r>
      <w:r w:rsidR="00AB17D8">
        <w:t xml:space="preserve"> </w:t>
      </w:r>
      <w:r w:rsidR="00F5715E">
        <w:t xml:space="preserve">reference metadata to the </w:t>
      </w:r>
      <w:r w:rsidR="00AB17D8">
        <w:t>same</w:t>
      </w:r>
      <w:r w:rsidRPr="00846664">
        <w:t xml:space="preserve"> underlying currency</w:t>
      </w:r>
      <w:r w:rsidR="00AB17D8">
        <w:t xml:space="preserve">. </w:t>
      </w:r>
      <w:r w:rsidR="00304BAA">
        <w:t>Example:</w:t>
      </w:r>
      <w:r w:rsidR="00AB17D8">
        <w:t xml:space="preserve"> </w:t>
      </w:r>
      <w:r w:rsidR="00304BAA">
        <w:t xml:space="preserve">1 </w:t>
      </w:r>
      <w:r w:rsidR="00AB17D8">
        <w:t xml:space="preserve">USDT is equal to </w:t>
      </w:r>
      <w:r w:rsidR="00304BAA">
        <w:t xml:space="preserve">1 </w:t>
      </w:r>
      <w:r w:rsidR="00AB17D8">
        <w:t>USD</w:t>
      </w:r>
      <w:r w:rsidR="00F5715E">
        <w:t xml:space="preserve"> therefore FX into EUD would reference </w:t>
      </w:r>
      <w:r w:rsidR="00BE25D9">
        <w:t xml:space="preserve">USD to </w:t>
      </w:r>
      <w:proofErr w:type="gramStart"/>
      <w:r w:rsidR="00BE25D9">
        <w:t>EUD</w:t>
      </w:r>
      <w:r w:rsidR="00F5715E">
        <w:t xml:space="preserve"> </w:t>
      </w:r>
      <w:r w:rsidRPr="00846664">
        <w:t xml:space="preserve"> </w:t>
      </w:r>
      <w:permEnd w:id="1767329689"/>
      <w:r w:rsidR="00CC59BB">
        <w:t>&lt;</w:t>
      </w:r>
      <w:proofErr w:type="gramEnd"/>
      <w:r w:rsidR="00CC59BB">
        <w: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 xml:space="preserve">What are your views on the arrangements that DLT MTFs and DLT TSSs would need to establish to grant direct and immediate access to transaction data to regulators by admitting them as regulatory observer participants?  Do you expect </w:t>
      </w:r>
      <w:r w:rsidRPr="00185ADA">
        <w:lastRenderedPageBreak/>
        <w:t>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77265D6A" w14:textId="4A0A903C" w:rsidR="00CC59BB" w:rsidRDefault="002D2A76" w:rsidP="00CC59BB">
      <w:permStart w:id="426051013" w:edGrp="everyone"/>
      <w:r w:rsidRPr="002D2A76">
        <w:t xml:space="preserve">In our experience, DLT MTFs and DLT TSSs could incur significant </w:t>
      </w:r>
      <w:r>
        <w:t xml:space="preserve">incremental </w:t>
      </w:r>
      <w:r w:rsidRPr="002D2A76">
        <w:t>cost associated with EPB-DLT permitted infrastructure and data access fees related direct and immediate access to transaction data for regulator</w:t>
      </w:r>
      <w:r>
        <w:t>y</w:t>
      </w:r>
      <w:r w:rsidRPr="002D2A76">
        <w:t xml:space="preserve"> observer nodes. </w:t>
      </w:r>
      <w:permEnd w:id="426051013"/>
      <w:r w:rsidR="00CC59BB">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58B28AFC" w14:textId="3E183952" w:rsidR="00CC59BB" w:rsidRDefault="002D2A76" w:rsidP="00CC59BB">
      <w:permStart w:id="1528003884" w:edGrp="everyone"/>
      <w:r w:rsidRPr="002D2A76">
        <w:t xml:space="preserve">As per A52 not only </w:t>
      </w:r>
      <w:r>
        <w:t>could there be</w:t>
      </w:r>
      <w:r w:rsidRPr="002D2A76">
        <w:t xml:space="preserve"> </w:t>
      </w:r>
      <w:r>
        <w:t>incremental</w:t>
      </w:r>
      <w:r w:rsidRPr="002D2A76">
        <w:t xml:space="preserve"> costs but also cybersecurity risks incurred by DLT MTFs and DLT TSSs converting encrypted data into ISO 20022 methodology to enable regulators access to readable formats. Refer to A48 for context. </w:t>
      </w:r>
      <w:permEnd w:id="1528003884"/>
      <w:r w:rsidR="00CC59BB">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3A659409" w14:textId="0B479C1C" w:rsidR="00CC59BB" w:rsidRDefault="005F7E17" w:rsidP="00CC59BB">
      <w:permStart w:id="553465930" w:edGrp="everyone"/>
      <w:r w:rsidRPr="005F7E17">
        <w:t xml:space="preserve">It seems possible but there might be some adjustments as the ISO 20022 was designed around the payment use of digital currency, not Global Capital Market regulation. To become scalable across the different types of DLT the regulators would likely have to establish international standards specific to consensus, functionality, and other DLT Infrastructure supporting the operations for Capital </w:t>
      </w:r>
      <w:proofErr w:type="gramStart"/>
      <w:r w:rsidRPr="005F7E17">
        <w:t>Markets.</w:t>
      </w:r>
      <w:permEnd w:id="553465930"/>
      <w:r w:rsidR="00CC59BB">
        <w:t>&lt;</w:t>
      </w:r>
      <w:proofErr w:type="gramEnd"/>
      <w:r w:rsidR="00CC59BB">
        <w: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73DB74B4" w14:textId="5D2F8AC1" w:rsidR="00CC59BB" w:rsidRDefault="005F7E17" w:rsidP="00CC59BB">
      <w:permStart w:id="504120578" w:edGrp="everyone"/>
      <w:r w:rsidRPr="005F7E17">
        <w:t xml:space="preserve">Refer to A54 and others above </w:t>
      </w:r>
      <w:permEnd w:id="504120578"/>
      <w:r w:rsidR="00CC59BB">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4003B93C" w:rsidR="00CC59BB" w:rsidRDefault="005F7E17" w:rsidP="00CC59BB">
      <w:permStart w:id="1798071605" w:edGrp="everyone"/>
      <w:r>
        <w:t>None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lastRenderedPageBreak/>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70F7C1BF" w14:textId="6B3A5872" w:rsidR="00CC59BB" w:rsidRDefault="005F7E17" w:rsidP="00CC59BB">
      <w:permStart w:id="278152026" w:edGrp="everyone"/>
      <w:r w:rsidRPr="005F7E17">
        <w:t>Yes, the data access fees and GDRP/PIPEDA equivalents across the world. The easiest way would be to grant permission as observer nodes with</w:t>
      </w:r>
      <w:r w:rsidR="000606A9">
        <w:t xml:space="preserve"> delayed</w:t>
      </w:r>
      <w:r w:rsidR="00242AA1">
        <w:t xml:space="preserve"> </w:t>
      </w:r>
      <w:proofErr w:type="spellStart"/>
      <w:proofErr w:type="gramStart"/>
      <w:r w:rsidR="00242AA1">
        <w:t>data,or</w:t>
      </w:r>
      <w:proofErr w:type="spellEnd"/>
      <w:proofErr w:type="gramEnd"/>
      <w:r w:rsidRPr="005F7E17">
        <w:t xml:space="preserve"> specific periodic</w:t>
      </w:r>
      <w:r w:rsidR="00242AA1">
        <w:t xml:space="preserve">, </w:t>
      </w:r>
      <w:r w:rsidRPr="005F7E17">
        <w:t xml:space="preserve">or random time access to the markets. Granting access to </w:t>
      </w:r>
      <w:r w:rsidR="00242AA1">
        <w:t xml:space="preserve">delayed and reported </w:t>
      </w:r>
      <w:r w:rsidRPr="005F7E17">
        <w:t>encrypted data, for time defined period(s)</w:t>
      </w:r>
      <w:r w:rsidR="00242AA1">
        <w:t xml:space="preserve">, would be the </w:t>
      </w:r>
      <w:r w:rsidR="00AA5BE1">
        <w:t>best way to mitigate the incremental fees of EPB-DLT fees.</w:t>
      </w:r>
      <w:r w:rsidRPr="005F7E17">
        <w:t xml:space="preserve"> </w:t>
      </w:r>
      <w:permEnd w:id="278152026"/>
      <w:r w:rsidR="00CC59BB">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5C2686C" w:rsidR="00CC59BB" w:rsidRDefault="00B755F1" w:rsidP="00CC59BB">
      <w:permStart w:id="1666462145" w:edGrp="everyone"/>
      <w:r>
        <w:t>Refer to Answer to Question 11</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410273EF" w:rsidR="00CC59BB" w:rsidRDefault="00145B0D" w:rsidP="00CC59BB">
      <w:permStart w:id="1929012243" w:edGrp="everyone"/>
      <w:proofErr w:type="gramStart"/>
      <w:r>
        <w:t>Yes</w:t>
      </w:r>
      <w:proofErr w:type="gramEnd"/>
      <w:r>
        <w:t xml:space="preserve"> replicate our </w:t>
      </w:r>
      <w:r w:rsidR="00460445">
        <w:t>EPB-</w:t>
      </w:r>
      <w:r>
        <w:t xml:space="preserve">DLT agnostic architecture where the </w:t>
      </w:r>
      <w:r w:rsidR="00460445">
        <w:t>interoperable layer connects the different DLT MTFs, and TSS</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67A9E195" w:rsidR="00CC59BB" w:rsidRDefault="00460445" w:rsidP="00CC59BB">
      <w:permStart w:id="1588863443" w:edGrp="everyone"/>
      <w:proofErr w:type="gramStart"/>
      <w:r>
        <w:t>Yes</w:t>
      </w:r>
      <w:proofErr w:type="gramEnd"/>
      <w:r>
        <w:t xml:space="preserve"> as per above Q59</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F863" w14:textId="77777777" w:rsidR="00F8779A" w:rsidRDefault="00F8779A">
      <w:r>
        <w:separator/>
      </w:r>
    </w:p>
    <w:p w14:paraId="28A4D9A3" w14:textId="77777777" w:rsidR="00F8779A" w:rsidRDefault="00F8779A"/>
  </w:endnote>
  <w:endnote w:type="continuationSeparator" w:id="0">
    <w:p w14:paraId="04E0F599" w14:textId="77777777" w:rsidR="00F8779A" w:rsidRDefault="00F8779A">
      <w:r>
        <w:continuationSeparator/>
      </w:r>
    </w:p>
    <w:p w14:paraId="453AA2E2" w14:textId="77777777" w:rsidR="00F8779A" w:rsidRDefault="00F8779A"/>
  </w:endnote>
  <w:endnote w:type="continuationNotice" w:id="1">
    <w:p w14:paraId="6BBA6A72" w14:textId="77777777" w:rsidR="00F8779A" w:rsidRDefault="00F87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B4E2" w14:textId="77777777" w:rsidR="00F8779A" w:rsidRDefault="00F8779A">
      <w:r>
        <w:separator/>
      </w:r>
    </w:p>
    <w:p w14:paraId="0E99EA0B" w14:textId="77777777" w:rsidR="00F8779A" w:rsidRDefault="00F8779A"/>
  </w:footnote>
  <w:footnote w:type="continuationSeparator" w:id="0">
    <w:p w14:paraId="3E14EEEA" w14:textId="77777777" w:rsidR="00F8779A" w:rsidRDefault="00F8779A">
      <w:r>
        <w:continuationSeparator/>
      </w:r>
    </w:p>
    <w:p w14:paraId="441E6844" w14:textId="77777777" w:rsidR="00F8779A" w:rsidRDefault="00F8779A"/>
  </w:footnote>
  <w:footnote w:type="continuationNotice" w:id="1">
    <w:p w14:paraId="6350BF6D" w14:textId="77777777" w:rsidR="00F8779A" w:rsidRDefault="00F87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6E2ABA"/>
    <w:multiLevelType w:val="hybridMultilevel"/>
    <w:tmpl w:val="846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E62209"/>
    <w:multiLevelType w:val="hybridMultilevel"/>
    <w:tmpl w:val="6BE24D4E"/>
    <w:lvl w:ilvl="0" w:tplc="1612F844">
      <w:start w:val="1"/>
      <w:numFmt w:val="upperRoman"/>
      <w:lvlText w:val="%1."/>
      <w:lvlJc w:val="right"/>
      <w:pPr>
        <w:ind w:left="720" w:hanging="360"/>
      </w:pPr>
      <w:rPr>
        <w:rFonts w:ascii="Bahnschrift" w:hAnsi="Bahnschrift" w:hint="default"/>
        <w:color w:val="0070C0"/>
      </w:rPr>
    </w:lvl>
    <w:lvl w:ilvl="1" w:tplc="BBBA67C8" w:tentative="1">
      <w:start w:val="1"/>
      <w:numFmt w:val="bullet"/>
      <w:lvlText w:val="o"/>
      <w:lvlJc w:val="left"/>
      <w:pPr>
        <w:ind w:left="1440" w:hanging="360"/>
      </w:pPr>
      <w:rPr>
        <w:rFonts w:ascii="Courier New" w:hAnsi="Courier New" w:cs="Courier New" w:hint="default"/>
      </w:rPr>
    </w:lvl>
    <w:lvl w:ilvl="2" w:tplc="D5801590" w:tentative="1">
      <w:start w:val="1"/>
      <w:numFmt w:val="bullet"/>
      <w:lvlText w:val=""/>
      <w:lvlJc w:val="left"/>
      <w:pPr>
        <w:ind w:left="2160" w:hanging="360"/>
      </w:pPr>
      <w:rPr>
        <w:rFonts w:ascii="Wingdings" w:hAnsi="Wingdings" w:hint="default"/>
      </w:rPr>
    </w:lvl>
    <w:lvl w:ilvl="3" w:tplc="91FE27C4" w:tentative="1">
      <w:start w:val="1"/>
      <w:numFmt w:val="bullet"/>
      <w:lvlText w:val=""/>
      <w:lvlJc w:val="left"/>
      <w:pPr>
        <w:ind w:left="2880" w:hanging="360"/>
      </w:pPr>
      <w:rPr>
        <w:rFonts w:ascii="Symbol" w:hAnsi="Symbol" w:hint="default"/>
      </w:rPr>
    </w:lvl>
    <w:lvl w:ilvl="4" w:tplc="EDE62B5A" w:tentative="1">
      <w:start w:val="1"/>
      <w:numFmt w:val="bullet"/>
      <w:lvlText w:val="o"/>
      <w:lvlJc w:val="left"/>
      <w:pPr>
        <w:ind w:left="3600" w:hanging="360"/>
      </w:pPr>
      <w:rPr>
        <w:rFonts w:ascii="Courier New" w:hAnsi="Courier New" w:cs="Courier New" w:hint="default"/>
      </w:rPr>
    </w:lvl>
    <w:lvl w:ilvl="5" w:tplc="69E27042" w:tentative="1">
      <w:start w:val="1"/>
      <w:numFmt w:val="bullet"/>
      <w:lvlText w:val=""/>
      <w:lvlJc w:val="left"/>
      <w:pPr>
        <w:ind w:left="4320" w:hanging="360"/>
      </w:pPr>
      <w:rPr>
        <w:rFonts w:ascii="Wingdings" w:hAnsi="Wingdings" w:hint="default"/>
      </w:rPr>
    </w:lvl>
    <w:lvl w:ilvl="6" w:tplc="FA762EAC" w:tentative="1">
      <w:start w:val="1"/>
      <w:numFmt w:val="bullet"/>
      <w:lvlText w:val=""/>
      <w:lvlJc w:val="left"/>
      <w:pPr>
        <w:ind w:left="5040" w:hanging="360"/>
      </w:pPr>
      <w:rPr>
        <w:rFonts w:ascii="Symbol" w:hAnsi="Symbol" w:hint="default"/>
      </w:rPr>
    </w:lvl>
    <w:lvl w:ilvl="7" w:tplc="058415CA" w:tentative="1">
      <w:start w:val="1"/>
      <w:numFmt w:val="bullet"/>
      <w:lvlText w:val="o"/>
      <w:lvlJc w:val="left"/>
      <w:pPr>
        <w:ind w:left="5760" w:hanging="360"/>
      </w:pPr>
      <w:rPr>
        <w:rFonts w:ascii="Courier New" w:hAnsi="Courier New" w:cs="Courier New" w:hint="default"/>
      </w:rPr>
    </w:lvl>
    <w:lvl w:ilvl="8" w:tplc="49140CB0" w:tentative="1">
      <w:start w:val="1"/>
      <w:numFmt w:val="bullet"/>
      <w:lvlText w:val=""/>
      <w:lvlJc w:val="left"/>
      <w:pPr>
        <w:ind w:left="6480" w:hanging="360"/>
      </w:pPr>
      <w:rPr>
        <w:rFonts w:ascii="Wingdings" w:hAnsi="Wingdings" w:hint="default"/>
      </w:rPr>
    </w:lvl>
  </w:abstractNum>
  <w:abstractNum w:abstractNumId="12" w15:restartNumberingAfterBreak="0">
    <w:nsid w:val="3620281B"/>
    <w:multiLevelType w:val="hybridMultilevel"/>
    <w:tmpl w:val="FC1C6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10EF2"/>
    <w:multiLevelType w:val="hybridMultilevel"/>
    <w:tmpl w:val="EEE2F280"/>
    <w:lvl w:ilvl="0" w:tplc="2DC44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3"/>
  </w:num>
  <w:num w:numId="4">
    <w:abstractNumId w:val="26"/>
  </w:num>
  <w:num w:numId="5">
    <w:abstractNumId w:val="28"/>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0"/>
  </w:num>
  <w:num w:numId="16">
    <w:abstractNumId w:val="1"/>
  </w:num>
  <w:num w:numId="17">
    <w:abstractNumId w:val="17"/>
  </w:num>
  <w:num w:numId="18">
    <w:abstractNumId w:val="18"/>
  </w:num>
  <w:num w:numId="19">
    <w:abstractNumId w:val="20"/>
  </w:num>
  <w:num w:numId="20">
    <w:abstractNumId w:val="29"/>
  </w:num>
  <w:num w:numId="21">
    <w:abstractNumId w:val="39"/>
  </w:num>
  <w:num w:numId="22">
    <w:abstractNumId w:val="27"/>
  </w:num>
  <w:num w:numId="23">
    <w:abstractNumId w:val="9"/>
  </w:num>
  <w:num w:numId="24">
    <w:abstractNumId w:val="32"/>
  </w:num>
  <w:num w:numId="25">
    <w:abstractNumId w:val="31"/>
  </w:num>
  <w:num w:numId="26">
    <w:abstractNumId w:val="22"/>
  </w:num>
  <w:num w:numId="27">
    <w:abstractNumId w:val="35"/>
  </w:num>
  <w:num w:numId="28">
    <w:abstractNumId w:val="41"/>
  </w:num>
  <w:num w:numId="29">
    <w:abstractNumId w:val="7"/>
  </w:num>
  <w:num w:numId="30">
    <w:abstractNumId w:val="2"/>
  </w:num>
  <w:num w:numId="31">
    <w:abstractNumId w:val="24"/>
  </w:num>
  <w:num w:numId="32">
    <w:abstractNumId w:val="23"/>
  </w:num>
  <w:num w:numId="33">
    <w:abstractNumId w:val="37"/>
  </w:num>
  <w:num w:numId="34">
    <w:abstractNumId w:val="36"/>
  </w:num>
  <w:num w:numId="35">
    <w:abstractNumId w:val="4"/>
  </w:num>
  <w:num w:numId="36">
    <w:abstractNumId w:val="38"/>
  </w:num>
  <w:num w:numId="37">
    <w:abstractNumId w:val="15"/>
  </w:num>
  <w:num w:numId="38">
    <w:abstractNumId w:val="11"/>
  </w:num>
  <w:num w:numId="39">
    <w:abstractNumId w:val="14"/>
  </w:num>
  <w:num w:numId="40">
    <w:abstractNumId w:val="6"/>
  </w:num>
  <w:num w:numId="41">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6A9"/>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4B0E"/>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6298"/>
    <w:rsid w:val="000D705D"/>
    <w:rsid w:val="000D71F1"/>
    <w:rsid w:val="000D7EB9"/>
    <w:rsid w:val="000E0223"/>
    <w:rsid w:val="000E0CF3"/>
    <w:rsid w:val="000E18A8"/>
    <w:rsid w:val="000E1AEC"/>
    <w:rsid w:val="000E3937"/>
    <w:rsid w:val="000E4341"/>
    <w:rsid w:val="000E4926"/>
    <w:rsid w:val="000E49B7"/>
    <w:rsid w:val="000E5F7F"/>
    <w:rsid w:val="000E7086"/>
    <w:rsid w:val="000E7C65"/>
    <w:rsid w:val="000F04D2"/>
    <w:rsid w:val="000F55B7"/>
    <w:rsid w:val="000F604F"/>
    <w:rsid w:val="000F7399"/>
    <w:rsid w:val="00100AD9"/>
    <w:rsid w:val="00101BF1"/>
    <w:rsid w:val="001027F1"/>
    <w:rsid w:val="00104F2E"/>
    <w:rsid w:val="001072DD"/>
    <w:rsid w:val="00110D7A"/>
    <w:rsid w:val="00111464"/>
    <w:rsid w:val="0011167D"/>
    <w:rsid w:val="00112892"/>
    <w:rsid w:val="00112E48"/>
    <w:rsid w:val="001130EA"/>
    <w:rsid w:val="001138E8"/>
    <w:rsid w:val="00114259"/>
    <w:rsid w:val="001149B2"/>
    <w:rsid w:val="001168B2"/>
    <w:rsid w:val="00117C20"/>
    <w:rsid w:val="00120F0E"/>
    <w:rsid w:val="00121A5D"/>
    <w:rsid w:val="00121BED"/>
    <w:rsid w:val="00123D39"/>
    <w:rsid w:val="001244CD"/>
    <w:rsid w:val="0012566F"/>
    <w:rsid w:val="001262B1"/>
    <w:rsid w:val="00130F41"/>
    <w:rsid w:val="00130FAF"/>
    <w:rsid w:val="001313FC"/>
    <w:rsid w:val="00135F2B"/>
    <w:rsid w:val="001372DD"/>
    <w:rsid w:val="001405BA"/>
    <w:rsid w:val="00141497"/>
    <w:rsid w:val="0014253A"/>
    <w:rsid w:val="001425C8"/>
    <w:rsid w:val="001431AE"/>
    <w:rsid w:val="00143B87"/>
    <w:rsid w:val="001459E3"/>
    <w:rsid w:val="00145B0D"/>
    <w:rsid w:val="00146A0B"/>
    <w:rsid w:val="0014761E"/>
    <w:rsid w:val="00151907"/>
    <w:rsid w:val="00153DCF"/>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65B2"/>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560A"/>
    <w:rsid w:val="001E66EC"/>
    <w:rsid w:val="001E68C5"/>
    <w:rsid w:val="001F0F63"/>
    <w:rsid w:val="001F2E1B"/>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1DF"/>
    <w:rsid w:val="00240532"/>
    <w:rsid w:val="00240651"/>
    <w:rsid w:val="00240803"/>
    <w:rsid w:val="00242AA1"/>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A76"/>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4BAA"/>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8EA"/>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064D"/>
    <w:rsid w:val="0045175A"/>
    <w:rsid w:val="00451ED9"/>
    <w:rsid w:val="00452180"/>
    <w:rsid w:val="00453072"/>
    <w:rsid w:val="004539F8"/>
    <w:rsid w:val="00453F26"/>
    <w:rsid w:val="0045503F"/>
    <w:rsid w:val="00455273"/>
    <w:rsid w:val="00460445"/>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46F"/>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572C"/>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957"/>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7E17"/>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133"/>
    <w:rsid w:val="00777046"/>
    <w:rsid w:val="007770DA"/>
    <w:rsid w:val="007805B9"/>
    <w:rsid w:val="00780C3A"/>
    <w:rsid w:val="00781C20"/>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664"/>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BE1"/>
    <w:rsid w:val="00AA5F4C"/>
    <w:rsid w:val="00AA615C"/>
    <w:rsid w:val="00AA6711"/>
    <w:rsid w:val="00AB17D8"/>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9B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5F1"/>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25D9"/>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4FD4"/>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719"/>
    <w:rsid w:val="00D06937"/>
    <w:rsid w:val="00D07AFD"/>
    <w:rsid w:val="00D11749"/>
    <w:rsid w:val="00D12A7D"/>
    <w:rsid w:val="00D13AB0"/>
    <w:rsid w:val="00D1519E"/>
    <w:rsid w:val="00D152B7"/>
    <w:rsid w:val="00D16EDC"/>
    <w:rsid w:val="00D17FDE"/>
    <w:rsid w:val="00D201CB"/>
    <w:rsid w:val="00D22786"/>
    <w:rsid w:val="00D228B4"/>
    <w:rsid w:val="00D25AC4"/>
    <w:rsid w:val="00D25D05"/>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432"/>
    <w:rsid w:val="00D4472F"/>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4029"/>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4AD9"/>
    <w:rsid w:val="00EE56FF"/>
    <w:rsid w:val="00EE5886"/>
    <w:rsid w:val="00EE5FBF"/>
    <w:rsid w:val="00EE6472"/>
    <w:rsid w:val="00EE72C5"/>
    <w:rsid w:val="00EE76F2"/>
    <w:rsid w:val="00EF0769"/>
    <w:rsid w:val="00EF0D7C"/>
    <w:rsid w:val="00EF1179"/>
    <w:rsid w:val="00EF314C"/>
    <w:rsid w:val="00EF383B"/>
    <w:rsid w:val="00EF40E2"/>
    <w:rsid w:val="00EF61C1"/>
    <w:rsid w:val="00EF6E68"/>
    <w:rsid w:val="00EF76DB"/>
    <w:rsid w:val="00F005FD"/>
    <w:rsid w:val="00F01501"/>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15E"/>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79A"/>
    <w:rsid w:val="00F87897"/>
    <w:rsid w:val="00F87DA3"/>
    <w:rsid w:val="00F90004"/>
    <w:rsid w:val="00F90EF4"/>
    <w:rsid w:val="00F917BF"/>
    <w:rsid w:val="00F920B4"/>
    <w:rsid w:val="00F9260D"/>
    <w:rsid w:val="00F92727"/>
    <w:rsid w:val="00F93527"/>
    <w:rsid w:val="00F93CCF"/>
    <w:rsid w:val="00F94307"/>
    <w:rsid w:val="00F9580B"/>
    <w:rsid w:val="00F95F15"/>
    <w:rsid w:val="00F975CA"/>
    <w:rsid w:val="00FA0B60"/>
    <w:rsid w:val="00FA2528"/>
    <w:rsid w:val="00FA5524"/>
    <w:rsid w:val="00FA5535"/>
    <w:rsid w:val="00FA7206"/>
    <w:rsid w:val="00FA7EFB"/>
    <w:rsid w:val="00FB0816"/>
    <w:rsid w:val="00FB08C2"/>
    <w:rsid w:val="00FB30BD"/>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3F7F"/>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xternal Document" ma:contentTypeID="0x01010001BD15C3986B91498E0AE644B715B9EE11009D7D16F880F94B46BDA61F17CE86AA10" ma:contentTypeVersion="8" ma:contentTypeDescription="" ma:contentTypeScope="" ma:versionID="01a943bdebe075a8de807d23c3e7f36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fdb4891bb3bbec5455571be2431ee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02f78ba-6c5a-4b0e-bcd1-206a956ea62f"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72a82bd0-19e1-46d6-9afd-f4d362edd4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2022</Year>
    <TaxCatchAll xmlns="20fbe147-bbda-4e53-b6b1-7e8bbff3fe19">
      <Value>1964</Value>
      <Value>165</Value>
      <Value>1968</Value>
      <Value>484</Value>
      <Value>14</Value>
    </TaxCatchAll>
    <_dlc_DocId xmlns="20fbe147-bbda-4e53-b6b1-7e8bbff3fe19">ESMA70-445-362</_dlc_DocId>
    <_dlc_DocIdUrl xmlns="20fbe147-bbda-4e53-b6b1-7e8bbff3fe19">
      <Url>https://sherpa.esma.europa.eu/sites/MKT/SMK/_layouts/15/DocIdRedir.aspx?ID=ESMA70-445-362</Url>
      <Description>ESMA70-445-362</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External - Public Consultations - DLT</TermName>
          <TermId xmlns="http://schemas.microsoft.com/office/infopath/2007/PartnerControls">de977357-2603-46ae-a1e3-943b819006ef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Public Consultation - 20220104_20220304_CfE DLT Pilot Regime</TermName>
          <TermId xmlns="http://schemas.microsoft.com/office/infopath/2007/PartnerControls">570d31e2-10aa-405f-81fc-9170029288bf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705691C-74C2-4B5A-B92D-373BDD13A410}"/>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6232</Words>
  <Characters>36179</Characters>
  <Application>Microsoft Office Word</Application>
  <DocSecurity>8</DocSecurity>
  <Lines>753</Lines>
  <Paragraphs>350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42061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Ed Rodriguez</cp:lastModifiedBy>
  <cp:revision>12</cp:revision>
  <cp:lastPrinted>2015-02-18T11:01:00Z</cp:lastPrinted>
  <dcterms:created xsi:type="dcterms:W3CDTF">2022-03-13T15:05:00Z</dcterms:created>
  <dcterms:modified xsi:type="dcterms:W3CDTF">2022-03-13T15:32:00Z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0x01010001BD15C3986B91498E0AE644B715B9EE11009D7D16F880F94B46BDA61F17CE86AA10</vt:lpwstr>
  </property>
  <property fmtid="{D5CDD505-2E9C-101B-9397-08002B2CF9AE}" pid="3" name="_dlc_DocIdItemGuid">
    <vt:lpwstr>8dd6e55a-3f4a-4903-a560-c983de24da77</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1968;#External - Public Consultations - DLT|de977357-2603-46ae-a1e3-943b819006ef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1964;#Public Consultation - 20220104_20220304_CfE DLT Pilot Regime|570d31e2-10aa-405f-81fc-9170029288bf</vt:lpwstr>
  </property>
</Properties>
</file>