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rPr>
            <w:id w:val="651570699"/>
            <w:text/>
          </w:sdtPr>
          <w:sdtEndPr>
            <w:rPr>
              <w:rStyle w:val="Platzhaltertext"/>
            </w:rPr>
          </w:sdtEndPr>
          <w:sdtContent>
            <w:tc>
              <w:tcPr>
                <w:tcW w:w="5595" w:type="dxa"/>
                <w:shd w:val="clear" w:color="auto" w:fill="auto"/>
              </w:tcPr>
              <w:p w14:paraId="633DB1B6" w14:textId="3276BEEB" w:rsidR="00C2682A" w:rsidRPr="00AB6D88" w:rsidRDefault="00CA0DAB" w:rsidP="00FA5524">
                <w:pPr>
                  <w:rPr>
                    <w:rStyle w:val="Platzhaltertext"/>
                    <w:rFonts w:cs="Arial"/>
                  </w:rPr>
                </w:pPr>
                <w:r>
                  <w:rPr>
                    <w:rStyle w:val="Platzhaltertext"/>
                    <w:rFonts w:cs="Arial"/>
                  </w:rPr>
                  <w:t>Bundesverband deutscher Banken</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2B19BE92" w:rsidR="00C2682A" w:rsidRPr="00AB6D88" w:rsidRDefault="00EB4F7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A0DAB">
                  <w:rPr>
                    <w:rFonts w:cs="Arial"/>
                  </w:rPr>
                  <w:t>Banking sector</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30E3BC14" w:rsidR="00C2682A" w:rsidRPr="00AB6D88" w:rsidRDefault="00CA0DAB"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1F45F740" w:rsidR="00C2682A" w:rsidRPr="00AB6D88" w:rsidRDefault="00CA0DAB" w:rsidP="00FA5524">
                <w:pPr>
                  <w:rPr>
                    <w:rFonts w:cs="Arial"/>
                  </w:rPr>
                </w:pPr>
                <w:r>
                  <w:rPr>
                    <w:rFonts w:cs="Arial"/>
                  </w:rPr>
                  <w:t>Germany</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2F26B6B4" w14:textId="3778CABC" w:rsidR="000D6E28" w:rsidRDefault="000D6E28" w:rsidP="000D6E28">
      <w:permStart w:id="124340805" w:edGrp="everyone"/>
      <w:r>
        <w:t>We welcome the fact that ESMA is addressing important supervisory issues arising from the application of the DLT pilot regime. Investor protection and market integrity must always be ensured regardless of the type of trading - this applies to trading via conventional systems in the same way as to trading based on DLT. This is because both investor protection and the safeguarding of market integrity play an essential role in the functioning of markets. Institutional and retail investors must be able to trust at all times that supervisory authorities are in a position to guarantee the integrity of the markets - the technology used in trading must not play a role in this respect.</w:t>
      </w:r>
    </w:p>
    <w:p w14:paraId="7B3BF3EC" w14:textId="77777777" w:rsidR="000D6E28" w:rsidRDefault="000D6E28" w:rsidP="000D6E28"/>
    <w:p w14:paraId="4609B173" w14:textId="77777777" w:rsidR="000D6E28" w:rsidRDefault="000D6E28" w:rsidP="000D6E28">
      <w:r>
        <w:t xml:space="preserve">In order to enable the supervisory authorities to monitor the markets in an appropriate manner, the supervised market participants must provide them with the necessary data. The manner in which the supervisory authorities receive this data appears to be irrelevant. Rather, it is crucial that the same rules apply to all supervised parties: Same business, same risks, same rules. </w:t>
      </w:r>
      <w:r w:rsidRPr="001255C3">
        <w:t>Whether the required data is sent to the supervisory authority by the supervised entity</w:t>
      </w:r>
      <w:r>
        <w:t xml:space="preserve"> (push)</w:t>
      </w:r>
      <w:r w:rsidRPr="001255C3">
        <w:t xml:space="preserve"> or whether the supervisor can access data held by the supervised entity</w:t>
      </w:r>
      <w:r>
        <w:t xml:space="preserve"> (pull)</w:t>
      </w:r>
      <w:r w:rsidRPr="001255C3">
        <w:t xml:space="preserve"> is ultimately just a question of technology.</w:t>
      </w:r>
      <w:r>
        <w:t xml:space="preserve"> The decisive factor is that all the necessary content is available within the specified period. </w:t>
      </w:r>
    </w:p>
    <w:p w14:paraId="7CE96769" w14:textId="77777777" w:rsidR="000D6E28" w:rsidRDefault="000D6E28" w:rsidP="000D6E28"/>
    <w:p w14:paraId="213110CC" w14:textId="77777777" w:rsidR="000D6E28" w:rsidRDefault="000D6E28" w:rsidP="000D6E28">
      <w:r w:rsidRPr="00922BA6">
        <w:t>Even today, supervisory authorit</w:t>
      </w:r>
      <w:r>
        <w:t>ies</w:t>
      </w:r>
      <w:r w:rsidRPr="00922BA6">
        <w:t xml:space="preserve"> rightly do not differentiate </w:t>
      </w:r>
      <w:r>
        <w:t>between</w:t>
      </w:r>
      <w:r w:rsidRPr="00922BA6">
        <w:t xml:space="preserve"> where a transaction was concluded - e.g. on</w:t>
      </w:r>
      <w:r>
        <w:t>-</w:t>
      </w:r>
      <w:r w:rsidRPr="00922BA6">
        <w:t xml:space="preserve">exchange or over-the-counter - rather, the supervised parties </w:t>
      </w:r>
      <w:r>
        <w:t>always have to provide the specified data if</w:t>
      </w:r>
      <w:r w:rsidRPr="00922BA6">
        <w:t xml:space="preserve"> certain financial instruments </w:t>
      </w:r>
      <w:r>
        <w:t>are affected</w:t>
      </w:r>
      <w:r w:rsidRPr="00922BA6">
        <w:t>. This standard must also be applied to trading via DLT.</w:t>
      </w:r>
    </w:p>
    <w:p w14:paraId="725E1A14" w14:textId="77777777" w:rsidR="000D6E28" w:rsidRDefault="000D6E28" w:rsidP="000D6E28"/>
    <w:p w14:paraId="1F1B6568" w14:textId="77777777" w:rsidR="000D6E28" w:rsidRDefault="000D6E28" w:rsidP="000D6E28">
      <w:r>
        <w:t>Our members have extensive experience in realising pre- and post-trade transparency in the market and in reporting transactions to the competent supervisory authority in accordance with Article 26 MiFIR. Extensive organisational arrangements are necessary to fulfil these obligations, which require the establishment of suitable processes and procedures. The use of suitable systems and sufficient resources is indispensable for this. As a result, investment firms contribute to maintaining market integrity and protecting investors.</w:t>
      </w:r>
    </w:p>
    <w:p w14:paraId="790E0F3C" w14:textId="77777777" w:rsidR="000D6E28" w:rsidRDefault="000D6E28" w:rsidP="000D6E28"/>
    <w:p w14:paraId="2B6B6370" w14:textId="77777777" w:rsidR="000D6E28" w:rsidRDefault="000D6E28" w:rsidP="000D6E28">
      <w:r w:rsidRPr="00922BA6">
        <w:t xml:space="preserve">Against this background, we would like to emphasise that it will also be crucial </w:t>
      </w:r>
      <w:r>
        <w:t>for</w:t>
      </w:r>
      <w:r w:rsidRPr="00922BA6">
        <w:t xml:space="preserve"> trading under the DLT pilot regime to apply the existing </w:t>
      </w:r>
      <w:r>
        <w:t>rules</w:t>
      </w:r>
      <w:r w:rsidRPr="00922BA6">
        <w:t xml:space="preserve"> in an appropriate manner. Especially for the successful establishment of new trading opportunities, ensuring market integrity and investor protection will be of paramount importance.</w:t>
      </w:r>
    </w:p>
    <w:p w14:paraId="51D2963B" w14:textId="77777777" w:rsidR="000D6E28" w:rsidRDefault="000D6E28" w:rsidP="000D6E28"/>
    <w:p w14:paraId="694B3729" w14:textId="0C0ACA02" w:rsidR="00CC59BB" w:rsidRDefault="000D6E28" w:rsidP="00CC59BB">
      <w:r w:rsidRPr="00140910">
        <w:t>Exemptions from specific requirements under the pilot regime should therefore be well justified and require effective alternative safeguards to be put in place which would meet the objectives pursued by the provisions from which an exemption is requested or would ensure investor protection</w:t>
      </w:r>
      <w:r>
        <w:t xml:space="preserve"> and/or</w:t>
      </w:r>
      <w:r w:rsidRPr="00140910">
        <w:t xml:space="preserve"> market integrity. An authorised test operation under the pilot regime should be required to demonstrate the existence and effectiveness of such safeguards, which could serve as a model for the future framework.</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lastRenderedPageBreak/>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35C27922" w14:textId="77777777" w:rsidR="000D6E28" w:rsidRDefault="000D6E28" w:rsidP="000D6E28">
      <w:permStart w:id="1628839836" w:edGrp="everyone"/>
      <w:r>
        <w:t>No, we do not anticipate that problems will arise. Whether a financial instrument eligible for trading under the DLT Pilot Regime is considered liquid or illiquid for the purposes of Delegated Regulation (EU) 2017/567 and/or RTS 2 will have to be assessed by the the relevant liquidity concepts of said regulations.</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02A2F064" w:rsidR="00CC59BB" w:rsidRDefault="000D6E28" w:rsidP="00CC59BB">
      <w:permStart w:id="1530005966" w:edGrp="everyone"/>
      <w:r>
        <w:t>No, whether restricted or unrestricted DLT is used should make no difference in how the pre-trade transparency requirements should be applied. The DLT Pilot Regime allows only DLT MTFs to offer trading under the Pilot Regime. In order to ensure a level-playing field, DLT MTFs and traditional MTFs should follow the same rules. Pre-trade transparency is a means to inform all interested investors about the current market situation. If restricted DLT would be treated differently from unrestricted DLT this would lead to the investor not being able to get the full picture across all MTFs which is to be avoided.</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51BBDD48" w:rsidR="00CC59BB" w:rsidRDefault="000D6E28" w:rsidP="00CC59BB">
      <w:permStart w:id="1212295819" w:edGrp="everyone"/>
      <w:r>
        <w:t>No, it is not necessary to make changes to the calibration of waivers for DLT bonds in RTS 2. Waivers should be applicable across all MTFs in the same way, i.e. their application has to be technology neutral. Differentiating between DLT-MTFs and traditional MTFs would hamper market integrity.</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1F49E98" w14:textId="77777777" w:rsidR="000D6E28" w:rsidRDefault="000D6E28" w:rsidP="000D6E28">
      <w:permStart w:id="1244420503" w:edGrp="everyone"/>
      <w:r>
        <w:t>The current deferral periods for non-equity instruments are under review (cf. COM(2021) 727). It remains to be seen if and how they will be changed. In any case, the same rules and waivers should be applicable to DLT-non-equity financial instruments and traditional non-equity financial instruments. The waiver concept is technology neutral and should be applied in a technology neutral manner.</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 xml:space="preserve">Is it necessary to amend the current fields and flags for post-trade transparency (modifications/cancellations/additions) for their application to DLT shares, </w:t>
      </w:r>
      <w:r w:rsidRPr="00185ADA">
        <w:lastRenderedPageBreak/>
        <w:t>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6B796DED" w14:textId="77777777" w:rsidR="000D6E28" w:rsidRDefault="000D6E28" w:rsidP="000D6E28">
      <w:permStart w:id="1310265670" w:edGrp="everyone"/>
      <w:r>
        <w:t>Yes, we agree that a</w:t>
      </w:r>
      <w:r w:rsidRPr="00CE70C3">
        <w:t>n additional set of changes to adapt the relevant parts of RTS 22 on reporting would appear neither efficient nor necessary</w:t>
      </w:r>
      <w:r>
        <w:t>.</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507E112B" w14:textId="77777777" w:rsidR="000D6E28" w:rsidRDefault="000D6E28" w:rsidP="000D6E28">
      <w:permStart w:id="1711693936" w:edGrp="everyone"/>
      <w:r>
        <w:t>In traditional transaction reporting an investment firm acting as an intermediary between clients and trading venues will always report all relevant details of transactions including data on the client. Since private individuals will not fall under the rules of the DLT Pilot Regime or any other supervisory rules, it will simply be necessary that DLT MTFs report transactions on their behalf if there are no intermediaries involved. Such reports by DLT MTFs will have to encompass all relevant details of the transaction, for the sake of market integrity there should be no differentiation between DLT MTFs and traditional MTFs.</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 xml:space="preserve">Trading Venue Transaction Identification, TVTIC (Field 3): Is it necessary to amend the current field for its application in the context of a DLT environment? Do </w:t>
      </w:r>
      <w:r w:rsidRPr="00185ADA">
        <w:lastRenderedPageBreak/>
        <w:t>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lastRenderedPageBreak/>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9B47B9B" w14:textId="77777777" w:rsidR="000D6E28" w:rsidRDefault="000D6E28" w:rsidP="000D6E28">
      <w:permStart w:id="2035771818" w:edGrp="everyone"/>
      <w:r>
        <w:t>The principle of same business, same risks, same rules should be applied here, too. Please note that in any reporting environment „implementation issues“ will arise. Any reporting entity will have to make sure they have all the necessary data, be it client related data such as the relevant ID, instrument related data or any other kind of data. If the reporting entity cannot create the data itself – e.g. the releveant client ID – processes to achieve those data have to be set up (this may be time- and resource intensive and costly). If data were missing, market integrity might be at stake.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lastRenderedPageBreak/>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17B7E1E6" w:rsidR="00CC59BB" w:rsidRDefault="000D6E28" w:rsidP="00CC59BB">
      <w:permStart w:id="1328882998" w:edGrp="everyone"/>
      <w:r>
        <w:t>Yes, we think the definition of „order“ is still applicable in the DLT context. Whether an order is given via DLT or in a traditional way does not change the nature of the order as such. The same goes for the order keeping requirements. If ESMA deemed certain elements of the order keeping requirements not necessary for ensuring market integrity, changes should apply to all kinds of trading, i.e. in a technology neutral manner.</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lastRenderedPageBreak/>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lastRenderedPageBreak/>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 xml:space="preserve">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w:t>
      </w:r>
      <w:r w:rsidRPr="00185ADA">
        <w:lastRenderedPageBreak/>
        <w:t>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lastRenderedPageBreak/>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9D07C" w14:textId="77777777" w:rsidR="00240532" w:rsidRDefault="00240532">
      <w:r>
        <w:separator/>
      </w:r>
    </w:p>
    <w:p w14:paraId="4E2005EE" w14:textId="77777777" w:rsidR="00240532" w:rsidRDefault="00240532"/>
  </w:endnote>
  <w:endnote w:type="continuationSeparator" w:id="0">
    <w:p w14:paraId="645925D3" w14:textId="77777777" w:rsidR="00240532" w:rsidRDefault="00240532">
      <w:r>
        <w:continuationSeparator/>
      </w:r>
    </w:p>
    <w:p w14:paraId="4B0D0118" w14:textId="77777777" w:rsidR="00240532" w:rsidRDefault="00240532"/>
  </w:endnote>
  <w:endnote w:type="continuationNotice" w:id="1">
    <w:p w14:paraId="2700325D" w14:textId="77777777" w:rsidR="00240532" w:rsidRDefault="0024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A7B15"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7FC5" w14:textId="77777777" w:rsidR="00F107EF" w:rsidRDefault="00F107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7747D" w14:textId="77777777" w:rsidR="00240532" w:rsidRDefault="00240532">
      <w:r>
        <w:separator/>
      </w:r>
    </w:p>
    <w:p w14:paraId="292CD8CC" w14:textId="77777777" w:rsidR="00240532" w:rsidRDefault="00240532"/>
  </w:footnote>
  <w:footnote w:type="continuationSeparator" w:id="0">
    <w:p w14:paraId="7F426417" w14:textId="77777777" w:rsidR="00240532" w:rsidRDefault="00240532">
      <w:r>
        <w:continuationSeparator/>
      </w:r>
    </w:p>
    <w:p w14:paraId="3106BF37" w14:textId="77777777" w:rsidR="00240532" w:rsidRDefault="00240532"/>
  </w:footnote>
  <w:footnote w:type="continuationNotice" w:id="1">
    <w:p w14:paraId="0D7D5CBE" w14:textId="77777777" w:rsidR="00240532" w:rsidRDefault="00240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F0F00" w14:textId="77777777" w:rsidR="00F107EF" w:rsidRDefault="00F107EF">
    <w:pPr>
      <w:pStyle w:val="Kopfzeile"/>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1A9E6" w14:textId="77777777" w:rsidR="00F107EF" w:rsidRDefault="00F107EF" w:rsidP="00013CCE">
    <w:pPr>
      <w:pStyle w:val="Kopfzeile"/>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Kopfzeile"/>
      <w:rPr>
        <w:lang w:val="fr-FR"/>
      </w:rPr>
    </w:pPr>
  </w:p>
  <w:p w14:paraId="3E5C66CB" w14:textId="77777777" w:rsidR="00F107EF" w:rsidRPr="002F4496" w:rsidRDefault="00F107EF" w:rsidP="000C06C9">
    <w:pPr>
      <w:pStyle w:val="Kopfzeile"/>
      <w:tabs>
        <w:tab w:val="clear" w:pos="4536"/>
        <w:tab w:val="clear" w:pos="9072"/>
        <w:tab w:val="left" w:pos="8227"/>
      </w:tabs>
      <w:rPr>
        <w:lang w:val="fr-FR"/>
      </w:rPr>
    </w:pPr>
  </w:p>
  <w:p w14:paraId="79E04317" w14:textId="77777777" w:rsidR="00F107EF" w:rsidRPr="002F4496" w:rsidRDefault="00F107EF" w:rsidP="00583885">
    <w:pPr>
      <w:pStyle w:val="Kopfzeile"/>
      <w:jc w:val="right"/>
      <w:rPr>
        <w:lang w:val="fr-FR"/>
      </w:rPr>
    </w:pPr>
  </w:p>
  <w:p w14:paraId="2B7AB39B" w14:textId="77777777" w:rsidR="00F107EF" w:rsidRPr="002F4496" w:rsidRDefault="00F107EF">
    <w:pPr>
      <w:pStyle w:val="Kopfzeile"/>
      <w:rPr>
        <w:lang w:val="fr-FR"/>
      </w:rPr>
    </w:pPr>
  </w:p>
  <w:p w14:paraId="1D490AAA" w14:textId="77777777" w:rsidR="00F107EF" w:rsidRPr="002F4496" w:rsidRDefault="00F107EF">
    <w:pPr>
      <w:pStyle w:val="Kopfzeile"/>
      <w:rPr>
        <w:lang w:val="fr-FR"/>
      </w:rPr>
    </w:pPr>
  </w:p>
  <w:p w14:paraId="162AEEEE" w14:textId="77777777" w:rsidR="00F107EF" w:rsidRPr="002F4496" w:rsidRDefault="00F107EF">
    <w:pPr>
      <w:pStyle w:val="Kopfzeile"/>
      <w:rPr>
        <w:lang w:val="fr-FR"/>
      </w:rPr>
    </w:pPr>
  </w:p>
  <w:p w14:paraId="081CEBC5" w14:textId="77777777" w:rsidR="00F107EF" w:rsidRPr="002F4496" w:rsidRDefault="00F107EF">
    <w:pPr>
      <w:pStyle w:val="Kopfzeile"/>
      <w:rPr>
        <w:highlight w:val="yellow"/>
        <w:lang w:val="fr-FR"/>
      </w:rPr>
    </w:pPr>
  </w:p>
  <w:p w14:paraId="588D86BC" w14:textId="77777777" w:rsidR="00F107EF" w:rsidRDefault="00F107EF">
    <w:pPr>
      <w:pStyle w:val="Kopfzeil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6E28"/>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29ED"/>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152"/>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0DAB"/>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4F78"/>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Standard"/>
    <w:next w:val="Standard"/>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Absatz-Standardschriftar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1216</Value>
      <Value>165</Value>
      <Value>484</Value>
      <Value>14</Value>
    </TaxCatchAll>
    <_dlc_DocId xmlns="20fbe147-bbda-4e53-b6b1-7e8bbff3fe19">ESMA70-460-26</_dlc_DocId>
    <_dlc_DocIdUrl xmlns="20fbe147-bbda-4e53-b6b1-7e8bbff3fe19">
      <Url>https://sherpa.esma.europa.eu/sites/MKT/SMK/_layouts/15/DocIdRedir.aspx?ID=ESMA70-460-26</Url>
      <Description>ESMA70-460-26</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DLT-Pilot Regime</TermName>
          <TermId xmlns="http://schemas.microsoft.com/office/infopath/2007/PartnerControls">0479ed06-359c-4f02-8957-b86891d9bf0e</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01BD15C3986B91498E0AE644B715B9EE1B001F5A8317797F334F88F9215DEB384D7B" ma:contentTypeVersion="7" ma:contentTypeDescription="" ma:contentTypeScope="" ma:versionID="06f2db989999eb1b3a840db0e694bdea">
  <xsd:schema xmlns:xsd="http://www.w3.org/2001/XMLSchema" xmlns:xs="http://www.w3.org/2001/XMLSchema" xmlns:p="http://schemas.microsoft.com/office/2006/metadata/properties" xmlns:ns2="20fbe147-bbda-4e53-b6b1-7e8bbff3fe19" targetNamespace="http://schemas.microsoft.com/office/2006/metadata/properties" ma:root="true" ma:fieldsID="440aced7971a53f4a69d728e5564b45d"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2b6fd931-81a3-4057-979e-f21b29f141c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2CD2EE27-6C9D-4095-B937-2F7D4E115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4225</Words>
  <Characters>23527</Characters>
  <Application>Microsoft Office Word</Application>
  <DocSecurity>8</DocSecurity>
  <Lines>196</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27697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Bockelmann, Dorit</cp:lastModifiedBy>
  <cp:revision>5</cp:revision>
  <cp:lastPrinted>2015-02-18T11:01:00Z</cp:lastPrinted>
  <dcterms:created xsi:type="dcterms:W3CDTF">2022-02-01T13:42:00Z</dcterms:created>
  <dcterms:modified xsi:type="dcterms:W3CDTF">2022-03-03T09:52:00Z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0x01010001BD15C3986B91498E0AE644B715B9EE1B001F5A8317797F334F88F9215DEB384D7B</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